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E057D7" w14:textId="77777777" w:rsidR="00625DC6" w:rsidRPr="006149A8" w:rsidRDefault="008115AA" w:rsidP="006149A8">
      <w:pPr>
        <w:pStyle w:val="Encabezado"/>
        <w:tabs>
          <w:tab w:val="clear" w:pos="8504"/>
          <w:tab w:val="left" w:pos="0"/>
          <w:tab w:val="right" w:pos="9356"/>
        </w:tabs>
        <w:ind w:left="0"/>
        <w:jc w:val="both"/>
        <w:rPr>
          <w:rFonts w:ascii="Bookman Old Style" w:hAnsi="Bookman Old Style"/>
          <w:szCs w:val="24"/>
        </w:rPr>
      </w:pPr>
      <w:bookmarkStart w:id="0" w:name="_GoBack"/>
      <w:bookmarkEnd w:id="0"/>
      <w:r>
        <w:rPr>
          <w:rFonts w:ascii="Bookman Old Style" w:hAnsi="Bookman Old Style"/>
          <w:noProof/>
          <w:szCs w:val="24"/>
        </w:rPr>
        <w:object w:dxaOrig="1440" w:dyaOrig="1440" w14:anchorId="480D7C7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206.9pt;margin-top:-53.35pt;width:52.5pt;height:48.75pt;z-index:251656704" fillcolor="#0c9">
            <v:imagedata r:id="rId8" o:title=""/>
          </v:shape>
          <o:OLEObject Type="Embed" ProgID="PBrush" ShapeID="_x0000_s1026" DrawAspect="Content" ObjectID="_1630308037" r:id="rId9"/>
        </w:object>
      </w:r>
    </w:p>
    <w:p w14:paraId="0A968623" w14:textId="77777777" w:rsidR="00CA77FB" w:rsidRPr="006149A8" w:rsidRDefault="00CA77FB" w:rsidP="006149A8">
      <w:pPr>
        <w:pStyle w:val="Ttulo4"/>
        <w:tabs>
          <w:tab w:val="left" w:pos="0"/>
          <w:tab w:val="right" w:pos="9356"/>
        </w:tabs>
        <w:ind w:left="0"/>
        <w:rPr>
          <w:rFonts w:ascii="Bookman Old Style" w:hAnsi="Bookman Old Style"/>
          <w:b w:val="0"/>
          <w:bCs/>
          <w:noProof/>
          <w:sz w:val="24"/>
          <w:szCs w:val="24"/>
          <w:lang w:val="es-ES"/>
        </w:rPr>
      </w:pPr>
      <w:r w:rsidRPr="006149A8">
        <w:rPr>
          <w:rFonts w:ascii="Bookman Old Style" w:hAnsi="Bookman Old Style"/>
          <w:b w:val="0"/>
          <w:bCs/>
          <w:sz w:val="24"/>
          <w:szCs w:val="24"/>
        </w:rPr>
        <w:t>Ministerio de Minas y Energía</w:t>
      </w:r>
    </w:p>
    <w:p w14:paraId="4BA49494" w14:textId="77777777" w:rsidR="00CA77FB" w:rsidRPr="006149A8" w:rsidRDefault="00CA77FB" w:rsidP="006149A8">
      <w:pPr>
        <w:pStyle w:val="Ttulo4"/>
        <w:tabs>
          <w:tab w:val="left" w:pos="0"/>
          <w:tab w:val="right" w:pos="9356"/>
        </w:tabs>
        <w:ind w:left="0"/>
        <w:rPr>
          <w:rFonts w:ascii="Bookman Old Style" w:hAnsi="Bookman Old Style"/>
          <w:b w:val="0"/>
          <w:bCs/>
          <w:sz w:val="24"/>
          <w:szCs w:val="24"/>
        </w:rPr>
      </w:pPr>
    </w:p>
    <w:p w14:paraId="03E4BD86" w14:textId="77777777" w:rsidR="00CA77FB" w:rsidRPr="006149A8" w:rsidRDefault="00CA77FB" w:rsidP="006149A8">
      <w:pPr>
        <w:pStyle w:val="Ttulo3"/>
        <w:tabs>
          <w:tab w:val="left" w:pos="0"/>
          <w:tab w:val="right" w:pos="9356"/>
        </w:tabs>
        <w:ind w:left="0"/>
        <w:rPr>
          <w:rFonts w:ascii="Bookman Old Style" w:hAnsi="Bookman Old Style" w:cs="Arial"/>
          <w:spacing w:val="20"/>
          <w:szCs w:val="24"/>
        </w:rPr>
      </w:pPr>
      <w:r w:rsidRPr="006149A8">
        <w:rPr>
          <w:rFonts w:ascii="Bookman Old Style" w:hAnsi="Bookman Old Style" w:cs="Arial"/>
          <w:spacing w:val="20"/>
          <w:szCs w:val="24"/>
        </w:rPr>
        <w:t>COMISIÓN DE REGULACIÓN DE ENERGÍA Y GAS</w:t>
      </w:r>
    </w:p>
    <w:p w14:paraId="7947634A" w14:textId="77777777" w:rsidR="00CA77FB" w:rsidRPr="006149A8" w:rsidRDefault="00CA77FB" w:rsidP="006149A8">
      <w:pPr>
        <w:pStyle w:val="Ttulo5"/>
        <w:tabs>
          <w:tab w:val="left" w:pos="0"/>
          <w:tab w:val="right" w:pos="9356"/>
        </w:tabs>
        <w:ind w:left="0"/>
        <w:rPr>
          <w:rFonts w:ascii="Bookman Old Style" w:hAnsi="Bookman Old Style"/>
          <w:sz w:val="24"/>
          <w:szCs w:val="24"/>
        </w:rPr>
      </w:pPr>
    </w:p>
    <w:p w14:paraId="42B91521" w14:textId="77777777" w:rsidR="00CA77FB" w:rsidRPr="006149A8" w:rsidRDefault="00CA77FB" w:rsidP="006149A8">
      <w:pPr>
        <w:pStyle w:val="Ttulo5"/>
        <w:tabs>
          <w:tab w:val="left" w:pos="0"/>
          <w:tab w:val="right" w:pos="9356"/>
        </w:tabs>
        <w:ind w:left="0"/>
        <w:rPr>
          <w:rFonts w:ascii="Bookman Old Style" w:hAnsi="Bookman Old Style"/>
          <w:sz w:val="24"/>
          <w:szCs w:val="24"/>
        </w:rPr>
      </w:pPr>
    </w:p>
    <w:p w14:paraId="516C6795" w14:textId="77777777" w:rsidR="00CA77FB" w:rsidRPr="006149A8" w:rsidRDefault="00CA77FB" w:rsidP="006149A8">
      <w:pPr>
        <w:pStyle w:val="Ttulo5"/>
        <w:tabs>
          <w:tab w:val="left" w:pos="0"/>
          <w:tab w:val="right" w:pos="9356"/>
        </w:tabs>
        <w:ind w:left="0"/>
        <w:rPr>
          <w:rFonts w:ascii="Bookman Old Style" w:hAnsi="Bookman Old Style"/>
          <w:sz w:val="24"/>
          <w:szCs w:val="24"/>
        </w:rPr>
      </w:pPr>
      <w:r w:rsidRPr="006149A8">
        <w:rPr>
          <w:rFonts w:ascii="Bookman Old Style" w:hAnsi="Bookman Old Style"/>
          <w:sz w:val="24"/>
          <w:szCs w:val="24"/>
        </w:rPr>
        <w:t xml:space="preserve">RESOLUCIÓN No. </w:t>
      </w:r>
      <w:r w:rsidR="00795BFB" w:rsidRPr="006149A8">
        <w:rPr>
          <w:rFonts w:ascii="Bookman Old Style" w:hAnsi="Bookman Old Style"/>
          <w:sz w:val="24"/>
          <w:szCs w:val="24"/>
        </w:rPr>
        <w:t xml:space="preserve">                 </w:t>
      </w:r>
      <w:r w:rsidRPr="006149A8">
        <w:rPr>
          <w:rFonts w:ascii="Bookman Old Style" w:hAnsi="Bookman Old Style"/>
          <w:sz w:val="24"/>
          <w:szCs w:val="24"/>
        </w:rPr>
        <w:t>DE 20</w:t>
      </w:r>
      <w:r w:rsidR="00795BFB" w:rsidRPr="006149A8">
        <w:rPr>
          <w:rFonts w:ascii="Bookman Old Style" w:hAnsi="Bookman Old Style"/>
          <w:sz w:val="24"/>
          <w:szCs w:val="24"/>
        </w:rPr>
        <w:t>1</w:t>
      </w:r>
      <w:r w:rsidR="00245DE1" w:rsidRPr="006149A8">
        <w:rPr>
          <w:rFonts w:ascii="Bookman Old Style" w:hAnsi="Bookman Old Style"/>
          <w:sz w:val="24"/>
          <w:szCs w:val="24"/>
        </w:rPr>
        <w:t>9</w:t>
      </w:r>
    </w:p>
    <w:p w14:paraId="46CE9BBD" w14:textId="77777777" w:rsidR="00CA77FB" w:rsidRPr="006149A8" w:rsidRDefault="00CA77FB" w:rsidP="006149A8">
      <w:pPr>
        <w:tabs>
          <w:tab w:val="left" w:pos="0"/>
          <w:tab w:val="right" w:pos="9356"/>
        </w:tabs>
        <w:ind w:left="0"/>
        <w:jc w:val="center"/>
        <w:rPr>
          <w:rFonts w:ascii="Bookman Old Style" w:hAnsi="Bookman Old Style" w:cs="Arial"/>
          <w:b/>
          <w:snapToGrid w:val="0"/>
          <w:color w:val="000000"/>
          <w:lang w:val="es-ES_tradnl"/>
        </w:rPr>
      </w:pPr>
    </w:p>
    <w:p w14:paraId="7F398EFA" w14:textId="77777777" w:rsidR="00CA77FB" w:rsidRPr="006149A8" w:rsidRDefault="00CA77FB" w:rsidP="006149A8">
      <w:pPr>
        <w:pStyle w:val="Ttulo3"/>
        <w:tabs>
          <w:tab w:val="left" w:pos="0"/>
          <w:tab w:val="right" w:pos="9356"/>
        </w:tabs>
        <w:ind w:left="0"/>
        <w:rPr>
          <w:rFonts w:ascii="Bookman Old Style" w:hAnsi="Bookman Old Style"/>
          <w:b w:val="0"/>
          <w:szCs w:val="24"/>
        </w:rPr>
      </w:pPr>
      <w:r w:rsidRPr="006149A8">
        <w:rPr>
          <w:rFonts w:ascii="Bookman Old Style" w:hAnsi="Bookman Old Style"/>
          <w:b w:val="0"/>
          <w:szCs w:val="24"/>
        </w:rPr>
        <w:t>(                                  )</w:t>
      </w:r>
    </w:p>
    <w:p w14:paraId="5E2F0D8C" w14:textId="77777777" w:rsidR="00CA77FB" w:rsidRPr="006149A8" w:rsidRDefault="00CA77FB" w:rsidP="006149A8">
      <w:pPr>
        <w:tabs>
          <w:tab w:val="left" w:pos="0"/>
          <w:tab w:val="right" w:pos="9356"/>
        </w:tabs>
        <w:ind w:left="0"/>
        <w:jc w:val="center"/>
        <w:rPr>
          <w:rFonts w:ascii="Bookman Old Style" w:hAnsi="Bookman Old Style"/>
          <w:lang w:val="es-ES_tradnl"/>
        </w:rPr>
      </w:pPr>
    </w:p>
    <w:p w14:paraId="4E279018" w14:textId="77777777" w:rsidR="006149A8" w:rsidRDefault="006149A8" w:rsidP="006149A8">
      <w:pPr>
        <w:jc w:val="both"/>
        <w:rPr>
          <w:rFonts w:ascii="Bookman Old Style" w:hAnsi="Bookman Old Style"/>
        </w:rPr>
      </w:pPr>
    </w:p>
    <w:p w14:paraId="5ECFD98F" w14:textId="76DFD0FD" w:rsidR="001F1B7A" w:rsidRDefault="001F1B7A" w:rsidP="007066D5">
      <w:pPr>
        <w:ind w:left="0"/>
        <w:jc w:val="center"/>
        <w:rPr>
          <w:rFonts w:ascii="Bookman Old Style" w:hAnsi="Bookman Old Style"/>
        </w:rPr>
      </w:pPr>
      <w:r w:rsidRPr="006149A8">
        <w:rPr>
          <w:rFonts w:ascii="Bookman Old Style" w:hAnsi="Bookman Old Style"/>
        </w:rPr>
        <w:t>Por la cual se define la garantía</w:t>
      </w:r>
      <w:r w:rsidR="00462BAB">
        <w:rPr>
          <w:rFonts w:ascii="Bookman Old Style" w:hAnsi="Bookman Old Style"/>
        </w:rPr>
        <w:t xml:space="preserve"> de puesta en operación comercial</w:t>
      </w:r>
      <w:r w:rsidRPr="006149A8">
        <w:rPr>
          <w:rFonts w:ascii="Bookman Old Style" w:hAnsi="Bookman Old Style"/>
        </w:rPr>
        <w:t xml:space="preserve"> que deben entregar los vendedores que</w:t>
      </w:r>
      <w:r w:rsidR="00BA285D">
        <w:rPr>
          <w:rFonts w:ascii="Bookman Old Style" w:hAnsi="Bookman Old Style"/>
        </w:rPr>
        <w:t xml:space="preserve"> resulten adjudicados </w:t>
      </w:r>
      <w:r w:rsidRPr="006149A8">
        <w:rPr>
          <w:rFonts w:ascii="Bookman Old Style" w:hAnsi="Bookman Old Style"/>
        </w:rPr>
        <w:t>en el mecanismo definido en</w:t>
      </w:r>
      <w:r w:rsidR="007066D5">
        <w:rPr>
          <w:rFonts w:ascii="Bookman Old Style" w:hAnsi="Bookman Old Style"/>
        </w:rPr>
        <w:t xml:space="preserve"> la </w:t>
      </w:r>
      <w:r w:rsidRPr="006149A8">
        <w:rPr>
          <w:rFonts w:ascii="Bookman Old Style" w:hAnsi="Bookman Old Style"/>
        </w:rPr>
        <w:t>Resolución 4</w:t>
      </w:r>
      <w:r w:rsidR="007E741E">
        <w:rPr>
          <w:rFonts w:ascii="Bookman Old Style" w:hAnsi="Bookman Old Style"/>
        </w:rPr>
        <w:t xml:space="preserve"> </w:t>
      </w:r>
      <w:r w:rsidRPr="006149A8">
        <w:rPr>
          <w:rFonts w:ascii="Bookman Old Style" w:hAnsi="Bookman Old Style"/>
        </w:rPr>
        <w:t>0</w:t>
      </w:r>
      <w:r>
        <w:rPr>
          <w:rFonts w:ascii="Bookman Old Style" w:hAnsi="Bookman Old Style"/>
        </w:rPr>
        <w:t>5</w:t>
      </w:r>
      <w:r w:rsidRPr="006149A8">
        <w:rPr>
          <w:rFonts w:ascii="Bookman Old Style" w:hAnsi="Bookman Old Style"/>
        </w:rPr>
        <w:t>9</w:t>
      </w:r>
      <w:r>
        <w:rPr>
          <w:rFonts w:ascii="Bookman Old Style" w:hAnsi="Bookman Old Style"/>
        </w:rPr>
        <w:t>0</w:t>
      </w:r>
      <w:r w:rsidRPr="006149A8">
        <w:rPr>
          <w:rFonts w:ascii="Bookman Old Style" w:hAnsi="Bookman Old Style"/>
        </w:rPr>
        <w:t xml:space="preserve"> de </w:t>
      </w:r>
      <w:r>
        <w:rPr>
          <w:rFonts w:ascii="Bookman Old Style" w:hAnsi="Bookman Old Style"/>
        </w:rPr>
        <w:t>2019</w:t>
      </w:r>
      <w:r w:rsidR="007066D5">
        <w:rPr>
          <w:rFonts w:ascii="Bookman Old Style" w:hAnsi="Bookman Old Style"/>
        </w:rPr>
        <w:t xml:space="preserve"> del Ministerio de Minas y Energía</w:t>
      </w:r>
    </w:p>
    <w:p w14:paraId="03617EFD" w14:textId="77777777" w:rsidR="00655797" w:rsidRPr="001F1B7A" w:rsidRDefault="00655797" w:rsidP="007066D5">
      <w:pPr>
        <w:ind w:left="0"/>
        <w:jc w:val="center"/>
        <w:rPr>
          <w:rFonts w:ascii="Bookman Old Style" w:hAnsi="Bookman Old Style"/>
        </w:rPr>
      </w:pPr>
    </w:p>
    <w:p w14:paraId="66DA31EA" w14:textId="77777777" w:rsidR="001F1B7A" w:rsidRPr="001F1B7A" w:rsidRDefault="001F1B7A" w:rsidP="00611D2F">
      <w:pPr>
        <w:ind w:left="0"/>
        <w:jc w:val="both"/>
        <w:rPr>
          <w:rFonts w:ascii="Bookman Old Style" w:hAnsi="Bookman Old Style"/>
        </w:rPr>
      </w:pPr>
    </w:p>
    <w:p w14:paraId="5BB9DE95" w14:textId="2CFBB866" w:rsidR="001F1B7A" w:rsidRDefault="001F1B7A" w:rsidP="00611D2F">
      <w:pPr>
        <w:ind w:left="0"/>
        <w:jc w:val="center"/>
        <w:rPr>
          <w:rFonts w:ascii="Bookman Old Style" w:hAnsi="Bookman Old Style"/>
          <w:b/>
        </w:rPr>
      </w:pPr>
      <w:r w:rsidRPr="001F1B7A">
        <w:rPr>
          <w:rFonts w:ascii="Bookman Old Style" w:hAnsi="Bookman Old Style"/>
          <w:b/>
        </w:rPr>
        <w:t>LA COMISIÓN DE REGULACIÓN DE ENERGÍA Y GAS</w:t>
      </w:r>
    </w:p>
    <w:p w14:paraId="4FDDEB75" w14:textId="77777777" w:rsidR="00655797" w:rsidRPr="001F1B7A" w:rsidRDefault="00655797" w:rsidP="00611D2F">
      <w:pPr>
        <w:ind w:left="0"/>
        <w:jc w:val="center"/>
        <w:rPr>
          <w:rFonts w:ascii="Bookman Old Style" w:hAnsi="Bookman Old Style"/>
          <w:b/>
        </w:rPr>
      </w:pPr>
    </w:p>
    <w:p w14:paraId="049CEEA5" w14:textId="77777777" w:rsidR="001F1B7A" w:rsidRPr="001F1B7A" w:rsidRDefault="001F1B7A" w:rsidP="00611D2F">
      <w:pPr>
        <w:ind w:left="0"/>
        <w:jc w:val="both"/>
        <w:rPr>
          <w:rFonts w:ascii="Bookman Old Style" w:hAnsi="Bookman Old Style"/>
        </w:rPr>
      </w:pPr>
    </w:p>
    <w:p w14:paraId="137BF4BB" w14:textId="77777777" w:rsidR="001F1B7A" w:rsidRDefault="001F1B7A" w:rsidP="006571A7">
      <w:pPr>
        <w:ind w:left="0"/>
        <w:jc w:val="center"/>
        <w:rPr>
          <w:rFonts w:ascii="Bookman Old Style" w:hAnsi="Bookman Old Style"/>
        </w:rPr>
      </w:pPr>
      <w:r w:rsidRPr="001F1B7A">
        <w:rPr>
          <w:rFonts w:ascii="Bookman Old Style" w:hAnsi="Bookman Old Style"/>
        </w:rPr>
        <w:t>En ejercicio de sus atribuciones constitucionales y legales, en especial las conferidas por las Leyes 142 y 143 de 1994, y en desarrollo de los Decretos 1524, 2253 de 1994</w:t>
      </w:r>
      <w:r w:rsidR="000C5B36">
        <w:rPr>
          <w:rFonts w:ascii="Bookman Old Style" w:hAnsi="Bookman Old Style"/>
        </w:rPr>
        <w:t>,</w:t>
      </w:r>
      <w:r w:rsidRPr="001F1B7A">
        <w:rPr>
          <w:rFonts w:ascii="Bookman Old Style" w:hAnsi="Bookman Old Style"/>
        </w:rPr>
        <w:t xml:space="preserve"> 1260 de 2013</w:t>
      </w:r>
      <w:r w:rsidR="000C5B36">
        <w:rPr>
          <w:rFonts w:ascii="Bookman Old Style" w:hAnsi="Bookman Old Style"/>
        </w:rPr>
        <w:t xml:space="preserve"> </w:t>
      </w:r>
      <w:r w:rsidR="000C5B36" w:rsidRPr="000C5B36">
        <w:rPr>
          <w:rFonts w:ascii="Bookman Old Style" w:hAnsi="Bookman Old Style"/>
        </w:rPr>
        <w:t>y 0570 de 2018, así como en cumplimiento de la Resolución 40590 de 2019 del Ministerio de Minas y Energía.</w:t>
      </w:r>
    </w:p>
    <w:p w14:paraId="156853AC" w14:textId="77777777" w:rsidR="001F1B7A" w:rsidRPr="001F1B7A" w:rsidRDefault="001F1B7A" w:rsidP="00611D2F">
      <w:pPr>
        <w:ind w:left="0"/>
        <w:jc w:val="both"/>
        <w:rPr>
          <w:rFonts w:ascii="Bookman Old Style" w:hAnsi="Bookman Old Style"/>
        </w:rPr>
      </w:pPr>
    </w:p>
    <w:p w14:paraId="5E5EA7A1" w14:textId="5258B893" w:rsidR="001F1B7A" w:rsidRDefault="001F1B7A" w:rsidP="00611D2F">
      <w:pPr>
        <w:ind w:left="0"/>
        <w:jc w:val="center"/>
        <w:rPr>
          <w:rFonts w:ascii="Bookman Old Style" w:hAnsi="Bookman Old Style"/>
          <w:b/>
        </w:rPr>
      </w:pPr>
      <w:r w:rsidRPr="001F1B7A">
        <w:rPr>
          <w:rFonts w:ascii="Bookman Old Style" w:hAnsi="Bookman Old Style"/>
          <w:b/>
        </w:rPr>
        <w:t>CONSIDERANDO QUE:</w:t>
      </w:r>
    </w:p>
    <w:p w14:paraId="30ADD32B" w14:textId="77777777" w:rsidR="00655797" w:rsidRPr="001F1B7A" w:rsidRDefault="00655797" w:rsidP="00611D2F">
      <w:pPr>
        <w:ind w:left="0"/>
        <w:jc w:val="center"/>
        <w:rPr>
          <w:rFonts w:ascii="Bookman Old Style" w:hAnsi="Bookman Old Style"/>
          <w:b/>
        </w:rPr>
      </w:pPr>
    </w:p>
    <w:p w14:paraId="7051A387" w14:textId="77777777" w:rsidR="001F1B7A" w:rsidRDefault="001F1B7A" w:rsidP="00611D2F">
      <w:pPr>
        <w:ind w:left="0"/>
        <w:jc w:val="both"/>
        <w:rPr>
          <w:rFonts w:ascii="Bookman Old Style" w:hAnsi="Bookman Old Style"/>
        </w:rPr>
      </w:pPr>
    </w:p>
    <w:p w14:paraId="06FB5C4C" w14:textId="77777777" w:rsidR="006149A8" w:rsidRPr="00611D2F" w:rsidRDefault="006149A8" w:rsidP="009B634D">
      <w:pPr>
        <w:ind w:left="0"/>
        <w:jc w:val="both"/>
        <w:rPr>
          <w:rFonts w:ascii="Bookman Old Style" w:hAnsi="Bookman Old Style" w:cs="Arial"/>
          <w:lang w:val="es-CO"/>
        </w:rPr>
      </w:pPr>
      <w:bookmarkStart w:id="1" w:name="_Ref208741538"/>
      <w:bookmarkStart w:id="2" w:name="_Ref208800103"/>
      <w:bookmarkStart w:id="3" w:name="_Ref208800198"/>
      <w:bookmarkStart w:id="4" w:name="_Ref208801482"/>
      <w:bookmarkStart w:id="5" w:name="_Ref208801521"/>
      <w:bookmarkStart w:id="6" w:name="_Ref208804214"/>
      <w:bookmarkStart w:id="7" w:name="_Ref208806182"/>
      <w:bookmarkStart w:id="8" w:name="_Ref209855218"/>
      <w:bookmarkStart w:id="9" w:name="_Ref209855264"/>
      <w:bookmarkStart w:id="10" w:name="_Toc210616028"/>
      <w:r w:rsidRPr="00611D2F">
        <w:rPr>
          <w:rFonts w:ascii="Bookman Old Style" w:hAnsi="Bookman Old Style" w:cs="Arial"/>
          <w:lang w:val="es-CO"/>
        </w:rPr>
        <w:t>El artículo 365 de la Constitución Política establece que los servicios públicos son inherentes a la finalidad social del Estado y es deber de este asegurar su prestación eficiente a todos los habitantes del territorio nacional. Así mismo el artículo 370 asigna al Presidente de la República la función de señalar, con sujeción a la ley, las políticas generales de administración y control de eficiencia de los servicios públicos domiciliarios.</w:t>
      </w:r>
    </w:p>
    <w:p w14:paraId="74107299" w14:textId="77777777" w:rsidR="009B634D" w:rsidRPr="00611D2F" w:rsidRDefault="009B634D" w:rsidP="009B634D">
      <w:pPr>
        <w:ind w:left="0"/>
        <w:jc w:val="both"/>
        <w:rPr>
          <w:rFonts w:ascii="Bookman Old Style" w:hAnsi="Bookman Old Style" w:cs="Arial"/>
          <w:lang w:val="es-CO"/>
        </w:rPr>
      </w:pPr>
    </w:p>
    <w:p w14:paraId="3609511E" w14:textId="77777777" w:rsidR="006149A8" w:rsidRPr="00611D2F" w:rsidRDefault="006149A8" w:rsidP="009B634D">
      <w:pPr>
        <w:ind w:left="0"/>
        <w:jc w:val="both"/>
        <w:rPr>
          <w:rFonts w:ascii="Bookman Old Style" w:hAnsi="Bookman Old Style" w:cs="Arial"/>
          <w:lang w:val="es-CO"/>
        </w:rPr>
      </w:pPr>
      <w:r w:rsidRPr="00611D2F">
        <w:rPr>
          <w:rFonts w:ascii="Bookman Old Style" w:hAnsi="Bookman Old Style" w:cs="Arial"/>
          <w:lang w:val="es-CO"/>
        </w:rPr>
        <w:t>De conformidad con la </w:t>
      </w:r>
      <w:hyperlink r:id="rId10" w:tooltip="Haga clic para abrir TODA la Ley 142 de 1994" w:history="1">
        <w:r w:rsidRPr="00611D2F">
          <w:rPr>
            <w:rFonts w:ascii="Bookman Old Style" w:hAnsi="Bookman Old Style" w:cs="Arial"/>
            <w:lang w:val="es-CO"/>
          </w:rPr>
          <w:t>Ley 142 de 1994</w:t>
        </w:r>
      </w:hyperlink>
      <w:r w:rsidRPr="00611D2F">
        <w:rPr>
          <w:rFonts w:ascii="Bookman Old Style" w:hAnsi="Bookman Old Style" w:cs="Arial"/>
          <w:lang w:val="es-CO"/>
        </w:rPr>
        <w:t>, artículo 3° numeral 3, la regulación de los servicios públicos es una forma de intervención del Estado en la economía. La función de regulación está orientada no solo a corregir fallas del mercado sino a desarrollar los fines esenciales de los servicios públicos.</w:t>
      </w:r>
    </w:p>
    <w:p w14:paraId="1E79B75B" w14:textId="77777777" w:rsidR="009B634D" w:rsidRPr="00611D2F" w:rsidRDefault="009B634D" w:rsidP="009B634D">
      <w:pPr>
        <w:ind w:left="0"/>
        <w:jc w:val="both"/>
        <w:rPr>
          <w:rFonts w:ascii="Bookman Old Style" w:hAnsi="Bookman Old Style" w:cs="Arial"/>
          <w:lang w:val="es-CO"/>
        </w:rPr>
      </w:pPr>
    </w:p>
    <w:p w14:paraId="3E7BCE2A" w14:textId="77777777" w:rsidR="006149A8" w:rsidRPr="00611D2F" w:rsidRDefault="006149A8" w:rsidP="009B634D">
      <w:pPr>
        <w:ind w:left="0"/>
        <w:jc w:val="both"/>
        <w:rPr>
          <w:rFonts w:ascii="Bookman Old Style" w:hAnsi="Bookman Old Style" w:cs="Arial"/>
          <w:lang w:val="es-CO"/>
        </w:rPr>
      </w:pPr>
      <w:r w:rsidRPr="00611D2F">
        <w:rPr>
          <w:rFonts w:ascii="Bookman Old Style" w:hAnsi="Bookman Old Style" w:cs="Arial"/>
          <w:lang w:val="es-CO"/>
        </w:rPr>
        <w:t xml:space="preserve">Ateniendo lo dispuesto en el artículo 2 de la Ley 142 de 1994 dentro de los fines que persigue la intervención del Estado en la prestación de los servicios públicos domiciliarios se encuentran: la prestación eficiente, continua e ininterrumpida, la libre competencia y la no utilización abusiva de la posición dominante. </w:t>
      </w:r>
    </w:p>
    <w:p w14:paraId="2EA0EC43" w14:textId="77777777" w:rsidR="009B634D" w:rsidRPr="00611D2F" w:rsidRDefault="009B634D" w:rsidP="006149A8">
      <w:pPr>
        <w:jc w:val="both"/>
        <w:rPr>
          <w:rFonts w:ascii="Bookman Old Style" w:hAnsi="Bookman Old Style" w:cs="Arial"/>
          <w:lang w:val="es-CO"/>
        </w:rPr>
      </w:pPr>
    </w:p>
    <w:p w14:paraId="6E94995C" w14:textId="77777777" w:rsidR="006149A8" w:rsidRPr="00611D2F" w:rsidRDefault="006149A8" w:rsidP="009B634D">
      <w:pPr>
        <w:ind w:left="0"/>
        <w:jc w:val="both"/>
        <w:rPr>
          <w:rFonts w:ascii="Bookman Old Style" w:hAnsi="Bookman Old Style" w:cs="Arial"/>
        </w:rPr>
      </w:pPr>
      <w:r w:rsidRPr="00611D2F">
        <w:rPr>
          <w:rFonts w:ascii="Bookman Old Style" w:hAnsi="Bookman Old Style" w:cs="Arial"/>
        </w:rPr>
        <w:t>Según la Ley 143 de 1994, artículo 4, el Estado, en relación con el servicio de electricidad, tendrá como objetivos en el cumplimiento de sus funciones, los de abastecer la demanda de electricidad de la comunidad bajo criterios económicos y de viabilidad financiera, asegurando su cubrimiento en un marco de uso racional y eficiente de los diferentes recursos energéticos del país; asegurar una operación eficiente, segura y confiable en las actividades del sector; y mantener los niveles de calidad y seguridad establecidos.</w:t>
      </w:r>
    </w:p>
    <w:p w14:paraId="55CC4227" w14:textId="77777777" w:rsidR="006036E4" w:rsidRPr="00611D2F" w:rsidRDefault="006036E4" w:rsidP="009B634D">
      <w:pPr>
        <w:ind w:left="0"/>
        <w:jc w:val="both"/>
        <w:rPr>
          <w:rFonts w:ascii="Bookman Old Style" w:hAnsi="Bookman Old Style" w:cs="Arial"/>
        </w:rPr>
      </w:pPr>
    </w:p>
    <w:p w14:paraId="1812A305" w14:textId="77777777" w:rsidR="006149A8" w:rsidRPr="00611D2F" w:rsidRDefault="006149A8" w:rsidP="009B634D">
      <w:pPr>
        <w:ind w:left="0"/>
        <w:jc w:val="both"/>
        <w:rPr>
          <w:rFonts w:ascii="Bookman Old Style" w:hAnsi="Bookman Old Style" w:cs="Arial"/>
        </w:rPr>
      </w:pPr>
      <w:r w:rsidRPr="00611D2F">
        <w:rPr>
          <w:rFonts w:ascii="Bookman Old Style" w:hAnsi="Bookman Old Style" w:cs="Arial"/>
        </w:rPr>
        <w:t>La Ley 143 de 1994, artículo 20, definió como objetivo fundamental de la regulación en el sector eléctrico, asegurar una adecuada prestación del servicio mediante el aprovechamiento eficiente de los diferentes recursos energéticos, en beneficio del usuario en términos de calidad, oportunidad y costo del servicio.</w:t>
      </w:r>
    </w:p>
    <w:p w14:paraId="1E04A9EB" w14:textId="77777777" w:rsidR="008F3EAB" w:rsidRDefault="008F3EAB" w:rsidP="009B634D">
      <w:pPr>
        <w:ind w:left="0"/>
        <w:jc w:val="both"/>
        <w:rPr>
          <w:rFonts w:ascii="Bookman Old Style" w:hAnsi="Bookman Old Style" w:cs="Arial"/>
          <w:lang w:val="es-CO"/>
        </w:rPr>
      </w:pPr>
    </w:p>
    <w:p w14:paraId="33F77191" w14:textId="77777777" w:rsidR="006149A8" w:rsidRPr="00611D2F" w:rsidRDefault="006149A8" w:rsidP="009B634D">
      <w:pPr>
        <w:ind w:left="0"/>
        <w:jc w:val="both"/>
        <w:rPr>
          <w:rFonts w:ascii="Bookman Old Style" w:hAnsi="Bookman Old Style" w:cs="Arial"/>
          <w:lang w:val="es-CO"/>
        </w:rPr>
      </w:pPr>
      <w:r w:rsidRPr="00611D2F">
        <w:rPr>
          <w:rFonts w:ascii="Bookman Old Style" w:hAnsi="Bookman Old Style" w:cs="Arial"/>
          <w:lang w:val="es-CO"/>
        </w:rPr>
        <w:t>La Ley 142 de 1994 en su artículo 74.1 establece que es función de la Comisión de Regulación de Energía y Gas, CREG, regular el ejercicio de las actividades del sector de energía para asegurar la disponibilidad de una oferta energética eficiente, propiciar la competencia, adoptar medidas para impedir abusos de posición dominante y buscar la liberación gradual de los mercados hacia la libre competencia. Además, la Comisión podrá adoptar reglas de comportamiento diferencial, según la posición de las empresas en el mercado.</w:t>
      </w:r>
    </w:p>
    <w:p w14:paraId="36CC8F4F" w14:textId="77777777" w:rsidR="009B634D" w:rsidRPr="00611D2F" w:rsidRDefault="009B634D" w:rsidP="006149A8">
      <w:pPr>
        <w:jc w:val="both"/>
        <w:rPr>
          <w:rFonts w:ascii="Bookman Old Style" w:hAnsi="Bookman Old Style" w:cs="Arial"/>
          <w:lang w:val="es-CO"/>
        </w:rPr>
      </w:pPr>
    </w:p>
    <w:p w14:paraId="60A2960D" w14:textId="77777777" w:rsidR="00087E89" w:rsidRDefault="00087E89" w:rsidP="00087E89">
      <w:pPr>
        <w:ind w:left="0"/>
        <w:jc w:val="both"/>
        <w:rPr>
          <w:rFonts w:ascii="Bookman Old Style" w:hAnsi="Bookman Old Style" w:cs="Arial"/>
          <w:lang w:val="es-ES_tradnl"/>
        </w:rPr>
      </w:pPr>
      <w:r w:rsidRPr="005C7414">
        <w:rPr>
          <w:rFonts w:ascii="Bookman Old Style" w:hAnsi="Bookman Old Style" w:cs="Arial"/>
          <w:lang w:val="es-ES_tradnl"/>
        </w:rPr>
        <w:t>El Gobierno Nacional expidió el Decreto 0570 de 2018</w:t>
      </w:r>
      <w:r>
        <w:rPr>
          <w:rFonts w:ascii="Bookman Old Style" w:hAnsi="Bookman Old Style" w:cs="Arial"/>
          <w:lang w:val="es-ES_tradnl"/>
        </w:rPr>
        <w:t xml:space="preserve">, en donde se establecen los lineamientos de política pública para la contratación a largo plazo de proyectos de generación de energía eléctrica. </w:t>
      </w:r>
    </w:p>
    <w:p w14:paraId="58634E15" w14:textId="77777777" w:rsidR="00087E89" w:rsidRDefault="00087E89" w:rsidP="009B634D">
      <w:pPr>
        <w:ind w:left="0"/>
        <w:jc w:val="both"/>
        <w:rPr>
          <w:rFonts w:ascii="Bookman Old Style" w:hAnsi="Bookman Old Style" w:cs="Arial"/>
          <w:lang w:val="es-CO"/>
        </w:rPr>
      </w:pPr>
    </w:p>
    <w:p w14:paraId="74B761E7" w14:textId="59C8F5CB" w:rsidR="00087E89" w:rsidRDefault="00087E89" w:rsidP="00087E89">
      <w:pPr>
        <w:ind w:left="0"/>
        <w:jc w:val="both"/>
        <w:rPr>
          <w:rFonts w:ascii="Bookman Old Style" w:hAnsi="Bookman Old Style" w:cs="Arial"/>
          <w:lang w:val="es-ES_tradnl"/>
        </w:rPr>
      </w:pPr>
      <w:r w:rsidRPr="00087E89">
        <w:rPr>
          <w:rFonts w:ascii="Bookman Old Style" w:hAnsi="Bookman Old Style" w:cs="Arial"/>
          <w:lang w:val="es-ES_tradnl"/>
        </w:rPr>
        <w:t>El Ministerio de Minas y Energía, MME, expidió la Resolución 4</w:t>
      </w:r>
      <w:r w:rsidR="007066D5">
        <w:rPr>
          <w:rFonts w:ascii="Bookman Old Style" w:hAnsi="Bookman Old Style" w:cs="Arial"/>
          <w:lang w:val="es-ES_tradnl"/>
        </w:rPr>
        <w:t xml:space="preserve"> </w:t>
      </w:r>
      <w:r w:rsidRPr="00087E89">
        <w:rPr>
          <w:rFonts w:ascii="Bookman Old Style" w:hAnsi="Bookman Old Style" w:cs="Arial"/>
          <w:lang w:val="es-ES_tradnl"/>
        </w:rPr>
        <w:t>0791 del 31 de julio de 2018, por la que “…se define e implementa un mecanismo que promueva la contratación de largo plazo para proyectos de generación de energía eléctrica complementario a los mecanismos existentes en el Mercado de Energía Mayorista”</w:t>
      </w:r>
      <w:r w:rsidR="00AE6C07">
        <w:rPr>
          <w:rFonts w:ascii="Bookman Old Style" w:hAnsi="Bookman Old Style" w:cs="Arial"/>
          <w:lang w:val="es-ES_tradnl"/>
        </w:rPr>
        <w:t>.</w:t>
      </w:r>
      <w:r w:rsidRPr="00087E89">
        <w:rPr>
          <w:rFonts w:ascii="Bookman Old Style" w:hAnsi="Bookman Old Style" w:cs="Arial"/>
          <w:lang w:val="es-ES_tradnl"/>
        </w:rPr>
        <w:t xml:space="preserve"> En esta resolución, en sus artículos 6 y 43 estableció una serie de responsabilidades a cargo de la CREG en materia de garantías.</w:t>
      </w:r>
    </w:p>
    <w:p w14:paraId="3A33D8CC" w14:textId="77777777" w:rsidR="00087E89" w:rsidRPr="005C7414" w:rsidRDefault="00087E89" w:rsidP="00087E89">
      <w:pPr>
        <w:ind w:left="0"/>
        <w:jc w:val="both"/>
        <w:rPr>
          <w:rFonts w:ascii="Bookman Old Style" w:hAnsi="Bookman Old Style" w:cs="Arial"/>
          <w:lang w:val="es-ES_tradnl"/>
        </w:rPr>
      </w:pPr>
    </w:p>
    <w:p w14:paraId="7210E9F1" w14:textId="77777777" w:rsidR="00087E89" w:rsidRPr="005C7414" w:rsidRDefault="00087E89" w:rsidP="00087E89">
      <w:pPr>
        <w:ind w:left="0"/>
        <w:jc w:val="both"/>
        <w:rPr>
          <w:rFonts w:ascii="Bookman Old Style" w:hAnsi="Bookman Old Style" w:cs="Arial"/>
          <w:lang w:val="es-ES_tradnl"/>
        </w:rPr>
      </w:pPr>
      <w:r w:rsidRPr="005C7414">
        <w:rPr>
          <w:rFonts w:ascii="Bookman Old Style" w:hAnsi="Bookman Old Style" w:cs="Arial"/>
          <w:lang w:val="es-ES_tradnl"/>
        </w:rPr>
        <w:t>En cumplimiento de la Resolución 4</w:t>
      </w:r>
      <w:r w:rsidR="007066D5">
        <w:rPr>
          <w:rFonts w:ascii="Bookman Old Style" w:hAnsi="Bookman Old Style" w:cs="Arial"/>
          <w:lang w:val="es-ES_tradnl"/>
        </w:rPr>
        <w:t xml:space="preserve"> </w:t>
      </w:r>
      <w:r w:rsidRPr="005C7414">
        <w:rPr>
          <w:rFonts w:ascii="Bookman Old Style" w:hAnsi="Bookman Old Style" w:cs="Arial"/>
          <w:lang w:val="es-ES_tradnl"/>
        </w:rPr>
        <w:t>0791 de 2018, la CREG expidió la Resolución CREG 0</w:t>
      </w:r>
      <w:r>
        <w:rPr>
          <w:rFonts w:ascii="Bookman Old Style" w:hAnsi="Bookman Old Style" w:cs="Arial"/>
          <w:lang w:val="es-ES_tradnl"/>
        </w:rPr>
        <w:t>11</w:t>
      </w:r>
      <w:r w:rsidRPr="005C7414">
        <w:rPr>
          <w:rFonts w:ascii="Bookman Old Style" w:hAnsi="Bookman Old Style" w:cs="Arial"/>
          <w:lang w:val="es-ES_tradnl"/>
        </w:rPr>
        <w:t xml:space="preserve"> de 2019 </w:t>
      </w:r>
      <w:r>
        <w:rPr>
          <w:rFonts w:ascii="Bookman Old Style" w:hAnsi="Bookman Old Style" w:cs="Arial"/>
          <w:lang w:val="es-ES_tradnl"/>
        </w:rPr>
        <w:t xml:space="preserve">que definía la garantía que debían </w:t>
      </w:r>
      <w:r w:rsidRPr="00087E89">
        <w:rPr>
          <w:rFonts w:ascii="Bookman Old Style" w:hAnsi="Bookman Old Style" w:cs="Arial"/>
          <w:lang w:val="es-ES_tradnl"/>
        </w:rPr>
        <w:t>entreg</w:t>
      </w:r>
      <w:r>
        <w:rPr>
          <w:rFonts w:ascii="Bookman Old Style" w:hAnsi="Bookman Old Style" w:cs="Arial"/>
          <w:lang w:val="es-ES_tradnl"/>
        </w:rPr>
        <w:t>ar los vendedores que participarán</w:t>
      </w:r>
      <w:r w:rsidRPr="00087E89">
        <w:rPr>
          <w:rFonts w:ascii="Bookman Old Style" w:hAnsi="Bookman Old Style" w:cs="Arial"/>
          <w:lang w:val="es-ES_tradnl"/>
        </w:rPr>
        <w:t xml:space="preserve"> en el mecani</w:t>
      </w:r>
      <w:r w:rsidR="007066D5">
        <w:rPr>
          <w:rFonts w:ascii="Bookman Old Style" w:hAnsi="Bookman Old Style" w:cs="Arial"/>
          <w:lang w:val="es-ES_tradnl"/>
        </w:rPr>
        <w:t xml:space="preserve">smo definido en la Resolución 4 </w:t>
      </w:r>
      <w:r w:rsidRPr="00087E89">
        <w:rPr>
          <w:rFonts w:ascii="Bookman Old Style" w:hAnsi="Bookman Old Style" w:cs="Arial"/>
          <w:lang w:val="es-ES_tradnl"/>
        </w:rPr>
        <w:t>0791 de 2018</w:t>
      </w:r>
      <w:r>
        <w:rPr>
          <w:rFonts w:ascii="Bookman Old Style" w:hAnsi="Bookman Old Style" w:cs="Arial"/>
          <w:lang w:val="es-ES_tradnl"/>
        </w:rPr>
        <w:t>.</w:t>
      </w:r>
      <w:r w:rsidRPr="00087E89">
        <w:rPr>
          <w:rFonts w:ascii="Bookman Old Style" w:hAnsi="Bookman Old Style" w:cs="Arial"/>
          <w:lang w:val="es-ES_tradnl"/>
        </w:rPr>
        <w:t xml:space="preserve"> </w:t>
      </w:r>
    </w:p>
    <w:p w14:paraId="0DEBA89B" w14:textId="77777777" w:rsidR="009B634D" w:rsidRPr="00611D2F" w:rsidRDefault="009B634D" w:rsidP="009B634D">
      <w:pPr>
        <w:ind w:left="0"/>
        <w:jc w:val="both"/>
        <w:rPr>
          <w:rFonts w:ascii="Bookman Old Style" w:hAnsi="Bookman Old Style" w:cs="Arial"/>
          <w:i/>
          <w:lang w:val="es-CO"/>
        </w:rPr>
      </w:pPr>
    </w:p>
    <w:p w14:paraId="24B00512" w14:textId="690D786A" w:rsidR="006149A8" w:rsidRPr="00611D2F" w:rsidRDefault="006149A8" w:rsidP="009B634D">
      <w:pPr>
        <w:ind w:left="0"/>
        <w:jc w:val="both"/>
        <w:rPr>
          <w:rFonts w:ascii="Bookman Old Style" w:hAnsi="Bookman Old Style" w:cs="Arial"/>
          <w:lang w:val="es-ES_tradnl"/>
        </w:rPr>
      </w:pPr>
      <w:r w:rsidRPr="00611D2F">
        <w:rPr>
          <w:rFonts w:ascii="Bookman Old Style" w:hAnsi="Bookman Old Style" w:cs="Arial"/>
          <w:lang w:val="es-ES_tradnl"/>
        </w:rPr>
        <w:t>El Ministerio de Minas y Energía, MME, expidió la Resolución 4</w:t>
      </w:r>
      <w:r w:rsidR="007066D5">
        <w:rPr>
          <w:rFonts w:ascii="Bookman Old Style" w:hAnsi="Bookman Old Style" w:cs="Arial"/>
          <w:lang w:val="es-ES_tradnl"/>
        </w:rPr>
        <w:t xml:space="preserve"> </w:t>
      </w:r>
      <w:r w:rsidRPr="00611D2F">
        <w:rPr>
          <w:rFonts w:ascii="Bookman Old Style" w:hAnsi="Bookman Old Style" w:cs="Arial"/>
          <w:lang w:val="es-ES_tradnl"/>
        </w:rPr>
        <w:t>0</w:t>
      </w:r>
      <w:r w:rsidR="00DC126C" w:rsidRPr="00611D2F">
        <w:rPr>
          <w:rFonts w:ascii="Bookman Old Style" w:hAnsi="Bookman Old Style" w:cs="Arial"/>
          <w:lang w:val="es-ES_tradnl"/>
        </w:rPr>
        <w:t>5</w:t>
      </w:r>
      <w:r w:rsidRPr="00611D2F">
        <w:rPr>
          <w:rFonts w:ascii="Bookman Old Style" w:hAnsi="Bookman Old Style" w:cs="Arial"/>
          <w:lang w:val="es-ES_tradnl"/>
        </w:rPr>
        <w:t>9</w:t>
      </w:r>
      <w:r w:rsidR="00DC126C" w:rsidRPr="00611D2F">
        <w:rPr>
          <w:rFonts w:ascii="Bookman Old Style" w:hAnsi="Bookman Old Style" w:cs="Arial"/>
          <w:lang w:val="es-ES_tradnl"/>
        </w:rPr>
        <w:t>0</w:t>
      </w:r>
      <w:r w:rsidRPr="00611D2F">
        <w:rPr>
          <w:rFonts w:ascii="Bookman Old Style" w:hAnsi="Bookman Old Style" w:cs="Arial"/>
          <w:lang w:val="es-ES_tradnl"/>
        </w:rPr>
        <w:t xml:space="preserve"> de 201</w:t>
      </w:r>
      <w:r w:rsidR="00DC126C" w:rsidRPr="00611D2F">
        <w:rPr>
          <w:rFonts w:ascii="Bookman Old Style" w:hAnsi="Bookman Old Style" w:cs="Arial"/>
          <w:lang w:val="es-ES_tradnl"/>
        </w:rPr>
        <w:t>9</w:t>
      </w:r>
      <w:r w:rsidRPr="00611D2F">
        <w:rPr>
          <w:rFonts w:ascii="Bookman Old Style" w:hAnsi="Bookman Old Style" w:cs="Arial"/>
          <w:lang w:val="es-ES_tradnl"/>
        </w:rPr>
        <w:t xml:space="preserve"> del </w:t>
      </w:r>
      <w:r w:rsidR="00DC126C" w:rsidRPr="00611D2F">
        <w:rPr>
          <w:rFonts w:ascii="Bookman Old Style" w:hAnsi="Bookman Old Style" w:cs="Arial"/>
          <w:lang w:val="es-ES_tradnl"/>
        </w:rPr>
        <w:t xml:space="preserve">9 </w:t>
      </w:r>
      <w:r w:rsidRPr="00611D2F">
        <w:rPr>
          <w:rFonts w:ascii="Bookman Old Style" w:hAnsi="Bookman Old Style" w:cs="Arial"/>
          <w:lang w:val="es-ES_tradnl"/>
        </w:rPr>
        <w:t>de julio de 201</w:t>
      </w:r>
      <w:r w:rsidR="00DC126C" w:rsidRPr="00611D2F">
        <w:rPr>
          <w:rFonts w:ascii="Bookman Old Style" w:hAnsi="Bookman Old Style" w:cs="Arial"/>
          <w:lang w:val="es-ES_tradnl"/>
        </w:rPr>
        <w:t>9</w:t>
      </w:r>
      <w:r w:rsidRPr="00611D2F">
        <w:rPr>
          <w:rFonts w:ascii="Bookman Old Style" w:hAnsi="Bookman Old Style" w:cs="Arial"/>
          <w:lang w:val="es-ES_tradnl"/>
        </w:rPr>
        <w:t xml:space="preserve">, </w:t>
      </w:r>
      <w:r w:rsidR="00DC126C" w:rsidRPr="00611D2F">
        <w:rPr>
          <w:rFonts w:ascii="Bookman Old Style" w:hAnsi="Bookman Old Style" w:cs="Arial"/>
          <w:lang w:val="es-ES_tradnl"/>
        </w:rPr>
        <w:t xml:space="preserve">la cual tiene por objeto </w:t>
      </w:r>
      <w:r w:rsidRPr="00611D2F">
        <w:rPr>
          <w:rFonts w:ascii="Bookman Old Style" w:hAnsi="Bookman Old Style" w:cs="Arial"/>
          <w:lang w:val="es-ES_tradnl"/>
        </w:rPr>
        <w:t>“</w:t>
      </w:r>
      <w:r w:rsidR="00DC126C" w:rsidRPr="00611D2F">
        <w:rPr>
          <w:rFonts w:ascii="Bookman Old Style" w:hAnsi="Bookman Old Style" w:cs="Arial"/>
          <w:i/>
          <w:lang w:val="es-ES_tradnl"/>
        </w:rPr>
        <w:t>Definir las reglas generales para la implementación de un mecanismo que promueva la contratación de largo plazo de energía eléctrica de conformidad con lo dispuesto en el artículo 2.2.3.8.7.1 del Decreto 1073 de 2015, adicionado por el Decreto 0570 de 2018”</w:t>
      </w:r>
      <w:r w:rsidR="00724641">
        <w:rPr>
          <w:rFonts w:ascii="Bookman Old Style" w:hAnsi="Bookman Old Style" w:cs="Arial"/>
          <w:i/>
          <w:lang w:val="es-ES_tradnl"/>
        </w:rPr>
        <w:t xml:space="preserve">, </w:t>
      </w:r>
      <w:r w:rsidR="00724641">
        <w:rPr>
          <w:rFonts w:ascii="Bookman Old Style" w:hAnsi="Bookman Old Style" w:cs="Arial"/>
          <w:lang w:val="es-ES_tradnl"/>
        </w:rPr>
        <w:t xml:space="preserve">la cual </w:t>
      </w:r>
      <w:r w:rsidR="00BA285D">
        <w:rPr>
          <w:rFonts w:ascii="Bookman Old Style" w:hAnsi="Bookman Old Style" w:cs="Arial"/>
          <w:lang w:val="es-ES_tradnl"/>
        </w:rPr>
        <w:t>derogó la</w:t>
      </w:r>
      <w:r w:rsidR="00724641">
        <w:rPr>
          <w:rFonts w:ascii="Bookman Old Style" w:hAnsi="Bookman Old Style" w:cs="Arial"/>
          <w:lang w:val="es-ES_tradnl"/>
        </w:rPr>
        <w:t xml:space="preserve"> </w:t>
      </w:r>
      <w:r w:rsidR="00724641" w:rsidRPr="00087E89">
        <w:rPr>
          <w:rFonts w:ascii="Bookman Old Style" w:hAnsi="Bookman Old Style" w:cs="Arial"/>
          <w:lang w:val="es-ES_tradnl"/>
        </w:rPr>
        <w:t>Resolución 4</w:t>
      </w:r>
      <w:r w:rsidR="007066D5">
        <w:rPr>
          <w:rFonts w:ascii="Bookman Old Style" w:hAnsi="Bookman Old Style" w:cs="Arial"/>
          <w:lang w:val="es-ES_tradnl"/>
        </w:rPr>
        <w:t xml:space="preserve"> </w:t>
      </w:r>
      <w:r w:rsidR="00724641" w:rsidRPr="00087E89">
        <w:rPr>
          <w:rFonts w:ascii="Bookman Old Style" w:hAnsi="Bookman Old Style" w:cs="Arial"/>
          <w:lang w:val="es-ES_tradnl"/>
        </w:rPr>
        <w:t>0791 de 2018</w:t>
      </w:r>
      <w:r w:rsidR="00DC126C" w:rsidRPr="00611D2F">
        <w:rPr>
          <w:rFonts w:ascii="Bookman Old Style" w:hAnsi="Bookman Old Style" w:cs="Arial"/>
          <w:i/>
          <w:lang w:val="es-ES_tradnl"/>
        </w:rPr>
        <w:t xml:space="preserve">. </w:t>
      </w:r>
      <w:r w:rsidRPr="00611D2F">
        <w:rPr>
          <w:rFonts w:ascii="Bookman Old Style" w:hAnsi="Bookman Old Style" w:cs="Arial"/>
          <w:lang w:val="es-ES_tradnl"/>
        </w:rPr>
        <w:t xml:space="preserve">Esta resolución, en sus artículos </w:t>
      </w:r>
      <w:r w:rsidR="00326DB5" w:rsidRPr="00611D2F">
        <w:rPr>
          <w:rFonts w:ascii="Bookman Old Style" w:hAnsi="Bookman Old Style" w:cs="Arial"/>
          <w:lang w:val="es-ES_tradnl"/>
        </w:rPr>
        <w:t>5</w:t>
      </w:r>
      <w:r w:rsidRPr="00611D2F">
        <w:rPr>
          <w:rFonts w:ascii="Bookman Old Style" w:hAnsi="Bookman Old Style" w:cs="Arial"/>
          <w:lang w:val="es-ES_tradnl"/>
        </w:rPr>
        <w:t xml:space="preserve"> y </w:t>
      </w:r>
      <w:r w:rsidR="00326DB5" w:rsidRPr="00611D2F">
        <w:rPr>
          <w:rFonts w:ascii="Bookman Old Style" w:hAnsi="Bookman Old Style" w:cs="Arial"/>
          <w:lang w:val="es-ES_tradnl"/>
        </w:rPr>
        <w:t>36</w:t>
      </w:r>
      <w:r w:rsidRPr="00611D2F">
        <w:rPr>
          <w:rFonts w:ascii="Bookman Old Style" w:hAnsi="Bookman Old Style" w:cs="Arial"/>
          <w:lang w:val="es-ES_tradnl"/>
        </w:rPr>
        <w:t xml:space="preserve">, estableció responsabilidades a cargo de la CREG </w:t>
      </w:r>
      <w:r w:rsidR="00326DB5" w:rsidRPr="00611D2F">
        <w:rPr>
          <w:rFonts w:ascii="Bookman Old Style" w:hAnsi="Bookman Old Style" w:cs="Arial"/>
          <w:lang w:val="es-ES_tradnl"/>
        </w:rPr>
        <w:t>relacionados con</w:t>
      </w:r>
      <w:r w:rsidRPr="00611D2F">
        <w:rPr>
          <w:rFonts w:ascii="Bookman Old Style" w:hAnsi="Bookman Old Style" w:cs="Arial"/>
          <w:lang w:val="es-ES_tradnl"/>
        </w:rPr>
        <w:t xml:space="preserve"> </w:t>
      </w:r>
      <w:r w:rsidR="00326DB5" w:rsidRPr="00611D2F">
        <w:rPr>
          <w:rFonts w:ascii="Bookman Old Style" w:hAnsi="Bookman Old Style" w:cs="Arial"/>
          <w:lang w:val="es-ES_tradnl"/>
        </w:rPr>
        <w:t>la garantía de puesta en operación comercial</w:t>
      </w:r>
      <w:r w:rsidR="007066D5">
        <w:rPr>
          <w:rFonts w:ascii="Bookman Old Style" w:hAnsi="Bookman Old Style" w:cs="Arial"/>
          <w:lang w:val="es-ES_tradnl"/>
        </w:rPr>
        <w:t xml:space="preserve"> de los proyectos de generación adjudicados del mecanismo definido en esta resolución</w:t>
      </w:r>
      <w:r w:rsidRPr="00611D2F">
        <w:rPr>
          <w:rFonts w:ascii="Bookman Old Style" w:hAnsi="Bookman Old Style" w:cs="Arial"/>
          <w:lang w:val="es-ES_tradnl"/>
        </w:rPr>
        <w:t>.</w:t>
      </w:r>
      <w:r w:rsidR="00DC126C" w:rsidRPr="00611D2F">
        <w:rPr>
          <w:noProof/>
          <w:lang w:val="es-CO" w:eastAsia="es-CO"/>
        </w:rPr>
        <w:t xml:space="preserve"> </w:t>
      </w:r>
    </w:p>
    <w:p w14:paraId="0FBF5750" w14:textId="77777777" w:rsidR="009B634D" w:rsidRPr="00611D2F" w:rsidRDefault="009B634D" w:rsidP="009B634D">
      <w:pPr>
        <w:ind w:left="0"/>
        <w:jc w:val="both"/>
        <w:rPr>
          <w:rFonts w:ascii="Bookman Old Style" w:hAnsi="Bookman Old Style" w:cs="Arial"/>
          <w:lang w:val="es-ES_tradnl"/>
        </w:rPr>
      </w:pPr>
    </w:p>
    <w:p w14:paraId="3A854E63" w14:textId="7E12F14A" w:rsidR="008173D3" w:rsidRDefault="008173D3" w:rsidP="009B634D">
      <w:pPr>
        <w:ind w:left="0"/>
        <w:jc w:val="both"/>
        <w:rPr>
          <w:rFonts w:ascii="Bookman Old Style" w:hAnsi="Bookman Old Style" w:cs="Arial"/>
          <w:lang w:val="es-ES_tradnl"/>
        </w:rPr>
      </w:pPr>
      <w:r>
        <w:rPr>
          <w:rFonts w:ascii="Bookman Old Style" w:hAnsi="Bookman Old Style" w:cs="Arial"/>
          <w:lang w:val="es-ES_tradnl"/>
        </w:rPr>
        <w:t xml:space="preserve">El </w:t>
      </w:r>
      <w:r w:rsidRPr="00611D2F">
        <w:rPr>
          <w:rFonts w:ascii="Bookman Old Style" w:hAnsi="Bookman Old Style" w:cs="Arial"/>
          <w:lang w:val="es-ES_tradnl"/>
        </w:rPr>
        <w:t xml:space="preserve">Ministerio de Minas y Energía, MME, </w:t>
      </w:r>
      <w:r>
        <w:rPr>
          <w:rFonts w:ascii="Bookman Old Style" w:hAnsi="Bookman Old Style" w:cs="Arial"/>
          <w:lang w:val="es-ES_tradnl"/>
        </w:rPr>
        <w:t>modificó</w:t>
      </w:r>
      <w:r w:rsidR="007650E2">
        <w:rPr>
          <w:rFonts w:ascii="Bookman Old Style" w:hAnsi="Bookman Old Style" w:cs="Arial"/>
          <w:lang w:val="es-ES_tradnl"/>
        </w:rPr>
        <w:t xml:space="preserve"> el artículo 36 de</w:t>
      </w:r>
      <w:r>
        <w:rPr>
          <w:rFonts w:ascii="Bookman Old Style" w:hAnsi="Bookman Old Style" w:cs="Arial"/>
          <w:lang w:val="es-ES_tradnl"/>
        </w:rPr>
        <w:t xml:space="preserve"> la </w:t>
      </w:r>
      <w:r w:rsidRPr="00611D2F">
        <w:rPr>
          <w:rFonts w:ascii="Bookman Old Style" w:hAnsi="Bookman Old Style" w:cs="Arial"/>
          <w:lang w:val="es-ES_tradnl"/>
        </w:rPr>
        <w:t>Resolución 4 0590 de 2019</w:t>
      </w:r>
      <w:r w:rsidR="007066D5">
        <w:rPr>
          <w:rFonts w:ascii="Bookman Old Style" w:hAnsi="Bookman Old Style" w:cs="Arial"/>
          <w:lang w:val="es-ES_tradnl"/>
        </w:rPr>
        <w:t xml:space="preserve"> mediante la Resolución 4 </w:t>
      </w:r>
      <w:r>
        <w:rPr>
          <w:rFonts w:ascii="Bookman Old Style" w:hAnsi="Bookman Old Style" w:cs="Arial"/>
          <w:lang w:val="es-ES_tradnl"/>
        </w:rPr>
        <w:t xml:space="preserve">0678 de 2019, </w:t>
      </w:r>
      <w:r w:rsidR="007650E2">
        <w:rPr>
          <w:rFonts w:ascii="Bookman Old Style" w:hAnsi="Bookman Old Style" w:cs="Arial"/>
          <w:lang w:val="es-ES_tradnl"/>
        </w:rPr>
        <w:t>artículo 7, así:</w:t>
      </w:r>
    </w:p>
    <w:p w14:paraId="271CF9E4" w14:textId="77777777" w:rsidR="008173D3" w:rsidRDefault="008173D3" w:rsidP="009B634D">
      <w:pPr>
        <w:ind w:left="0"/>
        <w:jc w:val="both"/>
        <w:rPr>
          <w:rFonts w:ascii="Bookman Old Style" w:hAnsi="Bookman Old Style" w:cs="Arial"/>
          <w:lang w:val="es-ES_tradnl"/>
        </w:rPr>
      </w:pPr>
    </w:p>
    <w:p w14:paraId="1DAB7613" w14:textId="77777777" w:rsidR="008173D3" w:rsidRPr="006571A7" w:rsidRDefault="008173D3" w:rsidP="006571A7">
      <w:pPr>
        <w:ind w:left="284"/>
        <w:jc w:val="both"/>
        <w:rPr>
          <w:rFonts w:ascii="Bookman Old Style" w:hAnsi="Bookman Old Style" w:cs="Arial"/>
          <w:i/>
          <w:lang w:val="es-ES_tradnl"/>
        </w:rPr>
      </w:pPr>
      <w:r w:rsidRPr="006571A7">
        <w:rPr>
          <w:rFonts w:ascii="Bookman Old Style" w:hAnsi="Bookman Old Style" w:cs="Arial"/>
          <w:i/>
          <w:lang w:val="es-ES_tradnl"/>
        </w:rPr>
        <w:t xml:space="preserve">“Artículo 36.- Garantía de puesta en operación. - La CREG definirá la garantía asociada a la entrada en operación comercial de los proyectos de generación adjudicados en la Subasta. La CREG deberá definir por lo menos: las obligaciones a garantizar, el administrador de la garantía, los eventos de incumplimiento, los criterios y tipos de garantías admisibles, la metodología aplicable a los montos a garantizar, los mecanismos de ajuste que se requieran y el destino de los dineros resultantes al hacerla efectiva. </w:t>
      </w:r>
    </w:p>
    <w:p w14:paraId="55DD6D00" w14:textId="77777777" w:rsidR="008173D3" w:rsidRPr="006571A7" w:rsidRDefault="008173D3" w:rsidP="006571A7">
      <w:pPr>
        <w:ind w:left="284"/>
        <w:jc w:val="both"/>
        <w:rPr>
          <w:rFonts w:ascii="Bookman Old Style" w:hAnsi="Bookman Old Style" w:cs="Arial"/>
          <w:i/>
          <w:lang w:val="es-ES_tradnl"/>
        </w:rPr>
      </w:pPr>
    </w:p>
    <w:p w14:paraId="2AAB7863" w14:textId="77777777" w:rsidR="008173D3" w:rsidRPr="006571A7" w:rsidRDefault="008173D3" w:rsidP="006571A7">
      <w:pPr>
        <w:ind w:left="284"/>
        <w:jc w:val="both"/>
        <w:rPr>
          <w:rFonts w:ascii="Bookman Old Style" w:hAnsi="Bookman Old Style" w:cs="Arial"/>
          <w:i/>
          <w:lang w:val="es-ES_tradnl"/>
        </w:rPr>
      </w:pPr>
      <w:r w:rsidRPr="006571A7">
        <w:rPr>
          <w:rFonts w:ascii="Bookman Old Style" w:hAnsi="Bookman Old Style" w:cs="Arial"/>
          <w:i/>
          <w:lang w:val="es-ES_tradnl"/>
        </w:rPr>
        <w:t xml:space="preserve">Para efectos de la garantía de puesta en operación, el Vendedor podrá prorrogar, hasta por un plazo máximo de dos (2) años, contados a partir de la fecha de inicio de las obligaciones de suministro de energía eléctrica, sin que dicha prórroga implique ejecución alguna de la garantía de puesta en operación. En ningún caso la prórroga aquí </w:t>
      </w:r>
      <w:r w:rsidR="00A175A8" w:rsidRPr="006571A7">
        <w:rPr>
          <w:rFonts w:ascii="Bookman Old Style" w:hAnsi="Bookman Old Style" w:cs="Arial"/>
          <w:i/>
          <w:lang w:val="es-ES_tradnl"/>
        </w:rPr>
        <w:t>mencionada suspenderá las obligaciones de suministro de energía del Vendedor.”</w:t>
      </w:r>
    </w:p>
    <w:p w14:paraId="0F362A36" w14:textId="77777777" w:rsidR="008173D3" w:rsidRDefault="008173D3" w:rsidP="009B634D">
      <w:pPr>
        <w:ind w:left="0"/>
        <w:jc w:val="both"/>
        <w:rPr>
          <w:rFonts w:ascii="Bookman Old Style" w:hAnsi="Bookman Old Style" w:cs="Arial"/>
          <w:lang w:val="es-ES_tradnl"/>
        </w:rPr>
      </w:pPr>
    </w:p>
    <w:p w14:paraId="2BFE0E98" w14:textId="77777777" w:rsidR="006149A8" w:rsidRDefault="006149A8" w:rsidP="009B634D">
      <w:pPr>
        <w:ind w:left="0"/>
        <w:jc w:val="both"/>
        <w:rPr>
          <w:rFonts w:ascii="Bookman Old Style" w:hAnsi="Bookman Old Style" w:cs="Arial"/>
          <w:lang w:val="es-ES_tradnl"/>
        </w:rPr>
      </w:pPr>
      <w:r w:rsidRPr="00611D2F">
        <w:rPr>
          <w:rFonts w:ascii="Bookman Old Style" w:hAnsi="Bookman Old Style" w:cs="Arial"/>
          <w:lang w:val="es-ES_tradnl"/>
        </w:rPr>
        <w:t>El Ministerio de Minas y Energía, MME, expidió la Resolución 4</w:t>
      </w:r>
      <w:r w:rsidR="00326DB5" w:rsidRPr="00611D2F">
        <w:rPr>
          <w:rFonts w:ascii="Bookman Old Style" w:hAnsi="Bookman Old Style" w:cs="Arial"/>
          <w:lang w:val="es-ES_tradnl"/>
        </w:rPr>
        <w:t xml:space="preserve"> 0591 </w:t>
      </w:r>
      <w:r w:rsidRPr="00611D2F">
        <w:rPr>
          <w:rFonts w:ascii="Bookman Old Style" w:hAnsi="Bookman Old Style" w:cs="Arial"/>
          <w:lang w:val="es-ES_tradnl"/>
        </w:rPr>
        <w:t>de 201</w:t>
      </w:r>
      <w:r w:rsidR="00326DB5" w:rsidRPr="00611D2F">
        <w:rPr>
          <w:rFonts w:ascii="Bookman Old Style" w:hAnsi="Bookman Old Style" w:cs="Arial"/>
          <w:lang w:val="es-ES_tradnl"/>
        </w:rPr>
        <w:t>9</w:t>
      </w:r>
      <w:r w:rsidRPr="00611D2F">
        <w:rPr>
          <w:rFonts w:ascii="Bookman Old Style" w:hAnsi="Bookman Old Style" w:cs="Arial"/>
          <w:lang w:val="es-ES_tradnl"/>
        </w:rPr>
        <w:t xml:space="preserve"> </w:t>
      </w:r>
      <w:r w:rsidR="007066D5">
        <w:rPr>
          <w:rFonts w:ascii="Bookman Old Style" w:hAnsi="Bookman Old Style" w:cs="Arial"/>
          <w:lang w:val="es-ES_tradnl"/>
        </w:rPr>
        <w:t xml:space="preserve">del </w:t>
      </w:r>
      <w:r w:rsidR="00326DB5" w:rsidRPr="00611D2F">
        <w:rPr>
          <w:rFonts w:ascii="Bookman Old Style" w:hAnsi="Bookman Old Style" w:cs="Arial"/>
          <w:lang w:val="es-ES_tradnl"/>
        </w:rPr>
        <w:t>9 de julio de 2019, con la cual se ordena la convocatoria para la subasta de contratación de largo plazo de energía eléctrica.</w:t>
      </w:r>
    </w:p>
    <w:p w14:paraId="4C82A0CE" w14:textId="77777777" w:rsidR="007066D5" w:rsidRDefault="007066D5" w:rsidP="009B634D">
      <w:pPr>
        <w:ind w:left="0"/>
        <w:jc w:val="both"/>
        <w:rPr>
          <w:rFonts w:ascii="Bookman Old Style" w:hAnsi="Bookman Old Style" w:cs="Arial"/>
          <w:lang w:val="es-ES_tradnl"/>
        </w:rPr>
      </w:pPr>
    </w:p>
    <w:p w14:paraId="4A5FD288" w14:textId="37543E55" w:rsidR="007066D5" w:rsidRPr="00611D2F" w:rsidRDefault="007066D5" w:rsidP="009B634D">
      <w:pPr>
        <w:ind w:left="0"/>
        <w:jc w:val="both"/>
        <w:rPr>
          <w:rFonts w:ascii="Bookman Old Style" w:hAnsi="Bookman Old Style" w:cs="Arial"/>
          <w:lang w:val="es-ES_tradnl"/>
        </w:rPr>
      </w:pPr>
      <w:r>
        <w:rPr>
          <w:rFonts w:ascii="Bookman Old Style" w:hAnsi="Bookman Old Style" w:cs="Arial"/>
          <w:lang w:val="es-ES_tradnl"/>
        </w:rPr>
        <w:t>La UPME</w:t>
      </w:r>
      <w:r w:rsidR="007650E2">
        <w:rPr>
          <w:rFonts w:ascii="Bookman Old Style" w:hAnsi="Bookman Old Style" w:cs="Arial"/>
          <w:lang w:val="es-ES_tradnl"/>
        </w:rPr>
        <w:t>,</w:t>
      </w:r>
      <w:r>
        <w:rPr>
          <w:rFonts w:ascii="Bookman Old Style" w:hAnsi="Bookman Old Style" w:cs="Arial"/>
          <w:lang w:val="es-ES_tradnl"/>
        </w:rPr>
        <w:t xml:space="preserve"> conforme a la</w:t>
      </w:r>
      <w:r w:rsidRPr="007066D5">
        <w:rPr>
          <w:rFonts w:ascii="Bookman Old Style" w:hAnsi="Bookman Old Style" w:cs="Arial"/>
          <w:lang w:val="es-ES_tradnl"/>
        </w:rPr>
        <w:t xml:space="preserve"> </w:t>
      </w:r>
      <w:r w:rsidRPr="00611D2F">
        <w:rPr>
          <w:rFonts w:ascii="Bookman Old Style" w:hAnsi="Bookman Old Style" w:cs="Arial"/>
          <w:lang w:val="es-ES_tradnl"/>
        </w:rPr>
        <w:t xml:space="preserve">Resolución 4 0591 de 2019 </w:t>
      </w:r>
      <w:r w:rsidR="00365E8C">
        <w:rPr>
          <w:rFonts w:ascii="Bookman Old Style" w:hAnsi="Bookman Old Style" w:cs="Arial"/>
          <w:lang w:val="es-ES_tradnl"/>
        </w:rPr>
        <w:t xml:space="preserve">del </w:t>
      </w:r>
      <w:r w:rsidRPr="00611D2F">
        <w:rPr>
          <w:rFonts w:ascii="Bookman Old Style" w:hAnsi="Bookman Old Style" w:cs="Arial"/>
          <w:lang w:val="es-ES_tradnl"/>
        </w:rPr>
        <w:t>9 de julio de 2019</w:t>
      </w:r>
      <w:r>
        <w:rPr>
          <w:rFonts w:ascii="Bookman Old Style" w:hAnsi="Bookman Old Style" w:cs="Arial"/>
          <w:lang w:val="es-ES_tradnl"/>
        </w:rPr>
        <w:t xml:space="preserve">, definió los Pliegos de términos y condiciones específicas para llevar a cabo </w:t>
      </w:r>
      <w:r w:rsidR="00365E8C">
        <w:rPr>
          <w:rFonts w:ascii="Bookman Old Style" w:hAnsi="Bookman Old Style" w:cs="Arial"/>
          <w:lang w:val="es-ES_tradnl"/>
        </w:rPr>
        <w:t xml:space="preserve">la subasta de contratación de energía eléctrica de largo plazo. </w:t>
      </w:r>
      <w:r>
        <w:rPr>
          <w:rFonts w:ascii="Bookman Old Style" w:hAnsi="Bookman Old Style" w:cs="Arial"/>
          <w:lang w:val="es-ES_tradnl"/>
        </w:rPr>
        <w:t xml:space="preserve">  </w:t>
      </w:r>
    </w:p>
    <w:p w14:paraId="591C811F" w14:textId="77777777" w:rsidR="009B634D" w:rsidRPr="00611D2F" w:rsidRDefault="009B634D" w:rsidP="009B634D">
      <w:pPr>
        <w:ind w:left="0"/>
        <w:jc w:val="both"/>
        <w:rPr>
          <w:rFonts w:ascii="Bookman Old Style" w:hAnsi="Bookman Old Style" w:cs="Arial"/>
          <w:lang w:val="es-ES_tradnl"/>
        </w:rPr>
      </w:pPr>
    </w:p>
    <w:p w14:paraId="35927AAC" w14:textId="77777777" w:rsidR="006C29AA" w:rsidRDefault="006C29AA" w:rsidP="006C29AA">
      <w:pPr>
        <w:ind w:left="0"/>
        <w:jc w:val="both"/>
        <w:rPr>
          <w:rFonts w:ascii="Bookman Old Style" w:hAnsi="Bookman Old Style"/>
        </w:rPr>
      </w:pPr>
      <w:r w:rsidRPr="006C29AA">
        <w:rPr>
          <w:rFonts w:ascii="Bookman Old Style" w:hAnsi="Bookman Old Style" w:cs="Arial"/>
          <w:lang w:val="es-ES_tradnl"/>
        </w:rPr>
        <w:t xml:space="preserve">Mediante la Resolución CREG </w:t>
      </w:r>
      <w:r>
        <w:rPr>
          <w:rFonts w:ascii="Bookman Old Style" w:hAnsi="Bookman Old Style" w:cs="Arial"/>
          <w:lang w:val="es-ES_tradnl"/>
        </w:rPr>
        <w:t>091</w:t>
      </w:r>
      <w:r w:rsidRPr="006C29AA">
        <w:rPr>
          <w:rFonts w:ascii="Bookman Old Style" w:hAnsi="Bookman Old Style" w:cs="Arial"/>
          <w:lang w:val="es-ES_tradnl"/>
        </w:rPr>
        <w:t xml:space="preserve"> de 201</w:t>
      </w:r>
      <w:r>
        <w:rPr>
          <w:rFonts w:ascii="Bookman Old Style" w:hAnsi="Bookman Old Style" w:cs="Arial"/>
          <w:lang w:val="es-ES_tradnl"/>
        </w:rPr>
        <w:t>9</w:t>
      </w:r>
      <w:r w:rsidRPr="006C29AA">
        <w:rPr>
          <w:rFonts w:ascii="Bookman Old Style" w:hAnsi="Bookman Old Style" w:cs="Arial"/>
          <w:lang w:val="es-ES_tradnl"/>
        </w:rPr>
        <w:t xml:space="preserve"> se publicó, para comentarios, un proyecto de resoluc</w:t>
      </w:r>
      <w:r>
        <w:rPr>
          <w:rFonts w:ascii="Bookman Old Style" w:hAnsi="Bookman Old Style" w:cs="Arial"/>
          <w:lang w:val="es-ES_tradnl"/>
        </w:rPr>
        <w:t xml:space="preserve">ión con la propuesta de definición de la garantía de puesta en operación </w:t>
      </w:r>
      <w:r>
        <w:rPr>
          <w:rFonts w:ascii="Bookman Old Style" w:hAnsi="Bookman Old Style"/>
        </w:rPr>
        <w:t>comercial</w:t>
      </w:r>
      <w:r w:rsidRPr="006149A8">
        <w:rPr>
          <w:rFonts w:ascii="Bookman Old Style" w:hAnsi="Bookman Old Style"/>
        </w:rPr>
        <w:t xml:space="preserve"> que deben entregar los vendedores que participan en el meca</w:t>
      </w:r>
      <w:r>
        <w:rPr>
          <w:rFonts w:ascii="Bookman Old Style" w:hAnsi="Bookman Old Style"/>
        </w:rPr>
        <w:t xml:space="preserve">nismo definido en la Resolución </w:t>
      </w:r>
      <w:r w:rsidRPr="006149A8">
        <w:rPr>
          <w:rFonts w:ascii="Bookman Old Style" w:hAnsi="Bookman Old Style"/>
        </w:rPr>
        <w:t>4</w:t>
      </w:r>
      <w:r>
        <w:t> </w:t>
      </w:r>
      <w:r w:rsidRPr="006149A8">
        <w:rPr>
          <w:rFonts w:ascii="Bookman Old Style" w:hAnsi="Bookman Old Style"/>
        </w:rPr>
        <w:t>0</w:t>
      </w:r>
      <w:r>
        <w:rPr>
          <w:rFonts w:ascii="Bookman Old Style" w:hAnsi="Bookman Old Style"/>
        </w:rPr>
        <w:t>5</w:t>
      </w:r>
      <w:r w:rsidRPr="006149A8">
        <w:rPr>
          <w:rFonts w:ascii="Bookman Old Style" w:hAnsi="Bookman Old Style"/>
        </w:rPr>
        <w:t>9</w:t>
      </w:r>
      <w:r>
        <w:rPr>
          <w:rFonts w:ascii="Bookman Old Style" w:hAnsi="Bookman Old Style"/>
        </w:rPr>
        <w:t>0</w:t>
      </w:r>
      <w:r w:rsidRPr="006149A8">
        <w:rPr>
          <w:rFonts w:ascii="Bookman Old Style" w:hAnsi="Bookman Old Style"/>
        </w:rPr>
        <w:t xml:space="preserve"> de 201</w:t>
      </w:r>
      <w:r>
        <w:rPr>
          <w:rFonts w:ascii="Bookman Old Style" w:hAnsi="Bookman Old Style"/>
        </w:rPr>
        <w:t>9.</w:t>
      </w:r>
    </w:p>
    <w:p w14:paraId="4F78EE5A" w14:textId="77777777" w:rsidR="00A175A8" w:rsidRPr="00A175A8" w:rsidRDefault="00A175A8" w:rsidP="00A175A8">
      <w:pPr>
        <w:ind w:left="0"/>
        <w:jc w:val="both"/>
        <w:rPr>
          <w:rFonts w:ascii="Bookman Old Style" w:hAnsi="Bookman Old Style" w:cs="Arial"/>
          <w:lang w:val="es-ES_tradnl"/>
        </w:rPr>
      </w:pPr>
    </w:p>
    <w:p w14:paraId="6D5CD2AD" w14:textId="77777777" w:rsidR="00A175A8" w:rsidRDefault="007F67F8" w:rsidP="00A175A8">
      <w:pPr>
        <w:ind w:left="0"/>
        <w:jc w:val="both"/>
        <w:rPr>
          <w:rFonts w:ascii="Bookman Old Style" w:hAnsi="Bookman Old Style" w:cs="Arial"/>
          <w:lang w:val="es-ES_tradnl"/>
        </w:rPr>
      </w:pPr>
      <w:r>
        <w:rPr>
          <w:rFonts w:ascii="Bookman Old Style" w:hAnsi="Bookman Old Style" w:cs="Arial"/>
          <w:lang w:val="es-ES_tradnl"/>
        </w:rPr>
        <w:t>Durante</w:t>
      </w:r>
      <w:r w:rsidR="00A175A8" w:rsidRPr="00A175A8">
        <w:rPr>
          <w:rFonts w:ascii="Bookman Old Style" w:hAnsi="Bookman Old Style" w:cs="Arial"/>
          <w:lang w:val="es-ES_tradnl"/>
        </w:rPr>
        <w:t xml:space="preserve"> el período de consulta</w:t>
      </w:r>
      <w:r>
        <w:rPr>
          <w:rFonts w:ascii="Bookman Old Style" w:hAnsi="Bookman Old Style" w:cs="Arial"/>
          <w:lang w:val="es-ES_tradnl"/>
        </w:rPr>
        <w:t xml:space="preserve"> </w:t>
      </w:r>
      <w:r w:rsidR="00A175A8" w:rsidRPr="00A175A8">
        <w:rPr>
          <w:rFonts w:ascii="Bookman Old Style" w:hAnsi="Bookman Old Style" w:cs="Arial"/>
          <w:lang w:val="es-ES_tradnl"/>
        </w:rPr>
        <w:t xml:space="preserve">se recibieron comentarios de: </w:t>
      </w:r>
      <w:r w:rsidR="00107163">
        <w:rPr>
          <w:rFonts w:ascii="Bookman Old Style" w:hAnsi="Bookman Old Style" w:cs="Arial"/>
          <w:lang w:val="es-ES_tradnl"/>
        </w:rPr>
        <w:t xml:space="preserve">Isagen, radicado </w:t>
      </w:r>
      <w:r w:rsidR="00107163" w:rsidRPr="00107163">
        <w:rPr>
          <w:rFonts w:ascii="Bookman Old Style" w:hAnsi="Bookman Old Style" w:cs="Arial"/>
          <w:lang w:val="es-ES_tradnl"/>
        </w:rPr>
        <w:t>E-2019-008922</w:t>
      </w:r>
      <w:r w:rsidR="00107163">
        <w:rPr>
          <w:rFonts w:ascii="Bookman Old Style" w:hAnsi="Bookman Old Style" w:cs="Arial"/>
          <w:lang w:val="es-ES_tradnl"/>
        </w:rPr>
        <w:t xml:space="preserve">, </w:t>
      </w:r>
      <w:r w:rsidR="00A175A8">
        <w:rPr>
          <w:rFonts w:ascii="Bookman Old Style" w:hAnsi="Bookman Old Style" w:cs="Arial"/>
          <w:lang w:val="es-ES_tradnl"/>
        </w:rPr>
        <w:t>Acciona Energía, radicado</w:t>
      </w:r>
      <w:r w:rsidR="00A175A8" w:rsidRPr="00A175A8">
        <w:rPr>
          <w:rFonts w:ascii="Bookman Old Style" w:hAnsi="Bookman Old Style" w:cs="Arial"/>
          <w:lang w:val="es-ES_tradnl"/>
        </w:rPr>
        <w:t xml:space="preserve"> </w:t>
      </w:r>
      <w:r w:rsidR="00107163" w:rsidRPr="00107163">
        <w:rPr>
          <w:rFonts w:ascii="Bookman Old Style" w:hAnsi="Bookman Old Style" w:cs="Arial"/>
          <w:lang w:val="es-ES_tradnl"/>
        </w:rPr>
        <w:t>E-2019-008934</w:t>
      </w:r>
      <w:r w:rsidR="00A175A8" w:rsidRPr="00A175A8">
        <w:rPr>
          <w:rFonts w:ascii="Bookman Old Style" w:hAnsi="Bookman Old Style" w:cs="Arial"/>
          <w:lang w:val="es-ES_tradnl"/>
        </w:rPr>
        <w:t xml:space="preserve">, </w:t>
      </w:r>
      <w:r w:rsidR="00107163">
        <w:rPr>
          <w:rFonts w:ascii="Bookman Old Style" w:hAnsi="Bookman Old Style" w:cs="Arial"/>
          <w:lang w:val="es-ES_tradnl"/>
        </w:rPr>
        <w:t xml:space="preserve">Chivor, radicado </w:t>
      </w:r>
      <w:r w:rsidR="00107163" w:rsidRPr="00107163">
        <w:rPr>
          <w:rFonts w:ascii="Bookman Old Style" w:hAnsi="Bookman Old Style" w:cs="Arial"/>
          <w:lang w:val="es-ES_tradnl"/>
        </w:rPr>
        <w:t>E-2019-008937</w:t>
      </w:r>
      <w:r w:rsidR="00107163">
        <w:rPr>
          <w:rFonts w:ascii="Bookman Old Style" w:hAnsi="Bookman Old Style" w:cs="Arial"/>
          <w:lang w:val="es-ES_tradnl"/>
        </w:rPr>
        <w:t xml:space="preserve">, Electromecánica, radicado </w:t>
      </w:r>
      <w:r w:rsidR="00107163" w:rsidRPr="00107163">
        <w:rPr>
          <w:rFonts w:ascii="Bookman Old Style" w:hAnsi="Bookman Old Style" w:cs="Arial"/>
          <w:lang w:val="es-ES_tradnl"/>
        </w:rPr>
        <w:t>E-2019-008950</w:t>
      </w:r>
      <w:r w:rsidR="00107163">
        <w:rPr>
          <w:rFonts w:ascii="Bookman Old Style" w:hAnsi="Bookman Old Style" w:cs="Arial"/>
          <w:lang w:val="es-ES_tradnl"/>
        </w:rPr>
        <w:t xml:space="preserve">, EPM, radicado </w:t>
      </w:r>
      <w:r w:rsidR="00107163" w:rsidRPr="00107163">
        <w:rPr>
          <w:rFonts w:ascii="Bookman Old Style" w:hAnsi="Bookman Old Style" w:cs="Arial"/>
          <w:lang w:val="es-ES_tradnl"/>
        </w:rPr>
        <w:t>E-2019-008944</w:t>
      </w:r>
      <w:r w:rsidR="00107163">
        <w:rPr>
          <w:rFonts w:ascii="Bookman Old Style" w:hAnsi="Bookman Old Style" w:cs="Arial"/>
          <w:lang w:val="es-ES_tradnl"/>
        </w:rPr>
        <w:t xml:space="preserve">, Andeg, radicado </w:t>
      </w:r>
      <w:r w:rsidR="00107163" w:rsidRPr="00107163">
        <w:rPr>
          <w:rFonts w:ascii="Bookman Old Style" w:hAnsi="Bookman Old Style" w:cs="Arial"/>
          <w:lang w:val="es-ES_tradnl"/>
        </w:rPr>
        <w:t>E-2019-008952</w:t>
      </w:r>
      <w:r w:rsidR="00107163">
        <w:rPr>
          <w:rFonts w:ascii="Bookman Old Style" w:hAnsi="Bookman Old Style" w:cs="Arial"/>
          <w:lang w:val="es-ES_tradnl"/>
        </w:rPr>
        <w:t>, Acolgen</w:t>
      </w:r>
      <w:r w:rsidR="00A175A8" w:rsidRPr="00A175A8">
        <w:rPr>
          <w:rFonts w:ascii="Bookman Old Style" w:hAnsi="Bookman Old Style" w:cs="Arial"/>
          <w:lang w:val="es-ES_tradnl"/>
        </w:rPr>
        <w:t xml:space="preserve">, radicado </w:t>
      </w:r>
      <w:r w:rsidR="00107163" w:rsidRPr="00107163">
        <w:rPr>
          <w:rFonts w:ascii="Bookman Old Style" w:hAnsi="Bookman Old Style" w:cs="Arial"/>
          <w:lang w:val="es-ES_tradnl"/>
        </w:rPr>
        <w:t>E-2019-008954</w:t>
      </w:r>
      <w:r w:rsidR="00A175A8" w:rsidRPr="00A175A8">
        <w:rPr>
          <w:rFonts w:ascii="Bookman Old Style" w:hAnsi="Bookman Old Style" w:cs="Arial"/>
          <w:lang w:val="es-ES_tradnl"/>
        </w:rPr>
        <w:t>,</w:t>
      </w:r>
      <w:r w:rsidR="00107163">
        <w:rPr>
          <w:rFonts w:ascii="Bookman Old Style" w:hAnsi="Bookman Old Style" w:cs="Arial"/>
          <w:lang w:val="es-ES_tradnl"/>
        </w:rPr>
        <w:t xml:space="preserve"> XM, radicado </w:t>
      </w:r>
      <w:r w:rsidR="00107163" w:rsidRPr="00107163">
        <w:rPr>
          <w:rFonts w:ascii="Bookman Old Style" w:hAnsi="Bookman Old Style" w:cs="Arial"/>
          <w:lang w:val="es-ES_tradnl"/>
        </w:rPr>
        <w:t>E-2019-008955</w:t>
      </w:r>
      <w:r w:rsidR="00107163">
        <w:rPr>
          <w:rFonts w:ascii="Bookman Old Style" w:hAnsi="Bookman Old Style" w:cs="Arial"/>
          <w:lang w:val="es-ES_tradnl"/>
        </w:rPr>
        <w:t xml:space="preserve">, SER, radicado </w:t>
      </w:r>
      <w:r w:rsidR="00107163" w:rsidRPr="00107163">
        <w:rPr>
          <w:rFonts w:ascii="Bookman Old Style" w:hAnsi="Bookman Old Style" w:cs="Arial"/>
          <w:lang w:val="es-ES_tradnl"/>
        </w:rPr>
        <w:t>E-2019-008962</w:t>
      </w:r>
      <w:r w:rsidR="00107163">
        <w:rPr>
          <w:rFonts w:ascii="Bookman Old Style" w:hAnsi="Bookman Old Style" w:cs="Arial"/>
          <w:lang w:val="es-ES_tradnl"/>
        </w:rPr>
        <w:t xml:space="preserve"> y Celsia, radicado </w:t>
      </w:r>
      <w:r w:rsidR="00107163" w:rsidRPr="00107163">
        <w:rPr>
          <w:rFonts w:ascii="Bookman Old Style" w:hAnsi="Bookman Old Style" w:cs="Arial"/>
          <w:lang w:val="es-ES_tradnl"/>
        </w:rPr>
        <w:t>E-2019-0089</w:t>
      </w:r>
      <w:r w:rsidR="00107163">
        <w:rPr>
          <w:rFonts w:ascii="Bookman Old Style" w:hAnsi="Bookman Old Style" w:cs="Arial"/>
          <w:lang w:val="es-ES_tradnl"/>
        </w:rPr>
        <w:t xml:space="preserve">63. </w:t>
      </w:r>
    </w:p>
    <w:p w14:paraId="1D0B2AD7" w14:textId="77777777" w:rsidR="00A175A8" w:rsidRDefault="00A175A8" w:rsidP="009B634D">
      <w:pPr>
        <w:ind w:left="0"/>
        <w:jc w:val="both"/>
        <w:rPr>
          <w:rFonts w:ascii="Bookman Old Style" w:hAnsi="Bookman Old Style" w:cs="Arial"/>
          <w:lang w:val="es-ES_tradnl"/>
        </w:rPr>
      </w:pPr>
    </w:p>
    <w:p w14:paraId="50773479" w14:textId="77777777" w:rsidR="006C29AA" w:rsidRDefault="006C29AA" w:rsidP="006C29AA">
      <w:pPr>
        <w:ind w:left="0"/>
        <w:jc w:val="both"/>
        <w:rPr>
          <w:rFonts w:ascii="Bookman Old Style" w:hAnsi="Bookman Old Style" w:cs="Arial"/>
          <w:lang w:val="es-ES_tradnl"/>
        </w:rPr>
      </w:pPr>
      <w:r>
        <w:rPr>
          <w:rFonts w:ascii="Bookman Old Style" w:hAnsi="Bookman Old Style" w:cs="Arial"/>
          <w:lang w:val="es-ES_tradnl"/>
        </w:rPr>
        <w:t>Teniendo en cuenta los comentarios recibidos</w:t>
      </w:r>
      <w:r w:rsidRPr="006C29AA">
        <w:rPr>
          <w:rFonts w:ascii="Bookman Old Style" w:hAnsi="Bookman Old Style" w:cs="Arial"/>
          <w:lang w:val="es-ES_tradnl"/>
        </w:rPr>
        <w:t>, en l</w:t>
      </w:r>
      <w:r w:rsidR="00724641">
        <w:rPr>
          <w:rFonts w:ascii="Bookman Old Style" w:hAnsi="Bookman Old Style" w:cs="Arial"/>
          <w:lang w:val="es-ES_tradnl"/>
        </w:rPr>
        <w:t>o</w:t>
      </w:r>
      <w:r w:rsidRPr="006C29AA">
        <w:rPr>
          <w:rFonts w:ascii="Bookman Old Style" w:hAnsi="Bookman Old Style" w:cs="Arial"/>
          <w:lang w:val="es-ES_tradnl"/>
        </w:rPr>
        <w:t xml:space="preserve">s cuales solicitaron realizar ajustes o precisiones sobre algunas </w:t>
      </w:r>
      <w:r>
        <w:rPr>
          <w:rFonts w:ascii="Bookman Old Style" w:hAnsi="Bookman Old Style" w:cs="Arial"/>
          <w:lang w:val="es-ES_tradnl"/>
        </w:rPr>
        <w:t>condiciones establecidas en la propuesta contenida</w:t>
      </w:r>
      <w:r w:rsidRPr="006C29AA">
        <w:rPr>
          <w:rFonts w:ascii="Bookman Old Style" w:hAnsi="Bookman Old Style" w:cs="Arial"/>
          <w:lang w:val="es-ES_tradnl"/>
        </w:rPr>
        <w:t xml:space="preserve"> en la Resolución CREG 0</w:t>
      </w:r>
      <w:r>
        <w:rPr>
          <w:rFonts w:ascii="Bookman Old Style" w:hAnsi="Bookman Old Style" w:cs="Arial"/>
          <w:lang w:val="es-ES_tradnl"/>
        </w:rPr>
        <w:t>91</w:t>
      </w:r>
      <w:r w:rsidRPr="006C29AA">
        <w:rPr>
          <w:rFonts w:ascii="Bookman Old Style" w:hAnsi="Bookman Old Style" w:cs="Arial"/>
          <w:lang w:val="es-ES_tradnl"/>
        </w:rPr>
        <w:t xml:space="preserve"> de 201</w:t>
      </w:r>
      <w:r w:rsidR="005D37BD">
        <w:rPr>
          <w:rFonts w:ascii="Bookman Old Style" w:hAnsi="Bookman Old Style" w:cs="Arial"/>
          <w:lang w:val="es-ES_tradnl"/>
        </w:rPr>
        <w:t>9</w:t>
      </w:r>
      <w:r w:rsidRPr="006C29AA">
        <w:rPr>
          <w:rFonts w:ascii="Bookman Old Style" w:hAnsi="Bookman Old Style" w:cs="Arial"/>
          <w:lang w:val="es-ES_tradnl"/>
        </w:rPr>
        <w:t>, la Comisión, previa revisión y análisis de las solicitudes allegadas, encontró procedente realizar modificaciones a algunas disposiciones.</w:t>
      </w:r>
    </w:p>
    <w:p w14:paraId="0824F2E8" w14:textId="77777777" w:rsidR="006C29AA" w:rsidRDefault="006C29AA" w:rsidP="006C29AA">
      <w:pPr>
        <w:ind w:left="0"/>
        <w:jc w:val="both"/>
        <w:rPr>
          <w:rFonts w:ascii="Bookman Old Style" w:hAnsi="Bookman Old Style" w:cs="Arial"/>
          <w:lang w:val="es-ES_tradnl"/>
        </w:rPr>
      </w:pPr>
    </w:p>
    <w:p w14:paraId="0C8765CE" w14:textId="77777777" w:rsidR="007E6A16" w:rsidRDefault="007E6A16" w:rsidP="006C29AA">
      <w:pPr>
        <w:ind w:left="0"/>
        <w:jc w:val="both"/>
        <w:rPr>
          <w:rFonts w:ascii="Bookman Old Style" w:hAnsi="Bookman Old Style" w:cs="Arial"/>
          <w:lang w:val="es-ES_tradnl"/>
        </w:rPr>
      </w:pPr>
      <w:r w:rsidRPr="006C29AA">
        <w:rPr>
          <w:rFonts w:ascii="Bookman Old Style" w:hAnsi="Bookman Old Style" w:cs="Arial"/>
          <w:lang w:val="es-ES_tradnl"/>
        </w:rPr>
        <w:t>El análisis de las observaciones y sugerencias recibidas se encuentra en el documento de soporte</w:t>
      </w:r>
      <w:r w:rsidR="00BA285D">
        <w:rPr>
          <w:rFonts w:ascii="Bookman Old Style" w:hAnsi="Bookman Old Style" w:cs="Arial"/>
          <w:lang w:val="es-ES_tradnl"/>
        </w:rPr>
        <w:t xml:space="preserve"> CREG 072 de 2019</w:t>
      </w:r>
      <w:r w:rsidRPr="006C29AA">
        <w:rPr>
          <w:rFonts w:ascii="Bookman Old Style" w:hAnsi="Bookman Old Style" w:cs="Arial"/>
          <w:lang w:val="es-ES_tradnl"/>
        </w:rPr>
        <w:t>.</w:t>
      </w:r>
    </w:p>
    <w:p w14:paraId="41595A2A" w14:textId="77777777" w:rsidR="007E6A16" w:rsidRDefault="007E6A16" w:rsidP="006C29AA">
      <w:pPr>
        <w:ind w:left="0"/>
        <w:jc w:val="both"/>
        <w:rPr>
          <w:rFonts w:ascii="Bookman Old Style" w:hAnsi="Bookman Old Style" w:cs="Arial"/>
          <w:lang w:val="es-ES_tradnl"/>
        </w:rPr>
      </w:pPr>
    </w:p>
    <w:p w14:paraId="1BE4DE4B" w14:textId="77777777" w:rsidR="006C29AA" w:rsidRDefault="006C29AA" w:rsidP="006C29AA">
      <w:pPr>
        <w:ind w:left="0"/>
        <w:jc w:val="both"/>
        <w:rPr>
          <w:rFonts w:ascii="Bookman Old Style" w:hAnsi="Bookman Old Style" w:cs="Arial"/>
          <w:lang w:val="es-ES_tradnl"/>
        </w:rPr>
      </w:pPr>
      <w:r w:rsidRPr="00611D2F">
        <w:rPr>
          <w:rFonts w:ascii="Bookman Old Style" w:hAnsi="Bookman Old Style" w:cs="Arial"/>
          <w:lang w:val="es-ES_tradnl"/>
        </w:rPr>
        <w:t>En cumplimiento de los mandatos señalados mediante la</w:t>
      </w:r>
      <w:r w:rsidR="007E6A16">
        <w:rPr>
          <w:rFonts w:ascii="Bookman Old Style" w:hAnsi="Bookman Old Style" w:cs="Arial"/>
          <w:lang w:val="es-ES_tradnl"/>
        </w:rPr>
        <w:t>s Resoluciones</w:t>
      </w:r>
      <w:r w:rsidRPr="00611D2F">
        <w:rPr>
          <w:rFonts w:ascii="Bookman Old Style" w:hAnsi="Bookman Old Style" w:cs="Arial"/>
          <w:lang w:val="es-ES_tradnl"/>
        </w:rPr>
        <w:t xml:space="preserve"> 4 0590 de 2019</w:t>
      </w:r>
      <w:r w:rsidR="007E6A16">
        <w:rPr>
          <w:rFonts w:ascii="Bookman Old Style" w:hAnsi="Bookman Old Style" w:cs="Arial"/>
          <w:lang w:val="es-ES_tradnl"/>
        </w:rPr>
        <w:t xml:space="preserve"> y 4 0678 de 2019 del MME</w:t>
      </w:r>
      <w:r w:rsidRPr="00611D2F">
        <w:rPr>
          <w:rFonts w:ascii="Bookman Old Style" w:hAnsi="Bookman Old Style" w:cs="Arial"/>
          <w:lang w:val="es-ES_tradnl"/>
        </w:rPr>
        <w:t xml:space="preserve">, </w:t>
      </w:r>
      <w:r>
        <w:rPr>
          <w:rFonts w:ascii="Bookman Old Style" w:hAnsi="Bookman Old Style" w:cs="Arial"/>
          <w:lang w:val="es-ES_tradnl"/>
        </w:rPr>
        <w:t>esta resolución define</w:t>
      </w:r>
      <w:r w:rsidRPr="00611D2F">
        <w:rPr>
          <w:rFonts w:ascii="Bookman Old Style" w:hAnsi="Bookman Old Style" w:cs="Arial"/>
          <w:lang w:val="es-ES_tradnl"/>
        </w:rPr>
        <w:t xml:space="preserve"> la garantía </w:t>
      </w:r>
      <w:r>
        <w:rPr>
          <w:rFonts w:ascii="Bookman Old Style" w:hAnsi="Bookman Old Style" w:cs="Arial"/>
          <w:lang w:val="es-ES_tradnl"/>
        </w:rPr>
        <w:t>asociada a la</w:t>
      </w:r>
      <w:r w:rsidRPr="00611D2F">
        <w:rPr>
          <w:rFonts w:ascii="Bookman Old Style" w:hAnsi="Bookman Old Style" w:cs="Arial"/>
          <w:lang w:val="es-ES_tradnl"/>
        </w:rPr>
        <w:t xml:space="preserve"> puesta en operación comercial </w:t>
      </w:r>
      <w:r w:rsidR="00365E8C">
        <w:rPr>
          <w:rFonts w:ascii="Bookman Old Style" w:hAnsi="Bookman Old Style" w:cs="Arial"/>
          <w:lang w:val="es-ES_tradnl"/>
        </w:rPr>
        <w:t xml:space="preserve">de los proyectos de generación </w:t>
      </w:r>
      <w:r>
        <w:rPr>
          <w:rFonts w:ascii="Bookman Old Style" w:hAnsi="Bookman Old Style" w:cs="Arial"/>
          <w:lang w:val="es-ES_tradnl"/>
        </w:rPr>
        <w:t>para los vendedores que resulten adjudicados</w:t>
      </w:r>
      <w:r w:rsidRPr="00611D2F">
        <w:rPr>
          <w:rFonts w:ascii="Bookman Old Style" w:hAnsi="Bookman Old Style" w:cs="Arial"/>
          <w:lang w:val="es-ES_tradnl"/>
        </w:rPr>
        <w:t xml:space="preserve"> del mecanismo de contratación de largo plazo definido por el Ministerio de Minas y Energía</w:t>
      </w:r>
      <w:r w:rsidR="007E6A16">
        <w:rPr>
          <w:rFonts w:ascii="Bookman Old Style" w:hAnsi="Bookman Old Style" w:cs="Arial"/>
          <w:lang w:val="es-ES_tradnl"/>
        </w:rPr>
        <w:t>.</w:t>
      </w:r>
    </w:p>
    <w:p w14:paraId="36309F57" w14:textId="77777777" w:rsidR="007E6A16" w:rsidRPr="006C29AA" w:rsidRDefault="007E6A16" w:rsidP="006C29AA">
      <w:pPr>
        <w:ind w:left="0"/>
        <w:jc w:val="both"/>
        <w:rPr>
          <w:rFonts w:ascii="Bookman Old Style" w:hAnsi="Bookman Old Style" w:cs="Arial"/>
          <w:lang w:val="es-ES_tradnl"/>
        </w:rPr>
      </w:pPr>
    </w:p>
    <w:p w14:paraId="025D9A03" w14:textId="0AF28C2D" w:rsidR="006C29AA" w:rsidRDefault="006C29AA" w:rsidP="006C29AA">
      <w:pPr>
        <w:ind w:left="0"/>
        <w:jc w:val="both"/>
        <w:rPr>
          <w:rFonts w:ascii="Bookman Old Style" w:hAnsi="Bookman Old Style" w:cs="Arial"/>
          <w:lang w:val="es-ES_tradnl"/>
        </w:rPr>
      </w:pPr>
      <w:r w:rsidRPr="006C29AA">
        <w:rPr>
          <w:rFonts w:ascii="Bookman Old Style" w:hAnsi="Bookman Old Style" w:cs="Arial"/>
          <w:lang w:val="es-ES_tradnl"/>
        </w:rPr>
        <w:t>Como resultado del diligenciamiento del formulario sobre prácticas restrictivas a la competencia, en cumplimiento de lo establecido en el Decreto 1074 de 2015, s</w:t>
      </w:r>
      <w:r w:rsidR="00365E8C">
        <w:rPr>
          <w:rFonts w:ascii="Bookman Old Style" w:hAnsi="Bookman Old Style" w:cs="Arial"/>
          <w:lang w:val="es-ES_tradnl"/>
        </w:rPr>
        <w:t>e concluyó que esta normativa</w:t>
      </w:r>
      <w:r w:rsidRPr="006C29AA">
        <w:rPr>
          <w:rFonts w:ascii="Bookman Old Style" w:hAnsi="Bookman Old Style" w:cs="Arial"/>
          <w:lang w:val="es-ES_tradnl"/>
        </w:rPr>
        <w:t xml:space="preserve"> no es restrictiva de la competencia. Por lo anterior, no se informó a la Superintendencia de Industria y Comercio, SIC, sobre el proyecto de la presente resolución.</w:t>
      </w:r>
    </w:p>
    <w:p w14:paraId="079E987A" w14:textId="2178DB6D" w:rsidR="007650E2" w:rsidRDefault="007650E2" w:rsidP="006C29AA">
      <w:pPr>
        <w:ind w:left="0"/>
        <w:jc w:val="both"/>
        <w:rPr>
          <w:rFonts w:ascii="Bookman Old Style" w:hAnsi="Bookman Old Style" w:cs="Arial"/>
          <w:lang w:val="es-ES_tradnl"/>
        </w:rPr>
      </w:pPr>
    </w:p>
    <w:p w14:paraId="16ADE1CD" w14:textId="77777777" w:rsidR="00172BBF" w:rsidRDefault="00172BBF" w:rsidP="006C29AA">
      <w:pPr>
        <w:ind w:left="0"/>
        <w:jc w:val="both"/>
        <w:rPr>
          <w:rFonts w:ascii="Bookman Old Style" w:hAnsi="Bookman Old Style" w:cs="Arial"/>
          <w:lang w:val="es-ES_tradnl"/>
        </w:rPr>
      </w:pPr>
    </w:p>
    <w:p w14:paraId="43E96919" w14:textId="77777777" w:rsidR="00172BBF" w:rsidRDefault="00172BBF" w:rsidP="006C29AA">
      <w:pPr>
        <w:ind w:left="0"/>
        <w:jc w:val="both"/>
        <w:rPr>
          <w:rFonts w:ascii="Bookman Old Style" w:hAnsi="Bookman Old Style" w:cs="Arial"/>
          <w:lang w:val="es-ES_tradnl"/>
        </w:rPr>
      </w:pPr>
    </w:p>
    <w:p w14:paraId="3CA3BC89" w14:textId="0CB2D6DC" w:rsidR="006C29AA" w:rsidRDefault="006C29AA" w:rsidP="006C29AA">
      <w:pPr>
        <w:ind w:left="0"/>
        <w:jc w:val="both"/>
        <w:rPr>
          <w:rFonts w:ascii="Bookman Old Style" w:hAnsi="Bookman Old Style" w:cs="Arial"/>
          <w:lang w:val="es-ES_tradnl"/>
        </w:rPr>
      </w:pPr>
      <w:r w:rsidRPr="006C29AA">
        <w:rPr>
          <w:rFonts w:ascii="Bookman Old Style" w:hAnsi="Bookman Old Style" w:cs="Arial"/>
          <w:lang w:val="es-ES_tradnl"/>
        </w:rPr>
        <w:t>Con base en lo anterior, la Comisión de Regulación de</w:t>
      </w:r>
      <w:r>
        <w:rPr>
          <w:rFonts w:ascii="Bookman Old Style" w:hAnsi="Bookman Old Style" w:cs="Arial"/>
          <w:lang w:val="es-ES_tradnl"/>
        </w:rPr>
        <w:t xml:space="preserve"> Energía y Gas, en su </w:t>
      </w:r>
      <w:r w:rsidRPr="00365E8C">
        <w:rPr>
          <w:rFonts w:ascii="Bookman Old Style" w:hAnsi="Bookman Old Style" w:cs="Arial"/>
          <w:lang w:val="es-ES_tradnl"/>
        </w:rPr>
        <w:t xml:space="preserve">sesión </w:t>
      </w:r>
      <w:r w:rsidR="00BA285D" w:rsidRPr="00365E8C">
        <w:rPr>
          <w:rFonts w:ascii="Bookman Old Style" w:hAnsi="Bookman Old Style" w:cs="Arial"/>
          <w:lang w:val="es-ES_tradnl"/>
        </w:rPr>
        <w:t xml:space="preserve">943 </w:t>
      </w:r>
      <w:r w:rsidRPr="00365E8C">
        <w:rPr>
          <w:rFonts w:ascii="Bookman Old Style" w:hAnsi="Bookman Old Style" w:cs="Arial"/>
          <w:lang w:val="es-ES_tradnl"/>
        </w:rPr>
        <w:t xml:space="preserve">del </w:t>
      </w:r>
      <w:r w:rsidR="00BA285D" w:rsidRPr="00365E8C">
        <w:rPr>
          <w:rFonts w:ascii="Bookman Old Style" w:hAnsi="Bookman Old Style" w:cs="Arial"/>
          <w:lang w:val="es-ES_tradnl"/>
        </w:rPr>
        <w:t xml:space="preserve">12 </w:t>
      </w:r>
      <w:r w:rsidRPr="00F73CCF">
        <w:rPr>
          <w:rFonts w:ascii="Bookman Old Style" w:hAnsi="Bookman Old Style" w:cs="Arial"/>
          <w:lang w:val="es-ES_tradnl"/>
        </w:rPr>
        <w:t>de</w:t>
      </w:r>
      <w:r w:rsidR="007F67F8" w:rsidRPr="006571A7">
        <w:rPr>
          <w:rFonts w:ascii="Bookman Old Style" w:hAnsi="Bookman Old Style" w:cs="Arial"/>
          <w:lang w:val="es-ES_tradnl"/>
        </w:rPr>
        <w:t xml:space="preserve"> septiembre</w:t>
      </w:r>
      <w:r w:rsidRPr="00F73CCF">
        <w:rPr>
          <w:rFonts w:ascii="Bookman Old Style" w:hAnsi="Bookman Old Style" w:cs="Arial"/>
          <w:lang w:val="es-ES_tradnl"/>
        </w:rPr>
        <w:t xml:space="preserve"> de 2019,</w:t>
      </w:r>
      <w:r w:rsidRPr="006C29AA">
        <w:rPr>
          <w:rFonts w:ascii="Bookman Old Style" w:hAnsi="Bookman Old Style" w:cs="Arial"/>
          <w:lang w:val="es-ES_tradnl"/>
        </w:rPr>
        <w:t xml:space="preserve"> acordó expedir esta resolución.</w:t>
      </w:r>
    </w:p>
    <w:p w14:paraId="7084A12B" w14:textId="77777777" w:rsidR="006C29AA" w:rsidRDefault="006C29AA" w:rsidP="006149A8">
      <w:pPr>
        <w:jc w:val="both"/>
        <w:rPr>
          <w:rFonts w:ascii="Bookman Old Style" w:hAnsi="Bookman Old Style" w:cs="Arial"/>
          <w:lang w:val="es-ES_tradnl"/>
        </w:rPr>
      </w:pPr>
    </w:p>
    <w:p w14:paraId="2B27E0D0" w14:textId="77777777" w:rsidR="008F3EAB" w:rsidRPr="006149A8" w:rsidRDefault="008F3EAB" w:rsidP="006149A8">
      <w:pPr>
        <w:jc w:val="both"/>
        <w:rPr>
          <w:rFonts w:ascii="Bookman Old Style" w:hAnsi="Bookman Old Style"/>
          <w:b/>
          <w:spacing w:val="100"/>
        </w:rPr>
      </w:pPr>
    </w:p>
    <w:p w14:paraId="33E85E82" w14:textId="77777777" w:rsidR="006149A8" w:rsidRDefault="006149A8" w:rsidP="009B634D">
      <w:pPr>
        <w:keepNext/>
        <w:jc w:val="center"/>
        <w:rPr>
          <w:rFonts w:ascii="Bookman Old Style" w:hAnsi="Bookman Old Style"/>
          <w:b/>
          <w:spacing w:val="40"/>
        </w:rPr>
      </w:pPr>
      <w:r w:rsidRPr="006149A8">
        <w:rPr>
          <w:rFonts w:ascii="Bookman Old Style" w:hAnsi="Bookman Old Style"/>
          <w:b/>
          <w:spacing w:val="100"/>
        </w:rPr>
        <w:t>RESUELV</w:t>
      </w:r>
      <w:r w:rsidRPr="006149A8">
        <w:rPr>
          <w:rFonts w:ascii="Bookman Old Style" w:hAnsi="Bookman Old Style"/>
          <w:b/>
          <w:spacing w:val="40"/>
        </w:rPr>
        <w:t>E:</w:t>
      </w:r>
    </w:p>
    <w:p w14:paraId="747E7DFC" w14:textId="2CB49071" w:rsidR="008F3EAB" w:rsidRDefault="008F3EAB" w:rsidP="009B634D">
      <w:pPr>
        <w:keepNext/>
        <w:jc w:val="center"/>
        <w:rPr>
          <w:rFonts w:ascii="Bookman Old Style" w:hAnsi="Bookman Old Style"/>
          <w:b/>
          <w:spacing w:val="40"/>
        </w:rPr>
      </w:pPr>
    </w:p>
    <w:p w14:paraId="261606C2" w14:textId="77777777" w:rsidR="00AE6C07" w:rsidRDefault="00AE6C07" w:rsidP="009B634D">
      <w:pPr>
        <w:keepNext/>
        <w:jc w:val="center"/>
        <w:rPr>
          <w:rFonts w:ascii="Bookman Old Style" w:hAnsi="Bookman Old Style"/>
          <w:b/>
          <w:spacing w:val="40"/>
        </w:rPr>
      </w:pPr>
    </w:p>
    <w:p w14:paraId="33B427CE" w14:textId="77777777" w:rsidR="00D97AAA" w:rsidRPr="006571A7" w:rsidRDefault="00D97AAA" w:rsidP="006571A7">
      <w:pPr>
        <w:ind w:left="0"/>
        <w:jc w:val="center"/>
        <w:rPr>
          <w:rFonts w:ascii="Bookman Old Style" w:hAnsi="Bookman Old Style"/>
          <w:b/>
        </w:rPr>
      </w:pPr>
      <w:r w:rsidRPr="006571A7">
        <w:rPr>
          <w:rFonts w:ascii="Bookman Old Style" w:hAnsi="Bookman Old Style"/>
          <w:b/>
        </w:rPr>
        <w:t>CAPÍTULO I</w:t>
      </w:r>
    </w:p>
    <w:p w14:paraId="2167DC09" w14:textId="77777777" w:rsidR="00D97AAA" w:rsidRPr="006571A7" w:rsidRDefault="00D97AAA" w:rsidP="006571A7">
      <w:pPr>
        <w:ind w:left="0"/>
        <w:jc w:val="center"/>
        <w:rPr>
          <w:rFonts w:ascii="Bookman Old Style" w:hAnsi="Bookman Old Style"/>
          <w:b/>
        </w:rPr>
      </w:pPr>
      <w:r w:rsidRPr="006571A7">
        <w:rPr>
          <w:rFonts w:ascii="Bookman Old Style" w:hAnsi="Bookman Old Style"/>
          <w:b/>
        </w:rPr>
        <w:t>Disposiciones Generales</w:t>
      </w:r>
    </w:p>
    <w:p w14:paraId="287102B6" w14:textId="49E04042" w:rsidR="00D97AAA" w:rsidRDefault="00D97AAA" w:rsidP="009B634D">
      <w:pPr>
        <w:keepNext/>
        <w:jc w:val="center"/>
        <w:rPr>
          <w:rFonts w:ascii="Bookman Old Style" w:hAnsi="Bookman Old Style"/>
          <w:b/>
          <w:spacing w:val="40"/>
        </w:rPr>
      </w:pPr>
    </w:p>
    <w:p w14:paraId="3B0E0D07" w14:textId="77777777" w:rsidR="00655797" w:rsidRPr="006149A8" w:rsidRDefault="00655797" w:rsidP="009B634D">
      <w:pPr>
        <w:keepNext/>
        <w:jc w:val="center"/>
        <w:rPr>
          <w:rFonts w:ascii="Bookman Old Style" w:hAnsi="Bookman Old Style"/>
          <w:b/>
          <w:spacing w:val="40"/>
        </w:rPr>
      </w:pPr>
    </w:p>
    <w:p w14:paraId="1281D7DC" w14:textId="77777777" w:rsidR="006149A8" w:rsidRDefault="006149A8" w:rsidP="008F3EAB">
      <w:pPr>
        <w:pStyle w:val="Artculo"/>
        <w:spacing w:before="0" w:after="0"/>
        <w:ind w:left="0" w:firstLine="0"/>
        <w:rPr>
          <w:b w:val="0"/>
        </w:rPr>
      </w:pPr>
      <w:bookmarkStart w:id="11" w:name="_Ref207937090"/>
      <w:r w:rsidRPr="006149A8">
        <w:t xml:space="preserve">Objeto y ámbito de aplicación. </w:t>
      </w:r>
      <w:r w:rsidRPr="006149A8">
        <w:rPr>
          <w:b w:val="0"/>
        </w:rPr>
        <w:t>Mediante la presente resolución se define la garantía</w:t>
      </w:r>
      <w:r w:rsidR="00A07629">
        <w:rPr>
          <w:b w:val="0"/>
        </w:rPr>
        <w:t xml:space="preserve"> a</w:t>
      </w:r>
      <w:r w:rsidRPr="006149A8">
        <w:rPr>
          <w:b w:val="0"/>
        </w:rPr>
        <w:t>s</w:t>
      </w:r>
      <w:r w:rsidR="00A07629">
        <w:rPr>
          <w:b w:val="0"/>
        </w:rPr>
        <w:t>ociada a la puesta en operación comercial</w:t>
      </w:r>
      <w:r w:rsidRPr="006149A8">
        <w:rPr>
          <w:b w:val="0"/>
        </w:rPr>
        <w:t xml:space="preserve"> </w:t>
      </w:r>
      <w:r w:rsidR="00F73CCF">
        <w:rPr>
          <w:b w:val="0"/>
        </w:rPr>
        <w:t xml:space="preserve">de los proyectos de generación, </w:t>
      </w:r>
      <w:r w:rsidRPr="006149A8">
        <w:rPr>
          <w:b w:val="0"/>
        </w:rPr>
        <w:t xml:space="preserve">que deben </w:t>
      </w:r>
      <w:r w:rsidR="00A07629">
        <w:rPr>
          <w:b w:val="0"/>
        </w:rPr>
        <w:t>entregar los vendedores</w:t>
      </w:r>
      <w:r w:rsidRPr="006149A8">
        <w:rPr>
          <w:b w:val="0"/>
        </w:rPr>
        <w:t xml:space="preserve"> que resulten adjudicados en </w:t>
      </w:r>
      <w:r w:rsidR="00C72361">
        <w:rPr>
          <w:b w:val="0"/>
        </w:rPr>
        <w:t>e</w:t>
      </w:r>
      <w:r w:rsidRPr="006149A8">
        <w:rPr>
          <w:b w:val="0"/>
        </w:rPr>
        <w:t>l</w:t>
      </w:r>
      <w:r w:rsidR="00C72361">
        <w:rPr>
          <w:b w:val="0"/>
        </w:rPr>
        <w:t xml:space="preserve"> mecanismo</w:t>
      </w:r>
      <w:r w:rsidRPr="006149A8">
        <w:rPr>
          <w:b w:val="0"/>
        </w:rPr>
        <w:t xml:space="preserve"> definido en la Resolución 4 0</w:t>
      </w:r>
      <w:r w:rsidR="00160686">
        <w:rPr>
          <w:b w:val="0"/>
        </w:rPr>
        <w:t>5</w:t>
      </w:r>
      <w:r w:rsidRPr="006149A8">
        <w:rPr>
          <w:b w:val="0"/>
        </w:rPr>
        <w:t>9</w:t>
      </w:r>
      <w:r w:rsidR="00160686">
        <w:rPr>
          <w:b w:val="0"/>
        </w:rPr>
        <w:t>0</w:t>
      </w:r>
      <w:r w:rsidRPr="006149A8">
        <w:rPr>
          <w:b w:val="0"/>
        </w:rPr>
        <w:t xml:space="preserve"> de 201</w:t>
      </w:r>
      <w:r w:rsidR="00160686">
        <w:rPr>
          <w:b w:val="0"/>
        </w:rPr>
        <w:t>9</w:t>
      </w:r>
      <w:r w:rsidR="00881C82">
        <w:rPr>
          <w:b w:val="0"/>
        </w:rPr>
        <w:t>,</w:t>
      </w:r>
      <w:r w:rsidRPr="006149A8">
        <w:rPr>
          <w:b w:val="0"/>
        </w:rPr>
        <w:t xml:space="preserve"> </w:t>
      </w:r>
      <w:r w:rsidR="007A4F8D">
        <w:rPr>
          <w:b w:val="0"/>
        </w:rPr>
        <w:t>modificada por la Resolución 4 0</w:t>
      </w:r>
      <w:r w:rsidR="00881C82">
        <w:rPr>
          <w:b w:val="0"/>
        </w:rPr>
        <w:t xml:space="preserve">678 de 2019 </w:t>
      </w:r>
      <w:r w:rsidR="00881C82" w:rsidRPr="006149A8">
        <w:rPr>
          <w:b w:val="0"/>
        </w:rPr>
        <w:t>del Ministerio de Minas y Energía</w:t>
      </w:r>
      <w:r w:rsidR="00881C82">
        <w:rPr>
          <w:b w:val="0"/>
        </w:rPr>
        <w:t>.</w:t>
      </w:r>
    </w:p>
    <w:bookmarkEnd w:id="1"/>
    <w:bookmarkEnd w:id="2"/>
    <w:bookmarkEnd w:id="3"/>
    <w:bookmarkEnd w:id="4"/>
    <w:bookmarkEnd w:id="5"/>
    <w:bookmarkEnd w:id="6"/>
    <w:bookmarkEnd w:id="7"/>
    <w:bookmarkEnd w:id="8"/>
    <w:bookmarkEnd w:id="9"/>
    <w:bookmarkEnd w:id="10"/>
    <w:bookmarkEnd w:id="11"/>
    <w:p w14:paraId="1A42E14D" w14:textId="77777777" w:rsidR="006149A8" w:rsidRPr="006149A8" w:rsidRDefault="006149A8" w:rsidP="006149A8">
      <w:pPr>
        <w:pStyle w:val="Artculo"/>
        <w:ind w:left="0" w:firstLine="0"/>
        <w:rPr>
          <w:b w:val="0"/>
        </w:rPr>
      </w:pPr>
      <w:r w:rsidRPr="006149A8">
        <w:t>Definiciones</w:t>
      </w:r>
      <w:r w:rsidRPr="006149A8">
        <w:rPr>
          <w:b w:val="0"/>
        </w:rPr>
        <w:t>:</w:t>
      </w:r>
      <w:r w:rsidR="00DA2FF2">
        <w:rPr>
          <w:b w:val="0"/>
        </w:rPr>
        <w:t xml:space="preserve"> </w:t>
      </w:r>
      <w:r w:rsidRPr="006149A8">
        <w:rPr>
          <w:b w:val="0"/>
        </w:rPr>
        <w:t xml:space="preserve"> </w:t>
      </w:r>
      <w:r w:rsidR="008F3EAB">
        <w:rPr>
          <w:b w:val="0"/>
        </w:rPr>
        <w:t xml:space="preserve">Para efectos de esta </w:t>
      </w:r>
      <w:r w:rsidR="00F73CCF">
        <w:rPr>
          <w:b w:val="0"/>
        </w:rPr>
        <w:t>r</w:t>
      </w:r>
      <w:r w:rsidR="008F3EAB">
        <w:rPr>
          <w:b w:val="0"/>
        </w:rPr>
        <w:t>esolución se tendrán en cuenta las siguientes definiciones:</w:t>
      </w:r>
    </w:p>
    <w:p w14:paraId="12C9FA4D" w14:textId="77777777" w:rsidR="004E6193" w:rsidRDefault="00146723" w:rsidP="009B634D">
      <w:pPr>
        <w:ind w:left="0"/>
        <w:jc w:val="both"/>
        <w:rPr>
          <w:rFonts w:ascii="Bookman Old Style" w:hAnsi="Bookman Old Style"/>
          <w:bCs/>
          <w:lang w:val="es-CO"/>
        </w:rPr>
      </w:pPr>
      <w:r w:rsidRPr="00611D2F">
        <w:rPr>
          <w:rFonts w:ascii="Bookman Old Style" w:hAnsi="Bookman Old Style"/>
          <w:b/>
          <w:bCs/>
          <w:lang w:val="es-CO"/>
        </w:rPr>
        <w:t>Fecha de entrada en operación comercial:</w:t>
      </w:r>
      <w:r w:rsidRPr="00611D2F">
        <w:rPr>
          <w:rFonts w:ascii="Bookman Old Style" w:hAnsi="Bookman Old Style"/>
          <w:bCs/>
          <w:lang w:val="es-CO"/>
        </w:rPr>
        <w:t xml:space="preserve"> </w:t>
      </w:r>
      <w:r w:rsidRPr="00E67903">
        <w:rPr>
          <w:rFonts w:ascii="Bookman Old Style" w:hAnsi="Bookman Old Style"/>
          <w:bCs/>
          <w:lang w:val="es-CO"/>
        </w:rPr>
        <w:t>es la fecha a partir de la cual un proyecto de generación se considera listo para el servicio</w:t>
      </w:r>
      <w:r w:rsidR="00847E80" w:rsidRPr="00E67903">
        <w:rPr>
          <w:rFonts w:ascii="Bookman Old Style" w:hAnsi="Bookman Old Style"/>
          <w:bCs/>
          <w:lang w:val="es-CO"/>
        </w:rPr>
        <w:t>,</w:t>
      </w:r>
      <w:r w:rsidRPr="00E67903">
        <w:rPr>
          <w:rFonts w:ascii="Bookman Old Style" w:hAnsi="Bookman Old Style"/>
          <w:bCs/>
          <w:lang w:val="es-CO"/>
        </w:rPr>
        <w:t xml:space="preserve"> cumpl</w:t>
      </w:r>
      <w:r w:rsidR="00847E80" w:rsidRPr="00E67903">
        <w:rPr>
          <w:rFonts w:ascii="Bookman Old Style" w:hAnsi="Bookman Old Style"/>
          <w:bCs/>
          <w:lang w:val="es-CO"/>
        </w:rPr>
        <w:t xml:space="preserve">iendo </w:t>
      </w:r>
      <w:r w:rsidRPr="00E67903">
        <w:rPr>
          <w:rFonts w:ascii="Bookman Old Style" w:hAnsi="Bookman Old Style"/>
          <w:bCs/>
          <w:lang w:val="es-CO"/>
        </w:rPr>
        <w:t>con toda la</w:t>
      </w:r>
      <w:r w:rsidR="00847E80" w:rsidRPr="00E67903">
        <w:rPr>
          <w:rFonts w:ascii="Bookman Old Style" w:hAnsi="Bookman Old Style"/>
          <w:bCs/>
          <w:lang w:val="es-CO"/>
        </w:rPr>
        <w:t xml:space="preserve"> regulación vigente de la CREG</w:t>
      </w:r>
      <w:r w:rsidRPr="00E67903">
        <w:rPr>
          <w:rFonts w:ascii="Bookman Old Style" w:hAnsi="Bookman Old Style"/>
          <w:bCs/>
          <w:lang w:val="es-CO"/>
        </w:rPr>
        <w:t>.</w:t>
      </w:r>
      <w:r w:rsidR="00BF5CF2">
        <w:rPr>
          <w:rFonts w:ascii="Bookman Old Style" w:hAnsi="Bookman Old Style"/>
          <w:bCs/>
          <w:lang w:val="es-CO"/>
        </w:rPr>
        <w:t xml:space="preserve"> </w:t>
      </w:r>
    </w:p>
    <w:p w14:paraId="69941FB5" w14:textId="77777777" w:rsidR="004E6193" w:rsidRDefault="004E6193" w:rsidP="009B634D">
      <w:pPr>
        <w:ind w:left="0"/>
        <w:jc w:val="both"/>
        <w:rPr>
          <w:rFonts w:ascii="Bookman Old Style" w:hAnsi="Bookman Old Style"/>
          <w:bCs/>
          <w:lang w:val="es-CO"/>
        </w:rPr>
      </w:pPr>
    </w:p>
    <w:p w14:paraId="72914462" w14:textId="77777777" w:rsidR="00BA285D" w:rsidRDefault="00BA285D" w:rsidP="00BA285D">
      <w:pPr>
        <w:ind w:left="0"/>
        <w:jc w:val="both"/>
        <w:rPr>
          <w:rFonts w:ascii="Bookman Old Style" w:hAnsi="Bookman Old Style"/>
          <w:bCs/>
          <w:lang w:val="es-CO"/>
        </w:rPr>
      </w:pPr>
      <w:r w:rsidRPr="003C2E16">
        <w:rPr>
          <w:rFonts w:ascii="Bookman Old Style" w:hAnsi="Bookman Old Style"/>
          <w:b/>
          <w:bCs/>
          <w:lang w:val="es-CO"/>
        </w:rPr>
        <w:t xml:space="preserve">Fecha de </w:t>
      </w:r>
      <w:r>
        <w:rPr>
          <w:rFonts w:ascii="Bookman Old Style" w:hAnsi="Bookman Old Style"/>
          <w:b/>
          <w:bCs/>
          <w:lang w:val="es-CO"/>
        </w:rPr>
        <w:t>verificación de puesta</w:t>
      </w:r>
      <w:r w:rsidRPr="003C2E16">
        <w:rPr>
          <w:rFonts w:ascii="Bookman Old Style" w:hAnsi="Bookman Old Style"/>
          <w:b/>
          <w:bCs/>
          <w:lang w:val="es-CO"/>
        </w:rPr>
        <w:t xml:space="preserve"> en operación comercial</w:t>
      </w:r>
      <w:r>
        <w:rPr>
          <w:rFonts w:ascii="Bookman Old Style" w:hAnsi="Bookman Old Style"/>
          <w:b/>
          <w:bCs/>
          <w:lang w:val="es-CO"/>
        </w:rPr>
        <w:t xml:space="preserve"> inicial, FVPO inicial</w:t>
      </w:r>
      <w:r w:rsidRPr="003C2E16">
        <w:rPr>
          <w:rFonts w:ascii="Bookman Old Style" w:hAnsi="Bookman Old Style"/>
          <w:b/>
          <w:bCs/>
          <w:lang w:val="es-CO"/>
        </w:rPr>
        <w:t>:</w:t>
      </w:r>
      <w:r>
        <w:rPr>
          <w:rFonts w:ascii="Bookman Old Style" w:hAnsi="Bookman Old Style"/>
          <w:b/>
          <w:bCs/>
          <w:lang w:val="es-CO"/>
        </w:rPr>
        <w:t xml:space="preserve"> </w:t>
      </w:r>
      <w:r>
        <w:rPr>
          <w:rFonts w:ascii="Bookman Old Style" w:hAnsi="Bookman Old Style"/>
          <w:bCs/>
          <w:lang w:val="es-CO"/>
        </w:rPr>
        <w:t>La fecha de verificación de puesta en operación comercial inicial corresponde a la fecha de inicio de las obligaciones de suministro de energía eléctrica, definida en el artículo 5 de la</w:t>
      </w:r>
      <w:r w:rsidRPr="004E6193">
        <w:rPr>
          <w:rFonts w:ascii="Bookman Old Style" w:hAnsi="Bookman Old Style"/>
          <w:bCs/>
          <w:lang w:val="es-CO"/>
        </w:rPr>
        <w:t xml:space="preserve"> Resolución 4</w:t>
      </w:r>
      <w:r>
        <w:rPr>
          <w:rFonts w:ascii="Bookman Old Style" w:hAnsi="Bookman Old Style"/>
          <w:bCs/>
          <w:lang w:val="es-CO"/>
        </w:rPr>
        <w:t> </w:t>
      </w:r>
      <w:r w:rsidRPr="004E6193">
        <w:rPr>
          <w:rFonts w:ascii="Bookman Old Style" w:hAnsi="Bookman Old Style"/>
          <w:bCs/>
          <w:lang w:val="es-CO"/>
        </w:rPr>
        <w:t>059</w:t>
      </w:r>
      <w:r>
        <w:rPr>
          <w:rFonts w:ascii="Bookman Old Style" w:hAnsi="Bookman Old Style"/>
          <w:bCs/>
          <w:lang w:val="es-CO"/>
        </w:rPr>
        <w:t>1</w:t>
      </w:r>
      <w:r w:rsidRPr="004E6193">
        <w:rPr>
          <w:rFonts w:ascii="Bookman Old Style" w:hAnsi="Bookman Old Style"/>
          <w:bCs/>
          <w:lang w:val="es-CO"/>
        </w:rPr>
        <w:t xml:space="preserve"> de 2019 del Ministerio de Minas y Energía</w:t>
      </w:r>
      <w:r>
        <w:rPr>
          <w:rFonts w:ascii="Bookman Old Style" w:hAnsi="Bookman Old Style"/>
          <w:bCs/>
          <w:lang w:val="es-CO"/>
        </w:rPr>
        <w:t xml:space="preserve">. </w:t>
      </w:r>
    </w:p>
    <w:p w14:paraId="49F95771" w14:textId="77777777" w:rsidR="00BA285D" w:rsidRDefault="00BA285D" w:rsidP="00BA285D">
      <w:pPr>
        <w:ind w:left="0"/>
        <w:jc w:val="both"/>
        <w:rPr>
          <w:rFonts w:ascii="Bookman Old Style" w:hAnsi="Bookman Old Style"/>
          <w:bCs/>
          <w:lang w:val="es-CO"/>
        </w:rPr>
      </w:pPr>
    </w:p>
    <w:p w14:paraId="7D9C5CFE" w14:textId="77777777" w:rsidR="00722333" w:rsidRDefault="004E6193" w:rsidP="009B634D">
      <w:pPr>
        <w:ind w:left="0"/>
        <w:jc w:val="both"/>
        <w:rPr>
          <w:rFonts w:ascii="Bookman Old Style" w:hAnsi="Bookman Old Style"/>
          <w:bCs/>
          <w:lang w:val="es-CO"/>
        </w:rPr>
      </w:pPr>
      <w:r w:rsidRPr="003C2E16">
        <w:rPr>
          <w:rFonts w:ascii="Bookman Old Style" w:hAnsi="Bookman Old Style"/>
          <w:b/>
          <w:bCs/>
          <w:lang w:val="es-CO"/>
        </w:rPr>
        <w:t xml:space="preserve">Fecha de </w:t>
      </w:r>
      <w:r w:rsidR="00C71486">
        <w:rPr>
          <w:rFonts w:ascii="Bookman Old Style" w:hAnsi="Bookman Old Style"/>
          <w:b/>
          <w:bCs/>
          <w:lang w:val="es-CO"/>
        </w:rPr>
        <w:t xml:space="preserve">verificación de </w:t>
      </w:r>
      <w:r>
        <w:rPr>
          <w:rFonts w:ascii="Bookman Old Style" w:hAnsi="Bookman Old Style"/>
          <w:b/>
          <w:bCs/>
          <w:lang w:val="es-CO"/>
        </w:rPr>
        <w:t>puesta</w:t>
      </w:r>
      <w:r w:rsidRPr="003C2E16">
        <w:rPr>
          <w:rFonts w:ascii="Bookman Old Style" w:hAnsi="Bookman Old Style"/>
          <w:b/>
          <w:bCs/>
          <w:lang w:val="es-CO"/>
        </w:rPr>
        <w:t xml:space="preserve"> en operación comercial</w:t>
      </w:r>
      <w:r>
        <w:rPr>
          <w:rFonts w:ascii="Bookman Old Style" w:hAnsi="Bookman Old Style"/>
          <w:b/>
          <w:bCs/>
          <w:lang w:val="es-CO"/>
        </w:rPr>
        <w:t xml:space="preserve"> última, F</w:t>
      </w:r>
      <w:r w:rsidR="00C71486">
        <w:rPr>
          <w:rFonts w:ascii="Bookman Old Style" w:hAnsi="Bookman Old Style"/>
          <w:b/>
          <w:bCs/>
          <w:lang w:val="es-CO"/>
        </w:rPr>
        <w:t>V</w:t>
      </w:r>
      <w:r>
        <w:rPr>
          <w:rFonts w:ascii="Bookman Old Style" w:hAnsi="Bookman Old Style"/>
          <w:b/>
          <w:bCs/>
          <w:lang w:val="es-CO"/>
        </w:rPr>
        <w:t>PO última</w:t>
      </w:r>
      <w:r w:rsidRPr="003C2E16">
        <w:rPr>
          <w:rFonts w:ascii="Bookman Old Style" w:hAnsi="Bookman Old Style"/>
          <w:b/>
          <w:bCs/>
          <w:lang w:val="es-CO"/>
        </w:rPr>
        <w:t>:</w:t>
      </w:r>
      <w:r>
        <w:rPr>
          <w:rFonts w:ascii="Bookman Old Style" w:hAnsi="Bookman Old Style"/>
          <w:b/>
          <w:bCs/>
          <w:lang w:val="es-CO"/>
        </w:rPr>
        <w:t xml:space="preserve"> </w:t>
      </w:r>
      <w:r>
        <w:rPr>
          <w:rFonts w:ascii="Bookman Old Style" w:hAnsi="Bookman Old Style"/>
          <w:bCs/>
          <w:lang w:val="es-CO"/>
        </w:rPr>
        <w:t xml:space="preserve">La fecha de operación comercial última </w:t>
      </w:r>
      <w:r w:rsidR="00901A4A">
        <w:rPr>
          <w:rFonts w:ascii="Bookman Old Style" w:hAnsi="Bookman Old Style"/>
          <w:bCs/>
          <w:lang w:val="es-CO"/>
        </w:rPr>
        <w:t xml:space="preserve">es </w:t>
      </w:r>
      <w:r w:rsidR="00722333">
        <w:rPr>
          <w:rFonts w:ascii="Bookman Old Style" w:hAnsi="Bookman Old Style"/>
          <w:bCs/>
          <w:lang w:val="es-CO"/>
        </w:rPr>
        <w:t>igual</w:t>
      </w:r>
      <w:r w:rsidR="00901A4A">
        <w:rPr>
          <w:rFonts w:ascii="Bookman Old Style" w:hAnsi="Bookman Old Style"/>
          <w:bCs/>
          <w:lang w:val="es-CO"/>
        </w:rPr>
        <w:t xml:space="preserve"> </w:t>
      </w:r>
      <w:r w:rsidR="00722333">
        <w:rPr>
          <w:rFonts w:ascii="Bookman Old Style" w:hAnsi="Bookman Old Style"/>
          <w:bCs/>
          <w:lang w:val="es-CO"/>
        </w:rPr>
        <w:t xml:space="preserve">a </w:t>
      </w:r>
      <w:r w:rsidR="00901A4A">
        <w:rPr>
          <w:rFonts w:ascii="Bookman Old Style" w:hAnsi="Bookman Old Style"/>
          <w:bCs/>
          <w:lang w:val="es-CO"/>
        </w:rPr>
        <w:t xml:space="preserve">la </w:t>
      </w:r>
      <w:r w:rsidR="00FB61B6">
        <w:rPr>
          <w:rFonts w:ascii="Bookman Old Style" w:hAnsi="Bookman Old Style"/>
          <w:bCs/>
          <w:lang w:val="es-CO"/>
        </w:rPr>
        <w:t xml:space="preserve">fecha </w:t>
      </w:r>
      <w:r w:rsidR="00722333">
        <w:rPr>
          <w:rFonts w:ascii="Bookman Old Style" w:hAnsi="Bookman Old Style"/>
          <w:bCs/>
          <w:lang w:val="es-CO"/>
        </w:rPr>
        <w:t xml:space="preserve">de verificación de puesta en operación inicial, FVPO inicial, </w:t>
      </w:r>
      <w:r w:rsidR="00901A4A">
        <w:rPr>
          <w:rFonts w:ascii="Bookman Old Style" w:hAnsi="Bookman Old Style"/>
          <w:bCs/>
          <w:lang w:val="es-CO"/>
        </w:rPr>
        <w:t>más dos (2) años</w:t>
      </w:r>
      <w:r>
        <w:rPr>
          <w:rFonts w:ascii="Bookman Old Style" w:hAnsi="Bookman Old Style"/>
          <w:bCs/>
          <w:lang w:val="es-CO"/>
        </w:rPr>
        <w:t>.</w:t>
      </w:r>
    </w:p>
    <w:p w14:paraId="72A87F65" w14:textId="77777777" w:rsidR="009B634D" w:rsidRPr="006149A8" w:rsidRDefault="009B634D" w:rsidP="009B634D">
      <w:pPr>
        <w:ind w:left="0"/>
        <w:jc w:val="both"/>
        <w:rPr>
          <w:rFonts w:ascii="Bookman Old Style" w:hAnsi="Bookman Old Style"/>
          <w:bCs/>
          <w:lang w:val="es-CO"/>
        </w:rPr>
      </w:pPr>
    </w:p>
    <w:p w14:paraId="452C4119" w14:textId="77777777" w:rsidR="006149A8" w:rsidRDefault="006149A8" w:rsidP="009B634D">
      <w:pPr>
        <w:ind w:left="0"/>
        <w:jc w:val="both"/>
        <w:rPr>
          <w:rFonts w:ascii="Bookman Old Style" w:hAnsi="Bookman Old Style"/>
        </w:rPr>
      </w:pPr>
      <w:r w:rsidRPr="006149A8">
        <w:rPr>
          <w:rFonts w:ascii="Bookman Old Style" w:hAnsi="Bookman Old Style"/>
          <w:b/>
        </w:rPr>
        <w:t xml:space="preserve">Mecanismo de largo plazo: </w:t>
      </w:r>
      <w:r w:rsidRPr="006149A8">
        <w:rPr>
          <w:rFonts w:ascii="Bookman Old Style" w:hAnsi="Bookman Old Style"/>
        </w:rPr>
        <w:t>mecanismo para la contratación de largo plazo definido en la Resolución 4 0</w:t>
      </w:r>
      <w:r w:rsidR="001F1585">
        <w:rPr>
          <w:rFonts w:ascii="Bookman Old Style" w:hAnsi="Bookman Old Style"/>
        </w:rPr>
        <w:t>5</w:t>
      </w:r>
      <w:r w:rsidRPr="006149A8">
        <w:rPr>
          <w:rFonts w:ascii="Bookman Old Style" w:hAnsi="Bookman Old Style"/>
        </w:rPr>
        <w:t>9</w:t>
      </w:r>
      <w:r w:rsidR="001F1585">
        <w:rPr>
          <w:rFonts w:ascii="Bookman Old Style" w:hAnsi="Bookman Old Style"/>
        </w:rPr>
        <w:t>0</w:t>
      </w:r>
      <w:r w:rsidRPr="006149A8">
        <w:rPr>
          <w:rFonts w:ascii="Bookman Old Style" w:hAnsi="Bookman Old Style"/>
        </w:rPr>
        <w:t xml:space="preserve"> de 201</w:t>
      </w:r>
      <w:r w:rsidR="001F1585">
        <w:rPr>
          <w:rFonts w:ascii="Bookman Old Style" w:hAnsi="Bookman Old Style"/>
        </w:rPr>
        <w:t>9</w:t>
      </w:r>
      <w:r w:rsidRPr="006149A8">
        <w:rPr>
          <w:rFonts w:ascii="Bookman Old Style" w:hAnsi="Bookman Old Style"/>
        </w:rPr>
        <w:t xml:space="preserve"> expedida por el Ministerio de Minas y Energía.</w:t>
      </w:r>
    </w:p>
    <w:p w14:paraId="4DCA3C37" w14:textId="77777777" w:rsidR="00E90C15" w:rsidRDefault="00E90C15" w:rsidP="009B634D">
      <w:pPr>
        <w:ind w:left="0"/>
        <w:jc w:val="both"/>
        <w:rPr>
          <w:rFonts w:ascii="Bookman Old Style" w:hAnsi="Bookman Old Style"/>
        </w:rPr>
      </w:pPr>
    </w:p>
    <w:p w14:paraId="6274E58B" w14:textId="77777777" w:rsidR="00E90C15" w:rsidRPr="00611D2F" w:rsidRDefault="00E90C15" w:rsidP="009B634D">
      <w:pPr>
        <w:ind w:left="0"/>
        <w:jc w:val="both"/>
        <w:rPr>
          <w:rFonts w:ascii="Bookman Old Style" w:hAnsi="Bookman Old Style"/>
        </w:rPr>
      </w:pPr>
      <w:r>
        <w:rPr>
          <w:rFonts w:ascii="Bookman Old Style" w:hAnsi="Bookman Old Style"/>
          <w:b/>
        </w:rPr>
        <w:t>Planta:</w:t>
      </w:r>
      <w:r w:rsidR="00757FE8">
        <w:rPr>
          <w:rFonts w:ascii="Bookman Old Style" w:hAnsi="Bookman Old Style"/>
          <w:b/>
        </w:rPr>
        <w:t xml:space="preserve"> </w:t>
      </w:r>
      <w:r w:rsidR="00D7613A">
        <w:rPr>
          <w:rFonts w:ascii="Bookman Old Style" w:hAnsi="Bookman Old Style"/>
        </w:rPr>
        <w:t xml:space="preserve">Unidad de generación de un vendedor, resultado de la ejecución del proyecto asociado al contrato de energía adjudicado mediante el mecanismo de largo plazo. </w:t>
      </w:r>
    </w:p>
    <w:p w14:paraId="3996DDFD" w14:textId="77777777" w:rsidR="00E90C15" w:rsidRDefault="00E90C15" w:rsidP="009B634D">
      <w:pPr>
        <w:ind w:left="0"/>
        <w:jc w:val="both"/>
        <w:rPr>
          <w:rFonts w:ascii="Bookman Old Style" w:hAnsi="Bookman Old Style"/>
          <w:b/>
        </w:rPr>
      </w:pPr>
    </w:p>
    <w:p w14:paraId="6BCEFA3D" w14:textId="77777777" w:rsidR="00E90C15" w:rsidRPr="00DA2FF2" w:rsidRDefault="00E90C15" w:rsidP="009B634D">
      <w:pPr>
        <w:ind w:left="0"/>
        <w:jc w:val="both"/>
        <w:rPr>
          <w:rFonts w:ascii="Bookman Old Style" w:hAnsi="Bookman Old Style"/>
        </w:rPr>
      </w:pPr>
      <w:r>
        <w:rPr>
          <w:rFonts w:ascii="Bookman Old Style" w:hAnsi="Bookman Old Style"/>
          <w:b/>
        </w:rPr>
        <w:t xml:space="preserve">Porcentaje mínimo de capacidad </w:t>
      </w:r>
      <w:r w:rsidRPr="0061323D">
        <w:rPr>
          <w:rFonts w:ascii="Bookman Old Style" w:hAnsi="Bookman Old Style"/>
          <w:b/>
        </w:rPr>
        <w:t>de la planta</w:t>
      </w:r>
      <w:r w:rsidR="00DA2FF2" w:rsidRPr="0061323D">
        <w:rPr>
          <w:rFonts w:ascii="Bookman Old Style" w:hAnsi="Bookman Old Style"/>
          <w:b/>
        </w:rPr>
        <w:t>, PMCP</w:t>
      </w:r>
      <w:r w:rsidRPr="00FF46CA">
        <w:rPr>
          <w:rFonts w:ascii="Bookman Old Style" w:hAnsi="Bookman Old Style"/>
          <w:b/>
        </w:rPr>
        <w:t xml:space="preserve">: </w:t>
      </w:r>
      <w:r w:rsidRPr="00FF46CA">
        <w:rPr>
          <w:rFonts w:ascii="Bookman Old Style" w:hAnsi="Bookman Old Style"/>
        </w:rPr>
        <w:t xml:space="preserve">Relación en porcentaje de la capacidad </w:t>
      </w:r>
      <w:r w:rsidR="007C403B" w:rsidRPr="006571A7">
        <w:rPr>
          <w:rFonts w:ascii="Bookman Old Style" w:hAnsi="Bookman Old Style"/>
        </w:rPr>
        <w:t>efectiva neta certificada</w:t>
      </w:r>
      <w:r w:rsidRPr="006571A7">
        <w:rPr>
          <w:rFonts w:ascii="Bookman Old Style" w:hAnsi="Bookman Old Style"/>
        </w:rPr>
        <w:t xml:space="preserve"> por el </w:t>
      </w:r>
      <w:r w:rsidR="009472C2">
        <w:rPr>
          <w:rFonts w:ascii="Bookman Old Style" w:hAnsi="Bookman Old Style"/>
        </w:rPr>
        <w:t>vendedor</w:t>
      </w:r>
      <w:r w:rsidRPr="006571A7">
        <w:rPr>
          <w:rFonts w:ascii="Bookman Old Style" w:hAnsi="Bookman Old Style"/>
        </w:rPr>
        <w:t xml:space="preserve"> al Centro Nacional de Despacho, CND, frente a la capacidad </w:t>
      </w:r>
      <w:r w:rsidR="00371BD0" w:rsidRPr="006571A7">
        <w:rPr>
          <w:rFonts w:ascii="Bookman Old Style" w:hAnsi="Bookman Old Style"/>
        </w:rPr>
        <w:t>de transporte</w:t>
      </w:r>
      <w:r w:rsidR="006E7794" w:rsidRPr="0061323D">
        <w:rPr>
          <w:rFonts w:ascii="Bookman Old Style" w:hAnsi="Bookman Old Style"/>
        </w:rPr>
        <w:t xml:space="preserve"> </w:t>
      </w:r>
      <w:r w:rsidR="009472C2" w:rsidRPr="006571A7">
        <w:rPr>
          <w:rFonts w:ascii="Bookman Old Style" w:hAnsi="Bookman Old Style"/>
        </w:rPr>
        <w:t xml:space="preserve">asignada </w:t>
      </w:r>
      <w:r w:rsidR="00371BD0" w:rsidRPr="006571A7">
        <w:rPr>
          <w:rFonts w:ascii="Bookman Old Style" w:hAnsi="Bookman Old Style"/>
        </w:rPr>
        <w:t>en el concepto de conexión emitido por la UPME</w:t>
      </w:r>
      <w:r w:rsidR="00DA2FF2" w:rsidRPr="006571A7">
        <w:rPr>
          <w:rFonts w:ascii="Bookman Old Style" w:hAnsi="Bookman Old Style"/>
        </w:rPr>
        <w:t>. Para efectos de esta resolución este porcentaje mínimo debe ser del 95%.</w:t>
      </w:r>
    </w:p>
    <w:p w14:paraId="7E62F35D" w14:textId="23D53022" w:rsidR="00D97AAA" w:rsidRDefault="00D97AAA" w:rsidP="009B634D">
      <w:pPr>
        <w:ind w:left="0"/>
        <w:jc w:val="both"/>
        <w:rPr>
          <w:rFonts w:ascii="Bookman Old Style" w:hAnsi="Bookman Old Style"/>
        </w:rPr>
      </w:pPr>
    </w:p>
    <w:p w14:paraId="44A4480A" w14:textId="4A17664E" w:rsidR="00655797" w:rsidRDefault="00655797" w:rsidP="009B634D">
      <w:pPr>
        <w:ind w:left="0"/>
        <w:jc w:val="both"/>
        <w:rPr>
          <w:rFonts w:ascii="Bookman Old Style" w:hAnsi="Bookman Old Style"/>
        </w:rPr>
      </w:pPr>
    </w:p>
    <w:p w14:paraId="7EBCA4AF" w14:textId="43E0AD58" w:rsidR="00655797" w:rsidRDefault="00655797" w:rsidP="009B634D">
      <w:pPr>
        <w:ind w:left="0"/>
        <w:jc w:val="both"/>
        <w:rPr>
          <w:rFonts w:ascii="Bookman Old Style" w:hAnsi="Bookman Old Style"/>
        </w:rPr>
      </w:pPr>
    </w:p>
    <w:p w14:paraId="441E63C2" w14:textId="77777777" w:rsidR="00655797" w:rsidRDefault="00655797" w:rsidP="009B634D">
      <w:pPr>
        <w:ind w:left="0"/>
        <w:jc w:val="both"/>
        <w:rPr>
          <w:rFonts w:ascii="Bookman Old Style" w:hAnsi="Bookman Old Style"/>
        </w:rPr>
      </w:pPr>
    </w:p>
    <w:p w14:paraId="351F24B5" w14:textId="77777777" w:rsidR="00D97AAA" w:rsidRPr="006571A7" w:rsidRDefault="00D97AAA" w:rsidP="006571A7">
      <w:pPr>
        <w:ind w:left="0"/>
        <w:jc w:val="center"/>
        <w:rPr>
          <w:rFonts w:ascii="Bookman Old Style" w:hAnsi="Bookman Old Style"/>
          <w:b/>
        </w:rPr>
      </w:pPr>
      <w:r w:rsidRPr="006571A7">
        <w:rPr>
          <w:rFonts w:ascii="Bookman Old Style" w:hAnsi="Bookman Old Style"/>
          <w:b/>
        </w:rPr>
        <w:t xml:space="preserve">CAPÍTULO </w:t>
      </w:r>
      <w:r w:rsidR="008E272F" w:rsidRPr="006571A7">
        <w:rPr>
          <w:rFonts w:ascii="Bookman Old Style" w:hAnsi="Bookman Old Style"/>
          <w:b/>
        </w:rPr>
        <w:t>I</w:t>
      </w:r>
      <w:r w:rsidRPr="006571A7">
        <w:rPr>
          <w:rFonts w:ascii="Bookman Old Style" w:hAnsi="Bookman Old Style"/>
          <w:b/>
        </w:rPr>
        <w:t>I</w:t>
      </w:r>
    </w:p>
    <w:p w14:paraId="06CFF937" w14:textId="77777777" w:rsidR="00D97AAA" w:rsidRPr="006571A7" w:rsidRDefault="008E272F" w:rsidP="006571A7">
      <w:pPr>
        <w:ind w:left="0"/>
        <w:jc w:val="center"/>
        <w:rPr>
          <w:rFonts w:ascii="Bookman Old Style" w:hAnsi="Bookman Old Style"/>
          <w:b/>
        </w:rPr>
      </w:pPr>
      <w:r w:rsidRPr="006571A7">
        <w:rPr>
          <w:rFonts w:ascii="Bookman Old Style" w:hAnsi="Bookman Old Style"/>
          <w:b/>
        </w:rPr>
        <w:t>Condiciones de la garantía de puesta en operación</w:t>
      </w:r>
      <w:r w:rsidR="00D97AAA" w:rsidRPr="006571A7" w:rsidDel="00D97AAA">
        <w:rPr>
          <w:rFonts w:ascii="Bookman Old Style" w:hAnsi="Bookman Old Style"/>
          <w:b/>
        </w:rPr>
        <w:t xml:space="preserve"> </w:t>
      </w:r>
    </w:p>
    <w:p w14:paraId="73987510" w14:textId="77777777" w:rsidR="008E272F" w:rsidRDefault="008E272F" w:rsidP="006571A7">
      <w:pPr>
        <w:ind w:left="0"/>
        <w:jc w:val="center"/>
        <w:rPr>
          <w:rFonts w:ascii="Bookman Old Style" w:hAnsi="Bookman Old Style"/>
        </w:rPr>
      </w:pPr>
    </w:p>
    <w:p w14:paraId="3ACFEEF5" w14:textId="77777777" w:rsidR="00D97AAA" w:rsidRDefault="00D97AAA" w:rsidP="00D97AAA">
      <w:pPr>
        <w:pStyle w:val="Artculo"/>
        <w:ind w:left="0" w:firstLine="0"/>
      </w:pPr>
      <w:r w:rsidRPr="006149A8">
        <w:t xml:space="preserve">Obligaciones a garantizar. </w:t>
      </w:r>
      <w:r w:rsidRPr="006149A8">
        <w:rPr>
          <w:b w:val="0"/>
        </w:rPr>
        <w:t>Los vendedores que resulten adjudicados con contratos de largo plazo deberán garantizar</w:t>
      </w:r>
      <w:r>
        <w:rPr>
          <w:b w:val="0"/>
        </w:rPr>
        <w:t>,</w:t>
      </w:r>
      <w:r w:rsidRPr="006149A8">
        <w:rPr>
          <w:b w:val="0"/>
        </w:rPr>
        <w:t xml:space="preserve"> mediante los instrum</w:t>
      </w:r>
      <w:r w:rsidR="003A7506">
        <w:rPr>
          <w:b w:val="0"/>
        </w:rPr>
        <w:t>entos previstos en el artículo 5 de la presente resolución</w:t>
      </w:r>
      <w:r>
        <w:rPr>
          <w:b w:val="0"/>
        </w:rPr>
        <w:t>,</w:t>
      </w:r>
      <w:r w:rsidRPr="006149A8">
        <w:rPr>
          <w:b w:val="0"/>
        </w:rPr>
        <w:t xml:space="preserve"> </w:t>
      </w:r>
      <w:r>
        <w:rPr>
          <w:b w:val="0"/>
        </w:rPr>
        <w:t>l</w:t>
      </w:r>
      <w:r w:rsidRPr="001C48A6">
        <w:rPr>
          <w:b w:val="0"/>
        </w:rPr>
        <w:t xml:space="preserve">a entrada en operación comercial de la planta </w:t>
      </w:r>
      <w:r w:rsidRPr="00682245">
        <w:rPr>
          <w:b w:val="0"/>
        </w:rPr>
        <w:t>asociada a las ofertas que hayan</w:t>
      </w:r>
      <w:r>
        <w:rPr>
          <w:b w:val="0"/>
        </w:rPr>
        <w:t xml:space="preserve"> sido</w:t>
      </w:r>
      <w:r w:rsidRPr="00682245">
        <w:rPr>
          <w:b w:val="0"/>
        </w:rPr>
        <w:t xml:space="preserve"> asignadas </w:t>
      </w:r>
      <w:r>
        <w:rPr>
          <w:b w:val="0"/>
        </w:rPr>
        <w:t xml:space="preserve">como </w:t>
      </w:r>
      <w:r w:rsidRPr="00682245">
        <w:rPr>
          <w:b w:val="0"/>
        </w:rPr>
        <w:t>resultado</w:t>
      </w:r>
      <w:r>
        <w:rPr>
          <w:b w:val="0"/>
        </w:rPr>
        <w:t xml:space="preserve"> de</w:t>
      </w:r>
      <w:r w:rsidRPr="00682245">
        <w:rPr>
          <w:b w:val="0"/>
        </w:rPr>
        <w:t xml:space="preserve"> la adjudicación</w:t>
      </w:r>
      <w:r w:rsidRPr="001C48A6">
        <w:rPr>
          <w:b w:val="0"/>
        </w:rPr>
        <w:t xml:space="preserve"> </w:t>
      </w:r>
      <w:r>
        <w:rPr>
          <w:b w:val="0"/>
        </w:rPr>
        <w:t xml:space="preserve">del mecanismo </w:t>
      </w:r>
      <w:r w:rsidRPr="001C48A6">
        <w:rPr>
          <w:b w:val="0"/>
        </w:rPr>
        <w:t xml:space="preserve">previsto en la </w:t>
      </w:r>
      <w:r>
        <w:rPr>
          <w:b w:val="0"/>
        </w:rPr>
        <w:t>R</w:t>
      </w:r>
      <w:r w:rsidRPr="001C48A6">
        <w:rPr>
          <w:b w:val="0"/>
        </w:rPr>
        <w:t>esoluci</w:t>
      </w:r>
      <w:r>
        <w:rPr>
          <w:b w:val="0"/>
        </w:rPr>
        <w:t>ón</w:t>
      </w:r>
      <w:r w:rsidRPr="001C48A6">
        <w:rPr>
          <w:b w:val="0"/>
        </w:rPr>
        <w:t xml:space="preserve"> 4</w:t>
      </w:r>
      <w:r>
        <w:rPr>
          <w:b w:val="0"/>
        </w:rPr>
        <w:t> </w:t>
      </w:r>
      <w:r w:rsidRPr="001C48A6">
        <w:rPr>
          <w:b w:val="0"/>
        </w:rPr>
        <w:t>0590 de 2019</w:t>
      </w:r>
      <w:r w:rsidR="003A7506">
        <w:rPr>
          <w:b w:val="0"/>
        </w:rPr>
        <w:t>, modificada por la Resolución 4 0678 de 2019 y la Resolución 4</w:t>
      </w:r>
      <w:r w:rsidR="00481990">
        <w:rPr>
          <w:b w:val="0"/>
        </w:rPr>
        <w:t> </w:t>
      </w:r>
      <w:r w:rsidR="003A7506">
        <w:rPr>
          <w:b w:val="0"/>
        </w:rPr>
        <w:t>0591 de 2019</w:t>
      </w:r>
      <w:r>
        <w:rPr>
          <w:b w:val="0"/>
        </w:rPr>
        <w:t xml:space="preserve"> </w:t>
      </w:r>
      <w:r w:rsidRPr="001C48A6">
        <w:rPr>
          <w:b w:val="0"/>
        </w:rPr>
        <w:t>del Ministerio de Minas y Energía</w:t>
      </w:r>
      <w:r w:rsidR="00481990">
        <w:rPr>
          <w:b w:val="0"/>
        </w:rPr>
        <w:t>,</w:t>
      </w:r>
      <w:r w:rsidRPr="001C48A6">
        <w:rPr>
          <w:b w:val="0"/>
        </w:rPr>
        <w:t xml:space="preserve"> acorde con l</w:t>
      </w:r>
      <w:r>
        <w:rPr>
          <w:b w:val="0"/>
        </w:rPr>
        <w:t>a normativa vigente</w:t>
      </w:r>
      <w:r w:rsidRPr="001C48A6">
        <w:rPr>
          <w:b w:val="0"/>
        </w:rPr>
        <w:t xml:space="preserve">, a más tardar </w:t>
      </w:r>
      <w:r>
        <w:rPr>
          <w:b w:val="0"/>
        </w:rPr>
        <w:t>en la F</w:t>
      </w:r>
      <w:r w:rsidR="0075140D">
        <w:rPr>
          <w:b w:val="0"/>
        </w:rPr>
        <w:t>V</w:t>
      </w:r>
      <w:r>
        <w:rPr>
          <w:b w:val="0"/>
        </w:rPr>
        <w:t>PO última</w:t>
      </w:r>
      <w:r w:rsidRPr="001C48A6">
        <w:rPr>
          <w:b w:val="0"/>
        </w:rPr>
        <w:t xml:space="preserve"> con al menos el </w:t>
      </w:r>
      <w:r>
        <w:rPr>
          <w:b w:val="0"/>
        </w:rPr>
        <w:t>PMCP</w:t>
      </w:r>
      <w:r w:rsidRPr="001C48A6">
        <w:rPr>
          <w:b w:val="0"/>
        </w:rPr>
        <w:t>.</w:t>
      </w:r>
    </w:p>
    <w:p w14:paraId="39C6AD70" w14:textId="1A4DD70D" w:rsidR="00FF06BC" w:rsidRDefault="00FF06BC" w:rsidP="00AA215F">
      <w:pPr>
        <w:pStyle w:val="Artculo"/>
        <w:numPr>
          <w:ilvl w:val="0"/>
          <w:numId w:val="0"/>
        </w:numPr>
        <w:spacing w:before="0"/>
        <w:rPr>
          <w:b w:val="0"/>
        </w:rPr>
      </w:pPr>
      <w:r>
        <w:rPr>
          <w:b w:val="0"/>
        </w:rPr>
        <w:t xml:space="preserve">Así mismo deberán garantizar la </w:t>
      </w:r>
      <w:r w:rsidR="00C871F6">
        <w:rPr>
          <w:b w:val="0"/>
        </w:rPr>
        <w:t>obligación de mantener, reponer o ajustar la garantía conforme a lo previsto en la presente resolución.</w:t>
      </w:r>
    </w:p>
    <w:p w14:paraId="373FD5F4" w14:textId="77777777" w:rsidR="00152788" w:rsidRPr="00152788" w:rsidRDefault="00152788" w:rsidP="00AA215F">
      <w:pPr>
        <w:pStyle w:val="articulo"/>
      </w:pPr>
    </w:p>
    <w:p w14:paraId="560F087E" w14:textId="1249F19C" w:rsidR="006149A8" w:rsidRPr="006149A8" w:rsidRDefault="006149A8" w:rsidP="00FA7BA7">
      <w:pPr>
        <w:pStyle w:val="Artculo"/>
        <w:spacing w:before="0"/>
        <w:ind w:left="0" w:firstLine="0"/>
      </w:pPr>
      <w:r w:rsidRPr="006149A8">
        <w:t>Principios y Otorgamiento de las Garantías.</w:t>
      </w:r>
      <w:r w:rsidRPr="006149A8">
        <w:rPr>
          <w:b w:val="0"/>
        </w:rPr>
        <w:t xml:space="preserve"> Las garantías reguladas en la presente resolución deberán cumplir con los siguientes criterios:</w:t>
      </w:r>
    </w:p>
    <w:p w14:paraId="19C59B4C" w14:textId="77777777" w:rsidR="006149A8" w:rsidRPr="00371004" w:rsidRDefault="006149A8" w:rsidP="006A1E56">
      <w:pPr>
        <w:pStyle w:val="Prrafodelista"/>
        <w:numPr>
          <w:ilvl w:val="1"/>
          <w:numId w:val="13"/>
        </w:numPr>
        <w:ind w:right="47"/>
        <w:jc w:val="both"/>
        <w:rPr>
          <w:rFonts w:ascii="Bookman Old Style" w:hAnsi="Bookman Old Style"/>
          <w:sz w:val="24"/>
        </w:rPr>
      </w:pPr>
      <w:r w:rsidRPr="00371004">
        <w:rPr>
          <w:rFonts w:ascii="Bookman Old Style" w:hAnsi="Bookman Old Style"/>
          <w:sz w:val="24"/>
        </w:rPr>
        <w:t xml:space="preserve">Cuando se trate de garantías otorgadas por una entidad financiera domiciliada en Colombia, se deberá acreditar </w:t>
      </w:r>
      <w:r w:rsidR="007044BF" w:rsidRPr="00371004">
        <w:rPr>
          <w:rFonts w:ascii="Bookman Old Style" w:hAnsi="Bookman Old Style"/>
          <w:sz w:val="24"/>
        </w:rPr>
        <w:t xml:space="preserve">para dicha entidad </w:t>
      </w:r>
      <w:r w:rsidRPr="00371004">
        <w:rPr>
          <w:rFonts w:ascii="Bookman Old Style" w:hAnsi="Bookman Old Style"/>
          <w:sz w:val="24"/>
        </w:rPr>
        <w:t>una calificación de riesgo crediticio de la deuda de largo plazo de grado de inversión, por parte de una Agencia Calificadora de Riesgos vigilada por la Superintendencia Financiera de Colombia.</w:t>
      </w:r>
    </w:p>
    <w:p w14:paraId="4CE37E10" w14:textId="77777777" w:rsidR="00FA7BA7" w:rsidRPr="00371004" w:rsidRDefault="00FA7BA7" w:rsidP="00FA7BA7">
      <w:pPr>
        <w:ind w:left="360" w:right="47"/>
        <w:jc w:val="both"/>
        <w:rPr>
          <w:rFonts w:ascii="Bookman Old Style" w:hAnsi="Bookman Old Style"/>
          <w:sz w:val="20"/>
        </w:rPr>
      </w:pPr>
    </w:p>
    <w:p w14:paraId="4E680247" w14:textId="3F2EDEDD" w:rsidR="006149A8" w:rsidRPr="00371004" w:rsidRDefault="006149A8" w:rsidP="006A1E56">
      <w:pPr>
        <w:pStyle w:val="Prrafodelista"/>
        <w:numPr>
          <w:ilvl w:val="1"/>
          <w:numId w:val="13"/>
        </w:numPr>
        <w:ind w:right="47"/>
        <w:jc w:val="both"/>
        <w:rPr>
          <w:rFonts w:ascii="Bookman Old Style" w:hAnsi="Bookman Old Style"/>
          <w:sz w:val="24"/>
        </w:rPr>
      </w:pPr>
      <w:r w:rsidRPr="00371004">
        <w:rPr>
          <w:rFonts w:ascii="Bookman Old Style" w:hAnsi="Bookman Old Style"/>
          <w:sz w:val="24"/>
        </w:rPr>
        <w:t xml:space="preserve">Cuando se trate de garantías otorgadas por una entidad financiera del exterior, esta </w:t>
      </w:r>
      <w:r w:rsidR="007044BF" w:rsidRPr="00371004">
        <w:rPr>
          <w:rFonts w:ascii="Bookman Old Style" w:hAnsi="Bookman Old Style"/>
          <w:sz w:val="24"/>
        </w:rPr>
        <w:t xml:space="preserve">entidad </w:t>
      </w:r>
      <w:r w:rsidRPr="00371004">
        <w:rPr>
          <w:rFonts w:ascii="Bookman Old Style" w:hAnsi="Bookman Old Style"/>
          <w:sz w:val="24"/>
        </w:rPr>
        <w:t>deberá estar incluida en el listado de entidades financieras del exterior contenido en el Anexo No. 1 de la Circular Regla</w:t>
      </w:r>
      <w:r w:rsidR="00A47712">
        <w:rPr>
          <w:rFonts w:ascii="Bookman Old Style" w:hAnsi="Bookman Old Style"/>
          <w:sz w:val="24"/>
        </w:rPr>
        <w:t xml:space="preserve">mentaria Externa DCIN-83 </w:t>
      </w:r>
      <w:r w:rsidRPr="00371004">
        <w:rPr>
          <w:rFonts w:ascii="Bookman Old Style" w:hAnsi="Bookman Old Style"/>
          <w:sz w:val="24"/>
        </w:rPr>
        <w:t>del Banco de la República o en las normas que l</w:t>
      </w:r>
      <w:r w:rsidR="007044BF" w:rsidRPr="00371004">
        <w:rPr>
          <w:rFonts w:ascii="Bookman Old Style" w:hAnsi="Bookman Old Style"/>
          <w:sz w:val="24"/>
        </w:rPr>
        <w:t>a</w:t>
      </w:r>
      <w:r w:rsidRPr="00371004">
        <w:rPr>
          <w:rFonts w:ascii="Bookman Old Style" w:hAnsi="Bookman Old Style"/>
          <w:sz w:val="24"/>
        </w:rPr>
        <w:t xml:space="preserve"> modifiquen, adicionen o sustituyan</w:t>
      </w:r>
      <w:r w:rsidR="00587679">
        <w:rPr>
          <w:rFonts w:ascii="Bookman Old Style" w:hAnsi="Bookman Old Style"/>
          <w:sz w:val="24"/>
        </w:rPr>
        <w:t>,</w:t>
      </w:r>
      <w:r w:rsidRPr="00371004">
        <w:rPr>
          <w:rFonts w:ascii="Bookman Old Style" w:hAnsi="Bookman Old Style"/>
          <w:sz w:val="24"/>
        </w:rPr>
        <w:t xml:space="preserve"> y acreditar </w:t>
      </w:r>
      <w:r w:rsidR="007044BF" w:rsidRPr="00371004">
        <w:rPr>
          <w:rFonts w:ascii="Bookman Old Style" w:hAnsi="Bookman Old Style"/>
          <w:sz w:val="24"/>
        </w:rPr>
        <w:t xml:space="preserve">para dicha entidad </w:t>
      </w:r>
      <w:r w:rsidRPr="00371004">
        <w:rPr>
          <w:rFonts w:ascii="Bookman Old Style" w:hAnsi="Bookman Old Style"/>
          <w:sz w:val="24"/>
        </w:rPr>
        <w:t xml:space="preserve">una calificación de deuda de largo plazo de </w:t>
      </w:r>
      <w:r w:rsidRPr="00A47712">
        <w:rPr>
          <w:rFonts w:ascii="Bookman Old Style" w:hAnsi="Bookman Old Style"/>
          <w:i/>
          <w:sz w:val="24"/>
        </w:rPr>
        <w:t xml:space="preserve">Standard &amp; Poor’s Corporation </w:t>
      </w:r>
      <w:r w:rsidRPr="00A47712">
        <w:rPr>
          <w:rFonts w:ascii="Bookman Old Style" w:hAnsi="Bookman Old Style"/>
          <w:sz w:val="24"/>
        </w:rPr>
        <w:t>o de</w:t>
      </w:r>
      <w:r w:rsidRPr="00A47712">
        <w:rPr>
          <w:rFonts w:ascii="Bookman Old Style" w:hAnsi="Bookman Old Style"/>
          <w:i/>
          <w:sz w:val="24"/>
        </w:rPr>
        <w:t xml:space="preserve"> Moody’s Investor’s Services Inc.</w:t>
      </w:r>
      <w:r w:rsidR="00C72361" w:rsidRPr="00A47712">
        <w:rPr>
          <w:rFonts w:ascii="Bookman Old Style" w:hAnsi="Bookman Old Style"/>
          <w:i/>
          <w:sz w:val="24"/>
        </w:rPr>
        <w:t xml:space="preserve"> </w:t>
      </w:r>
      <w:r w:rsidR="00C72361" w:rsidRPr="00A47712">
        <w:rPr>
          <w:rFonts w:ascii="Bookman Old Style" w:hAnsi="Bookman Old Style"/>
          <w:sz w:val="24"/>
        </w:rPr>
        <w:t>o</w:t>
      </w:r>
      <w:r w:rsidR="00C72361" w:rsidRPr="00A47712">
        <w:rPr>
          <w:rFonts w:ascii="Bookman Old Style" w:hAnsi="Bookman Old Style"/>
          <w:i/>
          <w:sz w:val="24"/>
        </w:rPr>
        <w:t xml:space="preserve"> </w:t>
      </w:r>
      <w:r w:rsidR="00C72361" w:rsidRPr="00A47712">
        <w:rPr>
          <w:rFonts w:ascii="Bookman Old Style" w:hAnsi="Bookman Old Style"/>
          <w:sz w:val="24"/>
        </w:rPr>
        <w:t>de</w:t>
      </w:r>
      <w:r w:rsidR="00C72361" w:rsidRPr="00A47712">
        <w:rPr>
          <w:rFonts w:ascii="Bookman Old Style" w:hAnsi="Bookman Old Style"/>
          <w:i/>
          <w:sz w:val="24"/>
        </w:rPr>
        <w:t xml:space="preserve"> Fitch Ratings</w:t>
      </w:r>
      <w:r w:rsidRPr="00371004">
        <w:rPr>
          <w:rFonts w:ascii="Bookman Old Style" w:hAnsi="Bookman Old Style"/>
          <w:sz w:val="24"/>
        </w:rPr>
        <w:t>, de al menos grado de inversión.</w:t>
      </w:r>
    </w:p>
    <w:p w14:paraId="072C4F2A" w14:textId="77777777" w:rsidR="00FA7BA7" w:rsidRPr="00371004" w:rsidRDefault="00FA7BA7" w:rsidP="00371004">
      <w:pPr>
        <w:pStyle w:val="Prrafodelista"/>
        <w:ind w:left="720" w:right="47"/>
        <w:jc w:val="both"/>
        <w:rPr>
          <w:rFonts w:ascii="Bookman Old Style" w:hAnsi="Bookman Old Style"/>
          <w:sz w:val="24"/>
        </w:rPr>
      </w:pPr>
    </w:p>
    <w:p w14:paraId="49E5AAEA" w14:textId="77777777" w:rsidR="006149A8" w:rsidRPr="00371004" w:rsidRDefault="006149A8" w:rsidP="006A1E56">
      <w:pPr>
        <w:pStyle w:val="Prrafodelista"/>
        <w:numPr>
          <w:ilvl w:val="1"/>
          <w:numId w:val="13"/>
        </w:numPr>
        <w:ind w:right="47"/>
        <w:jc w:val="both"/>
        <w:rPr>
          <w:rFonts w:ascii="Bookman Old Style" w:hAnsi="Bookman Old Style"/>
          <w:sz w:val="24"/>
        </w:rPr>
      </w:pPr>
      <w:r w:rsidRPr="00371004">
        <w:rPr>
          <w:rFonts w:ascii="Bookman Old Style" w:hAnsi="Bookman Old Style"/>
          <w:sz w:val="24"/>
        </w:rPr>
        <w:t>La entidad financiera otorgante deberá pagar al primer requerimiento del beneficiario.</w:t>
      </w:r>
    </w:p>
    <w:p w14:paraId="0ADAB6BE" w14:textId="77777777" w:rsidR="00FA7BA7" w:rsidRPr="00371004" w:rsidRDefault="00FA7BA7" w:rsidP="00FA7BA7">
      <w:pPr>
        <w:ind w:left="360" w:right="47"/>
        <w:jc w:val="both"/>
        <w:rPr>
          <w:rFonts w:ascii="Bookman Old Style" w:hAnsi="Bookman Old Style"/>
          <w:sz w:val="22"/>
        </w:rPr>
      </w:pPr>
    </w:p>
    <w:p w14:paraId="03A14170" w14:textId="77777777" w:rsidR="006149A8" w:rsidRPr="00371004" w:rsidRDefault="006149A8" w:rsidP="006A1E56">
      <w:pPr>
        <w:pStyle w:val="Prrafodelista"/>
        <w:numPr>
          <w:ilvl w:val="1"/>
          <w:numId w:val="13"/>
        </w:numPr>
        <w:ind w:right="47"/>
        <w:jc w:val="both"/>
        <w:rPr>
          <w:rFonts w:ascii="Bookman Old Style" w:hAnsi="Bookman Old Style"/>
          <w:sz w:val="24"/>
        </w:rPr>
      </w:pPr>
      <w:r w:rsidRPr="00371004">
        <w:rPr>
          <w:rFonts w:ascii="Bookman Old Style" w:hAnsi="Bookman Old Style"/>
          <w:sz w:val="24"/>
        </w:rPr>
        <w:t>La entidad financiera otorgante deberá pagar dentro de los dos (2) días hábiles siguientes a la fecha en que se realice el primer requerimiento siempre que se trate de una entidad financiera domiciliada en Colombia, o dentro de los quince (15) días calendario siguientes a la fecha en que se realice el primer requerimiento, siempre que se trate de una entidad financiera del exterior.</w:t>
      </w:r>
    </w:p>
    <w:p w14:paraId="5C5811D2" w14:textId="77777777" w:rsidR="00FA7BA7" w:rsidRPr="00371004" w:rsidRDefault="00FA7BA7" w:rsidP="00371004">
      <w:pPr>
        <w:pStyle w:val="Prrafodelista"/>
        <w:ind w:left="720" w:right="47"/>
        <w:jc w:val="both"/>
        <w:rPr>
          <w:rFonts w:ascii="Bookman Old Style" w:hAnsi="Bookman Old Style"/>
          <w:sz w:val="24"/>
        </w:rPr>
      </w:pPr>
    </w:p>
    <w:p w14:paraId="39B07E9B" w14:textId="77777777" w:rsidR="006149A8" w:rsidRPr="00371004" w:rsidRDefault="006149A8" w:rsidP="006A1E56">
      <w:pPr>
        <w:pStyle w:val="Prrafodelista"/>
        <w:numPr>
          <w:ilvl w:val="1"/>
          <w:numId w:val="13"/>
        </w:numPr>
        <w:ind w:right="47"/>
        <w:jc w:val="both"/>
        <w:rPr>
          <w:rFonts w:ascii="Bookman Old Style" w:hAnsi="Bookman Old Style"/>
          <w:sz w:val="24"/>
        </w:rPr>
      </w:pPr>
      <w:r w:rsidRPr="00371004">
        <w:rPr>
          <w:rFonts w:ascii="Bookman Old Style" w:hAnsi="Bookman Old Style"/>
          <w:sz w:val="24"/>
        </w:rPr>
        <w:t xml:space="preserve">El valor pagado por la entidad financiera otorgante deberá ser igual al valor total de la cobertura conforme con lo indicado en la presente resolución. Por tanto, el valor pagado debe ser neto, libre de cualquier tipo de deducción, depósito, comisión, encaje, impuesto, tasa, contribución, afectación o retención por parte de la entidad financiera otorgante o de las </w:t>
      </w:r>
      <w:r w:rsidRPr="00371004">
        <w:rPr>
          <w:rFonts w:ascii="Bookman Old Style" w:hAnsi="Bookman Old Style"/>
          <w:sz w:val="24"/>
        </w:rPr>
        <w:lastRenderedPageBreak/>
        <w:t>autoridades cambiarias, tributarias o de cualquier otra índole que pueda afectar el valor del desembolso de la garantía.</w:t>
      </w:r>
    </w:p>
    <w:p w14:paraId="42F5C791" w14:textId="1FA403AB" w:rsidR="00FA7BA7" w:rsidRDefault="00FA7BA7" w:rsidP="00371004">
      <w:pPr>
        <w:pStyle w:val="Prrafodelista"/>
        <w:ind w:left="720" w:right="47"/>
        <w:jc w:val="both"/>
        <w:rPr>
          <w:rFonts w:ascii="Bookman Old Style" w:hAnsi="Bookman Old Style"/>
        </w:rPr>
      </w:pPr>
    </w:p>
    <w:p w14:paraId="69F5D58C" w14:textId="77777777" w:rsidR="006149A8" w:rsidRPr="00371004" w:rsidRDefault="007044BF" w:rsidP="006A1E56">
      <w:pPr>
        <w:pStyle w:val="Prrafodelista"/>
        <w:numPr>
          <w:ilvl w:val="1"/>
          <w:numId w:val="13"/>
        </w:numPr>
        <w:ind w:right="47"/>
        <w:jc w:val="both"/>
        <w:rPr>
          <w:rFonts w:ascii="Bookman Old Style" w:hAnsi="Bookman Old Style"/>
          <w:sz w:val="24"/>
          <w:szCs w:val="24"/>
          <w:lang w:val="es-ES"/>
        </w:rPr>
      </w:pPr>
      <w:r w:rsidRPr="00371004">
        <w:rPr>
          <w:rFonts w:ascii="Bookman Old Style" w:hAnsi="Bookman Old Style"/>
          <w:sz w:val="24"/>
          <w:szCs w:val="24"/>
          <w:lang w:val="es-ES"/>
        </w:rPr>
        <w:t>L</w:t>
      </w:r>
      <w:r w:rsidR="006149A8" w:rsidRPr="00371004">
        <w:rPr>
          <w:rFonts w:ascii="Bookman Old Style" w:hAnsi="Bookman Old Style"/>
          <w:sz w:val="24"/>
          <w:szCs w:val="24"/>
          <w:lang w:val="es-ES"/>
        </w:rPr>
        <w:t xml:space="preserve">a entidad financiera otorgante de la garantía </w:t>
      </w:r>
      <w:r w:rsidRPr="00371004">
        <w:rPr>
          <w:rFonts w:ascii="Bookman Old Style" w:hAnsi="Bookman Old Style"/>
          <w:sz w:val="24"/>
          <w:szCs w:val="24"/>
          <w:lang w:val="es-ES"/>
        </w:rPr>
        <w:t xml:space="preserve">debe </w:t>
      </w:r>
      <w:r w:rsidR="006149A8" w:rsidRPr="00371004">
        <w:rPr>
          <w:rFonts w:ascii="Bookman Old Style" w:hAnsi="Bookman Old Style"/>
          <w:sz w:val="24"/>
          <w:szCs w:val="24"/>
          <w:lang w:val="es-ES"/>
        </w:rPr>
        <w:t>renunci</w:t>
      </w:r>
      <w:r w:rsidRPr="00371004">
        <w:rPr>
          <w:rFonts w:ascii="Bookman Old Style" w:hAnsi="Bookman Old Style"/>
          <w:sz w:val="24"/>
          <w:szCs w:val="24"/>
          <w:lang w:val="es-ES"/>
        </w:rPr>
        <w:t>ar</w:t>
      </w:r>
      <w:r w:rsidR="006149A8" w:rsidRPr="00371004">
        <w:rPr>
          <w:rFonts w:ascii="Bookman Old Style" w:hAnsi="Bookman Old Style"/>
          <w:sz w:val="24"/>
          <w:szCs w:val="24"/>
          <w:lang w:val="es-ES"/>
        </w:rPr>
        <w:t xml:space="preserve"> a requerimientos judiciales, extrajudiciales o de cualquier otro tipo, para el pago de la obligación garantizada, tanto en Colombia como en el exterior.</w:t>
      </w:r>
    </w:p>
    <w:p w14:paraId="170E4DD4" w14:textId="77777777" w:rsidR="00371004" w:rsidRPr="00371004" w:rsidRDefault="00371004" w:rsidP="00371004">
      <w:pPr>
        <w:ind w:left="0" w:right="47"/>
        <w:jc w:val="both"/>
        <w:rPr>
          <w:rFonts w:ascii="Bookman Old Style" w:hAnsi="Bookman Old Style"/>
        </w:rPr>
      </w:pPr>
    </w:p>
    <w:p w14:paraId="1ACC7C0F" w14:textId="77777777" w:rsidR="006149A8" w:rsidRPr="00371004" w:rsidRDefault="006149A8" w:rsidP="006A1E56">
      <w:pPr>
        <w:pStyle w:val="Prrafodelista"/>
        <w:numPr>
          <w:ilvl w:val="1"/>
          <w:numId w:val="13"/>
        </w:numPr>
        <w:ind w:right="47"/>
        <w:jc w:val="both"/>
        <w:rPr>
          <w:rFonts w:ascii="Bookman Old Style" w:hAnsi="Bookman Old Style"/>
          <w:sz w:val="24"/>
          <w:szCs w:val="24"/>
          <w:lang w:val="es-ES"/>
        </w:rPr>
      </w:pPr>
      <w:r w:rsidRPr="00371004">
        <w:rPr>
          <w:rFonts w:ascii="Bookman Old Style" w:hAnsi="Bookman Old Style"/>
          <w:sz w:val="24"/>
          <w:szCs w:val="24"/>
          <w:lang w:val="es-ES"/>
        </w:rPr>
        <w:t>Cuando se trate de garantías expedidas por entidades financieras domiciliadas en Colombia, el valor de la garantía constituida deberá estar calculado en moneda nacional o en dólares de los Estados Unidos de América y ser exigible de acuerdo con la Ley Colombiana.</w:t>
      </w:r>
    </w:p>
    <w:p w14:paraId="31C00E36" w14:textId="77777777" w:rsidR="00371004" w:rsidRPr="00371004" w:rsidRDefault="00371004" w:rsidP="00371004">
      <w:pPr>
        <w:ind w:left="0" w:right="47"/>
        <w:jc w:val="both"/>
        <w:rPr>
          <w:rFonts w:ascii="Bookman Old Style" w:hAnsi="Bookman Old Style"/>
        </w:rPr>
      </w:pPr>
    </w:p>
    <w:p w14:paraId="2FEE0163" w14:textId="75C7211A" w:rsidR="006149A8" w:rsidRPr="00371004" w:rsidRDefault="006149A8" w:rsidP="006A1E56">
      <w:pPr>
        <w:pStyle w:val="Prrafodelista"/>
        <w:numPr>
          <w:ilvl w:val="1"/>
          <w:numId w:val="13"/>
        </w:numPr>
        <w:ind w:right="47"/>
        <w:jc w:val="both"/>
        <w:rPr>
          <w:rFonts w:ascii="Bookman Old Style" w:hAnsi="Bookman Old Style"/>
          <w:sz w:val="24"/>
          <w:szCs w:val="24"/>
          <w:lang w:val="es-ES"/>
        </w:rPr>
      </w:pPr>
      <w:r w:rsidRPr="00371004">
        <w:rPr>
          <w:rFonts w:ascii="Bookman Old Style" w:hAnsi="Bookman Old Style"/>
          <w:sz w:val="24"/>
          <w:szCs w:val="24"/>
          <w:lang w:val="es-ES"/>
        </w:rPr>
        <w:t>Cuando</w:t>
      </w:r>
      <w:r w:rsidRPr="006149A8">
        <w:rPr>
          <w:rFonts w:ascii="Bookman Old Style" w:hAnsi="Bookman Old Style"/>
        </w:rPr>
        <w:t xml:space="preserve"> </w:t>
      </w:r>
      <w:r w:rsidRPr="00371004">
        <w:rPr>
          <w:rFonts w:ascii="Bookman Old Style" w:hAnsi="Bookman Old Style"/>
          <w:sz w:val="24"/>
          <w:szCs w:val="24"/>
          <w:lang w:val="es-ES"/>
        </w:rPr>
        <w:t xml:space="preserve">se trate de garantías expedidas por entidades financieras del exterior, el valor de la garantía constituida deberá estar calculado en dólares de los Estados Unidos de América, y ser exigible de acuerdo con las </w:t>
      </w:r>
      <w:r w:rsidR="00734D21">
        <w:rPr>
          <w:rFonts w:ascii="Bookman Old Style" w:hAnsi="Bookman Old Style"/>
          <w:sz w:val="24"/>
          <w:szCs w:val="24"/>
          <w:lang w:val="es-ES"/>
        </w:rPr>
        <w:t xml:space="preserve">Reglas y Usos Uniformes 600 de la </w:t>
      </w:r>
      <w:r w:rsidRPr="00371004">
        <w:rPr>
          <w:rFonts w:ascii="Bookman Old Style" w:hAnsi="Bookman Old Style"/>
          <w:sz w:val="24"/>
          <w:szCs w:val="24"/>
          <w:lang w:val="es-ES"/>
        </w:rPr>
        <w:t xml:space="preserve">Cámara de Comercio Internacional -CCI- (ICC Uniform Customs and Practice for Documentary Credits UCP </w:t>
      </w:r>
      <w:r w:rsidR="00734D21">
        <w:rPr>
          <w:rFonts w:ascii="Bookman Old Style" w:hAnsi="Bookman Old Style"/>
          <w:sz w:val="24"/>
          <w:szCs w:val="24"/>
          <w:lang w:val="es-ES"/>
        </w:rPr>
        <w:t>600) o aquellas n</w:t>
      </w:r>
      <w:r w:rsidRPr="00371004">
        <w:rPr>
          <w:rFonts w:ascii="Bookman Old Style" w:hAnsi="Bookman Old Style"/>
          <w:sz w:val="24"/>
          <w:szCs w:val="24"/>
          <w:lang w:val="es-ES"/>
        </w:rPr>
        <w:t>ormas que las modifiquen, ad</w:t>
      </w:r>
      <w:r w:rsidR="00734D21">
        <w:rPr>
          <w:rFonts w:ascii="Bookman Old Style" w:hAnsi="Bookman Old Style"/>
          <w:sz w:val="24"/>
          <w:szCs w:val="24"/>
          <w:lang w:val="es-ES"/>
        </w:rPr>
        <w:t>icionan o sustituyan y con las n</w:t>
      </w:r>
      <w:r w:rsidRPr="00371004">
        <w:rPr>
          <w:rFonts w:ascii="Bookman Old Style" w:hAnsi="Bookman Old Style"/>
          <w:sz w:val="24"/>
          <w:szCs w:val="24"/>
          <w:lang w:val="es-ES"/>
        </w:rPr>
        <w:t xml:space="preserve">ormas del estado </w:t>
      </w:r>
      <w:r w:rsidR="00804E1E" w:rsidRPr="00371004">
        <w:rPr>
          <w:rFonts w:ascii="Bookman Old Style" w:hAnsi="Bookman Old Style"/>
          <w:sz w:val="24"/>
          <w:szCs w:val="24"/>
          <w:lang w:val="es-ES"/>
        </w:rPr>
        <w:t xml:space="preserve">de </w:t>
      </w:r>
      <w:r w:rsidRPr="00371004">
        <w:rPr>
          <w:rFonts w:ascii="Bookman Old Style" w:hAnsi="Bookman Old Style"/>
          <w:sz w:val="24"/>
          <w:szCs w:val="24"/>
          <w:lang w:val="es-ES"/>
        </w:rPr>
        <w:t>Nueva York de los Estados Unidos de América. Cualquier disputa que pueda surgir en relación con la garantía entre el beneficiario y el otorgante, será resuelta definitivamente bajo las reglas de Conciliación y Arbitraje de la CCI, por uno o más árbitros designados, de acuerdo con las mencionadas reglas. En todo caso, uno de los árbitros será de nacionalidad colombiana.</w:t>
      </w:r>
    </w:p>
    <w:p w14:paraId="58B80FA6" w14:textId="77777777" w:rsidR="009B634D" w:rsidRPr="006149A8" w:rsidRDefault="009B634D" w:rsidP="00371004">
      <w:pPr>
        <w:pStyle w:val="Prrafodelista"/>
        <w:ind w:left="720" w:right="47"/>
        <w:jc w:val="both"/>
        <w:rPr>
          <w:rFonts w:ascii="Bookman Old Style" w:hAnsi="Bookman Old Style"/>
        </w:rPr>
      </w:pPr>
    </w:p>
    <w:p w14:paraId="283D4798" w14:textId="0DB2B9FA" w:rsidR="006149A8" w:rsidRDefault="006149A8" w:rsidP="009B634D">
      <w:pPr>
        <w:ind w:left="0" w:right="47"/>
        <w:jc w:val="both"/>
        <w:rPr>
          <w:rFonts w:ascii="Bookman Old Style" w:hAnsi="Bookman Old Style"/>
        </w:rPr>
      </w:pPr>
      <w:r w:rsidRPr="006149A8">
        <w:rPr>
          <w:rFonts w:ascii="Bookman Old Style" w:hAnsi="Bookman Old Style"/>
          <w:b/>
        </w:rPr>
        <w:t>Parágrafo 1.</w:t>
      </w:r>
      <w:r w:rsidRPr="006149A8">
        <w:rPr>
          <w:rFonts w:ascii="Bookman Old Style" w:hAnsi="Bookman Old Style"/>
        </w:rPr>
        <w:t xml:space="preserve"> Para efectos de demostrar el cumplimiento de los criterios </w:t>
      </w:r>
      <w:r w:rsidR="00371004">
        <w:rPr>
          <w:rFonts w:ascii="Bookman Old Style" w:hAnsi="Bookman Old Style"/>
        </w:rPr>
        <w:t>4.</w:t>
      </w:r>
      <w:r w:rsidRPr="006149A8">
        <w:rPr>
          <w:rFonts w:ascii="Bookman Old Style" w:hAnsi="Bookman Old Style"/>
        </w:rPr>
        <w:t xml:space="preserve">1 y </w:t>
      </w:r>
      <w:r w:rsidR="00371004">
        <w:rPr>
          <w:rFonts w:ascii="Bookman Old Style" w:hAnsi="Bookman Old Style"/>
        </w:rPr>
        <w:t>4.</w:t>
      </w:r>
      <w:r w:rsidRPr="006149A8">
        <w:rPr>
          <w:rFonts w:ascii="Bookman Old Style" w:hAnsi="Bookman Old Style"/>
        </w:rPr>
        <w:t xml:space="preserve">2 del presente artículo, los </w:t>
      </w:r>
      <w:r w:rsidR="009472C2">
        <w:rPr>
          <w:rFonts w:ascii="Bookman Old Style" w:hAnsi="Bookman Old Style"/>
        </w:rPr>
        <w:t xml:space="preserve">vendedores </w:t>
      </w:r>
      <w:r w:rsidRPr="006149A8">
        <w:rPr>
          <w:rFonts w:ascii="Bookman Old Style" w:hAnsi="Bookman Old Style"/>
        </w:rPr>
        <w:t xml:space="preserve">deberán acreditar al Administrador del Sistema de Intercambios Comerciales, ASIC, al momento de presentación, ajuste o reposición de las garantías, que la entidad financiera otorgante satisface los requerimientos indicados en estos criterios. Para las garantías con vigencia superior a un (1) año, la calificación de riesgo deberá ser actualizada anualmente, a partir de su presentación, por los </w:t>
      </w:r>
      <w:r w:rsidR="009472C2">
        <w:rPr>
          <w:rFonts w:ascii="Bookman Old Style" w:hAnsi="Bookman Old Style"/>
        </w:rPr>
        <w:t>vendedores</w:t>
      </w:r>
      <w:r w:rsidR="00734D21">
        <w:rPr>
          <w:rFonts w:ascii="Bookman Old Style" w:hAnsi="Bookman Old Style"/>
        </w:rPr>
        <w:t xml:space="preserve"> </w:t>
      </w:r>
      <w:r w:rsidRPr="006149A8">
        <w:rPr>
          <w:rFonts w:ascii="Bookman Old Style" w:hAnsi="Bookman Old Style"/>
        </w:rPr>
        <w:t xml:space="preserve">que estén obligados a presentar las respectivas garantías. </w:t>
      </w:r>
    </w:p>
    <w:p w14:paraId="51F06876" w14:textId="77777777" w:rsidR="009B634D" w:rsidRPr="006149A8" w:rsidRDefault="009B634D" w:rsidP="009B634D">
      <w:pPr>
        <w:ind w:left="0" w:right="47"/>
        <w:jc w:val="both"/>
        <w:rPr>
          <w:rFonts w:ascii="Bookman Old Style" w:hAnsi="Bookman Old Style"/>
        </w:rPr>
      </w:pPr>
    </w:p>
    <w:p w14:paraId="0EE45355" w14:textId="6F302C8F" w:rsidR="006149A8" w:rsidRDefault="006149A8" w:rsidP="009B634D">
      <w:pPr>
        <w:ind w:left="0" w:right="47"/>
        <w:jc w:val="both"/>
        <w:rPr>
          <w:rFonts w:ascii="Bookman Old Style" w:hAnsi="Bookman Old Style"/>
        </w:rPr>
      </w:pPr>
      <w:r w:rsidRPr="006149A8">
        <w:rPr>
          <w:rFonts w:ascii="Bookman Old Style" w:hAnsi="Bookman Old Style"/>
          <w:b/>
        </w:rPr>
        <w:t>Parágrafo 2.</w:t>
      </w:r>
      <w:r w:rsidRPr="006149A8">
        <w:rPr>
          <w:rFonts w:ascii="Bookman Old Style" w:hAnsi="Bookman Old Style"/>
        </w:rPr>
        <w:t xml:space="preserve"> El </w:t>
      </w:r>
      <w:r w:rsidR="009472C2">
        <w:rPr>
          <w:rFonts w:ascii="Bookman Old Style" w:hAnsi="Bookman Old Style"/>
        </w:rPr>
        <w:t xml:space="preserve">vendedor </w:t>
      </w:r>
      <w:r w:rsidRPr="006149A8">
        <w:rPr>
          <w:rFonts w:ascii="Bookman Old Style" w:hAnsi="Bookman Old Style"/>
        </w:rPr>
        <w:t xml:space="preserve">deberá informar al Administrador del Sistema de Intercambios Comerciales, ASIC, cualquier modificación en la calificación de que tratan los numerales </w:t>
      </w:r>
      <w:r w:rsidR="00371004">
        <w:rPr>
          <w:rFonts w:ascii="Bookman Old Style" w:hAnsi="Bookman Old Style"/>
        </w:rPr>
        <w:t>4.1</w:t>
      </w:r>
      <w:r w:rsidRPr="006149A8">
        <w:rPr>
          <w:rFonts w:ascii="Bookman Old Style" w:hAnsi="Bookman Old Style"/>
        </w:rPr>
        <w:t xml:space="preserve"> y </w:t>
      </w:r>
      <w:r w:rsidR="00371004">
        <w:rPr>
          <w:rFonts w:ascii="Bookman Old Style" w:hAnsi="Bookman Old Style"/>
        </w:rPr>
        <w:t>4.</w:t>
      </w:r>
      <w:r w:rsidRPr="006149A8">
        <w:rPr>
          <w:rFonts w:ascii="Bookman Old Style" w:hAnsi="Bookman Old Style"/>
        </w:rPr>
        <w:t>2 del presente artículo, así como también toda circunstancia que afecte o pueda llegar a afectar en cualquier forma la garantía o la efectividad de la misma. Dicha información deberá ser comunicada a más tardar quince (15) días hábiles después de ocurrido el hecho.</w:t>
      </w:r>
    </w:p>
    <w:p w14:paraId="685D9CE6" w14:textId="77777777" w:rsidR="0037755F" w:rsidRDefault="0037755F" w:rsidP="009B634D">
      <w:pPr>
        <w:ind w:left="0" w:right="47"/>
        <w:jc w:val="both"/>
        <w:rPr>
          <w:rFonts w:ascii="Bookman Old Style" w:hAnsi="Bookman Old Style"/>
        </w:rPr>
      </w:pPr>
    </w:p>
    <w:p w14:paraId="6A590628" w14:textId="69956C74" w:rsidR="0037755F" w:rsidRPr="006149A8" w:rsidRDefault="0037755F" w:rsidP="009B634D">
      <w:pPr>
        <w:ind w:left="0" w:right="47"/>
        <w:jc w:val="both"/>
        <w:rPr>
          <w:rFonts w:ascii="Bookman Old Style" w:hAnsi="Bookman Old Style"/>
        </w:rPr>
      </w:pPr>
      <w:r w:rsidRPr="006571A7">
        <w:rPr>
          <w:rFonts w:ascii="Bookman Old Style" w:hAnsi="Bookman Old Style"/>
          <w:b/>
        </w:rPr>
        <w:t>Parágrafo 3.</w:t>
      </w:r>
      <w:r>
        <w:rPr>
          <w:rFonts w:ascii="Bookman Old Style" w:hAnsi="Bookman Old Style"/>
        </w:rPr>
        <w:t xml:space="preserve"> </w:t>
      </w:r>
      <w:r w:rsidRPr="001F1585">
        <w:rPr>
          <w:rFonts w:ascii="Bookman Old Style" w:hAnsi="Bookman Old Style"/>
        </w:rPr>
        <w:t>Cuando se trate de garantías expedidas en dólares de los Estados Unidos de América, el valor de la garantía constituida deberá estar calculada a la Tasa Representativa del Mercado vigente el d</w:t>
      </w:r>
      <w:r w:rsidR="0099682B">
        <w:rPr>
          <w:rFonts w:ascii="Bookman Old Style" w:hAnsi="Bookman Old Style"/>
        </w:rPr>
        <w:t>ía de</w:t>
      </w:r>
      <w:r w:rsidRPr="00507F28">
        <w:rPr>
          <w:rFonts w:ascii="Bookman Old Style" w:hAnsi="Bookman Old Style"/>
        </w:rPr>
        <w:t xml:space="preserve"> la fecha de </w:t>
      </w:r>
      <w:r>
        <w:rPr>
          <w:rFonts w:ascii="Bookman Old Style" w:hAnsi="Bookman Old Style"/>
        </w:rPr>
        <w:t>adjudicación del mecanismo</w:t>
      </w:r>
      <w:r w:rsidR="00734D21">
        <w:rPr>
          <w:rFonts w:ascii="Bookman Old Style" w:hAnsi="Bookman Old Style"/>
        </w:rPr>
        <w:t>, conforme a</w:t>
      </w:r>
      <w:r w:rsidR="001D774D">
        <w:rPr>
          <w:rFonts w:ascii="Bookman Old Style" w:hAnsi="Bookman Old Style"/>
        </w:rPr>
        <w:t xml:space="preserve"> </w:t>
      </w:r>
      <w:r w:rsidR="00734D21">
        <w:rPr>
          <w:rFonts w:ascii="Bookman Old Style" w:hAnsi="Bookman Old Style"/>
        </w:rPr>
        <w:t>l</w:t>
      </w:r>
      <w:r w:rsidR="001D774D">
        <w:rPr>
          <w:rFonts w:ascii="Bookman Old Style" w:hAnsi="Bookman Old Style"/>
        </w:rPr>
        <w:t>o establecido en el parágrafo del artículo 6 de la presente resolución.</w:t>
      </w:r>
    </w:p>
    <w:p w14:paraId="744E2E3B" w14:textId="2E7527D5" w:rsidR="006149A8" w:rsidRDefault="006149A8" w:rsidP="006149A8">
      <w:pPr>
        <w:pStyle w:val="Artculo"/>
        <w:ind w:left="0" w:firstLine="0"/>
        <w:rPr>
          <w:b w:val="0"/>
        </w:rPr>
      </w:pPr>
      <w:r w:rsidRPr="006149A8">
        <w:t xml:space="preserve">Garantías Admisibles. </w:t>
      </w:r>
      <w:r w:rsidRPr="006149A8">
        <w:rPr>
          <w:b w:val="0"/>
        </w:rPr>
        <w:t xml:space="preserve">Los </w:t>
      </w:r>
      <w:r w:rsidR="009472C2">
        <w:rPr>
          <w:b w:val="0"/>
        </w:rPr>
        <w:t xml:space="preserve">vendedores </w:t>
      </w:r>
      <w:r w:rsidRPr="006149A8">
        <w:rPr>
          <w:b w:val="0"/>
        </w:rPr>
        <w:t xml:space="preserve">deberán garantizar el cumplimiento de las obligaciones señaladas en </w:t>
      </w:r>
      <w:r w:rsidR="00751D25">
        <w:rPr>
          <w:b w:val="0"/>
        </w:rPr>
        <w:t xml:space="preserve">el artículo 3 de </w:t>
      </w:r>
      <w:r w:rsidRPr="006149A8">
        <w:rPr>
          <w:b w:val="0"/>
        </w:rPr>
        <w:t>esta resolución mediante uno o varios de los siguientes instrumentos:</w:t>
      </w:r>
    </w:p>
    <w:p w14:paraId="5F85D10C" w14:textId="77777777" w:rsidR="00AA215F" w:rsidRPr="00AA215F" w:rsidRDefault="00AA215F" w:rsidP="00AA215F">
      <w:pPr>
        <w:pStyle w:val="articulo"/>
      </w:pPr>
    </w:p>
    <w:p w14:paraId="76507761" w14:textId="587B214C" w:rsidR="006149A8" w:rsidRDefault="006149A8" w:rsidP="006A1E56">
      <w:pPr>
        <w:pStyle w:val="Prrafodelista"/>
        <w:numPr>
          <w:ilvl w:val="1"/>
          <w:numId w:val="12"/>
        </w:numPr>
        <w:jc w:val="both"/>
        <w:rPr>
          <w:rFonts w:ascii="Bookman Old Style" w:hAnsi="Bookman Old Style"/>
          <w:b/>
          <w:sz w:val="24"/>
        </w:rPr>
      </w:pPr>
      <w:r w:rsidRPr="00371004">
        <w:rPr>
          <w:rFonts w:ascii="Bookman Old Style" w:hAnsi="Bookman Old Style"/>
          <w:b/>
          <w:sz w:val="24"/>
        </w:rPr>
        <w:t>Instrumentos Admisibles para Garantías Nacionales:</w:t>
      </w:r>
    </w:p>
    <w:p w14:paraId="0800BE73" w14:textId="77777777" w:rsidR="006149A8" w:rsidRPr="006149A8" w:rsidRDefault="006149A8" w:rsidP="006A1E56">
      <w:pPr>
        <w:pStyle w:val="Prrafodelista"/>
        <w:numPr>
          <w:ilvl w:val="1"/>
          <w:numId w:val="3"/>
        </w:numPr>
        <w:spacing w:before="120" w:after="240"/>
        <w:ind w:left="788" w:hanging="431"/>
        <w:jc w:val="both"/>
        <w:rPr>
          <w:rFonts w:ascii="Bookman Old Style" w:hAnsi="Bookman Old Style"/>
          <w:sz w:val="24"/>
          <w:szCs w:val="24"/>
        </w:rPr>
      </w:pPr>
      <w:r w:rsidRPr="006149A8">
        <w:rPr>
          <w:rFonts w:ascii="Bookman Old Style" w:hAnsi="Bookman Old Style"/>
          <w:b/>
          <w:sz w:val="24"/>
          <w:szCs w:val="24"/>
        </w:rPr>
        <w:t>Garantía Bancaria:</w:t>
      </w:r>
      <w:r w:rsidRPr="006149A8">
        <w:rPr>
          <w:rFonts w:ascii="Bookman Old Style" w:hAnsi="Bookman Old Style"/>
          <w:sz w:val="24"/>
          <w:szCs w:val="24"/>
        </w:rPr>
        <w:t xml:space="preserve"> Instrumento mediante el cual una institución financiera debidamente autorizada por la Superintendencia Financiera, garantiza de forma incondicional e irrevocable el pago de las obligaciones indicadas en la presente resolución. La Garantía será pagadera a la vista y contra el primer requerimiento escrito en el cual XM S.A. E.S.P., en calidad de ASIC, informe que el agente no ha dado cumplimiento a las obligaciones objeto de la garantía. La forma y perfeccionamiento de esta garantía se regirá por las normas del Código de Comercio que regulan la materia y por las demás disposiciones aplicables.</w:t>
      </w:r>
    </w:p>
    <w:p w14:paraId="1F96FF25" w14:textId="77777777" w:rsidR="006149A8" w:rsidRPr="006149A8" w:rsidRDefault="006149A8" w:rsidP="006A1E56">
      <w:pPr>
        <w:pStyle w:val="Prrafodelista"/>
        <w:numPr>
          <w:ilvl w:val="1"/>
          <w:numId w:val="3"/>
        </w:numPr>
        <w:spacing w:before="120" w:after="240"/>
        <w:jc w:val="both"/>
        <w:rPr>
          <w:rFonts w:ascii="Bookman Old Style" w:hAnsi="Bookman Old Style"/>
          <w:sz w:val="24"/>
          <w:szCs w:val="24"/>
        </w:rPr>
      </w:pPr>
      <w:r w:rsidRPr="006149A8">
        <w:rPr>
          <w:rFonts w:ascii="Bookman Old Style" w:hAnsi="Bookman Old Style"/>
          <w:b/>
          <w:sz w:val="24"/>
          <w:szCs w:val="24"/>
        </w:rPr>
        <w:t>Aval Bancario:</w:t>
      </w:r>
      <w:r w:rsidRPr="006149A8">
        <w:rPr>
          <w:rFonts w:ascii="Bookman Old Style" w:hAnsi="Bookman Old Style"/>
          <w:sz w:val="24"/>
          <w:szCs w:val="24"/>
        </w:rPr>
        <w:t xml:space="preserve"> instrumento mediante el cual una institución financiera debidamente autorizada por la Superintendencia Financiera, interviene como avalista respecto de un título valor, para garantizar el pago de las obligaciones indicadas en la presente resolución. La forma y perfeccio</w:t>
      </w:r>
      <w:r w:rsidRPr="006149A8">
        <w:rPr>
          <w:rFonts w:ascii="Bookman Old Style" w:hAnsi="Bookman Old Style"/>
          <w:sz w:val="24"/>
          <w:szCs w:val="24"/>
        </w:rPr>
        <w:softHyphen/>
        <w:t>namiento de esta garantía se regirá por las normas del Código de Comercio que regulan la materia y por las demás disposiciones aplicables.</w:t>
      </w:r>
    </w:p>
    <w:p w14:paraId="7EC6FF36" w14:textId="77777777" w:rsidR="006149A8" w:rsidRPr="006149A8" w:rsidRDefault="006149A8" w:rsidP="006A1E56">
      <w:pPr>
        <w:pStyle w:val="Prrafodelista"/>
        <w:numPr>
          <w:ilvl w:val="1"/>
          <w:numId w:val="3"/>
        </w:numPr>
        <w:spacing w:before="120" w:after="240"/>
        <w:jc w:val="both"/>
        <w:rPr>
          <w:rFonts w:ascii="Bookman Old Style" w:hAnsi="Bookman Old Style"/>
          <w:sz w:val="24"/>
          <w:szCs w:val="24"/>
        </w:rPr>
      </w:pPr>
      <w:r w:rsidRPr="006149A8">
        <w:rPr>
          <w:rFonts w:ascii="Bookman Old Style" w:hAnsi="Bookman Old Style"/>
          <w:b/>
          <w:sz w:val="24"/>
          <w:szCs w:val="24"/>
        </w:rPr>
        <w:t xml:space="preserve">Carta de Crédito </w:t>
      </w:r>
      <w:r w:rsidRPr="006149A8">
        <w:rPr>
          <w:rFonts w:ascii="Bookman Old Style" w:hAnsi="Bookman Old Style"/>
          <w:b/>
          <w:i/>
          <w:sz w:val="24"/>
          <w:szCs w:val="24"/>
        </w:rPr>
        <w:t>Stand By</w:t>
      </w:r>
      <w:r w:rsidRPr="006149A8">
        <w:rPr>
          <w:rFonts w:ascii="Bookman Old Style" w:hAnsi="Bookman Old Style"/>
          <w:b/>
          <w:sz w:val="24"/>
          <w:szCs w:val="24"/>
        </w:rPr>
        <w:t>:</w:t>
      </w:r>
      <w:r w:rsidRPr="006149A8">
        <w:rPr>
          <w:rFonts w:ascii="Bookman Old Style" w:hAnsi="Bookman Old Style"/>
          <w:sz w:val="24"/>
          <w:szCs w:val="24"/>
        </w:rPr>
        <w:t xml:space="preserve"> crédito documental e irrevocable, mediante el cual una institución financiera debidamente autorizada por la Superintendencia Financiera, se compromete directamente o por intermedio de un banco corresponsal, al pago de las obligaciones indicadas en la presente resolución, contra la previa presentación de la Carta de Crédito </w:t>
      </w:r>
      <w:r w:rsidRPr="006149A8">
        <w:rPr>
          <w:rFonts w:ascii="Bookman Old Style" w:hAnsi="Bookman Old Style"/>
          <w:i/>
          <w:sz w:val="24"/>
          <w:szCs w:val="24"/>
        </w:rPr>
        <w:t>Stand By</w:t>
      </w:r>
      <w:r w:rsidRPr="006149A8">
        <w:rPr>
          <w:rFonts w:ascii="Bookman Old Style" w:hAnsi="Bookman Old Style"/>
          <w:sz w:val="24"/>
          <w:szCs w:val="24"/>
        </w:rPr>
        <w:t>. La forma y perfeccionamiento de est</w:t>
      </w:r>
      <w:r w:rsidR="00751D25">
        <w:rPr>
          <w:rFonts w:ascii="Bookman Old Style" w:hAnsi="Bookman Old Style"/>
          <w:sz w:val="24"/>
          <w:szCs w:val="24"/>
        </w:rPr>
        <w:t>e tipo de garantía</w:t>
      </w:r>
      <w:r w:rsidRPr="006149A8">
        <w:rPr>
          <w:rFonts w:ascii="Bookman Old Style" w:hAnsi="Bookman Old Style"/>
          <w:sz w:val="24"/>
          <w:szCs w:val="24"/>
        </w:rPr>
        <w:t xml:space="preserve"> se regirá por las normas del Código de Comercio que regulan la materia y por las demás disposiciones aplicables.</w:t>
      </w:r>
    </w:p>
    <w:p w14:paraId="3339B37A" w14:textId="77777777" w:rsidR="006149A8" w:rsidRPr="00371004" w:rsidRDefault="006149A8" w:rsidP="006A1E56">
      <w:pPr>
        <w:pStyle w:val="Prrafodelista"/>
        <w:numPr>
          <w:ilvl w:val="1"/>
          <w:numId w:val="12"/>
        </w:numPr>
        <w:jc w:val="both"/>
        <w:rPr>
          <w:rFonts w:ascii="Bookman Old Style" w:hAnsi="Bookman Old Style"/>
          <w:b/>
          <w:sz w:val="24"/>
        </w:rPr>
      </w:pPr>
      <w:r w:rsidRPr="00371004">
        <w:rPr>
          <w:rFonts w:ascii="Bookman Old Style" w:hAnsi="Bookman Old Style"/>
          <w:b/>
          <w:sz w:val="24"/>
        </w:rPr>
        <w:t>Instrumentos Admisibles para Garantías Internacionales:</w:t>
      </w:r>
    </w:p>
    <w:p w14:paraId="47A728B6" w14:textId="77777777" w:rsidR="006149A8" w:rsidRPr="00371004" w:rsidRDefault="006149A8" w:rsidP="006A1E56">
      <w:pPr>
        <w:pStyle w:val="Prrafodelista"/>
        <w:numPr>
          <w:ilvl w:val="0"/>
          <w:numId w:val="14"/>
        </w:numPr>
        <w:spacing w:before="120"/>
        <w:jc w:val="both"/>
        <w:rPr>
          <w:rFonts w:ascii="Bookman Old Style" w:hAnsi="Bookman Old Style"/>
          <w:sz w:val="24"/>
        </w:rPr>
      </w:pPr>
      <w:r w:rsidRPr="00371004">
        <w:rPr>
          <w:rFonts w:ascii="Bookman Old Style" w:hAnsi="Bookman Old Style"/>
          <w:b/>
          <w:sz w:val="24"/>
        </w:rPr>
        <w:t xml:space="preserve">Carta de Crédito </w:t>
      </w:r>
      <w:r w:rsidRPr="00371004">
        <w:rPr>
          <w:rFonts w:ascii="Bookman Old Style" w:hAnsi="Bookman Old Style"/>
          <w:b/>
          <w:i/>
          <w:sz w:val="24"/>
        </w:rPr>
        <w:t>Stand By</w:t>
      </w:r>
      <w:r w:rsidRPr="00371004">
        <w:rPr>
          <w:rFonts w:ascii="Bookman Old Style" w:hAnsi="Bookman Old Style"/>
          <w:b/>
          <w:sz w:val="24"/>
        </w:rPr>
        <w:t>:</w:t>
      </w:r>
      <w:r w:rsidRPr="00371004">
        <w:rPr>
          <w:rFonts w:ascii="Bookman Old Style" w:hAnsi="Bookman Old Style"/>
          <w:sz w:val="24"/>
        </w:rPr>
        <w:t xml:space="preserve"> crédito documental e irrevocable mediante el cual una institución financiera se compromete directamente o por intermedio de un banco corresponsal, al pago de las obligaciones indicadas en la presente resolución, contra la previa presentación de la Carta de Crédito </w:t>
      </w:r>
      <w:r w:rsidRPr="00371004">
        <w:rPr>
          <w:rFonts w:ascii="Bookman Old Style" w:hAnsi="Bookman Old Style"/>
          <w:i/>
          <w:sz w:val="24"/>
        </w:rPr>
        <w:t>Stand By</w:t>
      </w:r>
      <w:r w:rsidRPr="00371004">
        <w:rPr>
          <w:rFonts w:ascii="Bookman Old Style" w:hAnsi="Bookman Old Style"/>
          <w:sz w:val="24"/>
        </w:rPr>
        <w:t xml:space="preserve">. </w:t>
      </w:r>
    </w:p>
    <w:p w14:paraId="72D19C57" w14:textId="6799A2F1" w:rsidR="0075140D" w:rsidRDefault="00363F3E" w:rsidP="0075140D">
      <w:pPr>
        <w:pStyle w:val="Artculo"/>
        <w:spacing w:after="0"/>
        <w:ind w:left="0" w:firstLine="0"/>
        <w:rPr>
          <w:b w:val="0"/>
        </w:rPr>
      </w:pPr>
      <w:r>
        <w:t>Valor de la c</w:t>
      </w:r>
      <w:r w:rsidR="00D97AAA" w:rsidRPr="006149A8">
        <w:t xml:space="preserve">obertura. </w:t>
      </w:r>
      <w:r w:rsidR="00D97AAA" w:rsidRPr="006149A8">
        <w:rPr>
          <w:b w:val="0"/>
        </w:rPr>
        <w:t>La garantía de que trata esta resolució</w:t>
      </w:r>
      <w:r>
        <w:rPr>
          <w:b w:val="0"/>
        </w:rPr>
        <w:t>n se otorgará por un valor</w:t>
      </w:r>
      <w:r w:rsidR="00BA285D">
        <w:rPr>
          <w:b w:val="0"/>
        </w:rPr>
        <w:t xml:space="preserve">, </w:t>
      </w:r>
      <w:r w:rsidR="00D97AAA" w:rsidRPr="006149A8">
        <w:rPr>
          <w:b w:val="0"/>
        </w:rPr>
        <w:t xml:space="preserve">equivalente en pesos colombianos, igual al 10% del </w:t>
      </w:r>
      <w:r w:rsidR="00D97AAA">
        <w:rPr>
          <w:b w:val="0"/>
        </w:rPr>
        <w:t xml:space="preserve">total de la </w:t>
      </w:r>
      <w:r w:rsidR="00D97AAA" w:rsidRPr="006149A8">
        <w:rPr>
          <w:b w:val="0"/>
        </w:rPr>
        <w:t xml:space="preserve">energía adjudicada </w:t>
      </w:r>
      <w:r w:rsidR="00D97AAA">
        <w:rPr>
          <w:b w:val="0"/>
        </w:rPr>
        <w:t xml:space="preserve">para </w:t>
      </w:r>
      <w:r>
        <w:rPr>
          <w:b w:val="0"/>
        </w:rPr>
        <w:t>cada</w:t>
      </w:r>
      <w:r w:rsidR="0075140D">
        <w:rPr>
          <w:b w:val="0"/>
        </w:rPr>
        <w:t xml:space="preserve"> vendedor con la</w:t>
      </w:r>
      <w:r w:rsidR="00703966">
        <w:rPr>
          <w:b w:val="0"/>
        </w:rPr>
        <w:t xml:space="preserve"> planta asociada a dicha energía</w:t>
      </w:r>
      <w:r>
        <w:rPr>
          <w:b w:val="0"/>
        </w:rPr>
        <w:t xml:space="preserve">, para </w:t>
      </w:r>
      <w:r w:rsidR="00D97AAA">
        <w:rPr>
          <w:b w:val="0"/>
        </w:rPr>
        <w:t>un año, para cada hora, en los contratos resultantes del mecanismo establecido en las resoluciones 4 0590</w:t>
      </w:r>
      <w:r w:rsidR="00984468">
        <w:rPr>
          <w:b w:val="0"/>
        </w:rPr>
        <w:t xml:space="preserve"> de 2019</w:t>
      </w:r>
      <w:r>
        <w:rPr>
          <w:b w:val="0"/>
        </w:rPr>
        <w:t>, modificada por la resolución 4 0678 de 2019</w:t>
      </w:r>
      <w:r w:rsidR="00D97AAA">
        <w:rPr>
          <w:b w:val="0"/>
        </w:rPr>
        <w:t xml:space="preserve"> y 4 0591 de 2019</w:t>
      </w:r>
      <w:r w:rsidRPr="00363F3E">
        <w:rPr>
          <w:b w:val="0"/>
        </w:rPr>
        <w:t xml:space="preserve"> </w:t>
      </w:r>
      <w:r>
        <w:rPr>
          <w:b w:val="0"/>
        </w:rPr>
        <w:t>del Ministerio de Minas y Energía</w:t>
      </w:r>
      <w:r w:rsidR="00D97AAA" w:rsidRPr="006149A8">
        <w:rPr>
          <w:b w:val="0"/>
        </w:rPr>
        <w:t xml:space="preserve">, </w:t>
      </w:r>
      <w:r w:rsidR="00D97AAA" w:rsidRPr="00FF46CA">
        <w:rPr>
          <w:b w:val="0"/>
        </w:rPr>
        <w:t>multiplicada por el precio horario de cada contrato actualizado de acuerdo a lo establecido en el artículo 9 de la resolución</w:t>
      </w:r>
      <w:r w:rsidRPr="006571A7">
        <w:rPr>
          <w:b w:val="0"/>
        </w:rPr>
        <w:t xml:space="preserve"> 4 0590 </w:t>
      </w:r>
      <w:r w:rsidR="00984468" w:rsidRPr="006571A7">
        <w:rPr>
          <w:b w:val="0"/>
        </w:rPr>
        <w:t xml:space="preserve">de 2019 </w:t>
      </w:r>
      <w:r w:rsidRPr="006571A7">
        <w:rPr>
          <w:b w:val="0"/>
        </w:rPr>
        <w:t>del Minister</w:t>
      </w:r>
      <w:r w:rsidR="00D97AAA" w:rsidRPr="006571A7">
        <w:rPr>
          <w:b w:val="0"/>
        </w:rPr>
        <w:t>io de Minas y Energía.</w:t>
      </w:r>
      <w:r w:rsidR="00A34878">
        <w:rPr>
          <w:b w:val="0"/>
        </w:rPr>
        <w:t xml:space="preserve"> </w:t>
      </w:r>
    </w:p>
    <w:p w14:paraId="6E67A7B8" w14:textId="65259EC2" w:rsidR="00D97AAA" w:rsidRDefault="00A34878" w:rsidP="00335DD7">
      <w:pPr>
        <w:pStyle w:val="Artculo"/>
        <w:numPr>
          <w:ilvl w:val="0"/>
          <w:numId w:val="0"/>
        </w:numPr>
        <w:spacing w:after="0"/>
        <w:rPr>
          <w:b w:val="0"/>
        </w:rPr>
      </w:pPr>
      <w:r w:rsidRPr="0075140D">
        <w:rPr>
          <w:b w:val="0"/>
        </w:rPr>
        <w:t>Así mismo, el valor de cobertura deberá considerar la energía asignada en el mecanismo complementario de asignación al que hace referencia el artículo 6 de la resolución 4 0591 de 2019 del Ministerio de Minas y Energía multiplicada por el precio que se defina para los contratos de dicho mecanismo.</w:t>
      </w:r>
    </w:p>
    <w:p w14:paraId="5D23CD48" w14:textId="0B582ECA" w:rsidR="00734D21" w:rsidRDefault="00734D21" w:rsidP="00734D21">
      <w:pPr>
        <w:ind w:left="0"/>
        <w:rPr>
          <w:rFonts w:ascii="Bookman Old Style" w:hAnsi="Bookman Old Style" w:cs="Arial"/>
        </w:rPr>
      </w:pPr>
    </w:p>
    <w:p w14:paraId="5107A485" w14:textId="2472966E" w:rsidR="00655797" w:rsidRDefault="00655797" w:rsidP="00734D21">
      <w:pPr>
        <w:ind w:left="0"/>
        <w:rPr>
          <w:rFonts w:ascii="Bookman Old Style" w:hAnsi="Bookman Old Style" w:cs="Arial"/>
        </w:rPr>
      </w:pPr>
    </w:p>
    <w:p w14:paraId="49761CC2" w14:textId="3A8B4F8A" w:rsidR="00734D21" w:rsidRPr="00734D21" w:rsidRDefault="00734D21" w:rsidP="00734D21">
      <w:pPr>
        <w:ind w:left="0"/>
        <w:jc w:val="both"/>
      </w:pPr>
      <w:r>
        <w:rPr>
          <w:rFonts w:ascii="Bookman Old Style" w:hAnsi="Bookman Old Style" w:cs="Arial"/>
          <w:b/>
        </w:rPr>
        <w:t xml:space="preserve">Parágrafo. </w:t>
      </w:r>
      <w:r>
        <w:rPr>
          <w:rFonts w:ascii="Bookman Old Style" w:hAnsi="Bookman Old Style" w:cs="Arial"/>
        </w:rPr>
        <w:t>Una vez concluida la subasta, la UPME estimará el valor de la cobertura</w:t>
      </w:r>
      <w:r w:rsidR="001D774D">
        <w:rPr>
          <w:rFonts w:ascii="Bookman Old Style" w:hAnsi="Bookman Old Style" w:cs="Arial"/>
        </w:rPr>
        <w:t>,</w:t>
      </w:r>
      <w:r>
        <w:rPr>
          <w:rFonts w:ascii="Bookman Old Style" w:hAnsi="Bookman Old Style" w:cs="Arial"/>
        </w:rPr>
        <w:t xml:space="preserve"> </w:t>
      </w:r>
      <w:r w:rsidR="001D774D">
        <w:rPr>
          <w:rFonts w:ascii="Bookman Old Style" w:hAnsi="Bookman Old Style" w:cs="Arial"/>
        </w:rPr>
        <w:t xml:space="preserve">en pesos colombianos, </w:t>
      </w:r>
      <w:r>
        <w:rPr>
          <w:rFonts w:ascii="Bookman Old Style" w:hAnsi="Bookman Old Style" w:cs="Arial"/>
        </w:rPr>
        <w:t xml:space="preserve">de la garantía de cada una de las plantas y le informará estos valores al ASIC. </w:t>
      </w:r>
    </w:p>
    <w:p w14:paraId="199A3043" w14:textId="77777777" w:rsidR="00927865" w:rsidRDefault="00927865" w:rsidP="00927865">
      <w:pPr>
        <w:pStyle w:val="Artculo"/>
        <w:ind w:left="0" w:firstLine="0"/>
        <w:rPr>
          <w:b w:val="0"/>
        </w:rPr>
      </w:pPr>
      <w:r w:rsidRPr="006149A8">
        <w:t>V</w:t>
      </w:r>
      <w:r>
        <w:t>igencia de las g</w:t>
      </w:r>
      <w:r w:rsidRPr="006149A8">
        <w:t xml:space="preserve">arantías. </w:t>
      </w:r>
      <w:r w:rsidRPr="006149A8">
        <w:rPr>
          <w:b w:val="0"/>
        </w:rPr>
        <w:t xml:space="preserve">La vigencia de las garantías </w:t>
      </w:r>
      <w:r w:rsidR="00984468">
        <w:rPr>
          <w:b w:val="0"/>
        </w:rPr>
        <w:t xml:space="preserve">deberá cubrir el periodo comprendido entre la fecha </w:t>
      </w:r>
      <w:r w:rsidR="00703966">
        <w:rPr>
          <w:b w:val="0"/>
        </w:rPr>
        <w:t>máxima de entrega al ASIC de la garantía de puesta en operación comercial</w:t>
      </w:r>
      <w:r w:rsidR="0037755F">
        <w:rPr>
          <w:b w:val="0"/>
        </w:rPr>
        <w:t xml:space="preserve"> al que hace referencia</w:t>
      </w:r>
      <w:r w:rsidR="00F162FF">
        <w:rPr>
          <w:b w:val="0"/>
        </w:rPr>
        <w:t xml:space="preserve"> el numeral 23 del cronograma del numeral 5 de</w:t>
      </w:r>
      <w:r w:rsidR="0037755F">
        <w:rPr>
          <w:b w:val="0"/>
        </w:rPr>
        <w:t xml:space="preserve"> los pliegos de condiciones establecidos por la UPME</w:t>
      </w:r>
      <w:r w:rsidRPr="006149A8">
        <w:rPr>
          <w:b w:val="0"/>
        </w:rPr>
        <w:t xml:space="preserve"> </w:t>
      </w:r>
      <w:r w:rsidR="00984468">
        <w:rPr>
          <w:b w:val="0"/>
        </w:rPr>
        <w:t>y</w:t>
      </w:r>
      <w:r>
        <w:rPr>
          <w:b w:val="0"/>
        </w:rPr>
        <w:t xml:space="preserve"> </w:t>
      </w:r>
      <w:r w:rsidR="008C21EF">
        <w:rPr>
          <w:b w:val="0"/>
        </w:rPr>
        <w:t xml:space="preserve">la FVPO inicial más </w:t>
      </w:r>
      <w:r>
        <w:rPr>
          <w:b w:val="0"/>
        </w:rPr>
        <w:t xml:space="preserve">tres (3) meses. </w:t>
      </w:r>
    </w:p>
    <w:p w14:paraId="4B3A3BE7" w14:textId="77777777" w:rsidR="00927865" w:rsidRPr="00371004" w:rsidRDefault="00984468" w:rsidP="00371004">
      <w:pPr>
        <w:pStyle w:val="articulo"/>
      </w:pPr>
      <w:r w:rsidRPr="00371004">
        <w:t>S</w:t>
      </w:r>
      <w:r w:rsidR="00927865" w:rsidRPr="00371004">
        <w:t>e aceptarán garantías con una vigencia mínima de doce (12) meses. En este caso, quince (15) días hábiles antes del vencimiento de la garantía, el agente vendedor deberá entregar una nueva que cumpla con las exigencias establecidas en esta resolución.</w:t>
      </w:r>
    </w:p>
    <w:p w14:paraId="1418E44A" w14:textId="7FF8DD52" w:rsidR="00927865" w:rsidRPr="00C33664" w:rsidRDefault="00927865" w:rsidP="006571A7">
      <w:pPr>
        <w:pStyle w:val="Artculo"/>
        <w:ind w:left="0" w:firstLine="0"/>
        <w:rPr>
          <w:b w:val="0"/>
        </w:rPr>
      </w:pPr>
      <w:r>
        <w:t>Modificación de las g</w:t>
      </w:r>
      <w:r w:rsidRPr="006149A8">
        <w:t>arantías</w:t>
      </w:r>
      <w:r w:rsidR="005260D2">
        <w:t xml:space="preserve"> por la no entrada en operación comercial de la planta</w:t>
      </w:r>
      <w:r w:rsidRPr="006149A8">
        <w:t xml:space="preserve">. </w:t>
      </w:r>
      <w:r w:rsidRPr="00927865">
        <w:rPr>
          <w:b w:val="0"/>
        </w:rPr>
        <w:t xml:space="preserve">Si en la verificación hecha por el </w:t>
      </w:r>
      <w:r w:rsidR="00FF46CA">
        <w:rPr>
          <w:b w:val="0"/>
        </w:rPr>
        <w:t>ASIC</w:t>
      </w:r>
      <w:r w:rsidRPr="00927865">
        <w:rPr>
          <w:b w:val="0"/>
        </w:rPr>
        <w:t xml:space="preserve"> en la FVPO inicial la planta no </w:t>
      </w:r>
      <w:r w:rsidR="00445549" w:rsidRPr="00445549">
        <w:rPr>
          <w:b w:val="0"/>
        </w:rPr>
        <w:t>ha entrado en operación comercial</w:t>
      </w:r>
      <w:r w:rsidR="00703966">
        <w:rPr>
          <w:b w:val="0"/>
        </w:rPr>
        <w:t xml:space="preserve">, conforme a lo descrito en el </w:t>
      </w:r>
      <w:r w:rsidR="00703966" w:rsidRPr="00C33664">
        <w:rPr>
          <w:b w:val="0"/>
        </w:rPr>
        <w:t xml:space="preserve">artículo </w:t>
      </w:r>
      <w:r w:rsidR="00C33664">
        <w:rPr>
          <w:b w:val="0"/>
        </w:rPr>
        <w:t xml:space="preserve">15 </w:t>
      </w:r>
      <w:r w:rsidR="00703966">
        <w:rPr>
          <w:b w:val="0"/>
        </w:rPr>
        <w:t xml:space="preserve">de la presente resolución, </w:t>
      </w:r>
      <w:r w:rsidR="009472C2">
        <w:rPr>
          <w:b w:val="0"/>
        </w:rPr>
        <w:t xml:space="preserve">el vendedor </w:t>
      </w:r>
      <w:r>
        <w:rPr>
          <w:b w:val="0"/>
        </w:rPr>
        <w:t xml:space="preserve">deberá </w:t>
      </w:r>
      <w:r w:rsidR="00995AA6">
        <w:rPr>
          <w:b w:val="0"/>
        </w:rPr>
        <w:t>ajustar</w:t>
      </w:r>
      <w:r>
        <w:rPr>
          <w:b w:val="0"/>
        </w:rPr>
        <w:t xml:space="preserve"> el valor de la cobertura y la vigencia de la garantía cumpliend</w:t>
      </w:r>
      <w:r w:rsidRPr="00C33664">
        <w:rPr>
          <w:b w:val="0"/>
        </w:rPr>
        <w:t xml:space="preserve">o lo siguiente: </w:t>
      </w:r>
    </w:p>
    <w:p w14:paraId="19FA966B" w14:textId="39DDFFE2" w:rsidR="00D97AAA" w:rsidRPr="00371004" w:rsidRDefault="008C21EF" w:rsidP="006A1E56">
      <w:pPr>
        <w:pStyle w:val="articulo"/>
        <w:numPr>
          <w:ilvl w:val="1"/>
          <w:numId w:val="11"/>
        </w:numPr>
      </w:pPr>
      <w:r w:rsidRPr="00371004">
        <w:t xml:space="preserve">Si en la FVPO inicial no se ha </w:t>
      </w:r>
      <w:r w:rsidR="00FF46CA" w:rsidRPr="00371004">
        <w:t>verifi</w:t>
      </w:r>
      <w:r w:rsidRPr="00371004">
        <w:t>cado la entrada en operación comercial, e</w:t>
      </w:r>
      <w:r w:rsidR="00445549" w:rsidRPr="00371004">
        <w:t xml:space="preserve">l valor de la cobertura </w:t>
      </w:r>
      <w:r w:rsidR="00D97AAA" w:rsidRPr="00371004">
        <w:t>se</w:t>
      </w:r>
      <w:r w:rsidR="00D97AAA" w:rsidRPr="00C33664">
        <w:t xml:space="preserve"> </w:t>
      </w:r>
      <w:r w:rsidR="00D97AAA" w:rsidRPr="00371004">
        <w:t>incrementará a 20%</w:t>
      </w:r>
      <w:r w:rsidR="00445549" w:rsidRPr="00371004">
        <w:t xml:space="preserve"> y la vigencia de la garantía deberá prorrogarse nueve (9) meses contados a partir de la FVPO inicial</w:t>
      </w:r>
      <w:r w:rsidR="00D97AAA" w:rsidRPr="00371004">
        <w:t xml:space="preserve">. </w:t>
      </w:r>
    </w:p>
    <w:p w14:paraId="3D694ECE" w14:textId="3A3DCF8A" w:rsidR="00D97AAA" w:rsidRPr="00371004" w:rsidRDefault="00445549" w:rsidP="006A1E56">
      <w:pPr>
        <w:pStyle w:val="articulo"/>
        <w:numPr>
          <w:ilvl w:val="1"/>
          <w:numId w:val="11"/>
        </w:numPr>
      </w:pPr>
      <w:r w:rsidRPr="00371004">
        <w:t>S</w:t>
      </w:r>
      <w:r w:rsidR="00D97AAA" w:rsidRPr="00371004">
        <w:t>i pasados seis (6) meses de la F</w:t>
      </w:r>
      <w:r w:rsidR="00AE664F" w:rsidRPr="00371004">
        <w:t>V</w:t>
      </w:r>
      <w:r w:rsidR="00D97AAA" w:rsidRPr="00371004">
        <w:t xml:space="preserve">PO inicial no se ha </w:t>
      </w:r>
      <w:r w:rsidR="00FF46CA" w:rsidRPr="00371004">
        <w:t>ver</w:t>
      </w:r>
      <w:r w:rsidR="00D97AAA" w:rsidRPr="00371004">
        <w:t>ificado la entrada en operación comercial,</w:t>
      </w:r>
      <w:r w:rsidRPr="00371004">
        <w:t xml:space="preserve"> el valor de la cobertura se incrementará a 30% y la vigencia de la garantía deberá prorrogarse quince (15) meses contados a partir de la FVPO inicial.</w:t>
      </w:r>
    </w:p>
    <w:p w14:paraId="0C00F6B4" w14:textId="6E0CB370" w:rsidR="00D97AAA" w:rsidRPr="00371004" w:rsidRDefault="00D97AAA" w:rsidP="006A1E56">
      <w:pPr>
        <w:pStyle w:val="articulo"/>
        <w:numPr>
          <w:ilvl w:val="1"/>
          <w:numId w:val="11"/>
        </w:numPr>
      </w:pPr>
      <w:r w:rsidRPr="00371004">
        <w:t>Si pasados doce (12) meses de la F</w:t>
      </w:r>
      <w:r w:rsidR="00AE664F" w:rsidRPr="00371004">
        <w:t>V</w:t>
      </w:r>
      <w:r w:rsidRPr="00371004">
        <w:t xml:space="preserve">PO inicial no se ha </w:t>
      </w:r>
      <w:r w:rsidR="00FF46CA" w:rsidRPr="00371004">
        <w:t>ver</w:t>
      </w:r>
      <w:r w:rsidRPr="00371004">
        <w:t xml:space="preserve">ificado la entrada en operación comercial, </w:t>
      </w:r>
      <w:r w:rsidR="00445549" w:rsidRPr="00371004">
        <w:t>el valor de la cobertura se incrementará a 40% y la vigencia de la garantía deberá prorrogarse veintiún (21) meses contados a partir de la FVPO inicial.</w:t>
      </w:r>
    </w:p>
    <w:p w14:paraId="1C04FDE8" w14:textId="38D4983F" w:rsidR="00A6524D" w:rsidRPr="00371004" w:rsidRDefault="00D97AAA" w:rsidP="006A1E56">
      <w:pPr>
        <w:pStyle w:val="articulo"/>
        <w:numPr>
          <w:ilvl w:val="1"/>
          <w:numId w:val="11"/>
        </w:numPr>
        <w:rPr>
          <w:rFonts w:ascii="Times New Roman" w:hAnsi="Times New Roman" w:cs="Times New Roman"/>
        </w:rPr>
      </w:pPr>
      <w:r w:rsidRPr="00371004">
        <w:t>Si pasados dieciocho (18) meses de la F</w:t>
      </w:r>
      <w:r w:rsidR="00AE664F" w:rsidRPr="00371004">
        <w:t>V</w:t>
      </w:r>
      <w:r w:rsidRPr="00371004">
        <w:t xml:space="preserve">PO inicial no se ha </w:t>
      </w:r>
      <w:r w:rsidR="00FF46CA" w:rsidRPr="00371004">
        <w:t>ver</w:t>
      </w:r>
      <w:r w:rsidRPr="00371004">
        <w:t>ificado la entrada en operación comercial</w:t>
      </w:r>
      <w:r w:rsidR="00445549" w:rsidRPr="00371004">
        <w:t>, el valor de la cobertura se incrementará a 50% y la vigencia de la garantía deberá prorrogarse veintisiete (27) meses contados a partir de la FVPO inicial.</w:t>
      </w:r>
    </w:p>
    <w:p w14:paraId="068D6EB3" w14:textId="6189BFE8" w:rsidR="005260D2" w:rsidRPr="006571A7" w:rsidRDefault="005260D2" w:rsidP="00D97AAA">
      <w:pPr>
        <w:pStyle w:val="Artculo"/>
        <w:ind w:left="0" w:firstLine="0"/>
        <w:rPr>
          <w:b w:val="0"/>
        </w:rPr>
      </w:pPr>
      <w:r>
        <w:t>Ajuste o r</w:t>
      </w:r>
      <w:r w:rsidR="00D97AAA" w:rsidRPr="006149A8">
        <w:t xml:space="preserve">eposición de garantías. </w:t>
      </w:r>
      <w:r w:rsidR="009472C2" w:rsidRPr="0088178F">
        <w:rPr>
          <w:b w:val="0"/>
        </w:rPr>
        <w:t xml:space="preserve">Los vendedores </w:t>
      </w:r>
      <w:r w:rsidRPr="006571A7">
        <w:rPr>
          <w:b w:val="0"/>
        </w:rPr>
        <w:t>deberá</w:t>
      </w:r>
      <w:r w:rsidR="00024C67">
        <w:rPr>
          <w:b w:val="0"/>
        </w:rPr>
        <w:t>n</w:t>
      </w:r>
      <w:r w:rsidRPr="006571A7">
        <w:rPr>
          <w:b w:val="0"/>
        </w:rPr>
        <w:t xml:space="preserve"> ajustar o reponer </w:t>
      </w:r>
      <w:r w:rsidR="00024C67">
        <w:rPr>
          <w:b w:val="0"/>
        </w:rPr>
        <w:t>l</w:t>
      </w:r>
      <w:r w:rsidR="00024C67" w:rsidRPr="006571A7">
        <w:rPr>
          <w:b w:val="0"/>
        </w:rPr>
        <w:t xml:space="preserve">a garantía </w:t>
      </w:r>
      <w:r w:rsidRPr="006571A7">
        <w:rPr>
          <w:b w:val="0"/>
        </w:rPr>
        <w:t>en los siguientes casos:</w:t>
      </w:r>
    </w:p>
    <w:p w14:paraId="7ADC6C17" w14:textId="41171CA9" w:rsidR="005260D2" w:rsidRDefault="00D97AAA" w:rsidP="006A1E56">
      <w:pPr>
        <w:pStyle w:val="Artculo"/>
        <w:numPr>
          <w:ilvl w:val="1"/>
          <w:numId w:val="4"/>
        </w:numPr>
        <w:ind w:left="709"/>
        <w:rPr>
          <w:b w:val="0"/>
        </w:rPr>
      </w:pPr>
      <w:r w:rsidRPr="006149A8">
        <w:rPr>
          <w:b w:val="0"/>
        </w:rPr>
        <w:t>Cuando la calidad crediticia de la entidad otorgante de la garantía disminuya por debajo de la calificación lím</w:t>
      </w:r>
      <w:r w:rsidR="005260D2">
        <w:rPr>
          <w:b w:val="0"/>
        </w:rPr>
        <w:t>ite establecida en el artículo 4</w:t>
      </w:r>
      <w:r w:rsidR="00335DD7">
        <w:rPr>
          <w:b w:val="0"/>
        </w:rPr>
        <w:t xml:space="preserve"> de la presente resolución</w:t>
      </w:r>
      <w:r w:rsidR="00BC7C8D">
        <w:rPr>
          <w:b w:val="0"/>
        </w:rPr>
        <w:t xml:space="preserve"> deberán reponer la garantía por una otorgada por una entidad crediticia que cumpla con lo señalado en el mencionado artículo.</w:t>
      </w:r>
    </w:p>
    <w:p w14:paraId="752BAEDB" w14:textId="77777777" w:rsidR="007B611D" w:rsidRDefault="005260D2" w:rsidP="006A1E56">
      <w:pPr>
        <w:pStyle w:val="Artculo"/>
        <w:numPr>
          <w:ilvl w:val="1"/>
          <w:numId w:val="4"/>
        </w:numPr>
        <w:ind w:left="709"/>
        <w:rPr>
          <w:b w:val="0"/>
        </w:rPr>
      </w:pPr>
      <w:r w:rsidRPr="006571A7">
        <w:rPr>
          <w:b w:val="0"/>
        </w:rPr>
        <w:t>Cuando</w:t>
      </w:r>
      <w:r w:rsidR="00D97AAA" w:rsidRPr="005260D2">
        <w:rPr>
          <w:b w:val="0"/>
        </w:rPr>
        <w:t xml:space="preserve"> las garantías disminuyan su valor por debajo de los montos exigidos</w:t>
      </w:r>
      <w:r w:rsidR="00C41FC6">
        <w:rPr>
          <w:b w:val="0"/>
        </w:rPr>
        <w:t xml:space="preserve"> debido a </w:t>
      </w:r>
      <w:r w:rsidR="00C41FC6" w:rsidRPr="00C41FC6">
        <w:rPr>
          <w:b w:val="0"/>
        </w:rPr>
        <w:t>variaciones en la tasa de cambio y en el índice del IPP</w:t>
      </w:r>
      <w:r w:rsidR="00C41FC6">
        <w:rPr>
          <w:b w:val="0"/>
        </w:rPr>
        <w:t xml:space="preserve"> de </w:t>
      </w:r>
      <w:r w:rsidR="00C41FC6">
        <w:rPr>
          <w:b w:val="0"/>
        </w:rPr>
        <w:lastRenderedPageBreak/>
        <w:t>Colombia</w:t>
      </w:r>
      <w:r w:rsidR="00C41FC6" w:rsidRPr="00C41FC6">
        <w:rPr>
          <w:rFonts w:cs="Times New Roman"/>
          <w:b w:val="0"/>
        </w:rPr>
        <w:t xml:space="preserve"> </w:t>
      </w:r>
      <w:r w:rsidR="00C41FC6" w:rsidRPr="00C41FC6">
        <w:rPr>
          <w:b w:val="0"/>
        </w:rPr>
        <w:t>publicado por el DANE</w:t>
      </w:r>
      <w:r w:rsidR="00C41FC6">
        <w:rPr>
          <w:b w:val="0"/>
        </w:rPr>
        <w:t>, considerando la mejor información disponible</w:t>
      </w:r>
      <w:r w:rsidR="002152CA">
        <w:rPr>
          <w:b w:val="0"/>
        </w:rPr>
        <w:t>, conforme a la publicación que haga el ASIC mensualmente</w:t>
      </w:r>
      <w:r w:rsidR="00C41FC6">
        <w:rPr>
          <w:b w:val="0"/>
        </w:rPr>
        <w:t>.</w:t>
      </w:r>
    </w:p>
    <w:p w14:paraId="27DFF52E" w14:textId="08D7B37B" w:rsidR="00D97AAA" w:rsidRPr="007B611D" w:rsidRDefault="007B611D">
      <w:pPr>
        <w:pStyle w:val="Artculo"/>
        <w:ind w:left="0" w:firstLine="0"/>
        <w:rPr>
          <w:b w:val="0"/>
        </w:rPr>
      </w:pPr>
      <w:r>
        <w:t>Procedimiento de modificación, ajuste o r</w:t>
      </w:r>
      <w:r w:rsidRPr="006149A8">
        <w:t xml:space="preserve">eposición de garantías. </w:t>
      </w:r>
      <w:r w:rsidRPr="000B32E0">
        <w:rPr>
          <w:b w:val="0"/>
        </w:rPr>
        <w:t>E</w:t>
      </w:r>
      <w:r w:rsidR="00D97AAA" w:rsidRPr="000B32E0">
        <w:rPr>
          <w:b w:val="0"/>
        </w:rPr>
        <w:t>l vended</w:t>
      </w:r>
      <w:r w:rsidRPr="000B32E0">
        <w:rPr>
          <w:b w:val="0"/>
        </w:rPr>
        <w:t xml:space="preserve">or </w:t>
      </w:r>
      <w:r w:rsidRPr="007B611D">
        <w:rPr>
          <w:b w:val="0"/>
        </w:rPr>
        <w:t>deberá</w:t>
      </w:r>
      <w:r w:rsidR="00D97AAA" w:rsidRPr="007B611D">
        <w:rPr>
          <w:b w:val="0"/>
        </w:rPr>
        <w:t xml:space="preserve"> proceder a efectuar </w:t>
      </w:r>
      <w:r>
        <w:rPr>
          <w:b w:val="0"/>
        </w:rPr>
        <w:t>la modificación</w:t>
      </w:r>
      <w:r w:rsidR="000B32E0">
        <w:rPr>
          <w:b w:val="0"/>
        </w:rPr>
        <w:t>,</w:t>
      </w:r>
      <w:r>
        <w:rPr>
          <w:b w:val="0"/>
        </w:rPr>
        <w:t xml:space="preserve"> </w:t>
      </w:r>
      <w:r w:rsidR="00D97AAA" w:rsidRPr="007B611D">
        <w:rPr>
          <w:b w:val="0"/>
        </w:rPr>
        <w:t xml:space="preserve">ajuste o reposición </w:t>
      </w:r>
      <w:r w:rsidR="000B32E0">
        <w:rPr>
          <w:b w:val="0"/>
        </w:rPr>
        <w:t>de la garantía, conforme a lo e</w:t>
      </w:r>
      <w:r w:rsidR="00605C79">
        <w:rPr>
          <w:b w:val="0"/>
        </w:rPr>
        <w:t xml:space="preserve">stablecido en los artículos 8, </w:t>
      </w:r>
      <w:r w:rsidR="000B32E0">
        <w:rPr>
          <w:b w:val="0"/>
        </w:rPr>
        <w:t>9</w:t>
      </w:r>
      <w:r w:rsidR="00605C79">
        <w:rPr>
          <w:b w:val="0"/>
        </w:rPr>
        <w:t xml:space="preserve"> y en el literal c del numeral 14.6 del artículo 14</w:t>
      </w:r>
      <w:r w:rsidR="000B32E0">
        <w:rPr>
          <w:b w:val="0"/>
        </w:rPr>
        <w:t xml:space="preserve"> de la presente resolución</w:t>
      </w:r>
      <w:r w:rsidR="00D97AAA" w:rsidRPr="007B611D">
        <w:rPr>
          <w:b w:val="0"/>
        </w:rPr>
        <w:t>, en un plazo no mayor a quince (15) días hábiles, contados a partir de la ocurrencia del</w:t>
      </w:r>
      <w:r w:rsidRPr="007B611D">
        <w:rPr>
          <w:b w:val="0"/>
        </w:rPr>
        <w:t xml:space="preserve"> hecho que da lugar a</w:t>
      </w:r>
      <w:r w:rsidR="000B32E0">
        <w:rPr>
          <w:b w:val="0"/>
        </w:rPr>
        <w:t xml:space="preserve"> </w:t>
      </w:r>
      <w:r w:rsidRPr="007B611D">
        <w:rPr>
          <w:b w:val="0"/>
        </w:rPr>
        <w:t>l</w:t>
      </w:r>
      <w:r w:rsidR="000B32E0">
        <w:rPr>
          <w:b w:val="0"/>
        </w:rPr>
        <w:t>a modificación,</w:t>
      </w:r>
      <w:r w:rsidRPr="007B611D">
        <w:rPr>
          <w:b w:val="0"/>
        </w:rPr>
        <w:t xml:space="preserve"> ajuste </w:t>
      </w:r>
      <w:r w:rsidR="00D97AAA" w:rsidRPr="007B611D">
        <w:rPr>
          <w:b w:val="0"/>
        </w:rPr>
        <w:t>o reposición.</w:t>
      </w:r>
    </w:p>
    <w:p w14:paraId="55CDB5A9" w14:textId="77777777" w:rsidR="007B611D" w:rsidRPr="006149A8" w:rsidRDefault="007B611D" w:rsidP="007B611D">
      <w:pPr>
        <w:pStyle w:val="Artculo"/>
        <w:ind w:left="0" w:firstLine="0"/>
        <w:rPr>
          <w:b w:val="0"/>
        </w:rPr>
      </w:pPr>
      <w:r w:rsidRPr="006149A8">
        <w:t>Manejo y disposición de las sumas de dinero resultantes de la ejecución de las gar</w:t>
      </w:r>
      <w:r w:rsidRPr="003F1523">
        <w:t xml:space="preserve">antías. </w:t>
      </w:r>
      <w:r w:rsidRPr="003F1523">
        <w:rPr>
          <w:b w:val="0"/>
        </w:rPr>
        <w:t xml:space="preserve">Ocurrido un evento de incumplimiento conforme al </w:t>
      </w:r>
      <w:r w:rsidRPr="005A34B9">
        <w:rPr>
          <w:b w:val="0"/>
        </w:rPr>
        <w:t xml:space="preserve">artículo </w:t>
      </w:r>
      <w:r w:rsidR="003F1523" w:rsidRPr="005A34B9">
        <w:rPr>
          <w:b w:val="0"/>
        </w:rPr>
        <w:t>1</w:t>
      </w:r>
      <w:r w:rsidR="005A34B9" w:rsidRPr="005A34B9">
        <w:rPr>
          <w:b w:val="0"/>
        </w:rPr>
        <w:t>7</w:t>
      </w:r>
      <w:r w:rsidRPr="003F1523">
        <w:rPr>
          <w:b w:val="0"/>
        </w:rPr>
        <w:t xml:space="preserve"> de la presente</w:t>
      </w:r>
      <w:r>
        <w:rPr>
          <w:b w:val="0"/>
        </w:rPr>
        <w:t xml:space="preserve"> resolución</w:t>
      </w:r>
      <w:r w:rsidRPr="006149A8">
        <w:rPr>
          <w:b w:val="0"/>
        </w:rPr>
        <w:t>, las sumas de dinero que el ASIC reciba como resultado de la ejecución de las garantías y los rendimientos generados por la administración de este dinero, si los hubiere, serán asignados, hasta agotarlos, en la facturación de las transacciones en el mercado de energía mayorista a expedir en los meses calendario siguientes al mes de la ejecución y pago de la garantía, a cada uno de los comercializadores del SIN a prorrata de su demanda comercial, como un menor costo de restricciones que debe ser trasladado a los usuarios finales.</w:t>
      </w:r>
    </w:p>
    <w:p w14:paraId="4FBEE6F7" w14:textId="77777777" w:rsidR="00E67EAC" w:rsidRPr="00D221A5" w:rsidRDefault="00E67EAC" w:rsidP="00E67EAC">
      <w:pPr>
        <w:pStyle w:val="Artculo"/>
        <w:spacing w:before="0"/>
        <w:ind w:left="0" w:firstLine="0"/>
        <w:rPr>
          <w:b w:val="0"/>
        </w:rPr>
      </w:pPr>
      <w:r w:rsidRPr="00D221A5">
        <w:t>Administrador de las garantías.</w:t>
      </w:r>
      <w:r>
        <w:rPr>
          <w:b w:val="0"/>
        </w:rPr>
        <w:t xml:space="preserve"> El administrador de la garantía de puesta en operación es el Administrador del Sistema de Intercambios comerciales, ASIC</w:t>
      </w:r>
      <w:r w:rsidR="002152CA">
        <w:rPr>
          <w:b w:val="0"/>
        </w:rPr>
        <w:t>.</w:t>
      </w:r>
    </w:p>
    <w:p w14:paraId="69AF7203" w14:textId="77777777" w:rsidR="000A7AD5" w:rsidRDefault="008E272F" w:rsidP="006571A7">
      <w:pPr>
        <w:ind w:left="0"/>
        <w:jc w:val="center"/>
        <w:rPr>
          <w:rFonts w:ascii="Bookman Old Style" w:hAnsi="Bookman Old Style"/>
          <w:b/>
        </w:rPr>
      </w:pPr>
      <w:r w:rsidRPr="006571A7">
        <w:rPr>
          <w:rFonts w:ascii="Bookman Old Style" w:hAnsi="Bookman Old Style"/>
          <w:b/>
        </w:rPr>
        <w:t>CAPÍTULO III</w:t>
      </w:r>
    </w:p>
    <w:p w14:paraId="0AB5C698" w14:textId="77777777" w:rsidR="008E272F" w:rsidRPr="006571A7" w:rsidRDefault="00467AED" w:rsidP="006571A7">
      <w:pPr>
        <w:ind w:left="0"/>
        <w:jc w:val="center"/>
        <w:rPr>
          <w:rFonts w:ascii="Bookman Old Style" w:hAnsi="Bookman Old Style"/>
          <w:b/>
        </w:rPr>
      </w:pPr>
      <w:r w:rsidRPr="006571A7">
        <w:rPr>
          <w:rFonts w:ascii="Bookman Old Style" w:hAnsi="Bookman Old Style"/>
          <w:b/>
        </w:rPr>
        <w:t>Responsabilidades</w:t>
      </w:r>
    </w:p>
    <w:p w14:paraId="7A905F1A" w14:textId="77777777" w:rsidR="008E272F" w:rsidRDefault="008E272F" w:rsidP="006571A7">
      <w:pPr>
        <w:spacing w:before="120"/>
        <w:ind w:left="0"/>
        <w:jc w:val="both"/>
        <w:rPr>
          <w:rFonts w:ascii="Bookman Old Style" w:hAnsi="Bookman Old Style"/>
        </w:rPr>
      </w:pPr>
    </w:p>
    <w:p w14:paraId="0F9D56E5" w14:textId="77777777" w:rsidR="00D97AAA" w:rsidRDefault="008E272F" w:rsidP="00D97AAA">
      <w:pPr>
        <w:pStyle w:val="Artculo"/>
        <w:spacing w:before="0"/>
        <w:ind w:left="0" w:firstLine="0"/>
        <w:rPr>
          <w:b w:val="0"/>
        </w:rPr>
      </w:pPr>
      <w:r>
        <w:t>R</w:t>
      </w:r>
      <w:r w:rsidR="00D97AAA">
        <w:t xml:space="preserve">esponsabilidades del </w:t>
      </w:r>
      <w:r w:rsidR="002152CA">
        <w:t>ASIC</w:t>
      </w:r>
      <w:r w:rsidR="00D97AAA" w:rsidRPr="006149A8">
        <w:t>.</w:t>
      </w:r>
      <w:r w:rsidR="00D97AAA">
        <w:rPr>
          <w:b w:val="0"/>
        </w:rPr>
        <w:t xml:space="preserve"> El </w:t>
      </w:r>
      <w:r w:rsidR="002152CA">
        <w:rPr>
          <w:b w:val="0"/>
        </w:rPr>
        <w:t>ASIC</w:t>
      </w:r>
      <w:r w:rsidR="00D97AAA">
        <w:rPr>
          <w:b w:val="0"/>
        </w:rPr>
        <w:t xml:space="preserve"> </w:t>
      </w:r>
      <w:r w:rsidR="002D6B5A">
        <w:rPr>
          <w:b w:val="0"/>
        </w:rPr>
        <w:t xml:space="preserve">tendrá las </w:t>
      </w:r>
      <w:r w:rsidR="00D97AAA">
        <w:rPr>
          <w:b w:val="0"/>
        </w:rPr>
        <w:t>siguiente</w:t>
      </w:r>
      <w:r w:rsidR="002D6B5A">
        <w:rPr>
          <w:b w:val="0"/>
        </w:rPr>
        <w:t>s responsabilidades</w:t>
      </w:r>
      <w:r w:rsidR="00D97AAA">
        <w:rPr>
          <w:b w:val="0"/>
        </w:rPr>
        <w:t>:</w:t>
      </w:r>
    </w:p>
    <w:p w14:paraId="221B38C7" w14:textId="2EB355DD" w:rsidR="0062737B" w:rsidRPr="005A34B9" w:rsidRDefault="00BC7C8D" w:rsidP="00371004">
      <w:pPr>
        <w:pStyle w:val="articulo"/>
      </w:pPr>
      <w:r>
        <w:t>E</w:t>
      </w:r>
      <w:r w:rsidR="0062737B" w:rsidRPr="005A34B9">
        <w:t xml:space="preserve">studio y aprobación de las garantías: </w:t>
      </w:r>
    </w:p>
    <w:p w14:paraId="7D15C512" w14:textId="77777777" w:rsidR="005A1F5D" w:rsidRPr="005A1F5D" w:rsidRDefault="005A1F5D" w:rsidP="006A1E56">
      <w:pPr>
        <w:pStyle w:val="Artculo"/>
        <w:numPr>
          <w:ilvl w:val="1"/>
          <w:numId w:val="5"/>
        </w:numPr>
      </w:pPr>
      <w:r>
        <w:rPr>
          <w:b w:val="0"/>
        </w:rPr>
        <w:t>D</w:t>
      </w:r>
      <w:r w:rsidRPr="006571A7">
        <w:rPr>
          <w:b w:val="0"/>
        </w:rPr>
        <w:t xml:space="preserve">entro </w:t>
      </w:r>
      <w:r>
        <w:rPr>
          <w:b w:val="0"/>
        </w:rPr>
        <w:t>de los cinco (5) días hábiles siguientes a la entrada en vigencia de la presente resolución, d</w:t>
      </w:r>
      <w:r w:rsidR="00202660">
        <w:rPr>
          <w:b w:val="0"/>
        </w:rPr>
        <w:t xml:space="preserve">efinir y publicar </w:t>
      </w:r>
      <w:r w:rsidR="00202660" w:rsidRPr="006571A7">
        <w:rPr>
          <w:b w:val="0"/>
        </w:rPr>
        <w:t xml:space="preserve">un procedimiento para </w:t>
      </w:r>
      <w:r w:rsidR="00202660">
        <w:rPr>
          <w:b w:val="0"/>
        </w:rPr>
        <w:t xml:space="preserve">la presentación, aprobación, subsanación o aclaración de </w:t>
      </w:r>
      <w:r w:rsidR="00202660" w:rsidRPr="006571A7">
        <w:rPr>
          <w:b w:val="0"/>
        </w:rPr>
        <w:t>las garantías entregadas</w:t>
      </w:r>
      <w:r>
        <w:rPr>
          <w:b w:val="0"/>
        </w:rPr>
        <w:t xml:space="preserve">. </w:t>
      </w:r>
    </w:p>
    <w:p w14:paraId="095DFCDE" w14:textId="737DE3C9" w:rsidR="00202660" w:rsidRPr="00202660" w:rsidRDefault="005A1F5D" w:rsidP="005A1F5D">
      <w:pPr>
        <w:pStyle w:val="Artculo"/>
        <w:numPr>
          <w:ilvl w:val="0"/>
          <w:numId w:val="0"/>
        </w:numPr>
        <w:ind w:left="720"/>
      </w:pPr>
      <w:r>
        <w:rPr>
          <w:b w:val="0"/>
        </w:rPr>
        <w:t>En todo caso, el ASIC d</w:t>
      </w:r>
      <w:r w:rsidR="00202660">
        <w:rPr>
          <w:b w:val="0"/>
        </w:rPr>
        <w:t>eberá tener en cuenta el plazo máximo para estudio y aprobación de la garantía de nueve (9) días hábiles</w:t>
      </w:r>
      <w:r w:rsidR="00202660" w:rsidRPr="00202660">
        <w:rPr>
          <w:b w:val="0"/>
        </w:rPr>
        <w:t xml:space="preserve"> </w:t>
      </w:r>
      <w:r w:rsidR="00202660" w:rsidRPr="006571A7">
        <w:rPr>
          <w:b w:val="0"/>
        </w:rPr>
        <w:t>a partir de la fecha máxima de entrega establecida en el numeral 23 del cronograma del numeral 5 de los pliegos de condiciones establecidos por la UPME.</w:t>
      </w:r>
    </w:p>
    <w:p w14:paraId="75BA8A91" w14:textId="77777777" w:rsidR="00202660" w:rsidRPr="006571A7" w:rsidRDefault="00202660" w:rsidP="006A1E56">
      <w:pPr>
        <w:pStyle w:val="Artculo"/>
        <w:numPr>
          <w:ilvl w:val="1"/>
          <w:numId w:val="5"/>
        </w:numPr>
        <w:rPr>
          <w:b w:val="0"/>
        </w:rPr>
      </w:pPr>
      <w:r w:rsidRPr="006571A7">
        <w:rPr>
          <w:b w:val="0"/>
        </w:rPr>
        <w:t>Recibir la garantía para estudio y aprobación</w:t>
      </w:r>
      <w:r>
        <w:rPr>
          <w:b w:val="0"/>
        </w:rPr>
        <w:t>.</w:t>
      </w:r>
      <w:r w:rsidRPr="006571A7">
        <w:rPr>
          <w:b w:val="0"/>
        </w:rPr>
        <w:t xml:space="preserve"> </w:t>
      </w:r>
    </w:p>
    <w:p w14:paraId="1062C62E" w14:textId="77777777" w:rsidR="008C03FB" w:rsidRDefault="008C03FB" w:rsidP="006A1E56">
      <w:pPr>
        <w:pStyle w:val="Artculo"/>
        <w:numPr>
          <w:ilvl w:val="1"/>
          <w:numId w:val="5"/>
        </w:numPr>
        <w:rPr>
          <w:b w:val="0"/>
        </w:rPr>
      </w:pPr>
      <w:r w:rsidRPr="006571A7">
        <w:rPr>
          <w:b w:val="0"/>
        </w:rPr>
        <w:t>Emi</w:t>
      </w:r>
      <w:r w:rsidR="00F871CF" w:rsidRPr="006571A7">
        <w:rPr>
          <w:b w:val="0"/>
        </w:rPr>
        <w:t xml:space="preserve">tir </w:t>
      </w:r>
      <w:r w:rsidRPr="006571A7">
        <w:rPr>
          <w:b w:val="0"/>
        </w:rPr>
        <w:t xml:space="preserve">el certificado de aprobación </w:t>
      </w:r>
      <w:r w:rsidR="00F871CF" w:rsidRPr="006571A7">
        <w:rPr>
          <w:b w:val="0"/>
        </w:rPr>
        <w:t xml:space="preserve">o rechazo </w:t>
      </w:r>
      <w:r w:rsidRPr="006571A7">
        <w:rPr>
          <w:b w:val="0"/>
        </w:rPr>
        <w:t>de la garantía de puesta en operación.</w:t>
      </w:r>
    </w:p>
    <w:p w14:paraId="38597C99" w14:textId="30F1CA4A" w:rsidR="0062737B" w:rsidRPr="0062737B" w:rsidRDefault="00BC7C8D" w:rsidP="00371004">
      <w:pPr>
        <w:pStyle w:val="articulo"/>
      </w:pPr>
      <w:r>
        <w:t>S</w:t>
      </w:r>
      <w:r w:rsidR="0062737B" w:rsidRPr="0062737B">
        <w:t xml:space="preserve">eguimiento de la garantía: </w:t>
      </w:r>
    </w:p>
    <w:p w14:paraId="5C0DC1A9" w14:textId="5A360B78" w:rsidR="000B32E0" w:rsidRPr="005A1F5D" w:rsidRDefault="005A1F5D" w:rsidP="006A1E56">
      <w:pPr>
        <w:pStyle w:val="Artculo"/>
        <w:numPr>
          <w:ilvl w:val="1"/>
          <w:numId w:val="5"/>
        </w:numPr>
      </w:pPr>
      <w:r w:rsidRPr="005A1F5D">
        <w:rPr>
          <w:b w:val="0"/>
        </w:rPr>
        <w:t>Ajustar, cuando haya lugar, y publicar</w:t>
      </w:r>
      <w:r w:rsidR="00C41FC6" w:rsidRPr="005A1F5D">
        <w:rPr>
          <w:b w:val="0"/>
        </w:rPr>
        <w:t xml:space="preserve"> </w:t>
      </w:r>
      <w:r w:rsidR="000B32E0" w:rsidRPr="005A1F5D">
        <w:rPr>
          <w:b w:val="0"/>
        </w:rPr>
        <w:t xml:space="preserve">el valor de cobertura de las garantías otorgadas por </w:t>
      </w:r>
      <w:r w:rsidRPr="005A1F5D">
        <w:rPr>
          <w:b w:val="0"/>
        </w:rPr>
        <w:t>el</w:t>
      </w:r>
      <w:r w:rsidR="000B32E0" w:rsidRPr="005A1F5D">
        <w:rPr>
          <w:b w:val="0"/>
        </w:rPr>
        <w:t xml:space="preserve"> vendedor</w:t>
      </w:r>
      <w:r w:rsidRPr="005A1F5D">
        <w:rPr>
          <w:b w:val="0"/>
        </w:rPr>
        <w:t xml:space="preserve"> de cada planta asociada a las ofertas </w:t>
      </w:r>
      <w:r w:rsidRPr="005A1F5D">
        <w:rPr>
          <w:b w:val="0"/>
        </w:rPr>
        <w:lastRenderedPageBreak/>
        <w:t>que hayan sido asignadas como resultado de la adjudicación</w:t>
      </w:r>
      <w:r w:rsidR="000B32E0" w:rsidRPr="005A1F5D">
        <w:rPr>
          <w:b w:val="0"/>
        </w:rPr>
        <w:t xml:space="preserve"> con</w:t>
      </w:r>
      <w:r w:rsidR="00487FA9" w:rsidRPr="005A1F5D">
        <w:rPr>
          <w:b w:val="0"/>
        </w:rPr>
        <w:t xml:space="preserve"> sus modificaciones</w:t>
      </w:r>
      <w:r w:rsidR="00C41FC6" w:rsidRPr="005A1F5D">
        <w:rPr>
          <w:b w:val="0"/>
        </w:rPr>
        <w:t>, ajuste</w:t>
      </w:r>
      <w:r w:rsidR="00487FA9" w:rsidRPr="005A1F5D">
        <w:rPr>
          <w:b w:val="0"/>
        </w:rPr>
        <w:t>s</w:t>
      </w:r>
      <w:r w:rsidR="00C41FC6" w:rsidRPr="005A1F5D">
        <w:rPr>
          <w:b w:val="0"/>
        </w:rPr>
        <w:t xml:space="preserve"> o reposici</w:t>
      </w:r>
      <w:r w:rsidR="00487FA9" w:rsidRPr="005A1F5D">
        <w:rPr>
          <w:b w:val="0"/>
        </w:rPr>
        <w:t>o</w:t>
      </w:r>
      <w:r w:rsidR="00C41FC6" w:rsidRPr="005A1F5D">
        <w:rPr>
          <w:b w:val="0"/>
        </w:rPr>
        <w:t>n</w:t>
      </w:r>
      <w:r w:rsidR="00487FA9" w:rsidRPr="005A1F5D">
        <w:rPr>
          <w:b w:val="0"/>
        </w:rPr>
        <w:t>es</w:t>
      </w:r>
      <w:r w:rsidR="00C41FC6" w:rsidRPr="005A1F5D">
        <w:rPr>
          <w:b w:val="0"/>
        </w:rPr>
        <w:t xml:space="preserve"> de las garantías</w:t>
      </w:r>
      <w:r w:rsidRPr="005A1F5D">
        <w:rPr>
          <w:b w:val="0"/>
        </w:rPr>
        <w:t xml:space="preserve"> de que tratan los artículos 8,</w:t>
      </w:r>
      <w:r w:rsidR="00C41FC6" w:rsidRPr="005A1F5D">
        <w:rPr>
          <w:b w:val="0"/>
        </w:rPr>
        <w:t xml:space="preserve"> 9 </w:t>
      </w:r>
      <w:r w:rsidRPr="005A1F5D">
        <w:rPr>
          <w:b w:val="0"/>
        </w:rPr>
        <w:t xml:space="preserve">y el literal c del numeral 14.6 del artículo 14 </w:t>
      </w:r>
      <w:r w:rsidR="00C41FC6" w:rsidRPr="005A1F5D">
        <w:rPr>
          <w:b w:val="0"/>
        </w:rPr>
        <w:t>de la presente resolución.</w:t>
      </w:r>
      <w:r w:rsidR="000B32E0" w:rsidRPr="005A1F5D">
        <w:rPr>
          <w:b w:val="0"/>
        </w:rPr>
        <w:t xml:space="preserve"> </w:t>
      </w:r>
      <w:r w:rsidR="00C41FC6" w:rsidRPr="005A1F5D">
        <w:rPr>
          <w:b w:val="0"/>
        </w:rPr>
        <w:t>Este procedimiento deber</w:t>
      </w:r>
      <w:r w:rsidR="00C7271D" w:rsidRPr="005A1F5D">
        <w:rPr>
          <w:b w:val="0"/>
        </w:rPr>
        <w:t xml:space="preserve">á realizarse </w:t>
      </w:r>
      <w:r w:rsidR="00487FA9" w:rsidRPr="005A1F5D">
        <w:rPr>
          <w:b w:val="0"/>
        </w:rPr>
        <w:t>mensualmente</w:t>
      </w:r>
      <w:r w:rsidR="00C41FC6" w:rsidRPr="005A1F5D">
        <w:rPr>
          <w:b w:val="0"/>
        </w:rPr>
        <w:t xml:space="preserve"> una vez entregada y aprobada la garantía</w:t>
      </w:r>
      <w:r w:rsidR="00A035F4" w:rsidRPr="005A1F5D">
        <w:rPr>
          <w:b w:val="0"/>
        </w:rPr>
        <w:t xml:space="preserve"> inicial con la que se cumple el requisito para la firma del contrato</w:t>
      </w:r>
      <w:r w:rsidR="00C41FC6" w:rsidRPr="005A1F5D">
        <w:rPr>
          <w:b w:val="0"/>
        </w:rPr>
        <w:t>.</w:t>
      </w:r>
    </w:p>
    <w:p w14:paraId="16CB668F" w14:textId="2A11FF1C" w:rsidR="0062737B" w:rsidRPr="0062737B" w:rsidRDefault="0062737B" w:rsidP="006A1E56">
      <w:pPr>
        <w:pStyle w:val="Artculo"/>
        <w:numPr>
          <w:ilvl w:val="1"/>
          <w:numId w:val="5"/>
        </w:numPr>
      </w:pPr>
      <w:r w:rsidRPr="0062737B">
        <w:rPr>
          <w:b w:val="0"/>
        </w:rPr>
        <w:t>Recibir del CND el informe de entrada en operación comercial de las plantas en las fechas de verificación establecidas</w:t>
      </w:r>
      <w:r>
        <w:rPr>
          <w:b w:val="0"/>
        </w:rPr>
        <w:t xml:space="preserve"> o cuando un vendedor lo solicite</w:t>
      </w:r>
      <w:r w:rsidRPr="0062737B">
        <w:rPr>
          <w:b w:val="0"/>
        </w:rPr>
        <w:t xml:space="preserve"> y ver</w:t>
      </w:r>
      <w:r w:rsidR="00720CA3" w:rsidRPr="0062737B">
        <w:rPr>
          <w:b w:val="0"/>
        </w:rPr>
        <w:t xml:space="preserve">ificar el cumplimiento del PMCP conforme a la </w:t>
      </w:r>
      <w:r w:rsidR="00202660" w:rsidRPr="0062737B">
        <w:rPr>
          <w:b w:val="0"/>
        </w:rPr>
        <w:t>información</w:t>
      </w:r>
      <w:r w:rsidR="00720CA3" w:rsidRPr="0062737B">
        <w:rPr>
          <w:b w:val="0"/>
        </w:rPr>
        <w:t xml:space="preserve"> enviada por el CND</w:t>
      </w:r>
      <w:r w:rsidR="00202660" w:rsidRPr="0062737B">
        <w:rPr>
          <w:b w:val="0"/>
        </w:rPr>
        <w:t xml:space="preserve">. </w:t>
      </w:r>
    </w:p>
    <w:p w14:paraId="142A4096" w14:textId="65B94F12" w:rsidR="00B02D54" w:rsidRDefault="0062737B" w:rsidP="006A1E56">
      <w:pPr>
        <w:pStyle w:val="Artculo"/>
        <w:numPr>
          <w:ilvl w:val="1"/>
          <w:numId w:val="5"/>
        </w:numPr>
      </w:pPr>
      <w:r>
        <w:rPr>
          <w:b w:val="0"/>
        </w:rPr>
        <w:t>Comunicar al vendedor</w:t>
      </w:r>
      <w:r w:rsidR="00BC7C8D">
        <w:rPr>
          <w:b w:val="0"/>
        </w:rPr>
        <w:t xml:space="preserve"> el resultado de</w:t>
      </w:r>
      <w:r>
        <w:rPr>
          <w:b w:val="0"/>
        </w:rPr>
        <w:t xml:space="preserve"> l</w:t>
      </w:r>
      <w:r w:rsidR="00C33664">
        <w:rPr>
          <w:b w:val="0"/>
        </w:rPr>
        <w:t xml:space="preserve">a verificación del cumplimiento o del incumplimiento del PMCP </w:t>
      </w:r>
      <w:r w:rsidR="00AB28A9" w:rsidRPr="0062737B">
        <w:rPr>
          <w:b w:val="0"/>
        </w:rPr>
        <w:t>dentro de los dos (2) día</w:t>
      </w:r>
      <w:r>
        <w:rPr>
          <w:b w:val="0"/>
        </w:rPr>
        <w:t>s hábiles siguientes al recibo</w:t>
      </w:r>
      <w:r w:rsidR="00AB28A9" w:rsidRPr="0062737B">
        <w:rPr>
          <w:b w:val="0"/>
        </w:rPr>
        <w:t xml:space="preserve"> de</w:t>
      </w:r>
      <w:r>
        <w:rPr>
          <w:b w:val="0"/>
        </w:rPr>
        <w:t xml:space="preserve"> la información enviada por el CND</w:t>
      </w:r>
      <w:r w:rsidR="00AB28A9" w:rsidRPr="0062737B">
        <w:rPr>
          <w:b w:val="0"/>
        </w:rPr>
        <w:t xml:space="preserve">. </w:t>
      </w:r>
    </w:p>
    <w:p w14:paraId="33FC7CA8" w14:textId="61D699BE" w:rsidR="00467AED" w:rsidRDefault="006A480A" w:rsidP="006A1E56">
      <w:pPr>
        <w:pStyle w:val="Artculo"/>
        <w:numPr>
          <w:ilvl w:val="1"/>
          <w:numId w:val="5"/>
        </w:numPr>
        <w:rPr>
          <w:b w:val="0"/>
        </w:rPr>
      </w:pPr>
      <w:r w:rsidRPr="006571A7">
        <w:rPr>
          <w:b w:val="0"/>
        </w:rPr>
        <w:t xml:space="preserve">Devolver </w:t>
      </w:r>
      <w:r w:rsidRPr="00B02D54">
        <w:rPr>
          <w:b w:val="0"/>
        </w:rPr>
        <w:t>la garantía al vendedor</w:t>
      </w:r>
      <w:r w:rsidRPr="006571A7">
        <w:rPr>
          <w:b w:val="0"/>
        </w:rPr>
        <w:t xml:space="preserve"> </w:t>
      </w:r>
      <w:r w:rsidR="007A75E4">
        <w:rPr>
          <w:b w:val="0"/>
        </w:rPr>
        <w:t>conforme al numeral 16.1 del artículo 16 de la presente resolución.</w:t>
      </w:r>
      <w:r w:rsidR="005756A2">
        <w:rPr>
          <w:b w:val="0"/>
        </w:rPr>
        <w:t xml:space="preserve"> </w:t>
      </w:r>
    </w:p>
    <w:p w14:paraId="7846FB6A" w14:textId="77777777" w:rsidR="00C33664" w:rsidRPr="00D762E6" w:rsidRDefault="00C33664" w:rsidP="006A1E56">
      <w:pPr>
        <w:pStyle w:val="Artculo"/>
        <w:numPr>
          <w:ilvl w:val="1"/>
          <w:numId w:val="5"/>
        </w:numPr>
        <w:rPr>
          <w:b w:val="0"/>
        </w:rPr>
      </w:pPr>
      <w:r w:rsidRPr="00D762E6">
        <w:rPr>
          <w:b w:val="0"/>
        </w:rPr>
        <w:t xml:space="preserve">Ejecutar la garantía conforme al </w:t>
      </w:r>
      <w:r w:rsidR="00D762E6" w:rsidRPr="00D762E6">
        <w:rPr>
          <w:b w:val="0"/>
        </w:rPr>
        <w:t xml:space="preserve">artículo 18 de la presente resolución. </w:t>
      </w:r>
      <w:r w:rsidRPr="00D762E6">
        <w:rPr>
          <w:b w:val="0"/>
        </w:rPr>
        <w:t xml:space="preserve"> </w:t>
      </w:r>
    </w:p>
    <w:p w14:paraId="56280F29" w14:textId="1DEA8C2F" w:rsidR="00D463E5" w:rsidRDefault="00E67EAC">
      <w:pPr>
        <w:pStyle w:val="Artculo"/>
        <w:ind w:left="0" w:firstLine="0"/>
        <w:rPr>
          <w:b w:val="0"/>
        </w:rPr>
      </w:pPr>
      <w:r>
        <w:t>Responsabilidad de</w:t>
      </w:r>
      <w:r w:rsidR="00D463E5">
        <w:t xml:space="preserve">l </w:t>
      </w:r>
      <w:r>
        <w:t>vendedor.</w:t>
      </w:r>
      <w:r w:rsidR="006149A8" w:rsidRPr="006149A8">
        <w:rPr>
          <w:b w:val="0"/>
        </w:rPr>
        <w:t xml:space="preserve"> </w:t>
      </w:r>
      <w:r w:rsidR="00D463E5">
        <w:rPr>
          <w:b w:val="0"/>
        </w:rPr>
        <w:t>El vendedor</w:t>
      </w:r>
      <w:r w:rsidR="006149A8" w:rsidRPr="006149A8">
        <w:rPr>
          <w:b w:val="0"/>
        </w:rPr>
        <w:t xml:space="preserve"> que resulte adjudicado con contratos de </w:t>
      </w:r>
      <w:r w:rsidR="00D463E5">
        <w:rPr>
          <w:b w:val="0"/>
        </w:rPr>
        <w:t xml:space="preserve">energía eléctrica de </w:t>
      </w:r>
      <w:r w:rsidR="006149A8" w:rsidRPr="006149A8">
        <w:rPr>
          <w:b w:val="0"/>
        </w:rPr>
        <w:t>largo plazo</w:t>
      </w:r>
      <w:r w:rsidR="00D463E5">
        <w:rPr>
          <w:b w:val="0"/>
        </w:rPr>
        <w:t xml:space="preserve"> deberá cumplir con lo siguiente: </w:t>
      </w:r>
    </w:p>
    <w:p w14:paraId="59DA8943" w14:textId="77777777" w:rsidR="006149A8" w:rsidRDefault="00D463E5" w:rsidP="006A1E56">
      <w:pPr>
        <w:pStyle w:val="Artculo"/>
        <w:numPr>
          <w:ilvl w:val="1"/>
          <w:numId w:val="6"/>
        </w:numPr>
        <w:rPr>
          <w:b w:val="0"/>
        </w:rPr>
      </w:pPr>
      <w:r>
        <w:rPr>
          <w:b w:val="0"/>
        </w:rPr>
        <w:t>E</w:t>
      </w:r>
      <w:r w:rsidR="006149A8" w:rsidRPr="006149A8">
        <w:rPr>
          <w:b w:val="0"/>
        </w:rPr>
        <w:t>ntregar la garantía de que trata esta resolución</w:t>
      </w:r>
      <w:r w:rsidR="001F1585">
        <w:rPr>
          <w:b w:val="0"/>
        </w:rPr>
        <w:t xml:space="preserve"> al </w:t>
      </w:r>
      <w:r w:rsidR="001F1585" w:rsidRPr="006149A8">
        <w:rPr>
          <w:b w:val="0"/>
        </w:rPr>
        <w:t>ASIC</w:t>
      </w:r>
      <w:r>
        <w:rPr>
          <w:b w:val="0"/>
        </w:rPr>
        <w:t xml:space="preserve"> </w:t>
      </w:r>
      <w:r w:rsidR="00BF70A3">
        <w:rPr>
          <w:b w:val="0"/>
        </w:rPr>
        <w:t xml:space="preserve">cumpliendo </w:t>
      </w:r>
      <w:r w:rsidR="00E8375D">
        <w:rPr>
          <w:b w:val="0"/>
        </w:rPr>
        <w:t>los plazos establecidos en el numeral 23 del cronograma descrito en el numeral 5 de los pliegos de condiciones establecidos por la UPME</w:t>
      </w:r>
      <w:r>
        <w:rPr>
          <w:b w:val="0"/>
        </w:rPr>
        <w:t xml:space="preserve">. </w:t>
      </w:r>
    </w:p>
    <w:p w14:paraId="2FD0A25D" w14:textId="77777777" w:rsidR="006149A8" w:rsidRPr="0061323D" w:rsidRDefault="00E8375D" w:rsidP="006A1E56">
      <w:pPr>
        <w:pStyle w:val="Artculo"/>
        <w:numPr>
          <w:ilvl w:val="1"/>
          <w:numId w:val="6"/>
        </w:numPr>
      </w:pPr>
      <w:r w:rsidRPr="0061323D">
        <w:rPr>
          <w:b w:val="0"/>
        </w:rPr>
        <w:t xml:space="preserve">Modificar, ajustar o reponer la garantía conforme a lo dispuesto en los </w:t>
      </w:r>
      <w:r w:rsidRPr="005A34B9">
        <w:rPr>
          <w:b w:val="0"/>
        </w:rPr>
        <w:t>artículos 8, 9 y 10 de la</w:t>
      </w:r>
      <w:r w:rsidRPr="0061323D">
        <w:rPr>
          <w:b w:val="0"/>
        </w:rPr>
        <w:t xml:space="preserve"> presente resolución.</w:t>
      </w:r>
    </w:p>
    <w:p w14:paraId="71F18726" w14:textId="77777777" w:rsidR="00C57ACD" w:rsidRPr="0061323D" w:rsidRDefault="00E8375D" w:rsidP="006A1E56">
      <w:pPr>
        <w:pStyle w:val="Artculo"/>
        <w:numPr>
          <w:ilvl w:val="1"/>
          <w:numId w:val="6"/>
        </w:numPr>
      </w:pPr>
      <w:r w:rsidRPr="006571A7">
        <w:rPr>
          <w:b w:val="0"/>
        </w:rPr>
        <w:t>Informar al ASIC cualquier modificación en la calificación crediticia de la entidad que otorga la garantía</w:t>
      </w:r>
      <w:r w:rsidR="00D762E6">
        <w:rPr>
          <w:b w:val="0"/>
        </w:rPr>
        <w:t xml:space="preserve"> a la que hace referencia los numerales </w:t>
      </w:r>
      <w:r w:rsidR="00371004">
        <w:rPr>
          <w:b w:val="0"/>
        </w:rPr>
        <w:t>4.</w:t>
      </w:r>
      <w:r w:rsidR="00D762E6">
        <w:rPr>
          <w:b w:val="0"/>
        </w:rPr>
        <w:t xml:space="preserve">1 y </w:t>
      </w:r>
      <w:r w:rsidR="00371004">
        <w:rPr>
          <w:b w:val="0"/>
        </w:rPr>
        <w:t>4.</w:t>
      </w:r>
      <w:r w:rsidR="00D762E6">
        <w:rPr>
          <w:b w:val="0"/>
        </w:rPr>
        <w:t>2 del artículo 4 de la presente resolución</w:t>
      </w:r>
      <w:r w:rsidR="00C57ACD" w:rsidRPr="006571A7">
        <w:rPr>
          <w:b w:val="0"/>
        </w:rPr>
        <w:t xml:space="preserve">. </w:t>
      </w:r>
      <w:r w:rsidRPr="006571A7">
        <w:rPr>
          <w:b w:val="0"/>
        </w:rPr>
        <w:t xml:space="preserve">Dicha información deberá ser comunicada a más tardar </w:t>
      </w:r>
      <w:r w:rsidR="00C57ACD" w:rsidRPr="006571A7">
        <w:rPr>
          <w:b w:val="0"/>
        </w:rPr>
        <w:t>cinco</w:t>
      </w:r>
      <w:r w:rsidRPr="006571A7">
        <w:rPr>
          <w:b w:val="0"/>
        </w:rPr>
        <w:t xml:space="preserve"> (</w:t>
      </w:r>
      <w:r w:rsidR="00C57ACD" w:rsidRPr="006571A7">
        <w:rPr>
          <w:b w:val="0"/>
        </w:rPr>
        <w:t>5</w:t>
      </w:r>
      <w:r w:rsidRPr="006571A7">
        <w:rPr>
          <w:b w:val="0"/>
        </w:rPr>
        <w:t>) días hábiles después de ocurrido el hecho.</w:t>
      </w:r>
    </w:p>
    <w:p w14:paraId="59DAB3F0" w14:textId="1A789373" w:rsidR="0009284A" w:rsidRPr="0061323D" w:rsidRDefault="00C503D7" w:rsidP="006A1E56">
      <w:pPr>
        <w:pStyle w:val="Artculo"/>
        <w:numPr>
          <w:ilvl w:val="1"/>
          <w:numId w:val="6"/>
        </w:numPr>
      </w:pPr>
      <w:r>
        <w:rPr>
          <w:b w:val="0"/>
        </w:rPr>
        <w:t>Cuando la garantía tenga vigencia superior a un</w:t>
      </w:r>
      <w:r w:rsidR="00D762E6">
        <w:rPr>
          <w:b w:val="0"/>
        </w:rPr>
        <w:t xml:space="preserve"> (1)</w:t>
      </w:r>
      <w:r>
        <w:rPr>
          <w:b w:val="0"/>
        </w:rPr>
        <w:t xml:space="preserve"> año, a</w:t>
      </w:r>
      <w:r w:rsidR="00C57ACD" w:rsidRPr="006571A7">
        <w:rPr>
          <w:b w:val="0"/>
        </w:rPr>
        <w:t>ctualizar la</w:t>
      </w:r>
      <w:r w:rsidR="00946A2B" w:rsidRPr="00BA16C0">
        <w:rPr>
          <w:b w:val="0"/>
        </w:rPr>
        <w:t xml:space="preserve"> calificación crediticia de la entidad que otorga la garantía</w:t>
      </w:r>
      <w:r w:rsidR="0009284A" w:rsidRPr="006571A7">
        <w:rPr>
          <w:b w:val="0"/>
        </w:rPr>
        <w:t xml:space="preserve"> anualmente, a partir del momento en que fue entregada</w:t>
      </w:r>
      <w:r w:rsidR="00C57ACD" w:rsidRPr="006571A7">
        <w:rPr>
          <w:b w:val="0"/>
        </w:rPr>
        <w:t xml:space="preserve"> y aprobada</w:t>
      </w:r>
      <w:r w:rsidR="006615D6">
        <w:rPr>
          <w:b w:val="0"/>
        </w:rPr>
        <w:t xml:space="preserve"> por el ASIC</w:t>
      </w:r>
      <w:r w:rsidR="00C57ACD" w:rsidRPr="006571A7">
        <w:rPr>
          <w:b w:val="0"/>
        </w:rPr>
        <w:t>.</w:t>
      </w:r>
      <w:r w:rsidR="00D762E6">
        <w:rPr>
          <w:b w:val="0"/>
        </w:rPr>
        <w:t xml:space="preserve"> </w:t>
      </w:r>
    </w:p>
    <w:p w14:paraId="3635F733" w14:textId="77777777" w:rsidR="008718CD" w:rsidRDefault="00303610" w:rsidP="006A1E56">
      <w:pPr>
        <w:pStyle w:val="Artculo"/>
        <w:numPr>
          <w:ilvl w:val="1"/>
          <w:numId w:val="6"/>
        </w:numPr>
        <w:rPr>
          <w:b w:val="0"/>
        </w:rPr>
      </w:pPr>
      <w:r>
        <w:rPr>
          <w:b w:val="0"/>
        </w:rPr>
        <w:t>Declar</w:t>
      </w:r>
      <w:r w:rsidR="0009284A">
        <w:rPr>
          <w:b w:val="0"/>
        </w:rPr>
        <w:t xml:space="preserve">ar </w:t>
      </w:r>
      <w:r>
        <w:rPr>
          <w:b w:val="0"/>
        </w:rPr>
        <w:t>ante e</w:t>
      </w:r>
      <w:r w:rsidR="0009284A">
        <w:rPr>
          <w:b w:val="0"/>
        </w:rPr>
        <w:t xml:space="preserve">l CND </w:t>
      </w:r>
      <w:r w:rsidR="009F1230">
        <w:rPr>
          <w:b w:val="0"/>
        </w:rPr>
        <w:t xml:space="preserve">la </w:t>
      </w:r>
      <w:r w:rsidR="0009284A">
        <w:rPr>
          <w:b w:val="0"/>
        </w:rPr>
        <w:t>entrada en operación comercial</w:t>
      </w:r>
      <w:r w:rsidR="00D762E6">
        <w:rPr>
          <w:b w:val="0"/>
        </w:rPr>
        <w:t xml:space="preserve"> en cualquier momento a partir de la fecha máxima de entrega de la garantía de puesta en operación a la que se refiere el numeral 23 del cronograma descrito en el numeral 5 de los pliegos de condiciones establecidos por la UPME. En esta declaración el vendedor deberá</w:t>
      </w:r>
      <w:r>
        <w:rPr>
          <w:b w:val="0"/>
        </w:rPr>
        <w:t xml:space="preserve"> informa</w:t>
      </w:r>
      <w:r w:rsidR="00D762E6">
        <w:rPr>
          <w:b w:val="0"/>
        </w:rPr>
        <w:t>r al CND</w:t>
      </w:r>
      <w:r>
        <w:rPr>
          <w:b w:val="0"/>
        </w:rPr>
        <w:t xml:space="preserve"> la capacidad efectiva neta de la planta. </w:t>
      </w:r>
    </w:p>
    <w:p w14:paraId="4F59206A" w14:textId="2E0D88BE" w:rsidR="008718CD" w:rsidRDefault="008718CD" w:rsidP="006A1E56">
      <w:pPr>
        <w:pStyle w:val="Artculo"/>
        <w:numPr>
          <w:ilvl w:val="1"/>
          <w:numId w:val="6"/>
        </w:numPr>
        <w:rPr>
          <w:b w:val="0"/>
        </w:rPr>
      </w:pPr>
      <w:r w:rsidRPr="008718CD">
        <w:rPr>
          <w:b w:val="0"/>
        </w:rPr>
        <w:t>Cuando la planta haya entrado en operación y no haya cumplido con el PMCP</w:t>
      </w:r>
      <w:r>
        <w:rPr>
          <w:b w:val="0"/>
        </w:rPr>
        <w:t xml:space="preserve"> </w:t>
      </w:r>
      <w:r w:rsidRPr="008718CD">
        <w:rPr>
          <w:b w:val="0"/>
        </w:rPr>
        <w:t>conforme a lo dispuesto en el numeral 16.2,</w:t>
      </w:r>
      <w:r w:rsidR="00303610">
        <w:rPr>
          <w:b w:val="0"/>
        </w:rPr>
        <w:t xml:space="preserve"> el</w:t>
      </w:r>
      <w:r w:rsidR="00605C79">
        <w:rPr>
          <w:b w:val="0"/>
        </w:rPr>
        <w:t xml:space="preserve"> </w:t>
      </w:r>
      <w:r w:rsidR="00303610">
        <w:rPr>
          <w:b w:val="0"/>
        </w:rPr>
        <w:t>vendedor</w:t>
      </w:r>
      <w:r>
        <w:rPr>
          <w:b w:val="0"/>
        </w:rPr>
        <w:t xml:space="preserve"> deberá: </w:t>
      </w:r>
    </w:p>
    <w:p w14:paraId="58439F4A" w14:textId="77777777" w:rsidR="00655797" w:rsidRPr="00655797" w:rsidRDefault="00655797" w:rsidP="00655797">
      <w:pPr>
        <w:pStyle w:val="articulo"/>
      </w:pPr>
    </w:p>
    <w:p w14:paraId="293D67E3" w14:textId="77777777" w:rsidR="008718CD" w:rsidRDefault="008718CD" w:rsidP="00655797">
      <w:pPr>
        <w:pStyle w:val="Artculo"/>
        <w:numPr>
          <w:ilvl w:val="0"/>
          <w:numId w:val="8"/>
        </w:numPr>
        <w:spacing w:before="0"/>
        <w:rPr>
          <w:b w:val="0"/>
        </w:rPr>
      </w:pPr>
      <w:r>
        <w:rPr>
          <w:b w:val="0"/>
        </w:rPr>
        <w:t>Informar al CND en</w:t>
      </w:r>
      <w:r w:rsidR="00303610">
        <w:rPr>
          <w:b w:val="0"/>
        </w:rPr>
        <w:t xml:space="preserve"> un plazo hasta de seis</w:t>
      </w:r>
      <w:r w:rsidR="0013764B">
        <w:rPr>
          <w:b w:val="0"/>
        </w:rPr>
        <w:t xml:space="preserve"> (6)</w:t>
      </w:r>
      <w:r w:rsidR="00303610">
        <w:rPr>
          <w:b w:val="0"/>
        </w:rPr>
        <w:t xml:space="preserve"> meses contados a partir de la fecha de la certificación del CND de la entrada en operación comercial </w:t>
      </w:r>
      <w:r w:rsidR="00872ED6">
        <w:rPr>
          <w:b w:val="0"/>
        </w:rPr>
        <w:t>una nueva capacidad efectiva neta que</w:t>
      </w:r>
      <w:r w:rsidR="00303610">
        <w:rPr>
          <w:b w:val="0"/>
        </w:rPr>
        <w:t xml:space="preserve"> cumpl</w:t>
      </w:r>
      <w:r w:rsidR="00872ED6">
        <w:rPr>
          <w:b w:val="0"/>
        </w:rPr>
        <w:t xml:space="preserve">a </w:t>
      </w:r>
      <w:r w:rsidR="00303610">
        <w:rPr>
          <w:b w:val="0"/>
        </w:rPr>
        <w:t>el PMCP.</w:t>
      </w:r>
      <w:r w:rsidR="009642BC">
        <w:rPr>
          <w:b w:val="0"/>
        </w:rPr>
        <w:t xml:space="preserve"> </w:t>
      </w:r>
      <w:r w:rsidR="00303610">
        <w:rPr>
          <w:b w:val="0"/>
        </w:rPr>
        <w:t>En todo caso, este plazo no podrá superar</w:t>
      </w:r>
      <w:r w:rsidR="00262A4B">
        <w:rPr>
          <w:b w:val="0"/>
        </w:rPr>
        <w:t xml:space="preserve"> la F</w:t>
      </w:r>
      <w:r w:rsidR="00C33664">
        <w:rPr>
          <w:b w:val="0"/>
        </w:rPr>
        <w:t>V</w:t>
      </w:r>
      <w:r w:rsidR="00262A4B">
        <w:rPr>
          <w:b w:val="0"/>
        </w:rPr>
        <w:t>PO última.</w:t>
      </w:r>
      <w:r w:rsidR="00303610">
        <w:rPr>
          <w:b w:val="0"/>
        </w:rPr>
        <w:t xml:space="preserve"> </w:t>
      </w:r>
    </w:p>
    <w:p w14:paraId="33C74017" w14:textId="77777777" w:rsidR="008718CD" w:rsidRDefault="00295307" w:rsidP="006A1E56">
      <w:pPr>
        <w:pStyle w:val="Artculo"/>
        <w:numPr>
          <w:ilvl w:val="0"/>
          <w:numId w:val="8"/>
        </w:numPr>
        <w:rPr>
          <w:b w:val="0"/>
        </w:rPr>
      </w:pPr>
      <w:r w:rsidRPr="008718CD">
        <w:rPr>
          <w:b w:val="0"/>
        </w:rPr>
        <w:t>Extender la vigencia de la garantía por un término de nueve (9) meses</w:t>
      </w:r>
      <w:r w:rsidR="00F076DC" w:rsidRPr="008718CD">
        <w:rPr>
          <w:b w:val="0"/>
        </w:rPr>
        <w:t xml:space="preserve"> </w:t>
      </w:r>
      <w:r w:rsidR="00475A8B" w:rsidRPr="008718CD">
        <w:rPr>
          <w:b w:val="0"/>
        </w:rPr>
        <w:t>desde la fecha de certificación de entrada en operación comercial por parte del CND</w:t>
      </w:r>
      <w:r w:rsidR="00F32BB3">
        <w:rPr>
          <w:b w:val="0"/>
        </w:rPr>
        <w:t xml:space="preserve"> o desde la FVPO última más tres (3) meses</w:t>
      </w:r>
      <w:r w:rsidR="006F74D4">
        <w:rPr>
          <w:b w:val="0"/>
        </w:rPr>
        <w:t>.</w:t>
      </w:r>
    </w:p>
    <w:p w14:paraId="7DF276E9" w14:textId="23281B25" w:rsidR="008718CD" w:rsidRDefault="008718CD" w:rsidP="006A1E56">
      <w:pPr>
        <w:pStyle w:val="Artculo"/>
        <w:numPr>
          <w:ilvl w:val="0"/>
          <w:numId w:val="8"/>
        </w:numPr>
        <w:rPr>
          <w:b w:val="0"/>
        </w:rPr>
      </w:pPr>
      <w:r>
        <w:rPr>
          <w:b w:val="0"/>
        </w:rPr>
        <w:t>Modificar el valor de la cobertura de la garantía</w:t>
      </w:r>
      <w:r w:rsidR="00467287">
        <w:rPr>
          <w:b w:val="0"/>
        </w:rPr>
        <w:t xml:space="preserve"> cumpliendo lo establecido en el artículo 10 de la presente resolución y</w:t>
      </w:r>
      <w:r>
        <w:rPr>
          <w:b w:val="0"/>
        </w:rPr>
        <w:t xml:space="preserve"> teniendo en cuenta lo siguiente:</w:t>
      </w:r>
    </w:p>
    <w:p w14:paraId="1EE33A51" w14:textId="77777777" w:rsidR="008706E6" w:rsidRPr="008706E6" w:rsidRDefault="008706E6" w:rsidP="008706E6"/>
    <w:tbl>
      <w:tblPr>
        <w:tblStyle w:val="Tablaconcuadrcula"/>
        <w:tblW w:w="0" w:type="auto"/>
        <w:tblInd w:w="567" w:type="dxa"/>
        <w:tblLook w:val="04A0" w:firstRow="1" w:lastRow="0" w:firstColumn="1" w:lastColumn="0" w:noHBand="0" w:noVBand="1"/>
      </w:tblPr>
      <w:tblGrid>
        <w:gridCol w:w="4394"/>
        <w:gridCol w:w="4385"/>
      </w:tblGrid>
      <w:tr w:rsidR="000370F4" w14:paraId="0603CEBC" w14:textId="77777777" w:rsidTr="006F74D4">
        <w:tc>
          <w:tcPr>
            <w:tcW w:w="4394" w:type="dxa"/>
          </w:tcPr>
          <w:p w14:paraId="59C8D090" w14:textId="77777777" w:rsidR="000370F4" w:rsidRPr="006F74D4" w:rsidRDefault="000370F4" w:rsidP="006F74D4">
            <w:pPr>
              <w:ind w:left="0"/>
              <w:jc w:val="center"/>
              <w:rPr>
                <w:b/>
              </w:rPr>
            </w:pPr>
            <w:r w:rsidRPr="006F74D4">
              <w:rPr>
                <w:b/>
              </w:rPr>
              <w:t>Periodo</w:t>
            </w:r>
          </w:p>
        </w:tc>
        <w:tc>
          <w:tcPr>
            <w:tcW w:w="4385" w:type="dxa"/>
          </w:tcPr>
          <w:p w14:paraId="07F61156" w14:textId="77777777" w:rsidR="000370F4" w:rsidRPr="006F74D4" w:rsidRDefault="000370F4" w:rsidP="006F74D4">
            <w:pPr>
              <w:ind w:left="0"/>
              <w:jc w:val="center"/>
              <w:rPr>
                <w:b/>
              </w:rPr>
            </w:pPr>
            <w:r w:rsidRPr="006F74D4">
              <w:rPr>
                <w:b/>
              </w:rPr>
              <w:t>Valor de la cobertura en %</w:t>
            </w:r>
            <w:r w:rsidR="006F74D4" w:rsidRPr="006F74D4">
              <w:rPr>
                <w:rStyle w:val="Refdenotaalpie"/>
                <w:b/>
              </w:rPr>
              <w:footnoteReference w:id="1"/>
            </w:r>
          </w:p>
        </w:tc>
      </w:tr>
      <w:tr w:rsidR="000370F4" w14:paraId="3AA1DC00" w14:textId="77777777" w:rsidTr="006F74D4">
        <w:tc>
          <w:tcPr>
            <w:tcW w:w="4394" w:type="dxa"/>
          </w:tcPr>
          <w:p w14:paraId="5B1EC881" w14:textId="77777777" w:rsidR="000370F4" w:rsidRDefault="000370F4" w:rsidP="00475A8B">
            <w:pPr>
              <w:ind w:left="0"/>
            </w:pPr>
            <w:r>
              <w:t>Fecha máxima de entrega de la garantía de puesta en operación  - Enero 1 de 2022</w:t>
            </w:r>
          </w:p>
        </w:tc>
        <w:tc>
          <w:tcPr>
            <w:tcW w:w="4385" w:type="dxa"/>
            <w:vAlign w:val="center"/>
          </w:tcPr>
          <w:p w14:paraId="46FEDE45" w14:textId="77777777" w:rsidR="000370F4" w:rsidRDefault="000370F4" w:rsidP="006F74D4">
            <w:pPr>
              <w:ind w:left="0"/>
              <w:jc w:val="center"/>
            </w:pPr>
            <w:r>
              <w:t>10%</w:t>
            </w:r>
          </w:p>
        </w:tc>
      </w:tr>
      <w:tr w:rsidR="000370F4" w14:paraId="4CB8FBFE" w14:textId="77777777" w:rsidTr="006F74D4">
        <w:tc>
          <w:tcPr>
            <w:tcW w:w="4394" w:type="dxa"/>
          </w:tcPr>
          <w:p w14:paraId="6E81CB28" w14:textId="77777777" w:rsidR="000370F4" w:rsidRDefault="000370F4" w:rsidP="00475A8B">
            <w:pPr>
              <w:ind w:left="0"/>
            </w:pPr>
            <w:r>
              <w:t>Enero 2 de 2022 – Julio 1 de 2022</w:t>
            </w:r>
          </w:p>
        </w:tc>
        <w:tc>
          <w:tcPr>
            <w:tcW w:w="4385" w:type="dxa"/>
            <w:vAlign w:val="center"/>
          </w:tcPr>
          <w:p w14:paraId="045BB199" w14:textId="77777777" w:rsidR="000370F4" w:rsidRDefault="000370F4" w:rsidP="006F74D4">
            <w:pPr>
              <w:ind w:left="0"/>
              <w:jc w:val="center"/>
            </w:pPr>
            <w:r>
              <w:t>20%</w:t>
            </w:r>
          </w:p>
        </w:tc>
      </w:tr>
      <w:tr w:rsidR="000370F4" w14:paraId="1F94DFAF" w14:textId="77777777" w:rsidTr="006F74D4">
        <w:tc>
          <w:tcPr>
            <w:tcW w:w="4394" w:type="dxa"/>
          </w:tcPr>
          <w:p w14:paraId="6FA82F10" w14:textId="77777777" w:rsidR="000370F4" w:rsidRDefault="000370F4" w:rsidP="00475A8B">
            <w:pPr>
              <w:ind w:left="0"/>
            </w:pPr>
            <w:r>
              <w:t>Julio 2 de 2022 – Enero 1 de 2023</w:t>
            </w:r>
          </w:p>
        </w:tc>
        <w:tc>
          <w:tcPr>
            <w:tcW w:w="4385" w:type="dxa"/>
            <w:vAlign w:val="center"/>
          </w:tcPr>
          <w:p w14:paraId="22227951" w14:textId="77777777" w:rsidR="000370F4" w:rsidRDefault="000370F4" w:rsidP="006F74D4">
            <w:pPr>
              <w:ind w:left="0"/>
              <w:jc w:val="center"/>
            </w:pPr>
            <w:r>
              <w:t>30%</w:t>
            </w:r>
          </w:p>
        </w:tc>
      </w:tr>
      <w:tr w:rsidR="000370F4" w14:paraId="7D7964A4" w14:textId="77777777" w:rsidTr="006F74D4">
        <w:tc>
          <w:tcPr>
            <w:tcW w:w="4394" w:type="dxa"/>
          </w:tcPr>
          <w:p w14:paraId="2D560C73" w14:textId="77777777" w:rsidR="000370F4" w:rsidRDefault="000370F4" w:rsidP="00475A8B">
            <w:pPr>
              <w:ind w:left="0"/>
            </w:pPr>
            <w:r>
              <w:t>Enero 2 de 2023 – Julio 1 de 2023</w:t>
            </w:r>
          </w:p>
        </w:tc>
        <w:tc>
          <w:tcPr>
            <w:tcW w:w="4385" w:type="dxa"/>
            <w:vAlign w:val="center"/>
          </w:tcPr>
          <w:p w14:paraId="59286361" w14:textId="77777777" w:rsidR="000370F4" w:rsidRDefault="000370F4" w:rsidP="006F74D4">
            <w:pPr>
              <w:ind w:left="0"/>
              <w:jc w:val="center"/>
            </w:pPr>
            <w:r>
              <w:t>40%</w:t>
            </w:r>
          </w:p>
        </w:tc>
      </w:tr>
      <w:tr w:rsidR="000370F4" w14:paraId="1772AA74" w14:textId="77777777" w:rsidTr="006F74D4">
        <w:tc>
          <w:tcPr>
            <w:tcW w:w="4394" w:type="dxa"/>
          </w:tcPr>
          <w:p w14:paraId="3516D0B4" w14:textId="77777777" w:rsidR="000370F4" w:rsidRDefault="000370F4" w:rsidP="00475A8B">
            <w:pPr>
              <w:ind w:left="0"/>
            </w:pPr>
            <w:r>
              <w:t>Julio 2 de 2023 – Diciembre 31 de 2023</w:t>
            </w:r>
          </w:p>
        </w:tc>
        <w:tc>
          <w:tcPr>
            <w:tcW w:w="4385" w:type="dxa"/>
            <w:vAlign w:val="center"/>
          </w:tcPr>
          <w:p w14:paraId="47515D3C" w14:textId="77777777" w:rsidR="000370F4" w:rsidRDefault="000370F4" w:rsidP="006F74D4">
            <w:pPr>
              <w:ind w:left="0"/>
              <w:jc w:val="center"/>
            </w:pPr>
            <w:r>
              <w:t>50%</w:t>
            </w:r>
          </w:p>
        </w:tc>
      </w:tr>
    </w:tbl>
    <w:p w14:paraId="2501EDF2" w14:textId="614FA5DA" w:rsidR="008718CD" w:rsidRDefault="008718CD" w:rsidP="00475A8B"/>
    <w:p w14:paraId="479A7C54" w14:textId="77777777" w:rsidR="008706E6" w:rsidRPr="00475A8B" w:rsidRDefault="008706E6" w:rsidP="00475A8B"/>
    <w:p w14:paraId="134FC159" w14:textId="77777777" w:rsidR="00E67EAC" w:rsidRDefault="00E67EAC" w:rsidP="006571A7">
      <w:pPr>
        <w:keepNext/>
        <w:ind w:left="0"/>
        <w:jc w:val="center"/>
        <w:rPr>
          <w:rFonts w:ascii="Bookman Old Style" w:hAnsi="Bookman Old Style"/>
          <w:b/>
          <w:spacing w:val="40"/>
        </w:rPr>
      </w:pPr>
      <w:r>
        <w:rPr>
          <w:rFonts w:ascii="Bookman Old Style" w:hAnsi="Bookman Old Style"/>
          <w:b/>
          <w:spacing w:val="40"/>
        </w:rPr>
        <w:t>CAPÍTULO IV</w:t>
      </w:r>
    </w:p>
    <w:p w14:paraId="75B93E1C" w14:textId="77777777" w:rsidR="00873B39" w:rsidRPr="006571A7" w:rsidRDefault="00E67EAC" w:rsidP="006571A7">
      <w:pPr>
        <w:ind w:left="0"/>
        <w:jc w:val="center"/>
        <w:rPr>
          <w:rFonts w:ascii="Bookman Old Style" w:hAnsi="Bookman Old Style"/>
          <w:b/>
        </w:rPr>
      </w:pPr>
      <w:r w:rsidRPr="006571A7">
        <w:rPr>
          <w:rFonts w:ascii="Bookman Old Style" w:hAnsi="Bookman Old Style"/>
          <w:b/>
        </w:rPr>
        <w:t>Procedimiento de cumplimiento y ejecución de las garantías</w:t>
      </w:r>
    </w:p>
    <w:p w14:paraId="6CD67C78" w14:textId="77777777" w:rsidR="00EC5340" w:rsidRPr="006571A7" w:rsidRDefault="007A75E4" w:rsidP="00EC5340">
      <w:pPr>
        <w:pStyle w:val="Artculo"/>
        <w:ind w:left="0" w:firstLine="0"/>
      </w:pPr>
      <w:r>
        <w:t>Informe</w:t>
      </w:r>
      <w:r w:rsidR="00EC5340">
        <w:t xml:space="preserve"> de la entrada en operación comercial</w:t>
      </w:r>
      <w:r w:rsidR="00EC5340" w:rsidRPr="006149A8">
        <w:t xml:space="preserve">. </w:t>
      </w:r>
      <w:r w:rsidR="00EC5340" w:rsidRPr="003E064D">
        <w:rPr>
          <w:b w:val="0"/>
        </w:rPr>
        <w:t>E</w:t>
      </w:r>
      <w:r w:rsidR="00EC5340">
        <w:rPr>
          <w:b w:val="0"/>
        </w:rPr>
        <w:t xml:space="preserve">l CND será la entidad encargada de </w:t>
      </w:r>
      <w:r w:rsidR="00262A4B">
        <w:rPr>
          <w:b w:val="0"/>
        </w:rPr>
        <w:t>c</w:t>
      </w:r>
      <w:r w:rsidR="00EC5340">
        <w:rPr>
          <w:b w:val="0"/>
        </w:rPr>
        <w:t>er</w:t>
      </w:r>
      <w:r w:rsidR="00262A4B">
        <w:rPr>
          <w:b w:val="0"/>
        </w:rPr>
        <w:t>t</w:t>
      </w:r>
      <w:r w:rsidR="00EC5340">
        <w:rPr>
          <w:b w:val="0"/>
        </w:rPr>
        <w:t>ificar la entrada en operación comercial de la planta en cumplimiento de la normativa vigente</w:t>
      </w:r>
      <w:r w:rsidR="0013764B">
        <w:rPr>
          <w:b w:val="0"/>
        </w:rPr>
        <w:t xml:space="preserve">. El CND </w:t>
      </w:r>
      <w:r w:rsidR="00D1180C">
        <w:rPr>
          <w:b w:val="0"/>
        </w:rPr>
        <w:t xml:space="preserve">deberá </w:t>
      </w:r>
      <w:r w:rsidR="0013764B">
        <w:rPr>
          <w:b w:val="0"/>
        </w:rPr>
        <w:t>informa</w:t>
      </w:r>
      <w:r w:rsidR="00D1180C">
        <w:rPr>
          <w:b w:val="0"/>
        </w:rPr>
        <w:t xml:space="preserve">r </w:t>
      </w:r>
      <w:r w:rsidR="0013764B">
        <w:rPr>
          <w:b w:val="0"/>
        </w:rPr>
        <w:t>al ASIC lo siguiente</w:t>
      </w:r>
      <w:r w:rsidR="00D1180C">
        <w:rPr>
          <w:b w:val="0"/>
        </w:rPr>
        <w:t>:</w:t>
      </w:r>
      <w:r w:rsidR="00EC5340">
        <w:rPr>
          <w:b w:val="0"/>
        </w:rPr>
        <w:t xml:space="preserve"> </w:t>
      </w:r>
    </w:p>
    <w:p w14:paraId="7B720492" w14:textId="1BC4CBD3" w:rsidR="0096549E" w:rsidRPr="006571A7" w:rsidRDefault="0013764B" w:rsidP="006A1E56">
      <w:pPr>
        <w:pStyle w:val="Artculo"/>
        <w:numPr>
          <w:ilvl w:val="1"/>
          <w:numId w:val="7"/>
        </w:numPr>
      </w:pPr>
      <w:r>
        <w:rPr>
          <w:b w:val="0"/>
        </w:rPr>
        <w:t>S</w:t>
      </w:r>
      <w:r w:rsidR="0097754A">
        <w:rPr>
          <w:b w:val="0"/>
        </w:rPr>
        <w:t xml:space="preserve">i la planta del vendedor </w:t>
      </w:r>
      <w:r w:rsidR="00D1180C">
        <w:rPr>
          <w:b w:val="0"/>
        </w:rPr>
        <w:t>entró en operación comercial</w:t>
      </w:r>
      <w:r>
        <w:rPr>
          <w:b w:val="0"/>
        </w:rPr>
        <w:t>.</w:t>
      </w:r>
    </w:p>
    <w:p w14:paraId="60265457" w14:textId="174A6876" w:rsidR="0096549E" w:rsidRDefault="0013764B" w:rsidP="006A1E56">
      <w:pPr>
        <w:pStyle w:val="Artculo"/>
        <w:numPr>
          <w:ilvl w:val="1"/>
          <w:numId w:val="7"/>
        </w:numPr>
        <w:rPr>
          <w:b w:val="0"/>
        </w:rPr>
      </w:pPr>
      <w:r>
        <w:rPr>
          <w:b w:val="0"/>
        </w:rPr>
        <w:t>La capacidad efectiva neta de la planta</w:t>
      </w:r>
      <w:r w:rsidR="008706E6">
        <w:rPr>
          <w:b w:val="0"/>
        </w:rPr>
        <w:t xml:space="preserve">, declarada por el vendedor a la </w:t>
      </w:r>
      <w:r w:rsidR="00F32BB3">
        <w:rPr>
          <w:b w:val="0"/>
        </w:rPr>
        <w:t>en</w:t>
      </w:r>
      <w:r w:rsidR="008706E6">
        <w:rPr>
          <w:b w:val="0"/>
        </w:rPr>
        <w:t>trada en</w:t>
      </w:r>
      <w:r w:rsidR="00F32BB3">
        <w:rPr>
          <w:b w:val="0"/>
        </w:rPr>
        <w:t xml:space="preserve"> operación comercial</w:t>
      </w:r>
      <w:r w:rsidR="0096549E">
        <w:rPr>
          <w:b w:val="0"/>
        </w:rPr>
        <w:t>.</w:t>
      </w:r>
    </w:p>
    <w:p w14:paraId="397E7ED3" w14:textId="3C13E47A" w:rsidR="00E76BAB" w:rsidRPr="00E76BAB" w:rsidRDefault="00E76BAB" w:rsidP="006A1E56">
      <w:pPr>
        <w:pStyle w:val="Artculo"/>
        <w:numPr>
          <w:ilvl w:val="1"/>
          <w:numId w:val="7"/>
        </w:numPr>
        <w:rPr>
          <w:b w:val="0"/>
        </w:rPr>
      </w:pPr>
      <w:r>
        <w:rPr>
          <w:b w:val="0"/>
        </w:rPr>
        <w:t xml:space="preserve">En la FVPO </w:t>
      </w:r>
      <w:r w:rsidRPr="003E064D">
        <w:rPr>
          <w:b w:val="0"/>
        </w:rPr>
        <w:t>inicial</w:t>
      </w:r>
      <w:r>
        <w:rPr>
          <w:b w:val="0"/>
        </w:rPr>
        <w:t xml:space="preserve">, y en adelante cada seis (6) meses hasta la </w:t>
      </w:r>
      <w:r w:rsidR="00D762E6">
        <w:rPr>
          <w:b w:val="0"/>
        </w:rPr>
        <w:t>FVPO última</w:t>
      </w:r>
      <w:r>
        <w:rPr>
          <w:b w:val="0"/>
        </w:rPr>
        <w:t>, m</w:t>
      </w:r>
      <w:r w:rsidRPr="00B9375D">
        <w:rPr>
          <w:b w:val="0"/>
        </w:rPr>
        <w:t>ientras la planta no haya entrado en operación</w:t>
      </w:r>
      <w:r w:rsidR="002B3E2F">
        <w:rPr>
          <w:b w:val="0"/>
        </w:rPr>
        <w:t xml:space="preserve"> comercial</w:t>
      </w:r>
      <w:r w:rsidRPr="00B9375D">
        <w:rPr>
          <w:b w:val="0"/>
        </w:rPr>
        <w:t xml:space="preserve">, el CND deberá </w:t>
      </w:r>
      <w:r w:rsidRPr="00335DD7">
        <w:rPr>
          <w:b w:val="0"/>
        </w:rPr>
        <w:t>inform</w:t>
      </w:r>
      <w:r w:rsidRPr="00B9375D">
        <w:rPr>
          <w:b w:val="0"/>
        </w:rPr>
        <w:t>ar al ASIC</w:t>
      </w:r>
      <w:r>
        <w:rPr>
          <w:b w:val="0"/>
        </w:rPr>
        <w:t xml:space="preserve"> </w:t>
      </w:r>
      <w:r w:rsidR="002B3E2F">
        <w:rPr>
          <w:b w:val="0"/>
        </w:rPr>
        <w:t>que la planta no ha entrado en operación comercial</w:t>
      </w:r>
      <w:r>
        <w:rPr>
          <w:b w:val="0"/>
        </w:rPr>
        <w:t>.</w:t>
      </w:r>
    </w:p>
    <w:p w14:paraId="44D429BC" w14:textId="77777777" w:rsidR="007A75E4" w:rsidRPr="006571A7" w:rsidRDefault="0013764B" w:rsidP="006571A7">
      <w:pPr>
        <w:pStyle w:val="Artculo"/>
        <w:ind w:left="0" w:firstLine="0"/>
      </w:pPr>
      <w:r>
        <w:t>Verificaci</w:t>
      </w:r>
      <w:r w:rsidR="007A75E4">
        <w:t>ón del cumplimiento del PMCP.</w:t>
      </w:r>
      <w:r w:rsidRPr="006149A8">
        <w:t xml:space="preserve"> </w:t>
      </w:r>
      <w:r w:rsidRPr="003E064D">
        <w:rPr>
          <w:b w:val="0"/>
        </w:rPr>
        <w:t>E</w:t>
      </w:r>
      <w:r>
        <w:rPr>
          <w:b w:val="0"/>
        </w:rPr>
        <w:t xml:space="preserve">l </w:t>
      </w:r>
      <w:r w:rsidR="007A75E4">
        <w:rPr>
          <w:b w:val="0"/>
        </w:rPr>
        <w:t>ASIC</w:t>
      </w:r>
      <w:r>
        <w:rPr>
          <w:b w:val="0"/>
        </w:rPr>
        <w:t xml:space="preserve"> será la entidad encargada de </w:t>
      </w:r>
      <w:r w:rsidR="007A75E4">
        <w:rPr>
          <w:b w:val="0"/>
        </w:rPr>
        <w:t>verificar el cumplimiento del PMCP, con base en</w:t>
      </w:r>
      <w:r w:rsidR="007A75E4" w:rsidRPr="006571A7">
        <w:rPr>
          <w:b w:val="0"/>
        </w:rPr>
        <w:t xml:space="preserve"> la </w:t>
      </w:r>
      <w:r w:rsidR="007A75E4" w:rsidRPr="006571A7">
        <w:rPr>
          <w:b w:val="0"/>
        </w:rPr>
        <w:lastRenderedPageBreak/>
        <w:t>capacidad asignada de transporte en el concepto de conexión emitido por la UPME</w:t>
      </w:r>
      <w:r w:rsidR="007A75E4">
        <w:rPr>
          <w:b w:val="0"/>
        </w:rPr>
        <w:t xml:space="preserve"> y la capacidad efectiva neta de la planta informada por el CND.</w:t>
      </w:r>
    </w:p>
    <w:p w14:paraId="1A51FD45" w14:textId="757C58B4" w:rsidR="00F32BB3" w:rsidRDefault="00F32BB3" w:rsidP="006A1E56">
      <w:pPr>
        <w:pStyle w:val="Artculo"/>
        <w:numPr>
          <w:ilvl w:val="1"/>
          <w:numId w:val="9"/>
        </w:numPr>
        <w:rPr>
          <w:b w:val="0"/>
        </w:rPr>
      </w:pPr>
      <w:r w:rsidRPr="00F32BB3">
        <w:rPr>
          <w:b w:val="0"/>
        </w:rPr>
        <w:t>E</w:t>
      </w:r>
      <w:r w:rsidR="007A75E4" w:rsidRPr="00F32BB3">
        <w:rPr>
          <w:b w:val="0"/>
        </w:rPr>
        <w:t>l ASIC, e</w:t>
      </w:r>
      <w:r w:rsidR="00D1180C" w:rsidRPr="00F32BB3">
        <w:rPr>
          <w:b w:val="0"/>
        </w:rPr>
        <w:t xml:space="preserve">n caso de </w:t>
      </w:r>
      <w:r w:rsidR="007A75E4" w:rsidRPr="00F32BB3">
        <w:rPr>
          <w:b w:val="0"/>
        </w:rPr>
        <w:t>verificar que el PMCP se cumple, deberá devolver la garantía al vendedor</w:t>
      </w:r>
      <w:r w:rsidR="00250AA6">
        <w:rPr>
          <w:b w:val="0"/>
        </w:rPr>
        <w:t>,</w:t>
      </w:r>
      <w:r w:rsidR="007A75E4" w:rsidRPr="00F32BB3">
        <w:rPr>
          <w:b w:val="0"/>
        </w:rPr>
        <w:t xml:space="preserve"> dentro de los </w:t>
      </w:r>
      <w:r w:rsidR="00FD52CC">
        <w:rPr>
          <w:b w:val="0"/>
        </w:rPr>
        <w:t>diez</w:t>
      </w:r>
      <w:r w:rsidR="007A75E4" w:rsidRPr="00F32BB3">
        <w:rPr>
          <w:b w:val="0"/>
        </w:rPr>
        <w:t xml:space="preserve"> (</w:t>
      </w:r>
      <w:r w:rsidR="00FD52CC">
        <w:rPr>
          <w:b w:val="0"/>
        </w:rPr>
        <w:t>10</w:t>
      </w:r>
      <w:r w:rsidR="007A75E4" w:rsidRPr="00F32BB3">
        <w:rPr>
          <w:b w:val="0"/>
        </w:rPr>
        <w:t>) días hábiles siguientes a su verificación.</w:t>
      </w:r>
    </w:p>
    <w:p w14:paraId="566E1017" w14:textId="0CC67DCC" w:rsidR="00475A8B" w:rsidRPr="00475A8B" w:rsidRDefault="007A75E4" w:rsidP="006A1E56">
      <w:pPr>
        <w:pStyle w:val="Artculo"/>
        <w:numPr>
          <w:ilvl w:val="1"/>
          <w:numId w:val="9"/>
        </w:numPr>
      </w:pPr>
      <w:r w:rsidRPr="00F32BB3">
        <w:rPr>
          <w:b w:val="0"/>
        </w:rPr>
        <w:t>E</w:t>
      </w:r>
      <w:r w:rsidR="00D1180C" w:rsidRPr="00F32BB3">
        <w:rPr>
          <w:b w:val="0"/>
        </w:rPr>
        <w:t>l ASIC</w:t>
      </w:r>
      <w:r w:rsidRPr="00F32BB3">
        <w:rPr>
          <w:b w:val="0"/>
        </w:rPr>
        <w:t>, en caso de verificar que el PMCP no se cumple</w:t>
      </w:r>
      <w:r w:rsidR="00295307" w:rsidRPr="00F32BB3">
        <w:rPr>
          <w:b w:val="0"/>
        </w:rPr>
        <w:t xml:space="preserve">, deberá informar </w:t>
      </w:r>
      <w:r w:rsidR="00FD52CC">
        <w:rPr>
          <w:b w:val="0"/>
        </w:rPr>
        <w:t xml:space="preserve">de </w:t>
      </w:r>
      <w:r w:rsidR="00250AA6" w:rsidRPr="00F32BB3">
        <w:rPr>
          <w:b w:val="0"/>
        </w:rPr>
        <w:t>dicha situación</w:t>
      </w:r>
      <w:r w:rsidR="00FD52CC" w:rsidRPr="00FD52CC">
        <w:rPr>
          <w:b w:val="0"/>
        </w:rPr>
        <w:t xml:space="preserve"> </w:t>
      </w:r>
      <w:r w:rsidR="00FD52CC" w:rsidRPr="00F32BB3">
        <w:rPr>
          <w:b w:val="0"/>
        </w:rPr>
        <w:t>al vendedor</w:t>
      </w:r>
      <w:r w:rsidR="00FD52CC">
        <w:rPr>
          <w:b w:val="0"/>
        </w:rPr>
        <w:t xml:space="preserve"> </w:t>
      </w:r>
      <w:r w:rsidR="00295307" w:rsidRPr="00F32BB3">
        <w:rPr>
          <w:b w:val="0"/>
        </w:rPr>
        <w:t>dentro de los dos (2) días hábiles siguientes a su verificación.</w:t>
      </w:r>
    </w:p>
    <w:p w14:paraId="576C1BE5" w14:textId="77777777" w:rsidR="006149A8" w:rsidRPr="006149A8" w:rsidRDefault="006149A8" w:rsidP="006149A8">
      <w:pPr>
        <w:pStyle w:val="Artculo"/>
        <w:spacing w:after="0"/>
        <w:ind w:left="0" w:firstLine="0"/>
        <w:rPr>
          <w:b w:val="0"/>
        </w:rPr>
      </w:pPr>
      <w:r w:rsidRPr="006149A8">
        <w:t xml:space="preserve">Eventos de incumplimiento. </w:t>
      </w:r>
      <w:r w:rsidRPr="006149A8">
        <w:rPr>
          <w:b w:val="0"/>
        </w:rPr>
        <w:t>Constituyen eventos de incumplimiento los siguientes:</w:t>
      </w:r>
    </w:p>
    <w:p w14:paraId="6976FC5A" w14:textId="77777777" w:rsidR="006149A8" w:rsidRPr="000A5B58" w:rsidRDefault="006149A8" w:rsidP="006A1E56">
      <w:pPr>
        <w:pStyle w:val="Artculo"/>
        <w:numPr>
          <w:ilvl w:val="1"/>
          <w:numId w:val="10"/>
        </w:numPr>
        <w:rPr>
          <w:b w:val="0"/>
        </w:rPr>
      </w:pPr>
      <w:r w:rsidRPr="000A5B58">
        <w:rPr>
          <w:b w:val="0"/>
        </w:rPr>
        <w:t>No poner en operación</w:t>
      </w:r>
      <w:r w:rsidR="00813FAF" w:rsidRPr="000A5B58">
        <w:rPr>
          <w:b w:val="0"/>
        </w:rPr>
        <w:t xml:space="preserve"> comercial</w:t>
      </w:r>
      <w:r w:rsidRPr="000A5B58">
        <w:rPr>
          <w:b w:val="0"/>
        </w:rPr>
        <w:t xml:space="preserve"> la planta </w:t>
      </w:r>
      <w:r w:rsidR="005945B1" w:rsidRPr="000A5B58">
        <w:rPr>
          <w:b w:val="0"/>
        </w:rPr>
        <w:t xml:space="preserve">antes de la </w:t>
      </w:r>
      <w:r w:rsidR="00D762E6" w:rsidRPr="000A5B58">
        <w:rPr>
          <w:b w:val="0"/>
        </w:rPr>
        <w:t>FVPO última</w:t>
      </w:r>
      <w:r w:rsidRPr="000A5B58">
        <w:rPr>
          <w:b w:val="0"/>
        </w:rPr>
        <w:t>.</w:t>
      </w:r>
    </w:p>
    <w:p w14:paraId="14BBF292" w14:textId="05BBFAA3" w:rsidR="000A5B58" w:rsidRDefault="000A5B58" w:rsidP="006A1E56">
      <w:pPr>
        <w:pStyle w:val="Artculo"/>
        <w:numPr>
          <w:ilvl w:val="1"/>
          <w:numId w:val="10"/>
        </w:numPr>
        <w:rPr>
          <w:b w:val="0"/>
        </w:rPr>
      </w:pPr>
      <w:r w:rsidRPr="000A5B58">
        <w:rPr>
          <w:b w:val="0"/>
        </w:rPr>
        <w:t>Poner la planta en operación comercial sin cumplir con el PMCP</w:t>
      </w:r>
      <w:r w:rsidR="00FD52CC">
        <w:rPr>
          <w:b w:val="0"/>
        </w:rPr>
        <w:t xml:space="preserve"> y no declarar una nueva capacidad efectiva neta que cumpla con este requisito, antes de la primera de las siguientes fechas</w:t>
      </w:r>
      <w:r>
        <w:rPr>
          <w:b w:val="0"/>
        </w:rPr>
        <w:t xml:space="preserve">: </w:t>
      </w:r>
    </w:p>
    <w:p w14:paraId="095597C5" w14:textId="458A6583" w:rsidR="000A5B58" w:rsidRDefault="000A5B58" w:rsidP="000A5B58">
      <w:pPr>
        <w:pStyle w:val="Artculo"/>
        <w:numPr>
          <w:ilvl w:val="0"/>
          <w:numId w:val="0"/>
        </w:numPr>
        <w:ind w:left="720"/>
        <w:rPr>
          <w:b w:val="0"/>
        </w:rPr>
      </w:pPr>
      <w:r>
        <w:rPr>
          <w:b w:val="0"/>
        </w:rPr>
        <w:t>a. La</w:t>
      </w:r>
      <w:r w:rsidRPr="000A5B58">
        <w:rPr>
          <w:b w:val="0"/>
        </w:rPr>
        <w:t xml:space="preserve"> fecha de entrada en operació</w:t>
      </w:r>
      <w:r w:rsidR="006C54B4">
        <w:rPr>
          <w:b w:val="0"/>
        </w:rPr>
        <w:t>n comercial más seis (6) meses, o</w:t>
      </w:r>
    </w:p>
    <w:p w14:paraId="33AC140B" w14:textId="77777777" w:rsidR="00F2258B" w:rsidRPr="000A5B58" w:rsidRDefault="000A5B58" w:rsidP="000A5B58">
      <w:pPr>
        <w:pStyle w:val="Artculo"/>
        <w:numPr>
          <w:ilvl w:val="0"/>
          <w:numId w:val="0"/>
        </w:numPr>
        <w:ind w:left="720"/>
        <w:rPr>
          <w:b w:val="0"/>
        </w:rPr>
      </w:pPr>
      <w:r>
        <w:rPr>
          <w:b w:val="0"/>
        </w:rPr>
        <w:t>b. L</w:t>
      </w:r>
      <w:r w:rsidRPr="000A5B58">
        <w:rPr>
          <w:b w:val="0"/>
        </w:rPr>
        <w:t>a FVPO última</w:t>
      </w:r>
    </w:p>
    <w:p w14:paraId="6B89BBAA" w14:textId="1D982587" w:rsidR="006149A8" w:rsidRPr="000A5B58" w:rsidRDefault="006149A8" w:rsidP="006A1E56">
      <w:pPr>
        <w:pStyle w:val="Artculo"/>
        <w:numPr>
          <w:ilvl w:val="1"/>
          <w:numId w:val="10"/>
        </w:numPr>
        <w:rPr>
          <w:b w:val="0"/>
        </w:rPr>
      </w:pPr>
      <w:r w:rsidRPr="000A5B58">
        <w:rPr>
          <w:b w:val="0"/>
        </w:rPr>
        <w:t xml:space="preserve">La omisión del vendedor en </w:t>
      </w:r>
      <w:r w:rsidR="006C54B4">
        <w:rPr>
          <w:b w:val="0"/>
        </w:rPr>
        <w:t xml:space="preserve">obtener del ASIC aprobación de la </w:t>
      </w:r>
      <w:r w:rsidR="00900CE6" w:rsidRPr="000A5B58">
        <w:rPr>
          <w:b w:val="0"/>
        </w:rPr>
        <w:t xml:space="preserve">modificación, </w:t>
      </w:r>
      <w:r w:rsidRPr="000A5B58">
        <w:rPr>
          <w:b w:val="0"/>
        </w:rPr>
        <w:t>ajuste o reposición de las garantías.</w:t>
      </w:r>
    </w:p>
    <w:p w14:paraId="1DF16883" w14:textId="3D45CE81" w:rsidR="00EC5340" w:rsidRPr="00AB28A9" w:rsidRDefault="006149A8">
      <w:pPr>
        <w:pStyle w:val="Artculo"/>
        <w:spacing w:after="0"/>
        <w:ind w:left="0" w:firstLine="0"/>
      </w:pPr>
      <w:r w:rsidRPr="006149A8">
        <w:t xml:space="preserve">Procedimiento de ejecución de las garantías. </w:t>
      </w:r>
      <w:r w:rsidRPr="006149A8">
        <w:rPr>
          <w:b w:val="0"/>
        </w:rPr>
        <w:t xml:space="preserve">En caso de constituirse </w:t>
      </w:r>
      <w:r w:rsidR="008F1025">
        <w:rPr>
          <w:b w:val="0"/>
        </w:rPr>
        <w:t>algún evento de</w:t>
      </w:r>
      <w:r w:rsidRPr="006149A8">
        <w:rPr>
          <w:b w:val="0"/>
        </w:rPr>
        <w:t xml:space="preserve"> incumplimiento </w:t>
      </w:r>
      <w:r w:rsidR="008F1025">
        <w:rPr>
          <w:b w:val="0"/>
        </w:rPr>
        <w:t>descrito en el artículo 1</w:t>
      </w:r>
      <w:r w:rsidR="00F2258B" w:rsidRPr="00F2258B">
        <w:rPr>
          <w:b w:val="0"/>
        </w:rPr>
        <w:t>7</w:t>
      </w:r>
      <w:r w:rsidR="008F1025">
        <w:rPr>
          <w:b w:val="0"/>
        </w:rPr>
        <w:t xml:space="preserve"> de la presente resolución</w:t>
      </w:r>
      <w:r w:rsidRPr="006149A8">
        <w:rPr>
          <w:b w:val="0"/>
        </w:rPr>
        <w:t xml:space="preserve">, </w:t>
      </w:r>
      <w:r w:rsidR="00847E80">
        <w:rPr>
          <w:b w:val="0"/>
        </w:rPr>
        <w:t>el ASIC</w:t>
      </w:r>
      <w:r w:rsidRPr="006149A8">
        <w:rPr>
          <w:b w:val="0"/>
        </w:rPr>
        <w:t xml:space="preserve">, </w:t>
      </w:r>
      <w:r w:rsidR="00847E80" w:rsidRPr="006149A8">
        <w:rPr>
          <w:b w:val="0"/>
        </w:rPr>
        <w:t>en calidad de administrador de</w:t>
      </w:r>
      <w:r w:rsidR="00847E80">
        <w:rPr>
          <w:b w:val="0"/>
        </w:rPr>
        <w:t xml:space="preserve"> las garantías y</w:t>
      </w:r>
      <w:r w:rsidRPr="006149A8">
        <w:rPr>
          <w:b w:val="0"/>
        </w:rPr>
        <w:t xml:space="preserve"> antes del vencimiento </w:t>
      </w:r>
      <w:r w:rsidR="00847E80">
        <w:rPr>
          <w:b w:val="0"/>
        </w:rPr>
        <w:t>de la vigencia de las garantías,</w:t>
      </w:r>
      <w:r w:rsidRPr="006149A8">
        <w:rPr>
          <w:b w:val="0"/>
        </w:rPr>
        <w:t xml:space="preserve"> procederá a hacer</w:t>
      </w:r>
      <w:r w:rsidR="00D2048C">
        <w:rPr>
          <w:b w:val="0"/>
        </w:rPr>
        <w:t>las</w:t>
      </w:r>
      <w:r w:rsidRPr="006149A8">
        <w:rPr>
          <w:b w:val="0"/>
        </w:rPr>
        <w:t xml:space="preserve"> efectivas enviando el aviso de incumplimiento al garante respectivo</w:t>
      </w:r>
      <w:r w:rsidR="008F1025">
        <w:rPr>
          <w:b w:val="0"/>
        </w:rPr>
        <w:t xml:space="preserve"> y haciendo referencia al evento de incumplimiento que genera la ejecución de la garantía</w:t>
      </w:r>
      <w:r w:rsidRPr="006149A8">
        <w:rPr>
          <w:b w:val="0"/>
        </w:rPr>
        <w:t>.</w:t>
      </w:r>
      <w:r w:rsidRPr="006149A8">
        <w:t xml:space="preserve"> </w:t>
      </w:r>
    </w:p>
    <w:p w14:paraId="514337E4" w14:textId="77777777" w:rsidR="008F3EAB" w:rsidRDefault="008F3EAB" w:rsidP="008F3EAB"/>
    <w:p w14:paraId="1AC3F88D" w14:textId="77777777" w:rsidR="00E67EAC" w:rsidRPr="006571A7" w:rsidRDefault="00E67EAC" w:rsidP="006571A7">
      <w:pPr>
        <w:ind w:left="0"/>
        <w:jc w:val="center"/>
        <w:rPr>
          <w:rFonts w:ascii="Bookman Old Style" w:hAnsi="Bookman Old Style"/>
          <w:b/>
        </w:rPr>
      </w:pPr>
      <w:r w:rsidRPr="006571A7">
        <w:rPr>
          <w:rFonts w:ascii="Bookman Old Style" w:hAnsi="Bookman Old Style"/>
          <w:b/>
        </w:rPr>
        <w:t>CAPÍTULO V</w:t>
      </w:r>
    </w:p>
    <w:p w14:paraId="6B230114" w14:textId="77777777" w:rsidR="00E67EAC" w:rsidRPr="006571A7" w:rsidRDefault="00E67EAC" w:rsidP="006571A7">
      <w:pPr>
        <w:ind w:left="0"/>
        <w:jc w:val="center"/>
        <w:rPr>
          <w:b/>
        </w:rPr>
      </w:pPr>
      <w:r w:rsidRPr="006571A7">
        <w:rPr>
          <w:rFonts w:ascii="Bookman Old Style" w:hAnsi="Bookman Old Style"/>
          <w:b/>
        </w:rPr>
        <w:t>Otras disposiciones</w:t>
      </w:r>
    </w:p>
    <w:p w14:paraId="38ED3D86" w14:textId="77777777" w:rsidR="006149A8" w:rsidRDefault="006149A8" w:rsidP="006149A8">
      <w:pPr>
        <w:pStyle w:val="Artculo"/>
        <w:ind w:left="0" w:firstLine="0"/>
        <w:rPr>
          <w:b w:val="0"/>
        </w:rPr>
      </w:pPr>
      <w:r w:rsidRPr="006149A8">
        <w:t xml:space="preserve">Vigencia. </w:t>
      </w:r>
      <w:r w:rsidRPr="006149A8">
        <w:rPr>
          <w:b w:val="0"/>
        </w:rPr>
        <w:t xml:space="preserve">Esta resolución rige a partir de su publicación en el </w:t>
      </w:r>
      <w:r w:rsidRPr="006149A8">
        <w:rPr>
          <w:b w:val="0"/>
          <w:i/>
        </w:rPr>
        <w:t>Diario Oficial</w:t>
      </w:r>
      <w:r w:rsidRPr="006149A8">
        <w:rPr>
          <w:b w:val="0"/>
        </w:rPr>
        <w:t xml:space="preserve"> y deroga las normas que le sean contrarias</w:t>
      </w:r>
      <w:r w:rsidR="00FD5521">
        <w:rPr>
          <w:b w:val="0"/>
        </w:rPr>
        <w:t>, en especial la Resolución CREG 011 de 2019 y sus modificaciones</w:t>
      </w:r>
      <w:r w:rsidRPr="006149A8">
        <w:rPr>
          <w:b w:val="0"/>
        </w:rPr>
        <w:t>.</w:t>
      </w:r>
    </w:p>
    <w:p w14:paraId="336BA9FE" w14:textId="77777777" w:rsidR="006149A8" w:rsidRPr="006149A8" w:rsidRDefault="006149A8" w:rsidP="009B634D">
      <w:pPr>
        <w:pStyle w:val="Artculo"/>
        <w:numPr>
          <w:ilvl w:val="0"/>
          <w:numId w:val="0"/>
        </w:numPr>
        <w:ind w:left="360"/>
        <w:jc w:val="center"/>
      </w:pPr>
      <w:r w:rsidRPr="006149A8">
        <w:t>PUBLÍQUESE Y CÚMPLASE</w:t>
      </w:r>
    </w:p>
    <w:p w14:paraId="7A6E500F" w14:textId="77777777" w:rsidR="00DB78A3" w:rsidRPr="00BA4B1C" w:rsidRDefault="00DB78A3" w:rsidP="00371004">
      <w:pPr>
        <w:pStyle w:val="articulo"/>
      </w:pPr>
      <w:r>
        <w:t>Dada en Bogotá, D.C.</w:t>
      </w:r>
    </w:p>
    <w:p w14:paraId="750255A5" w14:textId="77777777" w:rsidR="00867FA5" w:rsidRPr="006149A8" w:rsidRDefault="00867FA5" w:rsidP="006149A8">
      <w:pPr>
        <w:spacing w:after="120"/>
        <w:jc w:val="both"/>
        <w:rPr>
          <w:rFonts w:ascii="Bookman Old Style" w:hAnsi="Bookman Old Style"/>
        </w:rPr>
      </w:pPr>
    </w:p>
    <w:p w14:paraId="759C8111" w14:textId="77777777" w:rsidR="006149A8" w:rsidRDefault="006149A8" w:rsidP="006149A8">
      <w:pPr>
        <w:spacing w:after="120"/>
        <w:jc w:val="both"/>
        <w:rPr>
          <w:rFonts w:ascii="Bookman Old Style" w:hAnsi="Bookman Old Style"/>
        </w:rPr>
      </w:pPr>
    </w:p>
    <w:p w14:paraId="10105932" w14:textId="77777777" w:rsidR="00DB78A3" w:rsidRPr="006149A8" w:rsidRDefault="00DB78A3" w:rsidP="006149A8">
      <w:pPr>
        <w:spacing w:after="120"/>
        <w:jc w:val="both"/>
        <w:rPr>
          <w:rFonts w:ascii="Bookman Old Style" w:hAnsi="Bookman Old Style"/>
        </w:rPr>
      </w:pPr>
    </w:p>
    <w:tbl>
      <w:tblPr>
        <w:tblW w:w="9635" w:type="dxa"/>
        <w:jc w:val="center"/>
        <w:tblCellSpacing w:w="0" w:type="dxa"/>
        <w:tblCellMar>
          <w:left w:w="0" w:type="dxa"/>
          <w:right w:w="0" w:type="dxa"/>
        </w:tblCellMar>
        <w:tblLook w:val="04A0" w:firstRow="1" w:lastRow="0" w:firstColumn="1" w:lastColumn="0" w:noHBand="0" w:noVBand="1"/>
      </w:tblPr>
      <w:tblGrid>
        <w:gridCol w:w="4963"/>
        <w:gridCol w:w="4672"/>
      </w:tblGrid>
      <w:tr w:rsidR="00FD5521" w:rsidRPr="001F1B7A" w14:paraId="05A8D097" w14:textId="77777777" w:rsidTr="002714C7">
        <w:trPr>
          <w:trHeight w:val="279"/>
          <w:tblCellSpacing w:w="0" w:type="dxa"/>
          <w:jc w:val="center"/>
        </w:trPr>
        <w:tc>
          <w:tcPr>
            <w:tcW w:w="4963" w:type="dxa"/>
          </w:tcPr>
          <w:p w14:paraId="5E3A9BEB" w14:textId="77777777" w:rsidR="00FD5521" w:rsidRPr="001F1B7A" w:rsidRDefault="00FD5521" w:rsidP="002714C7">
            <w:pPr>
              <w:ind w:left="0"/>
              <w:jc w:val="center"/>
              <w:rPr>
                <w:rFonts w:ascii="Bookman Old Style" w:hAnsi="Bookman Old Style"/>
                <w:b/>
              </w:rPr>
            </w:pPr>
            <w:r w:rsidRPr="001F1B7A">
              <w:rPr>
                <w:rFonts w:ascii="Bookman Old Style" w:hAnsi="Bookman Old Style"/>
                <w:b/>
              </w:rPr>
              <w:t>MARÍA FERNANDA SUÁREZ L</w:t>
            </w:r>
            <w:r>
              <w:rPr>
                <w:rFonts w:ascii="Bookman Old Style" w:hAnsi="Bookman Old Style"/>
                <w:b/>
              </w:rPr>
              <w:t>ONDOÑO</w:t>
            </w:r>
          </w:p>
        </w:tc>
        <w:tc>
          <w:tcPr>
            <w:tcW w:w="4672" w:type="dxa"/>
          </w:tcPr>
          <w:p w14:paraId="097C6E86" w14:textId="77777777" w:rsidR="00FD5521" w:rsidRPr="001F1B7A" w:rsidRDefault="00FD5521" w:rsidP="002714C7">
            <w:pPr>
              <w:ind w:left="0"/>
              <w:jc w:val="center"/>
              <w:rPr>
                <w:rFonts w:ascii="Bookman Old Style" w:hAnsi="Bookman Old Style"/>
                <w:b/>
              </w:rPr>
            </w:pPr>
            <w:r w:rsidRPr="001F1B7A">
              <w:rPr>
                <w:rFonts w:ascii="Bookman Old Style" w:hAnsi="Bookman Old Style"/>
                <w:b/>
              </w:rPr>
              <w:t>CHRISTIAN JARAMILLO HERRERA</w:t>
            </w:r>
          </w:p>
        </w:tc>
      </w:tr>
      <w:tr w:rsidR="00FD5521" w:rsidRPr="001F1B7A" w14:paraId="0D554444" w14:textId="77777777" w:rsidTr="002714C7">
        <w:trPr>
          <w:trHeight w:val="279"/>
          <w:tblCellSpacing w:w="0" w:type="dxa"/>
          <w:jc w:val="center"/>
        </w:trPr>
        <w:tc>
          <w:tcPr>
            <w:tcW w:w="4963" w:type="dxa"/>
            <w:hideMark/>
          </w:tcPr>
          <w:p w14:paraId="3856F664" w14:textId="77777777" w:rsidR="00FD5521" w:rsidRPr="001F1B7A" w:rsidRDefault="00FD5521" w:rsidP="002714C7">
            <w:pPr>
              <w:jc w:val="center"/>
              <w:rPr>
                <w:rFonts w:ascii="Bookman Old Style" w:hAnsi="Bookman Old Style"/>
              </w:rPr>
            </w:pPr>
            <w:r w:rsidRPr="001F1B7A">
              <w:rPr>
                <w:rFonts w:ascii="Bookman Old Style" w:hAnsi="Bookman Old Style"/>
              </w:rPr>
              <w:t>Ministra de Minas y Energía</w:t>
            </w:r>
          </w:p>
        </w:tc>
        <w:tc>
          <w:tcPr>
            <w:tcW w:w="4672" w:type="dxa"/>
            <w:hideMark/>
          </w:tcPr>
          <w:p w14:paraId="7B372361" w14:textId="77777777" w:rsidR="00FD5521" w:rsidRPr="001F1B7A" w:rsidRDefault="00FD5521" w:rsidP="006571A7">
            <w:pPr>
              <w:ind w:left="2" w:firstLine="565"/>
              <w:jc w:val="center"/>
              <w:rPr>
                <w:rFonts w:ascii="Bookman Old Style" w:hAnsi="Bookman Old Style"/>
              </w:rPr>
            </w:pPr>
            <w:r w:rsidRPr="001F1B7A">
              <w:rPr>
                <w:rFonts w:ascii="Bookman Old Style" w:hAnsi="Bookman Old Style"/>
              </w:rPr>
              <w:t>Director Ejecutivo</w:t>
            </w:r>
          </w:p>
        </w:tc>
      </w:tr>
      <w:tr w:rsidR="00FD5521" w:rsidRPr="001F1B7A" w14:paraId="211393EF" w14:textId="77777777" w:rsidTr="002714C7">
        <w:trPr>
          <w:trHeight w:val="290"/>
          <w:tblCellSpacing w:w="0" w:type="dxa"/>
          <w:jc w:val="center"/>
        </w:trPr>
        <w:tc>
          <w:tcPr>
            <w:tcW w:w="4963" w:type="dxa"/>
            <w:hideMark/>
          </w:tcPr>
          <w:p w14:paraId="1B289A48" w14:textId="77777777" w:rsidR="00FD5521" w:rsidRPr="001F1B7A" w:rsidRDefault="00FD5521" w:rsidP="002714C7">
            <w:pPr>
              <w:jc w:val="center"/>
              <w:rPr>
                <w:rFonts w:ascii="Bookman Old Style" w:hAnsi="Bookman Old Style"/>
              </w:rPr>
            </w:pPr>
            <w:r w:rsidRPr="001F1B7A">
              <w:rPr>
                <w:rFonts w:ascii="Bookman Old Style" w:hAnsi="Bookman Old Style"/>
              </w:rPr>
              <w:t>Presidente</w:t>
            </w:r>
          </w:p>
        </w:tc>
        <w:tc>
          <w:tcPr>
            <w:tcW w:w="4672" w:type="dxa"/>
          </w:tcPr>
          <w:p w14:paraId="7FB36AC2" w14:textId="77777777" w:rsidR="00FD5521" w:rsidRPr="001F1B7A" w:rsidRDefault="00FD5521" w:rsidP="002714C7">
            <w:pPr>
              <w:jc w:val="center"/>
              <w:rPr>
                <w:rFonts w:ascii="Bookman Old Style" w:hAnsi="Bookman Old Style"/>
              </w:rPr>
            </w:pPr>
          </w:p>
        </w:tc>
      </w:tr>
    </w:tbl>
    <w:p w14:paraId="071EEA41" w14:textId="77777777" w:rsidR="006149A8" w:rsidRPr="006149A8" w:rsidRDefault="006149A8" w:rsidP="00611D2F">
      <w:pPr>
        <w:ind w:left="0"/>
        <w:jc w:val="both"/>
        <w:rPr>
          <w:rFonts w:ascii="Bookman Old Style" w:hAnsi="Bookman Old Style"/>
          <w:b/>
        </w:rPr>
      </w:pPr>
    </w:p>
    <w:sectPr w:rsidR="006149A8" w:rsidRPr="006149A8" w:rsidSect="005A59EF">
      <w:headerReference w:type="default" r:id="rId11"/>
      <w:headerReference w:type="first" r:id="rId12"/>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C2A90F" w14:textId="77777777" w:rsidR="0032607F" w:rsidRDefault="0032607F">
      <w:r>
        <w:separator/>
      </w:r>
    </w:p>
  </w:endnote>
  <w:endnote w:type="continuationSeparator" w:id="0">
    <w:p w14:paraId="0C2EBBE5" w14:textId="77777777" w:rsidR="0032607F" w:rsidRDefault="003260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charset w:val="00"/>
    <w:family w:val="roman"/>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9F8B8F6" w14:textId="77777777" w:rsidR="0032607F" w:rsidRDefault="0032607F">
      <w:r>
        <w:separator/>
      </w:r>
    </w:p>
  </w:footnote>
  <w:footnote w:type="continuationSeparator" w:id="0">
    <w:p w14:paraId="34A34D26" w14:textId="77777777" w:rsidR="0032607F" w:rsidRDefault="0032607F">
      <w:r>
        <w:continuationSeparator/>
      </w:r>
    </w:p>
  </w:footnote>
  <w:footnote w:id="1">
    <w:p w14:paraId="0786F9B5" w14:textId="77777777" w:rsidR="00024C67" w:rsidRPr="00AA215F" w:rsidRDefault="00024C67" w:rsidP="006F74D4">
      <w:pPr>
        <w:pStyle w:val="Textonotapie"/>
        <w:rPr>
          <w:rFonts w:ascii="Bookman Old Style" w:hAnsi="Bookman Old Style"/>
          <w:sz w:val="18"/>
        </w:rPr>
      </w:pPr>
      <w:r w:rsidRPr="00AA215F">
        <w:rPr>
          <w:rStyle w:val="Refdenotaalpie"/>
          <w:rFonts w:ascii="Bookman Old Style" w:hAnsi="Bookman Old Style"/>
        </w:rPr>
        <w:footnoteRef/>
      </w:r>
      <w:r w:rsidRPr="00AA215F">
        <w:rPr>
          <w:rFonts w:ascii="Bookman Old Style" w:hAnsi="Bookman Old Style"/>
        </w:rPr>
        <w:t xml:space="preserve"> </w:t>
      </w:r>
      <w:r w:rsidRPr="00AA215F">
        <w:rPr>
          <w:rFonts w:ascii="Bookman Old Style" w:hAnsi="Bookman Old Style"/>
          <w:sz w:val="18"/>
        </w:rPr>
        <w:t xml:space="preserve">Porcentaje (%) sobre el total de la energía adjudicada para cada vendedor con la planta asociada a dicha energía, para un año, para cada hora, en los contratos resultantes del mecanismo establecido en las resoluciones 4 0590 de 2019, modificada por la resolución 4 0678 de 2019 y 4 0591 de 2019 del Ministerio de Minas y Energía, multiplicada por el precio horario de cada contrato actualizado de acuerdo a lo establecido en el artículo 9 de la resolución 4 0590 de 2019 del Ministerio de Minas y Energía. </w:t>
      </w:r>
    </w:p>
    <w:p w14:paraId="60263652" w14:textId="77777777" w:rsidR="00024C67" w:rsidRDefault="00024C67" w:rsidP="006F74D4">
      <w:pPr>
        <w:pStyle w:val="Textonotapie"/>
      </w:pPr>
      <w:r w:rsidRPr="00AA215F">
        <w:rPr>
          <w:rFonts w:ascii="Bookman Old Style" w:hAnsi="Bookman Old Style"/>
          <w:sz w:val="18"/>
        </w:rPr>
        <w:t>Así mismo, el valor de cobertura deberá considerar la energía asignada en el mecanismo complementario de asignación al que hace referencia el artículo 6 de la resolución 4 0591 de 2019 del Ministerio de Minas y Energía multiplicada por el precio que se defina para los contratos de dicho mecanismo.</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AE975A" w14:textId="77777777" w:rsidR="00024C67" w:rsidRDefault="00024C67" w:rsidP="00951F79">
    <w:pPr>
      <w:pStyle w:val="Ttulo1"/>
      <w:ind w:right="6"/>
      <w:jc w:val="left"/>
      <w:rPr>
        <w:rFonts w:ascii="Bookman Old Style" w:hAnsi="Bookman Old Style" w:cs="Arial"/>
        <w:b w:val="0"/>
        <w:sz w:val="22"/>
        <w:szCs w:val="22"/>
      </w:rPr>
    </w:pPr>
  </w:p>
  <w:p w14:paraId="61F128EA" w14:textId="27F4A9E5" w:rsidR="00024C67" w:rsidRPr="00951F79" w:rsidRDefault="00024C67"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8115AA">
      <w:rPr>
        <w:rFonts w:ascii="Bookman Old Style" w:hAnsi="Bookman Old Style" w:cs="Arial"/>
        <w:b w:val="0"/>
        <w:noProof/>
        <w:sz w:val="22"/>
        <w:szCs w:val="22"/>
      </w:rPr>
      <w:t>6</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r w:rsidR="008115AA">
      <w:fldChar w:fldCharType="begin"/>
    </w:r>
    <w:r w:rsidR="008115AA">
      <w:instrText xml:space="preserve"> NUMPAGES  \* MERGEFORMAT </w:instrText>
    </w:r>
    <w:r w:rsidR="008115AA">
      <w:fldChar w:fldCharType="separate"/>
    </w:r>
    <w:r w:rsidR="008115AA" w:rsidRPr="008115AA">
      <w:rPr>
        <w:rFonts w:ascii="Bookman Old Style" w:hAnsi="Bookman Old Style" w:cs="Arial"/>
        <w:b w:val="0"/>
        <w:noProof/>
        <w:sz w:val="22"/>
        <w:szCs w:val="22"/>
      </w:rPr>
      <w:t>12</w:t>
    </w:r>
    <w:r w:rsidR="008115AA">
      <w:rPr>
        <w:rFonts w:ascii="Bookman Old Style" w:hAnsi="Bookman Old Style" w:cs="Arial"/>
        <w:b w:val="0"/>
        <w:noProof/>
        <w:sz w:val="22"/>
        <w:szCs w:val="22"/>
      </w:rPr>
      <w:fldChar w:fldCharType="end"/>
    </w:r>
  </w:p>
  <w:p w14:paraId="7BBB954F" w14:textId="77777777" w:rsidR="00024C67" w:rsidRDefault="00024C67" w:rsidP="00AD01E4">
    <w:pPr>
      <w:ind w:left="142" w:right="148"/>
      <w:rPr>
        <w:rFonts w:ascii="Bookman Old Style" w:hAnsi="Bookman Old Style" w:cs="Arial"/>
      </w:rPr>
    </w:pPr>
    <w:r>
      <w:rPr>
        <w:noProof/>
        <w:lang w:val="es-CO" w:eastAsia="es-CO"/>
      </w:rPr>
      <mc:AlternateContent>
        <mc:Choice Requires="wps">
          <w:drawing>
            <wp:anchor distT="0" distB="0" distL="114300" distR="114300" simplePos="0" relativeHeight="251657216" behindDoc="0" locked="0" layoutInCell="1" allowOverlap="1" wp14:anchorId="67B5B2A0" wp14:editId="409295B7">
              <wp:simplePos x="0" y="0"/>
              <wp:positionH relativeFrom="column">
                <wp:posOffset>-175260</wp:posOffset>
              </wp:positionH>
              <wp:positionV relativeFrom="paragraph">
                <wp:posOffset>139065</wp:posOffset>
              </wp:positionV>
              <wp:extent cx="6267450" cy="9900920"/>
              <wp:effectExtent l="0" t="0" r="19050" b="24130"/>
              <wp:wrapNone/>
              <wp:docPr id="2"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4AB01F"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AGbbfkegIA&#10;AP0EAAAOAAAAAAAAAAAAAAAAAC4CAABkcnMvZTJvRG9jLnhtbFBLAQItABQABgAIAAAAIQBXFkFY&#10;4wAAAAsBAAAPAAAAAAAAAAAAAAAAANQEAABkcnMvZG93bnJldi54bWxQSwUGAAAAAAQABADzAAAA&#10;5AUAAAAA&#10;" filled="f" strokeweight="1.5pt"/>
          </w:pict>
        </mc:Fallback>
      </mc:AlternateContent>
    </w:r>
  </w:p>
  <w:p w14:paraId="665C0503" w14:textId="77777777" w:rsidR="00024C67" w:rsidRPr="006149A8" w:rsidRDefault="00024C67" w:rsidP="009B634D">
    <w:pPr>
      <w:ind w:left="0"/>
      <w:jc w:val="both"/>
      <w:rPr>
        <w:rFonts w:ascii="Bookman Old Style" w:hAnsi="Bookman Old Style"/>
      </w:rPr>
    </w:pPr>
    <w:r w:rsidRPr="006149A8">
      <w:rPr>
        <w:rFonts w:ascii="Bookman Old Style" w:hAnsi="Bookman Old Style"/>
      </w:rPr>
      <w:t>Por la cual se define la garantía</w:t>
    </w:r>
    <w:r>
      <w:rPr>
        <w:rFonts w:ascii="Bookman Old Style" w:hAnsi="Bookman Old Style"/>
      </w:rPr>
      <w:t xml:space="preserve"> de puesta en operación comercial</w:t>
    </w:r>
    <w:r w:rsidRPr="006149A8">
      <w:rPr>
        <w:rFonts w:ascii="Bookman Old Style" w:hAnsi="Bookman Old Style"/>
      </w:rPr>
      <w:t xml:space="preserve"> que deben entregar los vendedores que </w:t>
    </w:r>
    <w:r>
      <w:rPr>
        <w:rFonts w:ascii="Bookman Old Style" w:hAnsi="Bookman Old Style"/>
      </w:rPr>
      <w:t xml:space="preserve">resulten adjudicados </w:t>
    </w:r>
    <w:r w:rsidRPr="006149A8">
      <w:rPr>
        <w:rFonts w:ascii="Bookman Old Style" w:hAnsi="Bookman Old Style"/>
      </w:rPr>
      <w:t>en el meca</w:t>
    </w:r>
    <w:r>
      <w:rPr>
        <w:rFonts w:ascii="Bookman Old Style" w:hAnsi="Bookman Old Style"/>
      </w:rPr>
      <w:t xml:space="preserve">nismo definido en la Resolución </w:t>
    </w:r>
    <w:r w:rsidRPr="006149A8">
      <w:rPr>
        <w:rFonts w:ascii="Bookman Old Style" w:hAnsi="Bookman Old Style"/>
      </w:rPr>
      <w:t>4</w:t>
    </w:r>
    <w:r>
      <w:t> </w:t>
    </w:r>
    <w:r w:rsidRPr="006149A8">
      <w:rPr>
        <w:rFonts w:ascii="Bookman Old Style" w:hAnsi="Bookman Old Style"/>
      </w:rPr>
      <w:t>0</w:t>
    </w:r>
    <w:r>
      <w:rPr>
        <w:rFonts w:ascii="Bookman Old Style" w:hAnsi="Bookman Old Style"/>
      </w:rPr>
      <w:t>5</w:t>
    </w:r>
    <w:r w:rsidRPr="006149A8">
      <w:rPr>
        <w:rFonts w:ascii="Bookman Old Style" w:hAnsi="Bookman Old Style"/>
      </w:rPr>
      <w:t>9</w:t>
    </w:r>
    <w:r>
      <w:rPr>
        <w:rFonts w:ascii="Bookman Old Style" w:hAnsi="Bookman Old Style"/>
      </w:rPr>
      <w:t>0</w:t>
    </w:r>
    <w:r w:rsidRPr="006149A8">
      <w:rPr>
        <w:rFonts w:ascii="Bookman Old Style" w:hAnsi="Bookman Old Style"/>
      </w:rPr>
      <w:t xml:space="preserve"> de 201</w:t>
    </w:r>
    <w:r>
      <w:rPr>
        <w:rFonts w:ascii="Bookman Old Style" w:hAnsi="Bookman Old Style"/>
      </w:rPr>
      <w:t>9</w:t>
    </w:r>
    <w:r w:rsidR="007066D5">
      <w:rPr>
        <w:rFonts w:ascii="Bookman Old Style" w:hAnsi="Bookman Old Style"/>
      </w:rPr>
      <w:t xml:space="preserve"> del Ministerio de Minas y Energía</w:t>
    </w:r>
    <w:r>
      <w:rPr>
        <w:rFonts w:ascii="Bookman Old Style" w:hAnsi="Bookman Old Style"/>
      </w:rPr>
      <w:t>.</w:t>
    </w:r>
  </w:p>
  <w:p w14:paraId="7339341B" w14:textId="77777777" w:rsidR="00024C67" w:rsidRPr="00045D3D" w:rsidRDefault="00024C67" w:rsidP="00192FB9">
    <w:pPr>
      <w:ind w:left="0"/>
      <w:jc w:val="center"/>
      <w:rPr>
        <w:b/>
      </w:rPr>
    </w:pPr>
    <w:r>
      <w:rPr>
        <w:b/>
      </w:rPr>
      <w:t>_____________________________________________________________________________</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C23286" w14:textId="77777777" w:rsidR="00024C67" w:rsidRDefault="00024C67" w:rsidP="00025383">
    <w:pPr>
      <w:pStyle w:val="Encabezado"/>
      <w:jc w:val="both"/>
      <w:rPr>
        <w:rFonts w:ascii="Arial" w:hAnsi="Arial" w:cs="Arial"/>
        <w:spacing w:val="20"/>
        <w:sz w:val="20"/>
      </w:rPr>
    </w:pPr>
    <w:r>
      <w:rPr>
        <w:rFonts w:ascii="Arial" w:hAnsi="Arial" w:cs="Arial"/>
        <w:spacing w:val="20"/>
        <w:sz w:val="20"/>
      </w:rPr>
      <w:t xml:space="preserve">                                   República de Colombia</w:t>
    </w:r>
  </w:p>
  <w:p w14:paraId="59193D15" w14:textId="77777777" w:rsidR="00024C67" w:rsidRDefault="00024C67">
    <w:pPr>
      <w:pStyle w:val="Encabezado"/>
      <w:jc w:val="center"/>
      <w:rPr>
        <w:rFonts w:ascii="Arial" w:hAnsi="Arial" w:cs="Arial"/>
        <w:spacing w:val="20"/>
        <w:sz w:val="20"/>
      </w:rPr>
    </w:pPr>
  </w:p>
  <w:p w14:paraId="384938F4" w14:textId="77777777" w:rsidR="00024C67" w:rsidRDefault="00024C67"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52867568" wp14:editId="0B52EE27">
              <wp:simplePos x="0" y="0"/>
              <wp:positionH relativeFrom="column">
                <wp:posOffset>-213360</wp:posOffset>
              </wp:positionH>
              <wp:positionV relativeFrom="paragraph">
                <wp:posOffset>377190</wp:posOffset>
              </wp:positionV>
              <wp:extent cx="6343650" cy="9839325"/>
              <wp:effectExtent l="0" t="0" r="19050" b="28575"/>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4A79A7F"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" filled="f" strokeweight="1.5pt"/>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1" w15:restartNumberingAfterBreak="0">
    <w:nsid w:val="021E581E"/>
    <w:multiLevelType w:val="multilevel"/>
    <w:tmpl w:val="6162502C"/>
    <w:lvl w:ilvl="0">
      <w:start w:val="13"/>
      <w:numFmt w:val="decimal"/>
      <w:lvlText w:val="%1"/>
      <w:lvlJc w:val="left"/>
      <w:pPr>
        <w:ind w:left="525" w:hanging="525"/>
      </w:pPr>
      <w:rPr>
        <w:rFonts w:hint="default"/>
        <w:b w:val="0"/>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800" w:hanging="180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2160" w:hanging="2160"/>
      </w:pPr>
      <w:rPr>
        <w:rFonts w:hint="default"/>
        <w:b w:val="0"/>
      </w:rPr>
    </w:lvl>
  </w:abstractNum>
  <w:abstractNum w:abstractNumId="2" w15:restartNumberingAfterBreak="0">
    <w:nsid w:val="02620E87"/>
    <w:multiLevelType w:val="multilevel"/>
    <w:tmpl w:val="4B9E3F96"/>
    <w:lvl w:ilvl="0">
      <w:start w:val="8"/>
      <w:numFmt w:val="decimal"/>
      <w:lvlText w:val="%1"/>
      <w:lvlJc w:val="left"/>
      <w:pPr>
        <w:ind w:left="375" w:hanging="375"/>
      </w:pPr>
      <w:rPr>
        <w:rFonts w:hint="default"/>
      </w:rPr>
    </w:lvl>
    <w:lvl w:ilvl="1">
      <w:start w:val="1"/>
      <w:numFmt w:val="decimal"/>
      <w:lvlText w:val="%1.%2"/>
      <w:lvlJc w:val="left"/>
      <w:pPr>
        <w:ind w:left="720" w:hanging="720"/>
      </w:pPr>
      <w:rPr>
        <w:rFonts w:ascii="Bookman Old Style" w:hAnsi="Bookman Old Style"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15:restartNumberingAfterBreak="0">
    <w:nsid w:val="05665875"/>
    <w:multiLevelType w:val="hybridMultilevel"/>
    <w:tmpl w:val="0E66C19E"/>
    <w:lvl w:ilvl="0" w:tplc="C4849EA8">
      <w:start w:val="1"/>
      <w:numFmt w:val="lowerLetter"/>
      <w:lvlText w:val="%1."/>
      <w:lvlJc w:val="left"/>
      <w:pPr>
        <w:ind w:left="1095" w:hanging="375"/>
      </w:pPr>
      <w:rPr>
        <w:rFonts w:hint="default"/>
      </w:rPr>
    </w:lvl>
    <w:lvl w:ilvl="1" w:tplc="240A001B">
      <w:start w:val="1"/>
      <w:numFmt w:val="lowerRoman"/>
      <w:lvlText w:val="%2."/>
      <w:lvlJc w:val="right"/>
      <w:pPr>
        <w:ind w:left="2062"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4" w15:restartNumberingAfterBreak="0">
    <w:nsid w:val="05FD7BFE"/>
    <w:multiLevelType w:val="multilevel"/>
    <w:tmpl w:val="24262B7A"/>
    <w:lvl w:ilvl="0">
      <w:start w:val="15"/>
      <w:numFmt w:val="decimal"/>
      <w:lvlText w:val="%1"/>
      <w:lvlJc w:val="left"/>
      <w:pPr>
        <w:ind w:left="570" w:hanging="570"/>
      </w:pPr>
      <w:rPr>
        <w:rFonts w:cs="Times New Roman" w:hint="default"/>
      </w:rPr>
    </w:lvl>
    <w:lvl w:ilvl="1">
      <w:start w:val="1"/>
      <w:numFmt w:val="decimal"/>
      <w:lvlText w:val="%1.%2"/>
      <w:lvlJc w:val="left"/>
      <w:pPr>
        <w:ind w:left="720" w:hanging="720"/>
      </w:pPr>
      <w:rPr>
        <w:rFonts w:cs="Times New Roman" w:hint="default"/>
        <w:b w:val="0"/>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5" w15:restartNumberingAfterBreak="0">
    <w:nsid w:val="0DCB5FFA"/>
    <w:multiLevelType w:val="multilevel"/>
    <w:tmpl w:val="AC64EBC0"/>
    <w:lvl w:ilvl="0">
      <w:start w:val="17"/>
      <w:numFmt w:val="decimal"/>
      <w:lvlText w:val="%1"/>
      <w:lvlJc w:val="left"/>
      <w:pPr>
        <w:ind w:left="570" w:hanging="57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24ED475B"/>
    <w:multiLevelType w:val="multilevel"/>
    <w:tmpl w:val="56B6D6DA"/>
    <w:lvl w:ilvl="0">
      <w:start w:val="4"/>
      <w:numFmt w:val="decimal"/>
      <w:lvlText w:val="%1"/>
      <w:lvlJc w:val="left"/>
      <w:pPr>
        <w:ind w:left="375" w:hanging="37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 w15:restartNumberingAfterBreak="0">
    <w:nsid w:val="43414F12"/>
    <w:multiLevelType w:val="multilevel"/>
    <w:tmpl w:val="81B6A94A"/>
    <w:lvl w:ilvl="0">
      <w:start w:val="16"/>
      <w:numFmt w:val="decimal"/>
      <w:lvlText w:val="%1"/>
      <w:lvlJc w:val="left"/>
      <w:pPr>
        <w:ind w:left="525" w:hanging="525"/>
      </w:pPr>
      <w:rPr>
        <w:rFonts w:hint="default"/>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15:restartNumberingAfterBreak="0">
    <w:nsid w:val="585F05FE"/>
    <w:multiLevelType w:val="multilevel"/>
    <w:tmpl w:val="4428FD60"/>
    <w:lvl w:ilvl="0">
      <w:start w:val="9"/>
      <w:numFmt w:val="decimal"/>
      <w:lvlText w:val="%1"/>
      <w:lvlJc w:val="left"/>
      <w:pPr>
        <w:ind w:left="375" w:hanging="375"/>
      </w:pPr>
      <w:rPr>
        <w:rFonts w:hint="default"/>
      </w:rPr>
    </w:lvl>
    <w:lvl w:ilvl="1">
      <w:start w:val="1"/>
      <w:numFmt w:val="decimal"/>
      <w:lvlText w:val="%1.%2"/>
      <w:lvlJc w:val="left"/>
      <w:pPr>
        <w:ind w:left="1146"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15:restartNumberingAfterBreak="0">
    <w:nsid w:val="5C0571F8"/>
    <w:multiLevelType w:val="hybridMultilevel"/>
    <w:tmpl w:val="CEDEA876"/>
    <w:lvl w:ilvl="0" w:tplc="437A2EFA">
      <w:start w:val="1"/>
      <w:numFmt w:val="lowerLetter"/>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6F10167A"/>
    <w:multiLevelType w:val="multilevel"/>
    <w:tmpl w:val="7ED8946E"/>
    <w:lvl w:ilvl="0">
      <w:start w:val="1"/>
      <w:numFmt w:val="decimal"/>
      <w:lvlText w:val="%1."/>
      <w:lvlJc w:val="left"/>
      <w:pPr>
        <w:ind w:left="360" w:hanging="360"/>
      </w:pPr>
    </w:lvl>
    <w:lvl w:ilvl="1">
      <w:start w:val="1"/>
      <w:numFmt w:val="lowerLetter"/>
      <w:lvlText w:val="%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724A449A"/>
    <w:multiLevelType w:val="multilevel"/>
    <w:tmpl w:val="B6B2511E"/>
    <w:lvl w:ilvl="0">
      <w:start w:val="14"/>
      <w:numFmt w:val="decimal"/>
      <w:lvlText w:val="%1"/>
      <w:lvlJc w:val="left"/>
      <w:pPr>
        <w:ind w:left="555" w:hanging="555"/>
      </w:pPr>
      <w:rPr>
        <w:rFonts w:hint="default"/>
        <w:b/>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800" w:hanging="180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2160" w:hanging="2160"/>
      </w:pPr>
      <w:rPr>
        <w:rFonts w:hint="default"/>
        <w:b/>
      </w:rPr>
    </w:lvl>
  </w:abstractNum>
  <w:abstractNum w:abstractNumId="12" w15:restartNumberingAfterBreak="0">
    <w:nsid w:val="780B10EA"/>
    <w:multiLevelType w:val="hybridMultilevel"/>
    <w:tmpl w:val="53262836"/>
    <w:lvl w:ilvl="0" w:tplc="08D067B2">
      <w:start w:val="1"/>
      <w:numFmt w:val="decimal"/>
      <w:pStyle w:val="Artculo"/>
      <w:lvlText w:val="Artículo %1."/>
      <w:lvlJc w:val="left"/>
      <w:pPr>
        <w:ind w:left="360" w:hanging="360"/>
      </w:pPr>
      <w:rPr>
        <w:rFonts w:hint="default"/>
        <w:b/>
        <w:bCs w:val="0"/>
        <w:i w:val="0"/>
        <w:iCs w:val="0"/>
        <w:caps w:val="0"/>
        <w:smallCaps w:val="0"/>
        <w:strike w:val="0"/>
        <w:dstrike w:val="0"/>
        <w:noProof w:val="0"/>
        <w:vanish w:val="0"/>
        <w:color w:val="000000"/>
        <w:spacing w:val="0"/>
        <w:kern w:val="0"/>
        <w:position w:val="0"/>
        <w:u w:val="none"/>
        <w:effect w:val="none"/>
        <w:vertAlign w:val="baseline"/>
        <w:em w:val="none"/>
        <w:lang w:val="es-CO"/>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EEDC2DFC">
      <w:start w:val="1"/>
      <w:numFmt w:val="lowerLetter"/>
      <w:lvlText w:val="%2)"/>
      <w:lvlJc w:val="left"/>
      <w:pPr>
        <w:ind w:left="1080" w:hanging="360"/>
      </w:pPr>
      <w:rPr>
        <w:rFonts w:hint="default"/>
      </w:r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3" w15:restartNumberingAfterBreak="0">
    <w:nsid w:val="7C912949"/>
    <w:multiLevelType w:val="multilevel"/>
    <w:tmpl w:val="140C568E"/>
    <w:lvl w:ilvl="0">
      <w:start w:val="5"/>
      <w:numFmt w:val="decimal"/>
      <w:lvlText w:val="%1"/>
      <w:lvlJc w:val="left"/>
      <w:pPr>
        <w:ind w:left="405" w:hanging="4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0"/>
  </w:num>
  <w:num w:numId="2">
    <w:abstractNumId w:val="12"/>
  </w:num>
  <w:num w:numId="3">
    <w:abstractNumId w:val="10"/>
  </w:num>
  <w:num w:numId="4">
    <w:abstractNumId w:val="8"/>
  </w:num>
  <w:num w:numId="5">
    <w:abstractNumId w:val="1"/>
  </w:num>
  <w:num w:numId="6">
    <w:abstractNumId w:val="11"/>
  </w:num>
  <w:num w:numId="7">
    <w:abstractNumId w:val="4"/>
  </w:num>
  <w:num w:numId="8">
    <w:abstractNumId w:val="3"/>
  </w:num>
  <w:num w:numId="9">
    <w:abstractNumId w:val="7"/>
  </w:num>
  <w:num w:numId="10">
    <w:abstractNumId w:val="5"/>
  </w:num>
  <w:num w:numId="11">
    <w:abstractNumId w:val="2"/>
  </w:num>
  <w:num w:numId="12">
    <w:abstractNumId w:val="13"/>
  </w:num>
  <w:num w:numId="13">
    <w:abstractNumId w:val="6"/>
  </w:num>
  <w:num w:numId="14">
    <w:abstractNumId w:val="9"/>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284"/>
  <w:hyphenationZone w:val="425"/>
  <w:drawingGridHorizontalSpacing w:val="120"/>
  <w:displayHorizont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340"/>
    <w:rsid w:val="00001371"/>
    <w:rsid w:val="000015FE"/>
    <w:rsid w:val="000025F1"/>
    <w:rsid w:val="00006AE2"/>
    <w:rsid w:val="000076A1"/>
    <w:rsid w:val="000078E0"/>
    <w:rsid w:val="00012259"/>
    <w:rsid w:val="000131B5"/>
    <w:rsid w:val="00014F32"/>
    <w:rsid w:val="0002060E"/>
    <w:rsid w:val="00021A70"/>
    <w:rsid w:val="0002357E"/>
    <w:rsid w:val="00024C67"/>
    <w:rsid w:val="00025383"/>
    <w:rsid w:val="000313A0"/>
    <w:rsid w:val="00031A85"/>
    <w:rsid w:val="00031B7E"/>
    <w:rsid w:val="000357DA"/>
    <w:rsid w:val="00035ECB"/>
    <w:rsid w:val="000370F4"/>
    <w:rsid w:val="00041CE4"/>
    <w:rsid w:val="00045D3D"/>
    <w:rsid w:val="00052844"/>
    <w:rsid w:val="00053B50"/>
    <w:rsid w:val="00055BF9"/>
    <w:rsid w:val="00056D36"/>
    <w:rsid w:val="000577EC"/>
    <w:rsid w:val="00060CB0"/>
    <w:rsid w:val="00063657"/>
    <w:rsid w:val="0006410B"/>
    <w:rsid w:val="000706E3"/>
    <w:rsid w:val="00076680"/>
    <w:rsid w:val="00076A1D"/>
    <w:rsid w:val="00077938"/>
    <w:rsid w:val="0008073E"/>
    <w:rsid w:val="00083EB2"/>
    <w:rsid w:val="00087C09"/>
    <w:rsid w:val="00087E89"/>
    <w:rsid w:val="0009087A"/>
    <w:rsid w:val="0009093A"/>
    <w:rsid w:val="00091CDB"/>
    <w:rsid w:val="0009284A"/>
    <w:rsid w:val="000931F8"/>
    <w:rsid w:val="00094C28"/>
    <w:rsid w:val="00096FE2"/>
    <w:rsid w:val="00097331"/>
    <w:rsid w:val="000A0268"/>
    <w:rsid w:val="000A0B7F"/>
    <w:rsid w:val="000A19AC"/>
    <w:rsid w:val="000A50F0"/>
    <w:rsid w:val="000A5B58"/>
    <w:rsid w:val="000A5DC5"/>
    <w:rsid w:val="000A7AD5"/>
    <w:rsid w:val="000B06BF"/>
    <w:rsid w:val="000B0F13"/>
    <w:rsid w:val="000B0FF1"/>
    <w:rsid w:val="000B2EC9"/>
    <w:rsid w:val="000B32E0"/>
    <w:rsid w:val="000B3BAC"/>
    <w:rsid w:val="000B3D44"/>
    <w:rsid w:val="000B4486"/>
    <w:rsid w:val="000B6074"/>
    <w:rsid w:val="000C1CA5"/>
    <w:rsid w:val="000C5B36"/>
    <w:rsid w:val="000C7FE5"/>
    <w:rsid w:val="000D0827"/>
    <w:rsid w:val="000D19BE"/>
    <w:rsid w:val="000D26F8"/>
    <w:rsid w:val="000D34BC"/>
    <w:rsid w:val="000D3F4B"/>
    <w:rsid w:val="000D6B0E"/>
    <w:rsid w:val="000D7CEC"/>
    <w:rsid w:val="000E3C65"/>
    <w:rsid w:val="000E4151"/>
    <w:rsid w:val="000E52BB"/>
    <w:rsid w:val="000E732A"/>
    <w:rsid w:val="000F3D98"/>
    <w:rsid w:val="000F487C"/>
    <w:rsid w:val="000F72B3"/>
    <w:rsid w:val="0010144E"/>
    <w:rsid w:val="00107163"/>
    <w:rsid w:val="0011058F"/>
    <w:rsid w:val="00112A91"/>
    <w:rsid w:val="00114FE5"/>
    <w:rsid w:val="001157E3"/>
    <w:rsid w:val="001213A4"/>
    <w:rsid w:val="00125C5D"/>
    <w:rsid w:val="00130EE0"/>
    <w:rsid w:val="001317DA"/>
    <w:rsid w:val="00134665"/>
    <w:rsid w:val="0013526C"/>
    <w:rsid w:val="00136A02"/>
    <w:rsid w:val="0013764B"/>
    <w:rsid w:val="001405C6"/>
    <w:rsid w:val="00141013"/>
    <w:rsid w:val="00143ED2"/>
    <w:rsid w:val="00146723"/>
    <w:rsid w:val="00152788"/>
    <w:rsid w:val="0015340A"/>
    <w:rsid w:val="00160686"/>
    <w:rsid w:val="00162E66"/>
    <w:rsid w:val="001640E6"/>
    <w:rsid w:val="00172BBF"/>
    <w:rsid w:val="00174A24"/>
    <w:rsid w:val="001820AD"/>
    <w:rsid w:val="00182A27"/>
    <w:rsid w:val="00185A78"/>
    <w:rsid w:val="001866F9"/>
    <w:rsid w:val="00191AD7"/>
    <w:rsid w:val="00192CBF"/>
    <w:rsid w:val="00192FB9"/>
    <w:rsid w:val="00192FF1"/>
    <w:rsid w:val="001A407D"/>
    <w:rsid w:val="001A5F1B"/>
    <w:rsid w:val="001B0E57"/>
    <w:rsid w:val="001B1433"/>
    <w:rsid w:val="001B1C22"/>
    <w:rsid w:val="001B1D58"/>
    <w:rsid w:val="001B34C6"/>
    <w:rsid w:val="001B3AEC"/>
    <w:rsid w:val="001B53A4"/>
    <w:rsid w:val="001B5904"/>
    <w:rsid w:val="001B7105"/>
    <w:rsid w:val="001B7397"/>
    <w:rsid w:val="001C3F10"/>
    <w:rsid w:val="001C48A6"/>
    <w:rsid w:val="001C6406"/>
    <w:rsid w:val="001C663E"/>
    <w:rsid w:val="001C6D96"/>
    <w:rsid w:val="001C701C"/>
    <w:rsid w:val="001C72E6"/>
    <w:rsid w:val="001C7514"/>
    <w:rsid w:val="001D0A0E"/>
    <w:rsid w:val="001D28E3"/>
    <w:rsid w:val="001D774D"/>
    <w:rsid w:val="001D7832"/>
    <w:rsid w:val="001E05E9"/>
    <w:rsid w:val="001E53FD"/>
    <w:rsid w:val="001E6BF8"/>
    <w:rsid w:val="001F1585"/>
    <w:rsid w:val="001F1B7A"/>
    <w:rsid w:val="001F1BA7"/>
    <w:rsid w:val="001F322E"/>
    <w:rsid w:val="00202498"/>
    <w:rsid w:val="00202660"/>
    <w:rsid w:val="002043B4"/>
    <w:rsid w:val="00205DDC"/>
    <w:rsid w:val="00205EC3"/>
    <w:rsid w:val="002060A6"/>
    <w:rsid w:val="002064D8"/>
    <w:rsid w:val="00207B62"/>
    <w:rsid w:val="00210DC1"/>
    <w:rsid w:val="00211D34"/>
    <w:rsid w:val="00214F04"/>
    <w:rsid w:val="002152CA"/>
    <w:rsid w:val="0022170F"/>
    <w:rsid w:val="00226BE9"/>
    <w:rsid w:val="002301FE"/>
    <w:rsid w:val="0023044C"/>
    <w:rsid w:val="00230FBA"/>
    <w:rsid w:val="00231BFA"/>
    <w:rsid w:val="002320E3"/>
    <w:rsid w:val="00240E51"/>
    <w:rsid w:val="0024138E"/>
    <w:rsid w:val="00245DE1"/>
    <w:rsid w:val="00246078"/>
    <w:rsid w:val="00246165"/>
    <w:rsid w:val="00250AA6"/>
    <w:rsid w:val="00251033"/>
    <w:rsid w:val="002556A6"/>
    <w:rsid w:val="00260F79"/>
    <w:rsid w:val="00261F9D"/>
    <w:rsid w:val="00262413"/>
    <w:rsid w:val="00262A4B"/>
    <w:rsid w:val="00264F30"/>
    <w:rsid w:val="00266CD6"/>
    <w:rsid w:val="002714C7"/>
    <w:rsid w:val="00272757"/>
    <w:rsid w:val="00272F3D"/>
    <w:rsid w:val="00275DAB"/>
    <w:rsid w:val="00282FB9"/>
    <w:rsid w:val="00283C59"/>
    <w:rsid w:val="00295307"/>
    <w:rsid w:val="002A22B6"/>
    <w:rsid w:val="002A2383"/>
    <w:rsid w:val="002A2AB3"/>
    <w:rsid w:val="002A326B"/>
    <w:rsid w:val="002A3CD9"/>
    <w:rsid w:val="002A6428"/>
    <w:rsid w:val="002A782A"/>
    <w:rsid w:val="002A7E68"/>
    <w:rsid w:val="002B11E2"/>
    <w:rsid w:val="002B24B8"/>
    <w:rsid w:val="002B3E2F"/>
    <w:rsid w:val="002B5912"/>
    <w:rsid w:val="002C30E0"/>
    <w:rsid w:val="002C31A9"/>
    <w:rsid w:val="002C6239"/>
    <w:rsid w:val="002C6730"/>
    <w:rsid w:val="002D1700"/>
    <w:rsid w:val="002D3A8E"/>
    <w:rsid w:val="002D3AE9"/>
    <w:rsid w:val="002D4510"/>
    <w:rsid w:val="002D6299"/>
    <w:rsid w:val="002D6B5A"/>
    <w:rsid w:val="002D6BD5"/>
    <w:rsid w:val="002D723C"/>
    <w:rsid w:val="002E0C73"/>
    <w:rsid w:val="002E2742"/>
    <w:rsid w:val="002E5A6A"/>
    <w:rsid w:val="002E661B"/>
    <w:rsid w:val="002E7ADF"/>
    <w:rsid w:val="002F0734"/>
    <w:rsid w:val="002F1D14"/>
    <w:rsid w:val="002F33E9"/>
    <w:rsid w:val="002F4388"/>
    <w:rsid w:val="002F46E7"/>
    <w:rsid w:val="002F471C"/>
    <w:rsid w:val="002F6CF1"/>
    <w:rsid w:val="00301E31"/>
    <w:rsid w:val="00302176"/>
    <w:rsid w:val="00303610"/>
    <w:rsid w:val="0030554B"/>
    <w:rsid w:val="003057F3"/>
    <w:rsid w:val="00306523"/>
    <w:rsid w:val="003101DA"/>
    <w:rsid w:val="00313A2F"/>
    <w:rsid w:val="00314757"/>
    <w:rsid w:val="00314837"/>
    <w:rsid w:val="003163BC"/>
    <w:rsid w:val="00317E66"/>
    <w:rsid w:val="0032086D"/>
    <w:rsid w:val="003211CE"/>
    <w:rsid w:val="0032607F"/>
    <w:rsid w:val="00326DB5"/>
    <w:rsid w:val="0032789E"/>
    <w:rsid w:val="00330A28"/>
    <w:rsid w:val="00331C7F"/>
    <w:rsid w:val="00333914"/>
    <w:rsid w:val="00335DD7"/>
    <w:rsid w:val="0034073A"/>
    <w:rsid w:val="00344373"/>
    <w:rsid w:val="00345679"/>
    <w:rsid w:val="00352672"/>
    <w:rsid w:val="0035403A"/>
    <w:rsid w:val="0035423A"/>
    <w:rsid w:val="00355D3B"/>
    <w:rsid w:val="00357F46"/>
    <w:rsid w:val="0036394B"/>
    <w:rsid w:val="00363F3E"/>
    <w:rsid w:val="00364785"/>
    <w:rsid w:val="003655CC"/>
    <w:rsid w:val="00365E8C"/>
    <w:rsid w:val="00366DB6"/>
    <w:rsid w:val="0036749E"/>
    <w:rsid w:val="003709B5"/>
    <w:rsid w:val="00371004"/>
    <w:rsid w:val="00371889"/>
    <w:rsid w:val="00371BD0"/>
    <w:rsid w:val="003759C2"/>
    <w:rsid w:val="0037755F"/>
    <w:rsid w:val="003828AE"/>
    <w:rsid w:val="00387A59"/>
    <w:rsid w:val="0039319D"/>
    <w:rsid w:val="00397365"/>
    <w:rsid w:val="003A0D02"/>
    <w:rsid w:val="003A250F"/>
    <w:rsid w:val="003A31F6"/>
    <w:rsid w:val="003A7506"/>
    <w:rsid w:val="003B6640"/>
    <w:rsid w:val="003B72D3"/>
    <w:rsid w:val="003B752B"/>
    <w:rsid w:val="003C3447"/>
    <w:rsid w:val="003C389E"/>
    <w:rsid w:val="003C3E73"/>
    <w:rsid w:val="003C4403"/>
    <w:rsid w:val="003C4C80"/>
    <w:rsid w:val="003D0673"/>
    <w:rsid w:val="003D076C"/>
    <w:rsid w:val="003D2014"/>
    <w:rsid w:val="003D3E22"/>
    <w:rsid w:val="003D635B"/>
    <w:rsid w:val="003D709F"/>
    <w:rsid w:val="003E064D"/>
    <w:rsid w:val="003E439A"/>
    <w:rsid w:val="003E4E07"/>
    <w:rsid w:val="003E78B5"/>
    <w:rsid w:val="003F1523"/>
    <w:rsid w:val="003F6F00"/>
    <w:rsid w:val="003F786C"/>
    <w:rsid w:val="00401668"/>
    <w:rsid w:val="00403B03"/>
    <w:rsid w:val="0040719E"/>
    <w:rsid w:val="00407BC0"/>
    <w:rsid w:val="004126E8"/>
    <w:rsid w:val="00412BC0"/>
    <w:rsid w:val="004140B9"/>
    <w:rsid w:val="0041473D"/>
    <w:rsid w:val="0041599D"/>
    <w:rsid w:val="00415BAB"/>
    <w:rsid w:val="00415ED2"/>
    <w:rsid w:val="0042068C"/>
    <w:rsid w:val="00422314"/>
    <w:rsid w:val="00423B5E"/>
    <w:rsid w:val="0042475E"/>
    <w:rsid w:val="00424BF4"/>
    <w:rsid w:val="00424DA4"/>
    <w:rsid w:val="00425617"/>
    <w:rsid w:val="004279E9"/>
    <w:rsid w:val="00433002"/>
    <w:rsid w:val="00433CCA"/>
    <w:rsid w:val="004342D4"/>
    <w:rsid w:val="0043507B"/>
    <w:rsid w:val="004379CA"/>
    <w:rsid w:val="004412D3"/>
    <w:rsid w:val="00442EA6"/>
    <w:rsid w:val="0044318E"/>
    <w:rsid w:val="00443B35"/>
    <w:rsid w:val="00445549"/>
    <w:rsid w:val="00447509"/>
    <w:rsid w:val="0046297F"/>
    <w:rsid w:val="00462BAB"/>
    <w:rsid w:val="00467155"/>
    <w:rsid w:val="00467287"/>
    <w:rsid w:val="00467AED"/>
    <w:rsid w:val="00470642"/>
    <w:rsid w:val="00471070"/>
    <w:rsid w:val="0047122B"/>
    <w:rsid w:val="00473B7A"/>
    <w:rsid w:val="004756AE"/>
    <w:rsid w:val="00475A8B"/>
    <w:rsid w:val="00480709"/>
    <w:rsid w:val="00481990"/>
    <w:rsid w:val="00483C0F"/>
    <w:rsid w:val="00484E35"/>
    <w:rsid w:val="00487FA9"/>
    <w:rsid w:val="00495466"/>
    <w:rsid w:val="00495D61"/>
    <w:rsid w:val="004960E9"/>
    <w:rsid w:val="004968BF"/>
    <w:rsid w:val="00497047"/>
    <w:rsid w:val="004A2E88"/>
    <w:rsid w:val="004A323D"/>
    <w:rsid w:val="004A4ABE"/>
    <w:rsid w:val="004A5305"/>
    <w:rsid w:val="004A6745"/>
    <w:rsid w:val="004A6C8F"/>
    <w:rsid w:val="004A7930"/>
    <w:rsid w:val="004B082F"/>
    <w:rsid w:val="004B1081"/>
    <w:rsid w:val="004B2A6F"/>
    <w:rsid w:val="004B4341"/>
    <w:rsid w:val="004B517C"/>
    <w:rsid w:val="004B67F7"/>
    <w:rsid w:val="004C0CB9"/>
    <w:rsid w:val="004C1248"/>
    <w:rsid w:val="004C1DE8"/>
    <w:rsid w:val="004C2D75"/>
    <w:rsid w:val="004C33BE"/>
    <w:rsid w:val="004C3733"/>
    <w:rsid w:val="004C6D10"/>
    <w:rsid w:val="004D6A51"/>
    <w:rsid w:val="004D7634"/>
    <w:rsid w:val="004D7AAC"/>
    <w:rsid w:val="004E03FF"/>
    <w:rsid w:val="004E22D9"/>
    <w:rsid w:val="004E361F"/>
    <w:rsid w:val="004E4494"/>
    <w:rsid w:val="004E4630"/>
    <w:rsid w:val="004E5334"/>
    <w:rsid w:val="004E611A"/>
    <w:rsid w:val="004E6193"/>
    <w:rsid w:val="004E69CC"/>
    <w:rsid w:val="004F11D4"/>
    <w:rsid w:val="004F1673"/>
    <w:rsid w:val="004F3640"/>
    <w:rsid w:val="004F39AF"/>
    <w:rsid w:val="005029F7"/>
    <w:rsid w:val="00502BA6"/>
    <w:rsid w:val="00502EB0"/>
    <w:rsid w:val="00503B50"/>
    <w:rsid w:val="005047AF"/>
    <w:rsid w:val="00504ADC"/>
    <w:rsid w:val="00506327"/>
    <w:rsid w:val="00507134"/>
    <w:rsid w:val="00507F28"/>
    <w:rsid w:val="00511DCE"/>
    <w:rsid w:val="0051695A"/>
    <w:rsid w:val="00522C8E"/>
    <w:rsid w:val="00524932"/>
    <w:rsid w:val="00524F2E"/>
    <w:rsid w:val="00525579"/>
    <w:rsid w:val="005260D2"/>
    <w:rsid w:val="00526CCC"/>
    <w:rsid w:val="005300D3"/>
    <w:rsid w:val="00535967"/>
    <w:rsid w:val="00537E6C"/>
    <w:rsid w:val="00541254"/>
    <w:rsid w:val="00543CB7"/>
    <w:rsid w:val="00544F82"/>
    <w:rsid w:val="00546A11"/>
    <w:rsid w:val="005509D2"/>
    <w:rsid w:val="0055152C"/>
    <w:rsid w:val="00551CA0"/>
    <w:rsid w:val="005576BC"/>
    <w:rsid w:val="005660D5"/>
    <w:rsid w:val="005701E8"/>
    <w:rsid w:val="005756A2"/>
    <w:rsid w:val="00580106"/>
    <w:rsid w:val="00582F38"/>
    <w:rsid w:val="00585505"/>
    <w:rsid w:val="00586025"/>
    <w:rsid w:val="00587679"/>
    <w:rsid w:val="005920DF"/>
    <w:rsid w:val="00593190"/>
    <w:rsid w:val="00593C4F"/>
    <w:rsid w:val="005945B1"/>
    <w:rsid w:val="005946A8"/>
    <w:rsid w:val="005A1F5D"/>
    <w:rsid w:val="005A2B4D"/>
    <w:rsid w:val="005A34B9"/>
    <w:rsid w:val="005A4407"/>
    <w:rsid w:val="005A59EF"/>
    <w:rsid w:val="005A7FBC"/>
    <w:rsid w:val="005B1C7E"/>
    <w:rsid w:val="005B634E"/>
    <w:rsid w:val="005C1BDB"/>
    <w:rsid w:val="005C3F2A"/>
    <w:rsid w:val="005C54EF"/>
    <w:rsid w:val="005C5B63"/>
    <w:rsid w:val="005C6612"/>
    <w:rsid w:val="005C6976"/>
    <w:rsid w:val="005C6EAC"/>
    <w:rsid w:val="005C7DE5"/>
    <w:rsid w:val="005D189D"/>
    <w:rsid w:val="005D37BD"/>
    <w:rsid w:val="005E0D47"/>
    <w:rsid w:val="005E17F4"/>
    <w:rsid w:val="005E2A46"/>
    <w:rsid w:val="005F624D"/>
    <w:rsid w:val="005F6F41"/>
    <w:rsid w:val="00601852"/>
    <w:rsid w:val="006036E4"/>
    <w:rsid w:val="00605C79"/>
    <w:rsid w:val="00611A0B"/>
    <w:rsid w:val="00611D2F"/>
    <w:rsid w:val="0061323D"/>
    <w:rsid w:val="006141A4"/>
    <w:rsid w:val="006149A8"/>
    <w:rsid w:val="00614D01"/>
    <w:rsid w:val="00616009"/>
    <w:rsid w:val="00621E67"/>
    <w:rsid w:val="00625DC6"/>
    <w:rsid w:val="0062737B"/>
    <w:rsid w:val="00633E7A"/>
    <w:rsid w:val="00636B5E"/>
    <w:rsid w:val="00640382"/>
    <w:rsid w:val="00640DF6"/>
    <w:rsid w:val="0064121B"/>
    <w:rsid w:val="0064317D"/>
    <w:rsid w:val="0064391D"/>
    <w:rsid w:val="00644EA2"/>
    <w:rsid w:val="00651404"/>
    <w:rsid w:val="00651821"/>
    <w:rsid w:val="00651DE9"/>
    <w:rsid w:val="00654384"/>
    <w:rsid w:val="00655797"/>
    <w:rsid w:val="006571A7"/>
    <w:rsid w:val="00657DFA"/>
    <w:rsid w:val="00660386"/>
    <w:rsid w:val="006615D6"/>
    <w:rsid w:val="00661E64"/>
    <w:rsid w:val="0066698F"/>
    <w:rsid w:val="0066729A"/>
    <w:rsid w:val="006675CD"/>
    <w:rsid w:val="0066789E"/>
    <w:rsid w:val="00667AAE"/>
    <w:rsid w:val="0067206E"/>
    <w:rsid w:val="00676709"/>
    <w:rsid w:val="0068033F"/>
    <w:rsid w:val="00680722"/>
    <w:rsid w:val="00682245"/>
    <w:rsid w:val="00682A7A"/>
    <w:rsid w:val="00684D9B"/>
    <w:rsid w:val="0068510A"/>
    <w:rsid w:val="00686525"/>
    <w:rsid w:val="006940C6"/>
    <w:rsid w:val="00694D7C"/>
    <w:rsid w:val="00696155"/>
    <w:rsid w:val="00696E86"/>
    <w:rsid w:val="00697556"/>
    <w:rsid w:val="0069756D"/>
    <w:rsid w:val="006978D7"/>
    <w:rsid w:val="006A1793"/>
    <w:rsid w:val="006A1E56"/>
    <w:rsid w:val="006A480A"/>
    <w:rsid w:val="006A57CA"/>
    <w:rsid w:val="006A629B"/>
    <w:rsid w:val="006B4647"/>
    <w:rsid w:val="006B4C2B"/>
    <w:rsid w:val="006B50AF"/>
    <w:rsid w:val="006B5F53"/>
    <w:rsid w:val="006B6194"/>
    <w:rsid w:val="006B6D47"/>
    <w:rsid w:val="006C0CDD"/>
    <w:rsid w:val="006C145F"/>
    <w:rsid w:val="006C1DCC"/>
    <w:rsid w:val="006C1EDD"/>
    <w:rsid w:val="006C29AA"/>
    <w:rsid w:val="006C54B4"/>
    <w:rsid w:val="006C5AFE"/>
    <w:rsid w:val="006C6C91"/>
    <w:rsid w:val="006C76B0"/>
    <w:rsid w:val="006D209C"/>
    <w:rsid w:val="006D33A1"/>
    <w:rsid w:val="006E1564"/>
    <w:rsid w:val="006E4859"/>
    <w:rsid w:val="006E6274"/>
    <w:rsid w:val="006E7794"/>
    <w:rsid w:val="006F05C5"/>
    <w:rsid w:val="006F22B5"/>
    <w:rsid w:val="006F6D95"/>
    <w:rsid w:val="006F74D4"/>
    <w:rsid w:val="00703966"/>
    <w:rsid w:val="00704093"/>
    <w:rsid w:val="007044BF"/>
    <w:rsid w:val="0070527B"/>
    <w:rsid w:val="007063F0"/>
    <w:rsid w:val="007066D5"/>
    <w:rsid w:val="00706F13"/>
    <w:rsid w:val="007072E8"/>
    <w:rsid w:val="007124F3"/>
    <w:rsid w:val="00713D6C"/>
    <w:rsid w:val="007142E0"/>
    <w:rsid w:val="00714E1B"/>
    <w:rsid w:val="0071513C"/>
    <w:rsid w:val="0071618D"/>
    <w:rsid w:val="007179E3"/>
    <w:rsid w:val="00720CA3"/>
    <w:rsid w:val="00722333"/>
    <w:rsid w:val="00724641"/>
    <w:rsid w:val="00725FA4"/>
    <w:rsid w:val="007343EA"/>
    <w:rsid w:val="00734D21"/>
    <w:rsid w:val="0073555D"/>
    <w:rsid w:val="0073712A"/>
    <w:rsid w:val="00737EE1"/>
    <w:rsid w:val="00737F10"/>
    <w:rsid w:val="00740446"/>
    <w:rsid w:val="00742503"/>
    <w:rsid w:val="00742B65"/>
    <w:rsid w:val="007438A9"/>
    <w:rsid w:val="0074491E"/>
    <w:rsid w:val="0075140D"/>
    <w:rsid w:val="00751D25"/>
    <w:rsid w:val="00757FE8"/>
    <w:rsid w:val="0076247A"/>
    <w:rsid w:val="007650E2"/>
    <w:rsid w:val="00765652"/>
    <w:rsid w:val="00765AF4"/>
    <w:rsid w:val="0076768F"/>
    <w:rsid w:val="00771817"/>
    <w:rsid w:val="00775964"/>
    <w:rsid w:val="007765FE"/>
    <w:rsid w:val="00777516"/>
    <w:rsid w:val="00783EED"/>
    <w:rsid w:val="00785DCD"/>
    <w:rsid w:val="00785F3A"/>
    <w:rsid w:val="00790D56"/>
    <w:rsid w:val="00792978"/>
    <w:rsid w:val="00794DB9"/>
    <w:rsid w:val="00794DCC"/>
    <w:rsid w:val="00794E2E"/>
    <w:rsid w:val="00795BFB"/>
    <w:rsid w:val="0079603D"/>
    <w:rsid w:val="007A47E1"/>
    <w:rsid w:val="007A4F8D"/>
    <w:rsid w:val="007A75E4"/>
    <w:rsid w:val="007B2082"/>
    <w:rsid w:val="007B2756"/>
    <w:rsid w:val="007B2760"/>
    <w:rsid w:val="007B3728"/>
    <w:rsid w:val="007B43AE"/>
    <w:rsid w:val="007B578B"/>
    <w:rsid w:val="007B5922"/>
    <w:rsid w:val="007B611D"/>
    <w:rsid w:val="007B616A"/>
    <w:rsid w:val="007B6509"/>
    <w:rsid w:val="007B6A66"/>
    <w:rsid w:val="007C1157"/>
    <w:rsid w:val="007C35EF"/>
    <w:rsid w:val="007C403B"/>
    <w:rsid w:val="007C652E"/>
    <w:rsid w:val="007C6982"/>
    <w:rsid w:val="007D0057"/>
    <w:rsid w:val="007E1530"/>
    <w:rsid w:val="007E5749"/>
    <w:rsid w:val="007E60EC"/>
    <w:rsid w:val="007E6A16"/>
    <w:rsid w:val="007E741E"/>
    <w:rsid w:val="007E75C1"/>
    <w:rsid w:val="007F0A17"/>
    <w:rsid w:val="007F531C"/>
    <w:rsid w:val="007F67F8"/>
    <w:rsid w:val="007F7175"/>
    <w:rsid w:val="007F7276"/>
    <w:rsid w:val="00801BF8"/>
    <w:rsid w:val="00804E1E"/>
    <w:rsid w:val="00805E3F"/>
    <w:rsid w:val="008066F0"/>
    <w:rsid w:val="00806C01"/>
    <w:rsid w:val="008115AA"/>
    <w:rsid w:val="00812DCC"/>
    <w:rsid w:val="00813FAF"/>
    <w:rsid w:val="008148CC"/>
    <w:rsid w:val="0081575C"/>
    <w:rsid w:val="008173D3"/>
    <w:rsid w:val="008211A4"/>
    <w:rsid w:val="008211D5"/>
    <w:rsid w:val="008277AE"/>
    <w:rsid w:val="00834DC9"/>
    <w:rsid w:val="00845EFB"/>
    <w:rsid w:val="00846DD5"/>
    <w:rsid w:val="00847E80"/>
    <w:rsid w:val="00854351"/>
    <w:rsid w:val="00855F3F"/>
    <w:rsid w:val="00855F4D"/>
    <w:rsid w:val="00867FA5"/>
    <w:rsid w:val="008706E6"/>
    <w:rsid w:val="008718CD"/>
    <w:rsid w:val="00872A77"/>
    <w:rsid w:val="00872ED6"/>
    <w:rsid w:val="00873150"/>
    <w:rsid w:val="00873B39"/>
    <w:rsid w:val="00875920"/>
    <w:rsid w:val="0087657D"/>
    <w:rsid w:val="00876CA9"/>
    <w:rsid w:val="008807D5"/>
    <w:rsid w:val="00880832"/>
    <w:rsid w:val="0088178F"/>
    <w:rsid w:val="00881C82"/>
    <w:rsid w:val="008829D6"/>
    <w:rsid w:val="0088328A"/>
    <w:rsid w:val="00883AFD"/>
    <w:rsid w:val="00884D9F"/>
    <w:rsid w:val="00886EE1"/>
    <w:rsid w:val="0088727D"/>
    <w:rsid w:val="008925C9"/>
    <w:rsid w:val="008954C9"/>
    <w:rsid w:val="00897C75"/>
    <w:rsid w:val="008A577E"/>
    <w:rsid w:val="008A645A"/>
    <w:rsid w:val="008A64E3"/>
    <w:rsid w:val="008A6CC8"/>
    <w:rsid w:val="008B194E"/>
    <w:rsid w:val="008B573C"/>
    <w:rsid w:val="008C03FB"/>
    <w:rsid w:val="008C1130"/>
    <w:rsid w:val="008C21EF"/>
    <w:rsid w:val="008C2C5A"/>
    <w:rsid w:val="008C56A2"/>
    <w:rsid w:val="008D0E4E"/>
    <w:rsid w:val="008D18E6"/>
    <w:rsid w:val="008D2FF2"/>
    <w:rsid w:val="008D502B"/>
    <w:rsid w:val="008D7A9B"/>
    <w:rsid w:val="008E0060"/>
    <w:rsid w:val="008E0F27"/>
    <w:rsid w:val="008E272F"/>
    <w:rsid w:val="008E35B9"/>
    <w:rsid w:val="008E393A"/>
    <w:rsid w:val="008E3EFF"/>
    <w:rsid w:val="008E471E"/>
    <w:rsid w:val="008E7091"/>
    <w:rsid w:val="008E76AC"/>
    <w:rsid w:val="008F039E"/>
    <w:rsid w:val="008F1025"/>
    <w:rsid w:val="008F21F6"/>
    <w:rsid w:val="008F2B56"/>
    <w:rsid w:val="008F3EAB"/>
    <w:rsid w:val="00900CE6"/>
    <w:rsid w:val="00901A4A"/>
    <w:rsid w:val="00902B57"/>
    <w:rsid w:val="009044A9"/>
    <w:rsid w:val="00905646"/>
    <w:rsid w:val="00905CA9"/>
    <w:rsid w:val="00905CFA"/>
    <w:rsid w:val="00906440"/>
    <w:rsid w:val="00910DEB"/>
    <w:rsid w:val="0091143A"/>
    <w:rsid w:val="00913ADF"/>
    <w:rsid w:val="00913DC8"/>
    <w:rsid w:val="00922962"/>
    <w:rsid w:val="00923EDB"/>
    <w:rsid w:val="00927865"/>
    <w:rsid w:val="00931CB8"/>
    <w:rsid w:val="00935660"/>
    <w:rsid w:val="00946544"/>
    <w:rsid w:val="00946A2B"/>
    <w:rsid w:val="00946A97"/>
    <w:rsid w:val="009472C2"/>
    <w:rsid w:val="00947932"/>
    <w:rsid w:val="00947F2B"/>
    <w:rsid w:val="009503E6"/>
    <w:rsid w:val="0095126F"/>
    <w:rsid w:val="00951F79"/>
    <w:rsid w:val="00952614"/>
    <w:rsid w:val="00953F9C"/>
    <w:rsid w:val="009625F2"/>
    <w:rsid w:val="00963DA8"/>
    <w:rsid w:val="009642BC"/>
    <w:rsid w:val="00964F16"/>
    <w:rsid w:val="0096549E"/>
    <w:rsid w:val="0097224B"/>
    <w:rsid w:val="00974AB5"/>
    <w:rsid w:val="00975314"/>
    <w:rsid w:val="0097632B"/>
    <w:rsid w:val="009763E9"/>
    <w:rsid w:val="0097754A"/>
    <w:rsid w:val="00980FED"/>
    <w:rsid w:val="00981C84"/>
    <w:rsid w:val="00982465"/>
    <w:rsid w:val="009841D5"/>
    <w:rsid w:val="00984468"/>
    <w:rsid w:val="0098706D"/>
    <w:rsid w:val="00992526"/>
    <w:rsid w:val="00992A19"/>
    <w:rsid w:val="009935FB"/>
    <w:rsid w:val="00995A1B"/>
    <w:rsid w:val="00995AA6"/>
    <w:rsid w:val="0099682B"/>
    <w:rsid w:val="009A2368"/>
    <w:rsid w:val="009A3DC3"/>
    <w:rsid w:val="009A7B7F"/>
    <w:rsid w:val="009B09AF"/>
    <w:rsid w:val="009B27A6"/>
    <w:rsid w:val="009B519B"/>
    <w:rsid w:val="009B634D"/>
    <w:rsid w:val="009C3BEE"/>
    <w:rsid w:val="009C5FF0"/>
    <w:rsid w:val="009C758D"/>
    <w:rsid w:val="009D2856"/>
    <w:rsid w:val="009D2BC7"/>
    <w:rsid w:val="009D5022"/>
    <w:rsid w:val="009E3CA5"/>
    <w:rsid w:val="009E7022"/>
    <w:rsid w:val="009F10CF"/>
    <w:rsid w:val="009F1230"/>
    <w:rsid w:val="009F1672"/>
    <w:rsid w:val="009F1E53"/>
    <w:rsid w:val="009F2FD4"/>
    <w:rsid w:val="009F4A54"/>
    <w:rsid w:val="009F4BEC"/>
    <w:rsid w:val="009F5874"/>
    <w:rsid w:val="009F5FBD"/>
    <w:rsid w:val="009F6F54"/>
    <w:rsid w:val="00A00382"/>
    <w:rsid w:val="00A019AE"/>
    <w:rsid w:val="00A035F4"/>
    <w:rsid w:val="00A07629"/>
    <w:rsid w:val="00A116D9"/>
    <w:rsid w:val="00A11DAE"/>
    <w:rsid w:val="00A14B8B"/>
    <w:rsid w:val="00A15B17"/>
    <w:rsid w:val="00A165DC"/>
    <w:rsid w:val="00A175A8"/>
    <w:rsid w:val="00A25466"/>
    <w:rsid w:val="00A25FD7"/>
    <w:rsid w:val="00A26CC4"/>
    <w:rsid w:val="00A278E9"/>
    <w:rsid w:val="00A310EC"/>
    <w:rsid w:val="00A329E2"/>
    <w:rsid w:val="00A345D7"/>
    <w:rsid w:val="00A34878"/>
    <w:rsid w:val="00A36B7B"/>
    <w:rsid w:val="00A43AFF"/>
    <w:rsid w:val="00A43CA4"/>
    <w:rsid w:val="00A44B63"/>
    <w:rsid w:val="00A44D18"/>
    <w:rsid w:val="00A4506C"/>
    <w:rsid w:val="00A46AC7"/>
    <w:rsid w:val="00A47712"/>
    <w:rsid w:val="00A60C08"/>
    <w:rsid w:val="00A6524D"/>
    <w:rsid w:val="00A675B3"/>
    <w:rsid w:val="00A755E7"/>
    <w:rsid w:val="00A75B79"/>
    <w:rsid w:val="00A766F5"/>
    <w:rsid w:val="00A7793A"/>
    <w:rsid w:val="00A8188A"/>
    <w:rsid w:val="00A83616"/>
    <w:rsid w:val="00A90634"/>
    <w:rsid w:val="00A918E9"/>
    <w:rsid w:val="00A923AA"/>
    <w:rsid w:val="00A92771"/>
    <w:rsid w:val="00A93BB1"/>
    <w:rsid w:val="00AA1AD1"/>
    <w:rsid w:val="00AA215F"/>
    <w:rsid w:val="00AA34DE"/>
    <w:rsid w:val="00AA4CC7"/>
    <w:rsid w:val="00AA5E8E"/>
    <w:rsid w:val="00AA63BE"/>
    <w:rsid w:val="00AB28A9"/>
    <w:rsid w:val="00AB2C5F"/>
    <w:rsid w:val="00AB6CA7"/>
    <w:rsid w:val="00AD01E4"/>
    <w:rsid w:val="00AD0858"/>
    <w:rsid w:val="00AD0BD2"/>
    <w:rsid w:val="00AD26F7"/>
    <w:rsid w:val="00AD4B14"/>
    <w:rsid w:val="00AE1881"/>
    <w:rsid w:val="00AE2BC9"/>
    <w:rsid w:val="00AE664F"/>
    <w:rsid w:val="00AE6C07"/>
    <w:rsid w:val="00AE7340"/>
    <w:rsid w:val="00AF0BCC"/>
    <w:rsid w:val="00AF1BBD"/>
    <w:rsid w:val="00AF221E"/>
    <w:rsid w:val="00AF2491"/>
    <w:rsid w:val="00AF2EDE"/>
    <w:rsid w:val="00AF67D7"/>
    <w:rsid w:val="00B004BE"/>
    <w:rsid w:val="00B0050E"/>
    <w:rsid w:val="00B01240"/>
    <w:rsid w:val="00B01CD6"/>
    <w:rsid w:val="00B02D54"/>
    <w:rsid w:val="00B10207"/>
    <w:rsid w:val="00B1360B"/>
    <w:rsid w:val="00B141E7"/>
    <w:rsid w:val="00B1534C"/>
    <w:rsid w:val="00B153A4"/>
    <w:rsid w:val="00B24C32"/>
    <w:rsid w:val="00B25C1B"/>
    <w:rsid w:val="00B26CA0"/>
    <w:rsid w:val="00B311C3"/>
    <w:rsid w:val="00B351B4"/>
    <w:rsid w:val="00B353B4"/>
    <w:rsid w:val="00B40971"/>
    <w:rsid w:val="00B447E5"/>
    <w:rsid w:val="00B45991"/>
    <w:rsid w:val="00B468CA"/>
    <w:rsid w:val="00B46BCA"/>
    <w:rsid w:val="00B478AA"/>
    <w:rsid w:val="00B53A10"/>
    <w:rsid w:val="00B63429"/>
    <w:rsid w:val="00B634EA"/>
    <w:rsid w:val="00B642EA"/>
    <w:rsid w:val="00B65873"/>
    <w:rsid w:val="00B70245"/>
    <w:rsid w:val="00B70679"/>
    <w:rsid w:val="00B70AB3"/>
    <w:rsid w:val="00B71BE8"/>
    <w:rsid w:val="00B75E93"/>
    <w:rsid w:val="00B7644C"/>
    <w:rsid w:val="00B770E0"/>
    <w:rsid w:val="00B77653"/>
    <w:rsid w:val="00B8290B"/>
    <w:rsid w:val="00B8746F"/>
    <w:rsid w:val="00B87806"/>
    <w:rsid w:val="00B87EC9"/>
    <w:rsid w:val="00B91B77"/>
    <w:rsid w:val="00B94A49"/>
    <w:rsid w:val="00BA285D"/>
    <w:rsid w:val="00BA3CCB"/>
    <w:rsid w:val="00BA4282"/>
    <w:rsid w:val="00BA7C4B"/>
    <w:rsid w:val="00BB02A5"/>
    <w:rsid w:val="00BB08A8"/>
    <w:rsid w:val="00BB1822"/>
    <w:rsid w:val="00BB343A"/>
    <w:rsid w:val="00BB5D62"/>
    <w:rsid w:val="00BB6211"/>
    <w:rsid w:val="00BB6EB8"/>
    <w:rsid w:val="00BC27EF"/>
    <w:rsid w:val="00BC38FD"/>
    <w:rsid w:val="00BC4506"/>
    <w:rsid w:val="00BC4C75"/>
    <w:rsid w:val="00BC5C7E"/>
    <w:rsid w:val="00BC7A94"/>
    <w:rsid w:val="00BC7C8D"/>
    <w:rsid w:val="00BC7E5B"/>
    <w:rsid w:val="00BE1292"/>
    <w:rsid w:val="00BE4720"/>
    <w:rsid w:val="00BF090C"/>
    <w:rsid w:val="00BF5B71"/>
    <w:rsid w:val="00BF5CF2"/>
    <w:rsid w:val="00BF70A3"/>
    <w:rsid w:val="00BF78B7"/>
    <w:rsid w:val="00C00906"/>
    <w:rsid w:val="00C034CB"/>
    <w:rsid w:val="00C050A4"/>
    <w:rsid w:val="00C051A8"/>
    <w:rsid w:val="00C054BC"/>
    <w:rsid w:val="00C0581F"/>
    <w:rsid w:val="00C100E9"/>
    <w:rsid w:val="00C10BF5"/>
    <w:rsid w:val="00C14A4F"/>
    <w:rsid w:val="00C165F2"/>
    <w:rsid w:val="00C16EF4"/>
    <w:rsid w:val="00C17897"/>
    <w:rsid w:val="00C2797E"/>
    <w:rsid w:val="00C33664"/>
    <w:rsid w:val="00C409D5"/>
    <w:rsid w:val="00C41FC6"/>
    <w:rsid w:val="00C4282F"/>
    <w:rsid w:val="00C429E2"/>
    <w:rsid w:val="00C435C3"/>
    <w:rsid w:val="00C45836"/>
    <w:rsid w:val="00C462FD"/>
    <w:rsid w:val="00C502C0"/>
    <w:rsid w:val="00C503D7"/>
    <w:rsid w:val="00C5095A"/>
    <w:rsid w:val="00C51B82"/>
    <w:rsid w:val="00C527FD"/>
    <w:rsid w:val="00C54A65"/>
    <w:rsid w:val="00C563FE"/>
    <w:rsid w:val="00C57ACD"/>
    <w:rsid w:val="00C6234B"/>
    <w:rsid w:val="00C63EAE"/>
    <w:rsid w:val="00C7115D"/>
    <w:rsid w:val="00C71486"/>
    <w:rsid w:val="00C72361"/>
    <w:rsid w:val="00C7271D"/>
    <w:rsid w:val="00C73260"/>
    <w:rsid w:val="00C75829"/>
    <w:rsid w:val="00C7629F"/>
    <w:rsid w:val="00C8049D"/>
    <w:rsid w:val="00C81C75"/>
    <w:rsid w:val="00C84FE5"/>
    <w:rsid w:val="00C8661B"/>
    <w:rsid w:val="00C87143"/>
    <w:rsid w:val="00C871F6"/>
    <w:rsid w:val="00C9105E"/>
    <w:rsid w:val="00C91212"/>
    <w:rsid w:val="00C9746F"/>
    <w:rsid w:val="00CA139A"/>
    <w:rsid w:val="00CA2899"/>
    <w:rsid w:val="00CA32DB"/>
    <w:rsid w:val="00CA3A0C"/>
    <w:rsid w:val="00CA3A3D"/>
    <w:rsid w:val="00CA642F"/>
    <w:rsid w:val="00CA77FB"/>
    <w:rsid w:val="00CA7B8A"/>
    <w:rsid w:val="00CB0B6C"/>
    <w:rsid w:val="00CB16DA"/>
    <w:rsid w:val="00CB379B"/>
    <w:rsid w:val="00CB5DD0"/>
    <w:rsid w:val="00CB5E33"/>
    <w:rsid w:val="00CC0D34"/>
    <w:rsid w:val="00CC239F"/>
    <w:rsid w:val="00CC36C0"/>
    <w:rsid w:val="00CC4ED2"/>
    <w:rsid w:val="00CC51D4"/>
    <w:rsid w:val="00CC5F73"/>
    <w:rsid w:val="00CC65DA"/>
    <w:rsid w:val="00CD0427"/>
    <w:rsid w:val="00CD2B14"/>
    <w:rsid w:val="00CD394A"/>
    <w:rsid w:val="00CD5E2B"/>
    <w:rsid w:val="00CD5F07"/>
    <w:rsid w:val="00CD713C"/>
    <w:rsid w:val="00CE00F2"/>
    <w:rsid w:val="00CE72F8"/>
    <w:rsid w:val="00CF0D18"/>
    <w:rsid w:val="00CF21B9"/>
    <w:rsid w:val="00CF371F"/>
    <w:rsid w:val="00CF39E4"/>
    <w:rsid w:val="00CF6BF9"/>
    <w:rsid w:val="00D03800"/>
    <w:rsid w:val="00D065D3"/>
    <w:rsid w:val="00D1180C"/>
    <w:rsid w:val="00D14C94"/>
    <w:rsid w:val="00D16F37"/>
    <w:rsid w:val="00D2048C"/>
    <w:rsid w:val="00D20D74"/>
    <w:rsid w:val="00D22290"/>
    <w:rsid w:val="00D2249C"/>
    <w:rsid w:val="00D22776"/>
    <w:rsid w:val="00D22A1E"/>
    <w:rsid w:val="00D23890"/>
    <w:rsid w:val="00D275D7"/>
    <w:rsid w:val="00D27BA6"/>
    <w:rsid w:val="00D3164A"/>
    <w:rsid w:val="00D318DC"/>
    <w:rsid w:val="00D321BF"/>
    <w:rsid w:val="00D342A6"/>
    <w:rsid w:val="00D34602"/>
    <w:rsid w:val="00D3463A"/>
    <w:rsid w:val="00D35E58"/>
    <w:rsid w:val="00D365E8"/>
    <w:rsid w:val="00D369B2"/>
    <w:rsid w:val="00D36D1A"/>
    <w:rsid w:val="00D40BEF"/>
    <w:rsid w:val="00D42B15"/>
    <w:rsid w:val="00D45CA6"/>
    <w:rsid w:val="00D45DF6"/>
    <w:rsid w:val="00D46027"/>
    <w:rsid w:val="00D463E5"/>
    <w:rsid w:val="00D464BF"/>
    <w:rsid w:val="00D53201"/>
    <w:rsid w:val="00D53E26"/>
    <w:rsid w:val="00D56709"/>
    <w:rsid w:val="00D60BE4"/>
    <w:rsid w:val="00D61D85"/>
    <w:rsid w:val="00D660C6"/>
    <w:rsid w:val="00D66E45"/>
    <w:rsid w:val="00D729C4"/>
    <w:rsid w:val="00D73472"/>
    <w:rsid w:val="00D73BCE"/>
    <w:rsid w:val="00D7613A"/>
    <w:rsid w:val="00D762E6"/>
    <w:rsid w:val="00D76F66"/>
    <w:rsid w:val="00D80DDD"/>
    <w:rsid w:val="00D82A14"/>
    <w:rsid w:val="00D84286"/>
    <w:rsid w:val="00D8712E"/>
    <w:rsid w:val="00D90EEA"/>
    <w:rsid w:val="00D9628B"/>
    <w:rsid w:val="00D967A6"/>
    <w:rsid w:val="00D97AAA"/>
    <w:rsid w:val="00DA2FF2"/>
    <w:rsid w:val="00DA3E0B"/>
    <w:rsid w:val="00DA3F77"/>
    <w:rsid w:val="00DB44E6"/>
    <w:rsid w:val="00DB78A3"/>
    <w:rsid w:val="00DC0398"/>
    <w:rsid w:val="00DC126C"/>
    <w:rsid w:val="00DC2DC9"/>
    <w:rsid w:val="00DC4F83"/>
    <w:rsid w:val="00DC5BAA"/>
    <w:rsid w:val="00DD10D4"/>
    <w:rsid w:val="00DD1B1B"/>
    <w:rsid w:val="00DD45F9"/>
    <w:rsid w:val="00DD4F0E"/>
    <w:rsid w:val="00DD5242"/>
    <w:rsid w:val="00DD5A35"/>
    <w:rsid w:val="00DE65E0"/>
    <w:rsid w:val="00DF0BF0"/>
    <w:rsid w:val="00DF3CA2"/>
    <w:rsid w:val="00DF3E56"/>
    <w:rsid w:val="00DF3EE6"/>
    <w:rsid w:val="00DF6684"/>
    <w:rsid w:val="00DF6D85"/>
    <w:rsid w:val="00E01463"/>
    <w:rsid w:val="00E0316A"/>
    <w:rsid w:val="00E05E0A"/>
    <w:rsid w:val="00E060BE"/>
    <w:rsid w:val="00E06AEF"/>
    <w:rsid w:val="00E07458"/>
    <w:rsid w:val="00E07C0A"/>
    <w:rsid w:val="00E10794"/>
    <w:rsid w:val="00E130FE"/>
    <w:rsid w:val="00E159AB"/>
    <w:rsid w:val="00E15B9C"/>
    <w:rsid w:val="00E17BC2"/>
    <w:rsid w:val="00E20A5E"/>
    <w:rsid w:val="00E21B32"/>
    <w:rsid w:val="00E23B97"/>
    <w:rsid w:val="00E30F01"/>
    <w:rsid w:val="00E33381"/>
    <w:rsid w:val="00E34B92"/>
    <w:rsid w:val="00E449B9"/>
    <w:rsid w:val="00E46432"/>
    <w:rsid w:val="00E46BB3"/>
    <w:rsid w:val="00E52189"/>
    <w:rsid w:val="00E52279"/>
    <w:rsid w:val="00E534CF"/>
    <w:rsid w:val="00E53D0C"/>
    <w:rsid w:val="00E54F9D"/>
    <w:rsid w:val="00E60C09"/>
    <w:rsid w:val="00E61367"/>
    <w:rsid w:val="00E61576"/>
    <w:rsid w:val="00E63388"/>
    <w:rsid w:val="00E67903"/>
    <w:rsid w:val="00E67EAC"/>
    <w:rsid w:val="00E71128"/>
    <w:rsid w:val="00E76BAB"/>
    <w:rsid w:val="00E76D75"/>
    <w:rsid w:val="00E8147E"/>
    <w:rsid w:val="00E81CB4"/>
    <w:rsid w:val="00E8375D"/>
    <w:rsid w:val="00E8585B"/>
    <w:rsid w:val="00E858BA"/>
    <w:rsid w:val="00E8593F"/>
    <w:rsid w:val="00E85F95"/>
    <w:rsid w:val="00E86F6A"/>
    <w:rsid w:val="00E90C15"/>
    <w:rsid w:val="00E920F7"/>
    <w:rsid w:val="00E93137"/>
    <w:rsid w:val="00E943AE"/>
    <w:rsid w:val="00E95942"/>
    <w:rsid w:val="00E971C6"/>
    <w:rsid w:val="00E97940"/>
    <w:rsid w:val="00EA142B"/>
    <w:rsid w:val="00EA24A6"/>
    <w:rsid w:val="00EA3F15"/>
    <w:rsid w:val="00EA472E"/>
    <w:rsid w:val="00EA6620"/>
    <w:rsid w:val="00EA67AE"/>
    <w:rsid w:val="00EA7847"/>
    <w:rsid w:val="00EB1590"/>
    <w:rsid w:val="00EB4C2F"/>
    <w:rsid w:val="00EB72BA"/>
    <w:rsid w:val="00EC5340"/>
    <w:rsid w:val="00EC5418"/>
    <w:rsid w:val="00EC5AAB"/>
    <w:rsid w:val="00ED0E88"/>
    <w:rsid w:val="00ED7010"/>
    <w:rsid w:val="00EE2E6E"/>
    <w:rsid w:val="00EE463E"/>
    <w:rsid w:val="00EE534C"/>
    <w:rsid w:val="00EF0AFF"/>
    <w:rsid w:val="00EF24DB"/>
    <w:rsid w:val="00F0055F"/>
    <w:rsid w:val="00F026F9"/>
    <w:rsid w:val="00F02BBC"/>
    <w:rsid w:val="00F03DF9"/>
    <w:rsid w:val="00F0759E"/>
    <w:rsid w:val="00F076DC"/>
    <w:rsid w:val="00F13E8E"/>
    <w:rsid w:val="00F1576B"/>
    <w:rsid w:val="00F162FF"/>
    <w:rsid w:val="00F16A43"/>
    <w:rsid w:val="00F16BFC"/>
    <w:rsid w:val="00F16EC7"/>
    <w:rsid w:val="00F2258B"/>
    <w:rsid w:val="00F22ACC"/>
    <w:rsid w:val="00F22DBB"/>
    <w:rsid w:val="00F27297"/>
    <w:rsid w:val="00F31B8B"/>
    <w:rsid w:val="00F32BB3"/>
    <w:rsid w:val="00F33387"/>
    <w:rsid w:val="00F3445D"/>
    <w:rsid w:val="00F34756"/>
    <w:rsid w:val="00F4236B"/>
    <w:rsid w:val="00F430A1"/>
    <w:rsid w:val="00F45114"/>
    <w:rsid w:val="00F46780"/>
    <w:rsid w:val="00F505A9"/>
    <w:rsid w:val="00F52DA3"/>
    <w:rsid w:val="00F53B5E"/>
    <w:rsid w:val="00F616A3"/>
    <w:rsid w:val="00F6430F"/>
    <w:rsid w:val="00F6671B"/>
    <w:rsid w:val="00F67D3A"/>
    <w:rsid w:val="00F71CDA"/>
    <w:rsid w:val="00F73CCF"/>
    <w:rsid w:val="00F76889"/>
    <w:rsid w:val="00F76A7C"/>
    <w:rsid w:val="00F77FDF"/>
    <w:rsid w:val="00F80FD4"/>
    <w:rsid w:val="00F821A3"/>
    <w:rsid w:val="00F83667"/>
    <w:rsid w:val="00F8602E"/>
    <w:rsid w:val="00F871CF"/>
    <w:rsid w:val="00F90E62"/>
    <w:rsid w:val="00F9314A"/>
    <w:rsid w:val="00F93AA1"/>
    <w:rsid w:val="00F93B8D"/>
    <w:rsid w:val="00F93D24"/>
    <w:rsid w:val="00F940B2"/>
    <w:rsid w:val="00F94902"/>
    <w:rsid w:val="00FA1494"/>
    <w:rsid w:val="00FA1BB9"/>
    <w:rsid w:val="00FA1C49"/>
    <w:rsid w:val="00FA28B4"/>
    <w:rsid w:val="00FA2B45"/>
    <w:rsid w:val="00FA4E1D"/>
    <w:rsid w:val="00FA75BD"/>
    <w:rsid w:val="00FA7BA7"/>
    <w:rsid w:val="00FB4010"/>
    <w:rsid w:val="00FB61B6"/>
    <w:rsid w:val="00FC4907"/>
    <w:rsid w:val="00FC58EF"/>
    <w:rsid w:val="00FC7584"/>
    <w:rsid w:val="00FD2694"/>
    <w:rsid w:val="00FD2EE5"/>
    <w:rsid w:val="00FD33DF"/>
    <w:rsid w:val="00FD52CC"/>
    <w:rsid w:val="00FD5521"/>
    <w:rsid w:val="00FE39D7"/>
    <w:rsid w:val="00FF06BC"/>
    <w:rsid w:val="00FF3D49"/>
    <w:rsid w:val="00FF46CA"/>
    <w:rsid w:val="00FF4C18"/>
    <w:rsid w:val="00FF5D55"/>
    <w:rsid w:val="00FF6A7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09773FA"/>
  <w15:docId w15:val="{0EFE4882-88A1-43C6-BFA3-1ED221DEBA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D5521"/>
    <w:pPr>
      <w:ind w:left="567"/>
    </w:pPr>
    <w:rPr>
      <w:sz w:val="24"/>
      <w:szCs w:val="24"/>
      <w:lang w:val="es-ES" w:eastAsia="es-ES"/>
    </w:rPr>
  </w:style>
  <w:style w:type="paragraph" w:styleId="Ttulo1">
    <w:name w:val="heading 1"/>
    <w:basedOn w:val="Normal"/>
    <w:next w:val="Normal"/>
    <w:qFormat/>
    <w:rsid w:val="003101DA"/>
    <w:pPr>
      <w:keepNext/>
      <w:jc w:val="center"/>
      <w:outlineLvl w:val="0"/>
    </w:pPr>
    <w:rPr>
      <w:rFonts w:ascii="CG Times" w:hAnsi="CG Times"/>
      <w:b/>
      <w:szCs w:val="20"/>
      <w:lang w:val="es-CO"/>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iPriority w:val="9"/>
    <w:semiHidden/>
    <w:unhideWhenUsed/>
    <w:qFormat/>
    <w:rsid w:val="006B4647"/>
    <w:pPr>
      <w:spacing w:before="240" w:after="60"/>
      <w:outlineLvl w:val="6"/>
    </w:pPr>
    <w:rPr>
      <w:rFonts w:ascii="Calibri" w:hAnsi="Calibri"/>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semiHidden/>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5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basedOn w:val="Normal"/>
    <w:link w:val="PrrafodelistaCar"/>
    <w:qFormat/>
    <w:rsid w:val="001405C6"/>
    <w:pPr>
      <w:ind w:left="708"/>
    </w:pPr>
    <w:rPr>
      <w:sz w:val="20"/>
      <w:szCs w:val="20"/>
      <w:lang w:val="es-CO"/>
    </w:rPr>
  </w:style>
  <w:style w:type="character" w:customStyle="1" w:styleId="PrrafodelistaCar">
    <w:name w:val="Párrafo de lista Car"/>
    <w:link w:val="Prrafodelista"/>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uiPriority w:val="99"/>
    <w:semiHidden/>
    <w:unhideWhenUsed/>
    <w:rsid w:val="00006AE2"/>
    <w:pPr>
      <w:spacing w:after="120" w:line="480" w:lineRule="auto"/>
    </w:pPr>
  </w:style>
  <w:style w:type="character" w:customStyle="1" w:styleId="Textoindependiente2Car">
    <w:name w:val="Texto independiente 2 Car"/>
    <w:link w:val="Textoindependiente2"/>
    <w:uiPriority w:val="99"/>
    <w:semiHidden/>
    <w:rsid w:val="00006AE2"/>
    <w:rPr>
      <w:sz w:val="24"/>
      <w:szCs w:val="24"/>
    </w:rPr>
  </w:style>
  <w:style w:type="paragraph" w:styleId="Descripcin">
    <w:name w:val="caption"/>
    <w:basedOn w:val="Normal"/>
    <w:next w:val="Normal"/>
    <w:uiPriority w:val="35"/>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uiPriority w:val="9"/>
    <w:semiHidden/>
    <w:rsid w:val="006B4647"/>
    <w:rPr>
      <w:rFonts w:ascii="Calibri" w:eastAsia="Times New Roman" w:hAnsi="Calibri" w:cs="Times New Roman"/>
      <w:sz w:val="24"/>
      <w:szCs w:val="24"/>
      <w:lang w:val="es-ES" w:eastAsia="es-ES"/>
    </w:rPr>
  </w:style>
  <w:style w:type="paragraph" w:styleId="Sangradetextonormal">
    <w:name w:val="Body Text Indent"/>
    <w:basedOn w:val="Normal"/>
    <w:link w:val="SangradetextonormalCar"/>
    <w:uiPriority w:val="99"/>
    <w:semiHidden/>
    <w:unhideWhenUsed/>
    <w:rsid w:val="00E01463"/>
    <w:pPr>
      <w:spacing w:after="120"/>
      <w:ind w:left="283"/>
    </w:pPr>
  </w:style>
  <w:style w:type="character" w:customStyle="1" w:styleId="SangradetextonormalCar">
    <w:name w:val="Sangría de texto normal Car"/>
    <w:link w:val="Sangradetextonormal"/>
    <w:uiPriority w:val="99"/>
    <w:semiHidden/>
    <w:rsid w:val="00E01463"/>
    <w:rPr>
      <w:sz w:val="24"/>
      <w:szCs w:val="24"/>
      <w:lang w:val="es-ES" w:eastAsia="es-ES"/>
    </w:rPr>
  </w:style>
  <w:style w:type="paragraph" w:customStyle="1" w:styleId="Vietaletra">
    <w:name w:val="Viñeta letra"/>
    <w:basedOn w:val="Normal"/>
    <w:next w:val="Normal"/>
    <w:rsid w:val="00E01463"/>
    <w:pPr>
      <w:numPr>
        <w:numId w:val="1"/>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E01463"/>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uiPriority w:val="99"/>
    <w:semiHidden/>
    <w:unhideWhenUsed/>
    <w:rsid w:val="00E060BE"/>
    <w:pPr>
      <w:spacing w:after="120" w:line="480" w:lineRule="auto"/>
      <w:ind w:left="283"/>
    </w:pPr>
  </w:style>
  <w:style w:type="character" w:customStyle="1" w:styleId="Sangra2detindependienteCar">
    <w:name w:val="Sangría 2 de t. independiente Car"/>
    <w:link w:val="Sangra2detindependiente"/>
    <w:uiPriority w:val="99"/>
    <w:semiHidden/>
    <w:rsid w:val="00E060BE"/>
    <w:rPr>
      <w:sz w:val="24"/>
      <w:szCs w:val="24"/>
      <w:lang w:val="es-ES" w:eastAsia="es-ES"/>
    </w:rPr>
  </w:style>
  <w:style w:type="paragraph" w:styleId="Lista">
    <w:name w:val="List"/>
    <w:basedOn w:val="Textoindependiente"/>
    <w:semiHidden/>
    <w:rsid w:val="00F76A7C"/>
    <w:pPr>
      <w:suppressAutoHyphens/>
      <w:spacing w:after="120"/>
      <w:ind w:left="0"/>
      <w:jc w:val="both"/>
    </w:pPr>
    <w:rPr>
      <w:rFonts w:cs="Tahoma"/>
      <w:b w:val="0"/>
      <w:bCs w:val="0"/>
      <w:sz w:val="22"/>
      <w:lang w:eastAsia="ar-SA"/>
    </w:rPr>
  </w:style>
  <w:style w:type="paragraph" w:styleId="Sangra3detindependiente">
    <w:name w:val="Body Text Indent 3"/>
    <w:basedOn w:val="Normal"/>
    <w:link w:val="Sangra3detindependienteCar"/>
    <w:uiPriority w:val="99"/>
    <w:semiHidden/>
    <w:unhideWhenUsed/>
    <w:rsid w:val="00B91B77"/>
    <w:pPr>
      <w:spacing w:after="120"/>
      <w:ind w:left="283"/>
    </w:pPr>
    <w:rPr>
      <w:sz w:val="16"/>
      <w:szCs w:val="16"/>
    </w:rPr>
  </w:style>
  <w:style w:type="character" w:customStyle="1" w:styleId="Sangra3detindependienteCar">
    <w:name w:val="Sangría 3 de t. independiente Car"/>
    <w:link w:val="Sangra3detindependiente"/>
    <w:uiPriority w:val="99"/>
    <w:semiHidden/>
    <w:rsid w:val="00B91B77"/>
    <w:rPr>
      <w:sz w:val="16"/>
      <w:szCs w:val="16"/>
      <w:lang w:val="es-ES" w:eastAsia="es-ES"/>
    </w:rPr>
  </w:style>
  <w:style w:type="paragraph" w:styleId="NormalWeb">
    <w:name w:val="Normal (Web)"/>
    <w:basedOn w:val="Normal"/>
    <w:uiPriority w:val="99"/>
    <w:semiHidden/>
    <w:rsid w:val="00B91B77"/>
    <w:pPr>
      <w:spacing w:before="100" w:beforeAutospacing="1" w:after="100" w:afterAutospacing="1"/>
      <w:ind w:left="0"/>
    </w:pPr>
    <w:rPr>
      <w:rFonts w:ascii="Arial Unicode MS" w:eastAsia="Arial Unicode MS" w:hAnsi="Arial Unicode MS" w:cs="Arial Unicode MS"/>
      <w:color w:val="000000"/>
    </w:rPr>
  </w:style>
  <w:style w:type="paragraph" w:customStyle="1" w:styleId="Textoindependiente21">
    <w:name w:val="Texto independiente 21"/>
    <w:basedOn w:val="Normal"/>
    <w:rsid w:val="00B91B77"/>
    <w:pPr>
      <w:ind w:left="0"/>
      <w:jc w:val="both"/>
    </w:pPr>
    <w:rPr>
      <w:rFonts w:ascii="Arial" w:hAnsi="Arial"/>
      <w:sz w:val="22"/>
      <w:szCs w:val="20"/>
      <w:lang w:val="es-CO"/>
    </w:rPr>
  </w:style>
  <w:style w:type="character" w:styleId="Refdecomentario">
    <w:name w:val="annotation reference"/>
    <w:uiPriority w:val="99"/>
    <w:semiHidden/>
    <w:unhideWhenUsed/>
    <w:rsid w:val="00471070"/>
    <w:rPr>
      <w:sz w:val="16"/>
      <w:szCs w:val="16"/>
    </w:rPr>
  </w:style>
  <w:style w:type="paragraph" w:styleId="Textocomentario">
    <w:name w:val="annotation text"/>
    <w:basedOn w:val="Normal"/>
    <w:link w:val="TextocomentarioCar"/>
    <w:uiPriority w:val="99"/>
    <w:semiHidden/>
    <w:unhideWhenUsed/>
    <w:rsid w:val="00471070"/>
    <w:rPr>
      <w:sz w:val="20"/>
      <w:szCs w:val="20"/>
    </w:rPr>
  </w:style>
  <w:style w:type="character" w:customStyle="1" w:styleId="TextocomentarioCar">
    <w:name w:val="Texto comentario Car"/>
    <w:link w:val="Textocomentario"/>
    <w:uiPriority w:val="99"/>
    <w:semiHidden/>
    <w:rsid w:val="00471070"/>
    <w:rPr>
      <w:lang w:val="es-ES" w:eastAsia="es-ES"/>
    </w:rPr>
  </w:style>
  <w:style w:type="paragraph" w:styleId="Asuntodelcomentario">
    <w:name w:val="annotation subject"/>
    <w:basedOn w:val="Textocomentario"/>
    <w:next w:val="Textocomentario"/>
    <w:link w:val="AsuntodelcomentarioCar"/>
    <w:uiPriority w:val="99"/>
    <w:semiHidden/>
    <w:unhideWhenUsed/>
    <w:rsid w:val="00471070"/>
    <w:rPr>
      <w:b/>
      <w:bCs/>
    </w:rPr>
  </w:style>
  <w:style w:type="character" w:customStyle="1" w:styleId="AsuntodelcomentarioCar">
    <w:name w:val="Asunto del comentario Car"/>
    <w:link w:val="Asuntodelcomentario"/>
    <w:uiPriority w:val="99"/>
    <w:semiHidden/>
    <w:rsid w:val="00471070"/>
    <w:rPr>
      <w:b/>
      <w:bCs/>
      <w:lang w:val="es-ES" w:eastAsia="es-ES"/>
    </w:rPr>
  </w:style>
  <w:style w:type="paragraph" w:styleId="Mapadeldocumento">
    <w:name w:val="Document Map"/>
    <w:basedOn w:val="Normal"/>
    <w:link w:val="MapadeldocumentoCar"/>
    <w:uiPriority w:val="99"/>
    <w:semiHidden/>
    <w:unhideWhenUsed/>
    <w:rsid w:val="006A629B"/>
    <w:rPr>
      <w:rFonts w:ascii="Tahoma" w:hAnsi="Tahoma" w:cs="Tahoma"/>
      <w:sz w:val="16"/>
      <w:szCs w:val="16"/>
    </w:rPr>
  </w:style>
  <w:style w:type="character" w:customStyle="1" w:styleId="MapadeldocumentoCar">
    <w:name w:val="Mapa del documento Car"/>
    <w:basedOn w:val="Fuentedeprrafopredeter"/>
    <w:link w:val="Mapadeldocumento"/>
    <w:uiPriority w:val="99"/>
    <w:semiHidden/>
    <w:rsid w:val="006A629B"/>
    <w:rPr>
      <w:rFonts w:ascii="Tahoma" w:hAnsi="Tahoma" w:cs="Tahoma"/>
      <w:sz w:val="16"/>
      <w:szCs w:val="16"/>
      <w:lang w:val="es-ES" w:eastAsia="es-ES"/>
    </w:rPr>
  </w:style>
  <w:style w:type="character" w:styleId="Textodelmarcadordeposicin">
    <w:name w:val="Placeholder Text"/>
    <w:basedOn w:val="Fuentedeprrafopredeter"/>
    <w:uiPriority w:val="99"/>
    <w:semiHidden/>
    <w:rsid w:val="0066789E"/>
    <w:rPr>
      <w:color w:val="808080"/>
    </w:rPr>
  </w:style>
  <w:style w:type="table" w:styleId="Tablanormal3">
    <w:name w:val="Plain Table 3"/>
    <w:basedOn w:val="Tablanormal"/>
    <w:uiPriority w:val="43"/>
    <w:rsid w:val="00855F4D"/>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Tablanormal4">
    <w:name w:val="Plain Table 4"/>
    <w:basedOn w:val="Tablanormal"/>
    <w:uiPriority w:val="44"/>
    <w:rsid w:val="00855F4D"/>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anormal1">
    <w:name w:val="Plain Table 1"/>
    <w:basedOn w:val="Tablanormal"/>
    <w:uiPriority w:val="41"/>
    <w:rsid w:val="002F33E9"/>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Cuadrculadetablaclara">
    <w:name w:val="Grid Table Light"/>
    <w:basedOn w:val="Tablanormal"/>
    <w:uiPriority w:val="40"/>
    <w:rsid w:val="002F33E9"/>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Artculo">
    <w:name w:val="Artículo"/>
    <w:basedOn w:val="Normal"/>
    <w:next w:val="articulo"/>
    <w:link w:val="ArtculoCar"/>
    <w:qFormat/>
    <w:rsid w:val="006149A8"/>
    <w:pPr>
      <w:numPr>
        <w:numId w:val="2"/>
      </w:numPr>
      <w:tabs>
        <w:tab w:val="left" w:pos="1701"/>
      </w:tabs>
      <w:spacing w:before="240" w:after="240"/>
      <w:jc w:val="both"/>
    </w:pPr>
    <w:rPr>
      <w:rFonts w:ascii="Bookman Old Style" w:hAnsi="Bookman Old Style" w:cs="Arial"/>
      <w:b/>
    </w:rPr>
  </w:style>
  <w:style w:type="character" w:customStyle="1" w:styleId="ArtculoCar">
    <w:name w:val="Artículo Car"/>
    <w:link w:val="Artculo"/>
    <w:rsid w:val="006149A8"/>
    <w:rPr>
      <w:rFonts w:ascii="Bookman Old Style" w:hAnsi="Bookman Old Style" w:cs="Arial"/>
      <w:b/>
      <w:sz w:val="24"/>
      <w:szCs w:val="24"/>
      <w:lang w:val="es-ES" w:eastAsia="es-ES"/>
    </w:rPr>
  </w:style>
  <w:style w:type="paragraph" w:styleId="Textonotapie">
    <w:name w:val="footnote text"/>
    <w:basedOn w:val="Normal"/>
    <w:link w:val="TextonotapieCar"/>
    <w:uiPriority w:val="99"/>
    <w:semiHidden/>
    <w:rsid w:val="006149A8"/>
    <w:pPr>
      <w:spacing w:before="160" w:after="160"/>
      <w:ind w:left="0"/>
      <w:jc w:val="both"/>
    </w:pPr>
    <w:rPr>
      <w:rFonts w:ascii="Arial" w:hAnsi="Arial"/>
      <w:sz w:val="22"/>
      <w:szCs w:val="20"/>
      <w:lang w:val="es-CO"/>
    </w:rPr>
  </w:style>
  <w:style w:type="character" w:customStyle="1" w:styleId="TextonotapieCar">
    <w:name w:val="Texto nota pie Car"/>
    <w:basedOn w:val="Fuentedeprrafopredeter"/>
    <w:link w:val="Textonotapie"/>
    <w:uiPriority w:val="99"/>
    <w:semiHidden/>
    <w:rsid w:val="006149A8"/>
    <w:rPr>
      <w:rFonts w:ascii="Arial" w:hAnsi="Arial"/>
      <w:sz w:val="22"/>
      <w:lang w:eastAsia="es-ES"/>
    </w:rPr>
  </w:style>
  <w:style w:type="paragraph" w:customStyle="1" w:styleId="articulo">
    <w:name w:val="articulo"/>
    <w:basedOn w:val="Normal"/>
    <w:next w:val="Normal"/>
    <w:autoRedefine/>
    <w:rsid w:val="00371004"/>
    <w:pPr>
      <w:suppressAutoHyphens/>
      <w:spacing w:before="240"/>
      <w:ind w:left="0"/>
      <w:jc w:val="both"/>
    </w:pPr>
    <w:rPr>
      <w:rFonts w:ascii="Bookman Old Style" w:hAnsi="Bookman Old Style" w:cs="Arial"/>
    </w:rPr>
  </w:style>
  <w:style w:type="character" w:styleId="Hipervnculo">
    <w:name w:val="Hyperlink"/>
    <w:basedOn w:val="Fuentedeprrafopredeter"/>
    <w:uiPriority w:val="99"/>
    <w:unhideWhenUsed/>
    <w:rsid w:val="00867FA5"/>
    <w:rPr>
      <w:color w:val="0000FF" w:themeColor="hyperlink"/>
      <w:u w:val="single"/>
    </w:rPr>
  </w:style>
  <w:style w:type="character" w:styleId="Refdenotaalpie">
    <w:name w:val="footnote reference"/>
    <w:basedOn w:val="Fuentedeprrafopredeter"/>
    <w:uiPriority w:val="99"/>
    <w:semiHidden/>
    <w:unhideWhenUsed/>
    <w:rsid w:val="006F74D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543334">
      <w:bodyDiv w:val="1"/>
      <w:marLeft w:val="0"/>
      <w:marRight w:val="0"/>
      <w:marTop w:val="0"/>
      <w:marBottom w:val="0"/>
      <w:divBdr>
        <w:top w:val="none" w:sz="0" w:space="0" w:color="auto"/>
        <w:left w:val="none" w:sz="0" w:space="0" w:color="auto"/>
        <w:bottom w:val="none" w:sz="0" w:space="0" w:color="auto"/>
        <w:right w:val="none" w:sz="0" w:space="0" w:color="auto"/>
      </w:divBdr>
    </w:div>
    <w:div w:id="442923938">
      <w:bodyDiv w:val="1"/>
      <w:marLeft w:val="0"/>
      <w:marRight w:val="0"/>
      <w:marTop w:val="0"/>
      <w:marBottom w:val="0"/>
      <w:divBdr>
        <w:top w:val="none" w:sz="0" w:space="0" w:color="auto"/>
        <w:left w:val="none" w:sz="0" w:space="0" w:color="auto"/>
        <w:bottom w:val="none" w:sz="0" w:space="0" w:color="auto"/>
        <w:right w:val="none" w:sz="0" w:space="0" w:color="auto"/>
      </w:divBdr>
    </w:div>
    <w:div w:id="1330475220">
      <w:bodyDiv w:val="1"/>
      <w:marLeft w:val="0"/>
      <w:marRight w:val="0"/>
      <w:marTop w:val="0"/>
      <w:marBottom w:val="0"/>
      <w:divBdr>
        <w:top w:val="none" w:sz="0" w:space="0" w:color="auto"/>
        <w:left w:val="none" w:sz="0" w:space="0" w:color="auto"/>
        <w:bottom w:val="none" w:sz="0" w:space="0" w:color="auto"/>
        <w:right w:val="none" w:sz="0" w:space="0" w:color="auto"/>
      </w:divBdr>
    </w:div>
    <w:div w:id="1373379469">
      <w:bodyDiv w:val="1"/>
      <w:marLeft w:val="0"/>
      <w:marRight w:val="0"/>
      <w:marTop w:val="0"/>
      <w:marBottom w:val="0"/>
      <w:divBdr>
        <w:top w:val="none" w:sz="0" w:space="0" w:color="auto"/>
        <w:left w:val="none" w:sz="0" w:space="0" w:color="auto"/>
        <w:bottom w:val="none" w:sz="0" w:space="0" w:color="auto"/>
        <w:right w:val="none" w:sz="0" w:space="0" w:color="auto"/>
      </w:divBdr>
    </w:div>
    <w:div w:id="1378433342">
      <w:bodyDiv w:val="1"/>
      <w:marLeft w:val="0"/>
      <w:marRight w:val="0"/>
      <w:marTop w:val="0"/>
      <w:marBottom w:val="0"/>
      <w:divBdr>
        <w:top w:val="none" w:sz="0" w:space="0" w:color="auto"/>
        <w:left w:val="none" w:sz="0" w:space="0" w:color="auto"/>
        <w:bottom w:val="none" w:sz="0" w:space="0" w:color="auto"/>
        <w:right w:val="none" w:sz="0" w:space="0" w:color="auto"/>
      </w:divBdr>
    </w:div>
    <w:div w:id="1581984772">
      <w:bodyDiv w:val="1"/>
      <w:marLeft w:val="0"/>
      <w:marRight w:val="0"/>
      <w:marTop w:val="0"/>
      <w:marBottom w:val="0"/>
      <w:divBdr>
        <w:top w:val="none" w:sz="0" w:space="0" w:color="auto"/>
        <w:left w:val="none" w:sz="0" w:space="0" w:color="auto"/>
        <w:bottom w:val="none" w:sz="0" w:space="0" w:color="auto"/>
        <w:right w:val="none" w:sz="0" w:space="0" w:color="auto"/>
      </w:divBdr>
    </w:div>
    <w:div w:id="2069954635">
      <w:bodyDiv w:val="1"/>
      <w:marLeft w:val="0"/>
      <w:marRight w:val="0"/>
      <w:marTop w:val="0"/>
      <w:marBottom w:val="0"/>
      <w:divBdr>
        <w:top w:val="none" w:sz="0" w:space="0" w:color="auto"/>
        <w:left w:val="none" w:sz="0" w:space="0" w:color="auto"/>
        <w:bottom w:val="none" w:sz="0" w:space="0" w:color="auto"/>
        <w:right w:val="none" w:sz="0" w:space="0" w:color="auto"/>
      </w:divBdr>
    </w:div>
    <w:div w:id="2130662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lexbase.biz/lexbase/normas/leyes/1994/L0142de1994.htm"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EF0D74-8DEB-4AC6-A606-96D2CD4E4C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0</TotalTime>
  <Pages>12</Pages>
  <Words>4876</Words>
  <Characters>25044</Characters>
  <Application>Microsoft Office Word</Application>
  <DocSecurity>0</DocSecurity>
  <Lines>208</Lines>
  <Paragraphs>59</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29861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dc:description/>
  <cp:lastModifiedBy>Luz Stella Rojas Macias</cp:lastModifiedBy>
  <cp:revision>2</cp:revision>
  <cp:lastPrinted>2019-09-04T15:57:00Z</cp:lastPrinted>
  <dcterms:created xsi:type="dcterms:W3CDTF">2019-09-18T15:34:00Z</dcterms:created>
  <dcterms:modified xsi:type="dcterms:W3CDTF">2019-09-18T15:34:00Z</dcterms:modified>
</cp:coreProperties>
</file>