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0B4E51" w:rsidRDefault="00A22B8C" w:rsidP="000B4E51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4656" fillcolor="#0c9">
            <v:imagedata r:id="rId9" o:title=""/>
          </v:shape>
          <o:OLEObject Type="Embed" ProgID="PBrush" ShapeID="_x0000_s1026" DrawAspect="Content" ObjectID="_1413701138" r:id="rId10"/>
        </w:pict>
      </w:r>
    </w:p>
    <w:p w:rsidR="00625DC6" w:rsidRPr="000B4E51" w:rsidRDefault="00625DC6" w:rsidP="000B4E51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0B4E51" w:rsidRDefault="00CA77FB" w:rsidP="000B4E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0B4E51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0B4E51" w:rsidRDefault="00CA77FB" w:rsidP="000B4E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0B4E51" w:rsidRDefault="00CA77FB" w:rsidP="000B4E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bookmarkStart w:id="1" w:name="_Toc309837936"/>
      <w:bookmarkStart w:id="2" w:name="_Toc310577358"/>
      <w:r w:rsidRPr="000B4E51">
        <w:rPr>
          <w:rFonts w:ascii="Bookman Old Style" w:hAnsi="Bookman Old Style" w:cs="Arial"/>
          <w:spacing w:val="20"/>
          <w:szCs w:val="24"/>
        </w:rPr>
        <w:t>COMISIÓN DE REGULACIÓN DE ENERGÍA Y GAS</w:t>
      </w:r>
      <w:bookmarkEnd w:id="1"/>
      <w:bookmarkEnd w:id="2"/>
    </w:p>
    <w:p w:rsidR="00CA77FB" w:rsidRPr="000B4E51" w:rsidRDefault="00CA77FB" w:rsidP="000B4E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0B4E51" w:rsidRDefault="00CA77FB" w:rsidP="000B4E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0B4E51" w:rsidRDefault="00CA77FB" w:rsidP="000B4E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0B4E51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0B4E51">
        <w:rPr>
          <w:rFonts w:ascii="Bookman Old Style" w:hAnsi="Bookman Old Style"/>
          <w:sz w:val="24"/>
          <w:szCs w:val="24"/>
        </w:rPr>
        <w:t xml:space="preserve">                  </w:t>
      </w:r>
      <w:r w:rsidRPr="000B4E51">
        <w:rPr>
          <w:rFonts w:ascii="Bookman Old Style" w:hAnsi="Bookman Old Style"/>
          <w:sz w:val="24"/>
          <w:szCs w:val="24"/>
        </w:rPr>
        <w:t>DE 20</w:t>
      </w:r>
      <w:r w:rsidR="00795BFB" w:rsidRPr="000B4E51">
        <w:rPr>
          <w:rFonts w:ascii="Bookman Old Style" w:hAnsi="Bookman Old Style"/>
          <w:sz w:val="24"/>
          <w:szCs w:val="24"/>
        </w:rPr>
        <w:t>1</w:t>
      </w:r>
      <w:r w:rsidR="00CF2809">
        <w:rPr>
          <w:rFonts w:ascii="Bookman Old Style" w:hAnsi="Bookman Old Style"/>
          <w:sz w:val="24"/>
          <w:szCs w:val="24"/>
        </w:rPr>
        <w:t>2</w:t>
      </w:r>
    </w:p>
    <w:p w:rsidR="00CA77FB" w:rsidRPr="000B4E51" w:rsidRDefault="00CA77FB" w:rsidP="000B4E51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0B4E51" w:rsidRDefault="00CA77FB" w:rsidP="000B4E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bookmarkStart w:id="3" w:name="_Toc309837937"/>
      <w:bookmarkStart w:id="4" w:name="_Toc310577359"/>
      <w:r w:rsidRPr="000B4E51">
        <w:rPr>
          <w:rFonts w:ascii="Bookman Old Style" w:hAnsi="Bookman Old Style"/>
          <w:b w:val="0"/>
          <w:szCs w:val="24"/>
        </w:rPr>
        <w:t>(                                  )</w:t>
      </w:r>
      <w:bookmarkEnd w:id="3"/>
      <w:bookmarkEnd w:id="4"/>
    </w:p>
    <w:p w:rsidR="00CA77FB" w:rsidRDefault="00CA77FB" w:rsidP="000B4E51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DF0F6F" w:rsidRDefault="00DF0F6F" w:rsidP="000B4E51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930457" w:rsidRDefault="00930457" w:rsidP="000B4E51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930457" w:rsidRDefault="00930457" w:rsidP="000B4E51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0B4E51" w:rsidRPr="000B4E51" w:rsidRDefault="00D301E5" w:rsidP="00AD02E6">
      <w:pPr>
        <w:ind w:left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Por la cual se </w:t>
      </w:r>
      <w:r w:rsidR="00D96AC5">
        <w:rPr>
          <w:rFonts w:ascii="Bookman Old Style" w:hAnsi="Bookman Old Style" w:cs="Arial"/>
        </w:rPr>
        <w:t xml:space="preserve">resuelve el recurso de reposición interpuesto por </w:t>
      </w:r>
      <w:r w:rsidR="00E42576">
        <w:rPr>
          <w:rFonts w:ascii="Bookman Old Style" w:hAnsi="Bookman Old Style" w:cs="Arial"/>
        </w:rPr>
        <w:t>CODENSA</w:t>
      </w:r>
      <w:r w:rsidR="008A0306">
        <w:rPr>
          <w:rFonts w:ascii="Bookman Old Style" w:hAnsi="Bookman Old Style" w:cs="Arial"/>
        </w:rPr>
        <w:t xml:space="preserve"> </w:t>
      </w:r>
      <w:r w:rsidR="00AD02E6" w:rsidRPr="00AD02E6">
        <w:rPr>
          <w:rFonts w:ascii="Bookman Old Style" w:hAnsi="Bookman Old Style" w:cs="Arial"/>
        </w:rPr>
        <w:t>S.A. E.S.P</w:t>
      </w:r>
      <w:r w:rsidR="000B4E51" w:rsidRPr="000B4E51">
        <w:rPr>
          <w:rFonts w:ascii="Bookman Old Style" w:hAnsi="Bookman Old Style" w:cs="Arial"/>
        </w:rPr>
        <w:t>.</w:t>
      </w:r>
      <w:r w:rsidR="00A973BB">
        <w:rPr>
          <w:rFonts w:ascii="Bookman Old Style" w:hAnsi="Bookman Old Style" w:cs="Arial"/>
        </w:rPr>
        <w:t xml:space="preserve"> </w:t>
      </w:r>
      <w:r w:rsidR="00D96AC5">
        <w:rPr>
          <w:rFonts w:ascii="Bookman Old Style" w:hAnsi="Bookman Old Style" w:cs="Arial"/>
        </w:rPr>
        <w:t xml:space="preserve">contra la </w:t>
      </w:r>
      <w:r w:rsidR="00A973BB">
        <w:rPr>
          <w:rFonts w:ascii="Bookman Old Style" w:hAnsi="Bookman Old Style" w:cs="Arial"/>
        </w:rPr>
        <w:t xml:space="preserve">Resolución CREG </w:t>
      </w:r>
      <w:r w:rsidR="00D96AC5">
        <w:rPr>
          <w:rFonts w:ascii="Bookman Old Style" w:hAnsi="Bookman Old Style" w:cs="Arial"/>
        </w:rPr>
        <w:t>060</w:t>
      </w:r>
      <w:r w:rsidR="00A973BB">
        <w:rPr>
          <w:rFonts w:ascii="Bookman Old Style" w:hAnsi="Bookman Old Style" w:cs="Arial"/>
        </w:rPr>
        <w:t xml:space="preserve"> de 20</w:t>
      </w:r>
      <w:r w:rsidR="00D96AC5">
        <w:rPr>
          <w:rFonts w:ascii="Bookman Old Style" w:hAnsi="Bookman Old Style" w:cs="Arial"/>
        </w:rPr>
        <w:t>12</w:t>
      </w:r>
      <w:r w:rsidR="00681008">
        <w:rPr>
          <w:rFonts w:ascii="Bookman Old Style" w:hAnsi="Bookman Old Style" w:cs="Arial"/>
        </w:rPr>
        <w:t>.</w:t>
      </w:r>
      <w:r w:rsidR="00A973BB">
        <w:rPr>
          <w:rFonts w:ascii="Bookman Old Style" w:hAnsi="Bookman Old Style" w:cs="Arial"/>
        </w:rPr>
        <w:t xml:space="preserve"> </w:t>
      </w: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Default="000B4E51" w:rsidP="000B4E51">
      <w:pPr>
        <w:ind w:left="0"/>
        <w:jc w:val="both"/>
        <w:rPr>
          <w:rFonts w:ascii="Bookman Old Style" w:hAnsi="Bookman Old Style"/>
          <w:b/>
        </w:rPr>
      </w:pPr>
      <w:bookmarkStart w:id="5" w:name="_Toc259626849"/>
    </w:p>
    <w:p w:rsidR="00FA4B01" w:rsidRPr="000B4E51" w:rsidRDefault="00FA4B01" w:rsidP="000B4E51">
      <w:pPr>
        <w:ind w:left="0"/>
        <w:jc w:val="both"/>
        <w:rPr>
          <w:rFonts w:ascii="Bookman Old Style" w:hAnsi="Bookman Old Style"/>
          <w:b/>
        </w:rPr>
      </w:pPr>
    </w:p>
    <w:p w:rsidR="000B4E51" w:rsidRPr="000B4E51" w:rsidRDefault="000B4E51" w:rsidP="00857A4A">
      <w:pPr>
        <w:ind w:left="0"/>
        <w:jc w:val="center"/>
        <w:rPr>
          <w:rFonts w:ascii="Bookman Old Style" w:hAnsi="Bookman Old Style"/>
          <w:b/>
        </w:rPr>
      </w:pPr>
      <w:r w:rsidRPr="000B4E51">
        <w:rPr>
          <w:rFonts w:ascii="Bookman Old Style" w:hAnsi="Bookman Old Style"/>
          <w:b/>
        </w:rPr>
        <w:t>LA COMISIÓN DE REGULACIÓN DE ENERGÍA Y GAS</w:t>
      </w:r>
      <w:bookmarkEnd w:id="5"/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  <w:r w:rsidRPr="000B4E51">
        <w:rPr>
          <w:rFonts w:ascii="Bookman Old Style" w:hAnsi="Bookman Old Style" w:cs="Arial"/>
        </w:rPr>
        <w:t>En ejercicio de las atribuciones legales, en especial las conferidas por las Leyes 142 y 143 de 1994, y los decretos 1524 y 2253 de 1994.</w:t>
      </w: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857A4A">
      <w:pPr>
        <w:ind w:left="0"/>
        <w:jc w:val="center"/>
        <w:rPr>
          <w:rFonts w:ascii="Bookman Old Style" w:hAnsi="Bookman Old Style" w:cs="Arial"/>
          <w:b/>
        </w:rPr>
      </w:pPr>
      <w:bookmarkStart w:id="6" w:name="_Toc259626850"/>
      <w:r w:rsidRPr="000B4E51">
        <w:rPr>
          <w:rFonts w:ascii="Bookman Old Style" w:hAnsi="Bookman Old Style"/>
          <w:b/>
        </w:rPr>
        <w:t>C O N S I D E R A N D O</w:t>
      </w:r>
      <w:r w:rsidRPr="000B4E51">
        <w:rPr>
          <w:rFonts w:ascii="Bookman Old Style" w:hAnsi="Bookman Old Style" w:cs="Arial"/>
          <w:b/>
        </w:rPr>
        <w:t>:</w:t>
      </w:r>
      <w:bookmarkEnd w:id="6"/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  <w:b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  <w:b/>
        </w:rPr>
      </w:pPr>
    </w:p>
    <w:p w:rsidR="00AD02E6" w:rsidRDefault="00AD02E6" w:rsidP="00AD02E6">
      <w:pPr>
        <w:ind w:left="0"/>
        <w:jc w:val="both"/>
        <w:rPr>
          <w:rFonts w:ascii="Bookman Old Style" w:hAnsi="Bookman Old Style"/>
        </w:rPr>
      </w:pPr>
      <w:r w:rsidRPr="00864DA9">
        <w:rPr>
          <w:rFonts w:ascii="Bookman Old Style" w:hAnsi="Bookman Old Style"/>
        </w:rPr>
        <w:t xml:space="preserve">Que la Comisión de Regulación de Energía y Gas, mediante la Resolución CREG </w:t>
      </w:r>
      <w:r>
        <w:rPr>
          <w:rFonts w:ascii="Bookman Old Style" w:hAnsi="Bookman Old Style"/>
        </w:rPr>
        <w:t>172</w:t>
      </w:r>
      <w:r w:rsidRPr="00864DA9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864DA9">
        <w:rPr>
          <w:rFonts w:ascii="Bookman Old Style" w:hAnsi="Bookman Old Style"/>
        </w:rPr>
        <w:t>, aprobó la metodología</w:t>
      </w:r>
      <w:r w:rsidR="00915F2A">
        <w:rPr>
          <w:rFonts w:ascii="Bookman Old Style" w:hAnsi="Bookman Old Style"/>
        </w:rPr>
        <w:t xml:space="preserve"> para la implementación de los p</w:t>
      </w:r>
      <w:r w:rsidRPr="00864DA9">
        <w:rPr>
          <w:rFonts w:ascii="Bookman Old Style" w:hAnsi="Bookman Old Style"/>
        </w:rPr>
        <w:t xml:space="preserve">lanes de reducción de pérdidas no técnicas en los Sistemas de Distribución Local, </w:t>
      </w:r>
      <w:r>
        <w:rPr>
          <w:rFonts w:ascii="Bookman Old Style" w:hAnsi="Bookman Old Style"/>
        </w:rPr>
        <w:t>incluyendo la meto</w:t>
      </w:r>
      <w:r w:rsidR="00D301E5">
        <w:rPr>
          <w:rFonts w:ascii="Bookman Old Style" w:hAnsi="Bookman Old Style"/>
        </w:rPr>
        <w:t>dología para la aprobación del Índice de Pérdidas de Nivel de T</w:t>
      </w:r>
      <w:r>
        <w:rPr>
          <w:rFonts w:ascii="Bookman Old Style" w:hAnsi="Bookman Old Style"/>
        </w:rPr>
        <w:t xml:space="preserve">ensión 1 </w:t>
      </w:r>
      <w:r w:rsidR="00D600E9">
        <w:rPr>
          <w:rFonts w:ascii="Bookman Old Style" w:hAnsi="Bookman Old Style"/>
        </w:rPr>
        <w:t>en todos los mercados de comercialización</w:t>
      </w:r>
      <w:r>
        <w:rPr>
          <w:rFonts w:ascii="Bookman Old Style" w:hAnsi="Bookman Old Style"/>
        </w:rPr>
        <w:t>;</w:t>
      </w:r>
    </w:p>
    <w:p w:rsidR="00AD02E6" w:rsidRPr="00AD02E6" w:rsidRDefault="00AD02E6" w:rsidP="00AD02E6">
      <w:pPr>
        <w:ind w:left="0"/>
        <w:jc w:val="both"/>
        <w:rPr>
          <w:rFonts w:ascii="Bookman Old Style" w:hAnsi="Bookman Old Style"/>
        </w:rPr>
      </w:pPr>
    </w:p>
    <w:p w:rsidR="004B3A0B" w:rsidRDefault="004B3A0B" w:rsidP="004B3A0B">
      <w:pPr>
        <w:ind w:left="0"/>
        <w:jc w:val="both"/>
        <w:rPr>
          <w:rFonts w:ascii="Bookman Old Style" w:hAnsi="Bookman Old Style"/>
        </w:rPr>
      </w:pPr>
      <w:r w:rsidRPr="00AD02E6">
        <w:rPr>
          <w:rFonts w:ascii="Bookman Old Style" w:hAnsi="Bookman Old Style"/>
        </w:rPr>
        <w:t xml:space="preserve">Que a través de la </w:t>
      </w:r>
      <w:r w:rsidRPr="00725BF6">
        <w:rPr>
          <w:rFonts w:ascii="Bookman Old Style" w:hAnsi="Bookman Old Style"/>
        </w:rPr>
        <w:t>Resolución CREG 100 de 2009, la Comisión aprobó el Costo Anual por el uso de los Activos del Nivel de Tensión 4 y los</w:t>
      </w:r>
      <w:r w:rsidRPr="00AD02E6">
        <w:rPr>
          <w:rFonts w:ascii="Bookman Old Style" w:hAnsi="Bookman Old Style"/>
        </w:rPr>
        <w:t xml:space="preserve"> Cargos Máximos de los Niveles de Tensión 3, 2 y 1 de los activos operados por </w:t>
      </w:r>
      <w:r>
        <w:rPr>
          <w:rFonts w:ascii="Bookman Old Style" w:hAnsi="Bookman Old Style" w:cs="Arial"/>
        </w:rPr>
        <w:t xml:space="preserve">CODENSA </w:t>
      </w:r>
      <w:r w:rsidRPr="00AD02E6">
        <w:rPr>
          <w:rFonts w:ascii="Bookman Old Style" w:hAnsi="Bookman Old Style" w:cs="Arial"/>
        </w:rPr>
        <w:t>S.A. E.S.P</w:t>
      </w:r>
      <w:r w:rsidRPr="000B4E51">
        <w:rPr>
          <w:rFonts w:ascii="Bookman Old Style" w:hAnsi="Bookman Old Style" w:cs="Arial"/>
        </w:rPr>
        <w:t>.</w:t>
      </w:r>
      <w:r w:rsidRPr="00AD02E6">
        <w:rPr>
          <w:rFonts w:ascii="Bookman Old Style" w:hAnsi="Bookman Old Style"/>
        </w:rPr>
        <w:t xml:space="preserve"> en el Sistema de Transmisión Regional (STR) y en el Sist</w:t>
      </w:r>
      <w:r>
        <w:rPr>
          <w:rFonts w:ascii="Bookman Old Style" w:hAnsi="Bookman Old Style"/>
        </w:rPr>
        <w:t>ema de Distribución Local (SDL);</w:t>
      </w:r>
    </w:p>
    <w:p w:rsidR="004B3A0B" w:rsidRDefault="004B3A0B" w:rsidP="004B3A0B">
      <w:pPr>
        <w:ind w:left="0"/>
        <w:jc w:val="both"/>
        <w:rPr>
          <w:rFonts w:ascii="Bookman Old Style" w:hAnsi="Bookman Old Style"/>
        </w:rPr>
      </w:pPr>
    </w:p>
    <w:p w:rsidR="004B3A0B" w:rsidRPr="000B4E51" w:rsidRDefault="00B53E42" w:rsidP="004B3A0B">
      <w:pPr>
        <w:ind w:left="0"/>
        <w:jc w:val="both"/>
        <w:rPr>
          <w:rFonts w:ascii="Bookman Old Style" w:hAnsi="Bookman Old Style" w:cs="Arial"/>
        </w:rPr>
      </w:pPr>
      <w:r w:rsidRPr="00B53E42">
        <w:rPr>
          <w:rFonts w:ascii="Bookman Old Style" w:hAnsi="Bookman Old Style"/>
        </w:rPr>
        <w:t xml:space="preserve">Que </w:t>
      </w:r>
      <w:r w:rsidR="004B3A0B">
        <w:rPr>
          <w:rFonts w:ascii="Bookman Old Style" w:hAnsi="Bookman Old Style"/>
        </w:rPr>
        <w:t xml:space="preserve">mediante la Resolución CREG 060 de 2012 se aprobó </w:t>
      </w:r>
      <w:r w:rsidR="004B3A0B">
        <w:rPr>
          <w:rFonts w:ascii="Bookman Old Style" w:hAnsi="Bookman Old Style" w:cs="Arial"/>
        </w:rPr>
        <w:t>el Í</w:t>
      </w:r>
      <w:r w:rsidR="004B3A0B" w:rsidRPr="00AD02E6">
        <w:rPr>
          <w:rFonts w:ascii="Bookman Old Style" w:hAnsi="Bookman Old Style" w:cs="Arial"/>
        </w:rPr>
        <w:t xml:space="preserve">ndice de </w:t>
      </w:r>
      <w:r w:rsidR="004B3A0B">
        <w:rPr>
          <w:rFonts w:ascii="Bookman Old Style" w:hAnsi="Bookman Old Style" w:cs="Arial"/>
        </w:rPr>
        <w:t>Pérdidas d</w:t>
      </w:r>
      <w:r w:rsidR="004B3A0B" w:rsidRPr="00AD02E6">
        <w:rPr>
          <w:rFonts w:ascii="Bookman Old Style" w:hAnsi="Bookman Old Style" w:cs="Arial"/>
        </w:rPr>
        <w:t xml:space="preserve">e </w:t>
      </w:r>
      <w:r w:rsidR="004B3A0B">
        <w:rPr>
          <w:rFonts w:ascii="Bookman Old Style" w:hAnsi="Bookman Old Style" w:cs="Arial"/>
        </w:rPr>
        <w:t>Nivel d</w:t>
      </w:r>
      <w:r w:rsidR="004B3A0B" w:rsidRPr="00AD02E6">
        <w:rPr>
          <w:rFonts w:ascii="Bookman Old Style" w:hAnsi="Bookman Old Style" w:cs="Arial"/>
        </w:rPr>
        <w:t xml:space="preserve">e </w:t>
      </w:r>
      <w:r w:rsidR="004B3A0B">
        <w:rPr>
          <w:rFonts w:ascii="Bookman Old Style" w:hAnsi="Bookman Old Style" w:cs="Arial"/>
        </w:rPr>
        <w:t>T</w:t>
      </w:r>
      <w:r w:rsidR="004B3A0B" w:rsidRPr="00AD02E6">
        <w:rPr>
          <w:rFonts w:ascii="Bookman Old Style" w:hAnsi="Bookman Old Style" w:cs="Arial"/>
        </w:rPr>
        <w:t>ensión 1 a</w:t>
      </w:r>
      <w:r w:rsidR="004B3A0B">
        <w:rPr>
          <w:rFonts w:ascii="Bookman Old Style" w:hAnsi="Bookman Old Style" w:cs="Arial"/>
        </w:rPr>
        <w:t xml:space="preserve"> CODENSA </w:t>
      </w:r>
      <w:r w:rsidR="004B3A0B" w:rsidRPr="00AD02E6">
        <w:rPr>
          <w:rFonts w:ascii="Bookman Old Style" w:hAnsi="Bookman Old Style" w:cs="Arial"/>
        </w:rPr>
        <w:t>S.A. E.S.P</w:t>
      </w:r>
      <w:r w:rsidR="004B3A0B" w:rsidRPr="000B4E51">
        <w:rPr>
          <w:rFonts w:ascii="Bookman Old Style" w:hAnsi="Bookman Old Style" w:cs="Arial"/>
        </w:rPr>
        <w:t>.</w:t>
      </w:r>
      <w:r w:rsidR="004B3A0B">
        <w:rPr>
          <w:rFonts w:ascii="Bookman Old Style" w:hAnsi="Bookman Old Style" w:cs="Arial"/>
        </w:rPr>
        <w:t xml:space="preserve"> y se modificó </w:t>
      </w:r>
      <w:r w:rsidR="00CB5B0A">
        <w:rPr>
          <w:rFonts w:ascii="Bookman Old Style" w:hAnsi="Bookman Old Style" w:cs="Arial"/>
        </w:rPr>
        <w:t xml:space="preserve">en lo pertinente </w:t>
      </w:r>
      <w:r w:rsidR="004B3A0B">
        <w:rPr>
          <w:rFonts w:ascii="Bookman Old Style" w:hAnsi="Bookman Old Style" w:cs="Arial"/>
        </w:rPr>
        <w:t xml:space="preserve">la Resolución CREG 100 de 2009;  </w:t>
      </w:r>
    </w:p>
    <w:p w:rsidR="004B3A0B" w:rsidRDefault="004B3A0B" w:rsidP="00B53E42">
      <w:pPr>
        <w:ind w:left="0"/>
        <w:jc w:val="both"/>
        <w:rPr>
          <w:rFonts w:ascii="Bookman Old Style" w:hAnsi="Bookman Old Style"/>
        </w:rPr>
      </w:pPr>
    </w:p>
    <w:p w:rsidR="00681008" w:rsidRDefault="004B3A0B" w:rsidP="00AD02E6">
      <w:pPr>
        <w:ind w:left="0"/>
        <w:jc w:val="both"/>
        <w:rPr>
          <w:rFonts w:ascii="Bookman Old Style" w:hAnsi="Bookman Old Style" w:cs="Arial"/>
        </w:rPr>
      </w:pPr>
      <w:r w:rsidRPr="004B3A0B">
        <w:rPr>
          <w:rFonts w:ascii="Bookman Old Style" w:hAnsi="Bookman Old Style"/>
        </w:rPr>
        <w:t xml:space="preserve">Que mediante comunicación </w:t>
      </w:r>
      <w:r>
        <w:rPr>
          <w:rFonts w:ascii="Bookman Old Style" w:hAnsi="Bookman Old Style"/>
        </w:rPr>
        <w:t>radicada en la CREG bajo el número E</w:t>
      </w:r>
      <w:r w:rsidR="00681008">
        <w:rPr>
          <w:rFonts w:ascii="Bookman Old Style" w:hAnsi="Bookman Old Style"/>
        </w:rPr>
        <w:noBreakHyphen/>
      </w:r>
      <w:r>
        <w:rPr>
          <w:rFonts w:ascii="Bookman Old Style" w:hAnsi="Bookman Old Style"/>
        </w:rPr>
        <w:t>2012</w:t>
      </w:r>
      <w:r w:rsidR="00681008">
        <w:rPr>
          <w:rFonts w:ascii="Bookman Old Style" w:hAnsi="Bookman Old Style"/>
        </w:rPr>
        <w:noBreakHyphen/>
      </w:r>
      <w:r>
        <w:rPr>
          <w:rFonts w:ascii="Bookman Old Style" w:hAnsi="Bookman Old Style"/>
        </w:rPr>
        <w:t xml:space="preserve">08473 del 4 de septiembre de 2012, </w:t>
      </w:r>
      <w:r>
        <w:rPr>
          <w:rFonts w:ascii="Bookman Old Style" w:hAnsi="Bookman Old Style" w:cs="Arial"/>
        </w:rPr>
        <w:t xml:space="preserve">CODENSA </w:t>
      </w:r>
      <w:r w:rsidRPr="00AD02E6">
        <w:rPr>
          <w:rFonts w:ascii="Bookman Old Style" w:hAnsi="Bookman Old Style" w:cs="Arial"/>
        </w:rPr>
        <w:t>S.A. E.S.P</w:t>
      </w:r>
      <w:r w:rsidRPr="000B4E51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 xml:space="preserve"> interpuso Recurso de Reposición contra la Resolución CREG 060 de 2012</w:t>
      </w:r>
      <w:r w:rsidR="00681008">
        <w:rPr>
          <w:rFonts w:ascii="Bookman Old Style" w:hAnsi="Bookman Old Style" w:cs="Arial"/>
        </w:rPr>
        <w:t>;</w:t>
      </w:r>
    </w:p>
    <w:p w:rsidR="00681008" w:rsidRDefault="00681008" w:rsidP="00AD02E6">
      <w:pPr>
        <w:ind w:left="0"/>
        <w:jc w:val="both"/>
        <w:rPr>
          <w:rFonts w:ascii="Bookman Old Style" w:hAnsi="Bookman Old Style" w:cs="Arial"/>
        </w:rPr>
      </w:pPr>
    </w:p>
    <w:p w:rsidR="00681008" w:rsidRDefault="00CB5B0A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</w:rPr>
        <w:t>A</w:t>
      </w:r>
      <w:r w:rsidR="00681008">
        <w:rPr>
          <w:rFonts w:ascii="Bookman Old Style" w:hAnsi="Bookman Old Style" w:cs="Arial"/>
        </w:rPr>
        <w:t xml:space="preserve"> continuación se transcribe la sustentación y la petición del Recurso de reposición </w:t>
      </w:r>
      <w:r w:rsidR="00681008">
        <w:rPr>
          <w:rFonts w:ascii="Bookman Old Style" w:hAnsi="Bookman Old Style"/>
        </w:rPr>
        <w:t xml:space="preserve">presentado: </w:t>
      </w:r>
    </w:p>
    <w:p w:rsidR="005C6002" w:rsidRDefault="00681008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C6002" w:rsidRPr="00681008" w:rsidRDefault="00681008" w:rsidP="00681008">
      <w:pPr>
        <w:ind w:right="567"/>
        <w:jc w:val="center"/>
        <w:rPr>
          <w:rFonts w:ascii="Bookman Old Style" w:hAnsi="Bookman Old Style"/>
          <w:b/>
          <w:i/>
          <w:sz w:val="22"/>
        </w:rPr>
      </w:pPr>
      <w:r w:rsidRPr="00681008">
        <w:rPr>
          <w:rFonts w:ascii="Bookman Old Style" w:hAnsi="Bookman Old Style"/>
          <w:b/>
          <w:i/>
          <w:sz w:val="22"/>
        </w:rPr>
        <w:lastRenderedPageBreak/>
        <w:t>1. SUSTENTACIÓN:</w:t>
      </w:r>
    </w:p>
    <w:p w:rsidR="00E36F93" w:rsidRDefault="00E36F93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 xml:space="preserve">El documento CREG 027 de 25 de junio de 2012, presenta el análisis de la información y los cálculos remitidos por CODENSA SA., sin embargo, notamos que existen diferencias en el tratamiento de la energía relacionada con el circuito </w:t>
      </w:r>
      <w:proofErr w:type="spellStart"/>
      <w:r w:rsidRPr="005C6002">
        <w:rPr>
          <w:rFonts w:ascii="Bookman Old Style" w:hAnsi="Bookman Old Style"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. En particular, observamos que a diferencia de la solicitud de Codensa, la Comisión considera la energía del circuito como Energía Útil de Codensa. A continuación, analizamos los elementos por los cuales consideramos que es necesario revisar el tratamiento de la energía del circuito </w:t>
      </w:r>
      <w:proofErr w:type="spellStart"/>
      <w:r w:rsidRPr="005C6002">
        <w:rPr>
          <w:rFonts w:ascii="Bookman Old Style" w:hAnsi="Bookman Old Style"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 en el balance de energía: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b/>
          <w:i/>
          <w:sz w:val="22"/>
        </w:rPr>
      </w:pPr>
      <w:r w:rsidRPr="005C6002">
        <w:rPr>
          <w:rFonts w:ascii="Bookman Old Style" w:hAnsi="Bookman Old Style"/>
          <w:b/>
          <w:i/>
          <w:sz w:val="22"/>
        </w:rPr>
        <w:t xml:space="preserve">Activos de uso y Activos de conexión en el circuito </w:t>
      </w:r>
      <w:proofErr w:type="spellStart"/>
      <w:r w:rsidRPr="005C6002">
        <w:rPr>
          <w:rFonts w:ascii="Bookman Old Style" w:hAnsi="Bookman Old Style"/>
          <w:b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b/>
          <w:i/>
          <w:sz w:val="22"/>
        </w:rPr>
        <w:t>: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  <w:u w:val="single"/>
        </w:rPr>
      </w:pPr>
      <w:r w:rsidRPr="005C6002">
        <w:rPr>
          <w:rFonts w:ascii="Bookman Old Style" w:hAnsi="Bookman Old Style"/>
          <w:i/>
          <w:sz w:val="22"/>
        </w:rPr>
        <w:t>La Resolución CREG 097 de 2008 definió la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metodología de remuneración de la Distribución diferenciando claramente los activos de uso y los activos de conexión. La resolución definió los activos de Uso de STR y SDL como aquellos activos de transporte de electricidad que operan a tensiones inferiores a 220 </w:t>
      </w:r>
      <w:proofErr w:type="spellStart"/>
      <w:r w:rsidRPr="005C6002">
        <w:rPr>
          <w:rFonts w:ascii="Bookman Old Style" w:hAnsi="Bookman Old Style"/>
          <w:i/>
          <w:sz w:val="22"/>
        </w:rPr>
        <w:t>kV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, se clasifican en UC, </w:t>
      </w:r>
      <w:r w:rsidRPr="005C6002">
        <w:rPr>
          <w:rFonts w:ascii="Bookman Old Style" w:hAnsi="Bookman Old Style"/>
          <w:i/>
          <w:sz w:val="22"/>
          <w:u w:val="single"/>
        </w:rPr>
        <w:t>no son Activos de Conexión y son remunerados mediante Cargos por Uso de STR o SDL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Por otra parte, los Activos de Conexión a un STR o a un SDL están definidos en la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r</w:t>
      </w:r>
      <w:r>
        <w:rPr>
          <w:rFonts w:ascii="Bookman Old Style" w:hAnsi="Bookman Old Style"/>
          <w:i/>
          <w:sz w:val="22"/>
        </w:rPr>
        <w:t xml:space="preserve">esolución </w:t>
      </w:r>
      <w:r w:rsidRPr="005C6002">
        <w:rPr>
          <w:rFonts w:ascii="Bookman Old Style" w:hAnsi="Bookman Old Style"/>
          <w:i/>
          <w:sz w:val="22"/>
        </w:rPr>
        <w:t>mencionada como los bienes que se requieren para que un Operador</w:t>
      </w:r>
      <w:r>
        <w:rPr>
          <w:rFonts w:ascii="Bookman Old Style" w:hAnsi="Bookman Old Style"/>
          <w:i/>
          <w:sz w:val="22"/>
        </w:rPr>
        <w:t xml:space="preserve"> de red </w:t>
      </w:r>
      <w:r w:rsidRPr="005C6002">
        <w:rPr>
          <w:rFonts w:ascii="Bookman Old Style" w:hAnsi="Bookman Old Style"/>
          <w:i/>
          <w:sz w:val="22"/>
        </w:rPr>
        <w:t>se conecte físicamente a un Sistema de Transmisión Regional o a un</w:t>
      </w:r>
      <w:r>
        <w:rPr>
          <w:rFonts w:ascii="Bookman Old Style" w:hAnsi="Bookman Old Style"/>
          <w:i/>
          <w:sz w:val="22"/>
        </w:rPr>
        <w:t xml:space="preserve"> sistema </w:t>
      </w:r>
      <w:r w:rsidRPr="005C6002">
        <w:rPr>
          <w:rFonts w:ascii="Bookman Old Style" w:hAnsi="Bookman Old Style"/>
          <w:i/>
          <w:sz w:val="22"/>
        </w:rPr>
        <w:t>de Distribución Local de otro OR. También son Activos de Conexión los</w:t>
      </w:r>
      <w:r>
        <w:rPr>
          <w:rFonts w:ascii="Bookman Old Style" w:hAnsi="Bookman Old Style"/>
          <w:i/>
          <w:sz w:val="22"/>
        </w:rPr>
        <w:t xml:space="preserve"> utilizados </w:t>
      </w:r>
      <w:r w:rsidRPr="005C6002">
        <w:rPr>
          <w:rFonts w:ascii="Bookman Old Style" w:hAnsi="Bookman Old Style"/>
          <w:i/>
          <w:sz w:val="22"/>
        </w:rPr>
        <w:t>exclusivamente por un usuario final para conectarse a los Niveles de</w:t>
      </w:r>
      <w:r>
        <w:rPr>
          <w:rFonts w:ascii="Bookman Old Style" w:hAnsi="Bookman Old Style"/>
          <w:i/>
          <w:sz w:val="22"/>
        </w:rPr>
        <w:t xml:space="preserve"> tensión </w:t>
      </w:r>
      <w:r w:rsidRPr="005C6002">
        <w:rPr>
          <w:rFonts w:ascii="Bookman Old Style" w:hAnsi="Bookman Old Style"/>
          <w:i/>
          <w:sz w:val="22"/>
        </w:rPr>
        <w:t xml:space="preserve">4 3, 2 ó 1. Así mismo, Activos de Conexión del OR al STN </w:t>
      </w:r>
      <w:r w:rsidRPr="005C6002">
        <w:rPr>
          <w:rFonts w:ascii="Bookman Old Style" w:hAnsi="Bookman Old Style"/>
          <w:i/>
          <w:sz w:val="22"/>
          <w:u w:val="single"/>
        </w:rPr>
        <w:t>son los bienes que se requieren para que un Operador de Red se conecte físicamente al Sistema de Transmisión Nacional</w:t>
      </w:r>
      <w:r w:rsidRPr="005C6002">
        <w:rPr>
          <w:rFonts w:ascii="Bookman Old Style" w:hAnsi="Bookman Old Style"/>
          <w:i/>
          <w:sz w:val="22"/>
        </w:rPr>
        <w:t>.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Para efectos de remuneración de activos, se consideran como Activos de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Conexión del OR al STN las siguientes UC: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•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La Bahía de Transformador con tensión mayor o igual a 220 </w:t>
      </w:r>
      <w:proofErr w:type="spellStart"/>
      <w:r w:rsidRPr="005C6002">
        <w:rPr>
          <w:rFonts w:ascii="Bookman Old Style" w:hAnsi="Bookman Old Style"/>
          <w:i/>
          <w:sz w:val="22"/>
        </w:rPr>
        <w:t>kV</w:t>
      </w:r>
      <w:proofErr w:type="spellEnd"/>
      <w:r w:rsidRPr="005C6002">
        <w:rPr>
          <w:rFonts w:ascii="Bookman Old Style" w:hAnsi="Bookman Old Style"/>
          <w:i/>
          <w:sz w:val="22"/>
        </w:rPr>
        <w:t>,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•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El Transformador con una tensión primaria mayor o igual a 220 </w:t>
      </w:r>
      <w:proofErr w:type="spellStart"/>
      <w:r w:rsidRPr="005C6002">
        <w:rPr>
          <w:rFonts w:ascii="Bookman Old Style" w:hAnsi="Bookman Old Style"/>
          <w:i/>
          <w:sz w:val="22"/>
        </w:rPr>
        <w:t>kV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 y,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secundaria o terciaria, cualquier tensión inferior a 220 </w:t>
      </w:r>
      <w:proofErr w:type="spellStart"/>
      <w:r w:rsidRPr="005C6002">
        <w:rPr>
          <w:rFonts w:ascii="Bookman Old Style" w:hAnsi="Bookman Old Style"/>
          <w:i/>
          <w:sz w:val="22"/>
        </w:rPr>
        <w:t>kV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 y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•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Las Bahías de Transformador de los lados de baja tensión.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En consecuencia, se concluye que la metodología de remuneración vigente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diferencia los activos de uso, de aquellos activos considerados de conexión. En el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caso en estudio, Codensa es el propietario de la infraestructura mediante la cual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la EEC se conecta al SIN en la Subestación La Guaca. EEC paga a Codensa un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cargo de conexión establecido en el contrato 7169 de 1996 vigente, y no paga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cargos por uso por la energía que circula por estos activos. Así, estos activos son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remunerados vía cargos de conexión y no deben afectar el cálculo de los cargos</w:t>
      </w:r>
      <w:r>
        <w:rPr>
          <w:rFonts w:ascii="Bookman Old Style" w:hAnsi="Bookman Old Style"/>
          <w:i/>
          <w:sz w:val="22"/>
        </w:rPr>
        <w:t xml:space="preserve"> p</w:t>
      </w:r>
      <w:r w:rsidRPr="005C6002">
        <w:rPr>
          <w:rFonts w:ascii="Bookman Old Style" w:hAnsi="Bookman Old Style"/>
          <w:i/>
          <w:sz w:val="22"/>
        </w:rPr>
        <w:t>or uso.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Balances de Energía: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A continuación, se compara el balance propuesto por la CREG en la Resolución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060 de 2012 donde se considera al Circuito de </w:t>
      </w:r>
      <w:proofErr w:type="spellStart"/>
      <w:r w:rsidRPr="005C6002">
        <w:rPr>
          <w:rFonts w:ascii="Bookman Old Style" w:hAnsi="Bookman Old Style"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 como ventas de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Energía, versus el caso en que se descuentan de las ventas la energía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correspondiente a </w:t>
      </w:r>
      <w:proofErr w:type="spellStart"/>
      <w:r w:rsidRPr="005C6002">
        <w:rPr>
          <w:rFonts w:ascii="Bookman Old Style" w:hAnsi="Bookman Old Style"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i/>
          <w:sz w:val="22"/>
        </w:rPr>
        <w:t>.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(…)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b/>
          <w:i/>
          <w:sz w:val="22"/>
        </w:rPr>
      </w:pPr>
      <w:r w:rsidRPr="005C6002">
        <w:rPr>
          <w:rFonts w:ascii="Bookman Old Style" w:hAnsi="Bookman Old Style"/>
          <w:b/>
          <w:i/>
          <w:sz w:val="22"/>
        </w:rPr>
        <w:t>Recuperación de la inversión en activos de Uso y en Activos de Conexión.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lastRenderedPageBreak/>
        <w:t>En el balance que hace parte de la solicitud de remuneración de pérdidas de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energía, Codensa ha considerado ajustar las energías del circuito </w:t>
      </w:r>
      <w:proofErr w:type="spellStart"/>
      <w:r w:rsidRPr="005C6002">
        <w:rPr>
          <w:rFonts w:ascii="Bookman Old Style" w:hAnsi="Bookman Old Style"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i/>
          <w:sz w:val="22"/>
        </w:rPr>
        <w:t>, de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tal manera que la energía útil del balance considere únicamente la energía que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paga cargos por uso. De no hacerse este ajuste, se afecta la remuneración de los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activos como se expone a continuación.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E</w:t>
      </w:r>
      <w:r w:rsidRPr="005C6002">
        <w:rPr>
          <w:rFonts w:ascii="Bookman Old Style" w:hAnsi="Bookman Old Style"/>
          <w:i/>
          <w:sz w:val="22"/>
        </w:rPr>
        <w:t>n la resolución CREG 097/08 se definen los cargos pos uso de la siguiente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manera: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left="1134" w:right="992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"</w:t>
      </w:r>
      <w:r w:rsidRPr="005C6002">
        <w:rPr>
          <w:rFonts w:ascii="Bookman Old Style" w:hAnsi="Bookman Old Style"/>
          <w:b/>
          <w:i/>
          <w:sz w:val="22"/>
        </w:rPr>
        <w:t>Cargos por Uso</w:t>
      </w:r>
      <w:r w:rsidRPr="005C6002">
        <w:rPr>
          <w:rFonts w:ascii="Bookman Old Style" w:hAnsi="Bookman Old Style"/>
          <w:i/>
          <w:sz w:val="22"/>
        </w:rPr>
        <w:t>: cargos, expresados en $/</w:t>
      </w:r>
      <w:proofErr w:type="spellStart"/>
      <w:r w:rsidRPr="005C6002">
        <w:rPr>
          <w:rFonts w:ascii="Bookman Old Style" w:hAnsi="Bookman Old Style"/>
          <w:i/>
          <w:sz w:val="22"/>
        </w:rPr>
        <w:t>kWh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 acumulados para cada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Nivel de Tensión, </w:t>
      </w:r>
      <w:r w:rsidRPr="005C6002">
        <w:rPr>
          <w:rFonts w:ascii="Bookman Old Style" w:hAnsi="Bookman Old Style"/>
          <w:i/>
          <w:sz w:val="22"/>
          <w:u w:val="single"/>
        </w:rPr>
        <w:t>que remuneran a un OR los Activos de Uso de los SDL y STR</w:t>
      </w:r>
      <w:r w:rsidRPr="005C6002">
        <w:rPr>
          <w:rFonts w:ascii="Bookman Old Style" w:hAnsi="Bookman Old Style"/>
          <w:i/>
          <w:sz w:val="22"/>
        </w:rPr>
        <w:t>. Para los Niveles de Tensión 1, 2y3 son cargos máximos</w:t>
      </w:r>
      <w:r>
        <w:rPr>
          <w:rFonts w:ascii="Bookman Old Style" w:hAnsi="Bookman Old Style"/>
          <w:i/>
          <w:sz w:val="22"/>
        </w:rPr>
        <w:t>”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Para expresar estos cargos de manera unitaria ($/</w:t>
      </w:r>
      <w:proofErr w:type="spellStart"/>
      <w:r w:rsidRPr="005C6002">
        <w:rPr>
          <w:rFonts w:ascii="Bookman Old Style" w:hAnsi="Bookman Old Style"/>
          <w:i/>
          <w:sz w:val="22"/>
        </w:rPr>
        <w:t>kWh</w:t>
      </w:r>
      <w:proofErr w:type="spellEnd"/>
      <w:r w:rsidRPr="005C6002">
        <w:rPr>
          <w:rFonts w:ascii="Bookman Old Style" w:hAnsi="Bookman Old Style"/>
          <w:i/>
          <w:sz w:val="22"/>
        </w:rPr>
        <w:t>) se dividen las inversiones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por la energía útil, siguiendo los principios de la metodología de Price </w:t>
      </w:r>
      <w:proofErr w:type="spellStart"/>
      <w:r w:rsidRPr="005C6002">
        <w:rPr>
          <w:rFonts w:ascii="Bookman Old Style" w:hAnsi="Bookman Old Style"/>
          <w:i/>
          <w:sz w:val="22"/>
        </w:rPr>
        <w:t>cap</w:t>
      </w:r>
      <w:proofErr w:type="spellEnd"/>
      <w:r w:rsidRPr="005C6002">
        <w:rPr>
          <w:rFonts w:ascii="Bookman Old Style" w:hAnsi="Bookman Old Style"/>
          <w:i/>
          <w:sz w:val="22"/>
        </w:rPr>
        <w:t>: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left="1134" w:right="992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“</w:t>
      </w:r>
      <w:r w:rsidRPr="005C6002">
        <w:rPr>
          <w:rFonts w:ascii="Bookman Old Style" w:hAnsi="Bookman Old Style"/>
          <w:b/>
          <w:i/>
          <w:sz w:val="22"/>
        </w:rPr>
        <w:t xml:space="preserve">Metodología de Precio Máximo (Price </w:t>
      </w:r>
      <w:proofErr w:type="spellStart"/>
      <w:r w:rsidRPr="005C6002">
        <w:rPr>
          <w:rFonts w:ascii="Bookman Old Style" w:hAnsi="Bookman Old Style"/>
          <w:b/>
          <w:i/>
          <w:sz w:val="22"/>
        </w:rPr>
        <w:t>Cap</w:t>
      </w:r>
      <w:proofErr w:type="spellEnd"/>
      <w:r w:rsidRPr="005C6002">
        <w:rPr>
          <w:rFonts w:ascii="Bookman Old Style" w:hAnsi="Bookman Old Style"/>
          <w:b/>
          <w:i/>
          <w:sz w:val="22"/>
        </w:rPr>
        <w:t>)</w:t>
      </w:r>
      <w:r w:rsidRPr="005C6002">
        <w:rPr>
          <w:rFonts w:ascii="Bookman Old Style" w:hAnsi="Bookman Old Style"/>
          <w:i/>
          <w:sz w:val="22"/>
        </w:rPr>
        <w:t>. Metodología de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remuneración mediante la cual la Comisión aprueba, para cada Operador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de Red, los cargos máximos </w:t>
      </w:r>
      <w:r w:rsidRPr="005C6002">
        <w:rPr>
          <w:rFonts w:ascii="Bookman Old Style" w:hAnsi="Bookman Old Style"/>
          <w:i/>
          <w:sz w:val="22"/>
          <w:u w:val="single"/>
        </w:rPr>
        <w:t>por unidad de energía transportada en los Niveles de Tensión 1 2 y 3 de su sistema</w:t>
      </w:r>
      <w:r w:rsidRPr="005C6002">
        <w:rPr>
          <w:rFonts w:ascii="Bookman Old Style" w:hAnsi="Bookman Old Style"/>
          <w:i/>
          <w:sz w:val="22"/>
        </w:rPr>
        <w:t>.</w:t>
      </w:r>
      <w:r>
        <w:rPr>
          <w:rFonts w:ascii="Bookman Old Style" w:hAnsi="Bookman Old Style"/>
          <w:i/>
          <w:sz w:val="22"/>
        </w:rPr>
        <w:t>”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Se desprende de lo anterior, que para que se remuneren adecuadamente los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activos a través de los cargos por uso, la energía transportada que se usa para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establecer los cargos debe corresponder con la energía que paga cargos por uso.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De otro modo si las energías útiles con las cuales se expresa el cargo de manera</w:t>
      </w:r>
      <w:r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unitaria difieren de la energía que paga cargos por uso, dichos cargos no</w:t>
      </w:r>
      <w:r>
        <w:rPr>
          <w:rFonts w:ascii="Bookman Old Style" w:hAnsi="Bookman Old Style"/>
          <w:i/>
          <w:sz w:val="22"/>
        </w:rPr>
        <w:t xml:space="preserve"> r</w:t>
      </w:r>
      <w:r w:rsidRPr="005C6002">
        <w:rPr>
          <w:rFonts w:ascii="Bookman Old Style" w:hAnsi="Bookman Old Style"/>
          <w:i/>
          <w:sz w:val="22"/>
        </w:rPr>
        <w:t>ecuperarán las inversiones reconocidas.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Para ilustrar la manera como se afectan los balances de energía y los cargos,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proofErr w:type="gramStart"/>
      <w:r>
        <w:rPr>
          <w:rFonts w:ascii="Bookman Old Style" w:hAnsi="Bookman Old Style"/>
          <w:i/>
          <w:sz w:val="22"/>
        </w:rPr>
        <w:t>c</w:t>
      </w:r>
      <w:r w:rsidRPr="005C6002">
        <w:rPr>
          <w:rFonts w:ascii="Bookman Old Style" w:hAnsi="Bookman Old Style"/>
          <w:i/>
          <w:sz w:val="22"/>
        </w:rPr>
        <w:t>onsideremos</w:t>
      </w:r>
      <w:proofErr w:type="gramEnd"/>
      <w:r w:rsidRPr="005C6002">
        <w:rPr>
          <w:rFonts w:ascii="Bookman Old Style" w:hAnsi="Bookman Old Style"/>
          <w:i/>
          <w:sz w:val="22"/>
        </w:rPr>
        <w:t xml:space="preserve"> que el SIN como un sistema </w:t>
      </w:r>
      <w:proofErr w:type="spellStart"/>
      <w:r w:rsidRPr="005C6002">
        <w:rPr>
          <w:rFonts w:ascii="Bookman Old Style" w:hAnsi="Bookman Old Style"/>
          <w:i/>
          <w:sz w:val="22"/>
        </w:rPr>
        <w:t>uninodal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 al que se conecta el Circuito</w:t>
      </w:r>
      <w:r>
        <w:rPr>
          <w:rFonts w:ascii="Bookman Old Style" w:hAnsi="Bookman Old Style"/>
          <w:i/>
          <w:sz w:val="22"/>
        </w:rPr>
        <w:t xml:space="preserve"> </w:t>
      </w:r>
      <w:proofErr w:type="spellStart"/>
      <w:r w:rsidRPr="005C6002">
        <w:rPr>
          <w:rFonts w:ascii="Bookman Old Style" w:hAnsi="Bookman Old Style"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i/>
          <w:sz w:val="22"/>
        </w:rPr>
        <w:t xml:space="preserve"> de EEC.</w:t>
      </w: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Default="00681008" w:rsidP="005C6002">
      <w:pPr>
        <w:ind w:right="567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Gráfico 1 (…)</w:t>
      </w:r>
    </w:p>
    <w:p w:rsidR="00681008" w:rsidRDefault="00681008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E</w:t>
      </w:r>
      <w:r w:rsidR="00681008">
        <w:rPr>
          <w:rFonts w:ascii="Bookman Old Style" w:hAnsi="Bookman Old Style"/>
          <w:i/>
          <w:sz w:val="22"/>
        </w:rPr>
        <w:t>n</w:t>
      </w:r>
      <w:r w:rsidRPr="005C6002">
        <w:rPr>
          <w:rFonts w:ascii="Bookman Old Style" w:hAnsi="Bookman Old Style"/>
          <w:i/>
          <w:sz w:val="22"/>
        </w:rPr>
        <w:t xml:space="preserve"> el diagrama, EEC remunera con el cargo de conexión el transformador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230/34.5, con lo cual Codensa como propietario del activo recupera esa porción de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 xml:space="preserve">la inversión. Por otro lado, EEC como operador del circuito </w:t>
      </w:r>
      <w:proofErr w:type="spellStart"/>
      <w:r w:rsidRPr="005C6002">
        <w:rPr>
          <w:rFonts w:ascii="Bookman Old Style" w:hAnsi="Bookman Old Style"/>
          <w:i/>
          <w:sz w:val="22"/>
        </w:rPr>
        <w:t>Anapoima</w:t>
      </w:r>
      <w:proofErr w:type="spellEnd"/>
      <w:r w:rsidRPr="005C6002">
        <w:rPr>
          <w:rFonts w:ascii="Bookman Old Style" w:hAnsi="Bookman Old Style"/>
          <w:i/>
          <w:sz w:val="22"/>
        </w:rPr>
        <w:t>, recupera la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inversión correspondiente al circuito a través de los cargos por uso que factura a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sus clientes. Finalmente, la infraestructura de 34,5 KV de Codensa se recupera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dé los cargos facturados en ese nivel. Sin embargo, Codensa no factura cargos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p</w:t>
      </w:r>
      <w:r w:rsidR="00681008">
        <w:rPr>
          <w:rFonts w:ascii="Bookman Old Style" w:hAnsi="Bookman Old Style"/>
          <w:i/>
          <w:sz w:val="22"/>
        </w:rPr>
        <w:t>o</w:t>
      </w:r>
      <w:r w:rsidRPr="005C6002">
        <w:rPr>
          <w:rFonts w:ascii="Bookman Old Style" w:hAnsi="Bookman Old Style"/>
          <w:i/>
          <w:sz w:val="22"/>
        </w:rPr>
        <w:t>r uso a la EEC pues se tiene establecido un contrato de conexión, con lo cual no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es posible considerar como ventas de energía de Codensa las salidas hacia la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EEC.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Lo anterior significa para Codensa un impacto negativo de 54 mil millones de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pesos correspondientes a los peajes en NT3 dejados de percibir por cargos de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uso.</w:t>
      </w:r>
    </w:p>
    <w:p w:rsidR="005C6002" w:rsidRP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5C6002" w:rsidRDefault="005C6002" w:rsidP="005C6002">
      <w:pPr>
        <w:ind w:right="567"/>
        <w:jc w:val="both"/>
        <w:rPr>
          <w:rFonts w:ascii="Bookman Old Style" w:hAnsi="Bookman Old Style"/>
          <w:i/>
          <w:sz w:val="22"/>
        </w:rPr>
      </w:pPr>
      <w:r w:rsidRPr="005C6002">
        <w:rPr>
          <w:rFonts w:ascii="Bookman Old Style" w:hAnsi="Bookman Old Style"/>
          <w:i/>
          <w:sz w:val="22"/>
        </w:rPr>
        <w:t>Por lo anterior, solicitamos no considerar en el balance, la energía de este circuito</w:t>
      </w:r>
      <w:r w:rsidR="00681008">
        <w:rPr>
          <w:rFonts w:ascii="Bookman Old Style" w:hAnsi="Bookman Old Style"/>
          <w:i/>
          <w:sz w:val="22"/>
        </w:rPr>
        <w:t xml:space="preserve"> </w:t>
      </w:r>
      <w:r w:rsidRPr="005C6002">
        <w:rPr>
          <w:rFonts w:ascii="Bookman Old Style" w:hAnsi="Bookman Old Style"/>
          <w:i/>
          <w:sz w:val="22"/>
        </w:rPr>
        <w:t>como una venta efectiva.</w:t>
      </w:r>
    </w:p>
    <w:p w:rsidR="00681008" w:rsidRDefault="00681008" w:rsidP="005C6002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b/>
          <w:i/>
          <w:sz w:val="22"/>
        </w:rPr>
      </w:pPr>
      <w:r w:rsidRPr="00681008">
        <w:rPr>
          <w:rFonts w:ascii="Bookman Old Style" w:hAnsi="Bookman Old Style"/>
          <w:b/>
          <w:i/>
          <w:sz w:val="22"/>
        </w:rPr>
        <w:t>Resolución de cargos Codensa (R. CREG 100)</w:t>
      </w: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  <w:r w:rsidRPr="00681008">
        <w:rPr>
          <w:rFonts w:ascii="Bookman Old Style" w:hAnsi="Bookman Old Style"/>
          <w:i/>
          <w:sz w:val="22"/>
        </w:rPr>
        <w:t>En el documento de la solicitud de cargos, informamos que dado que la frontera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 xml:space="preserve">EEC está conectada directamente al STN, ésta energía no entra al </w:t>
      </w:r>
      <w:r w:rsidRPr="00681008">
        <w:rPr>
          <w:rFonts w:ascii="Bookman Old Style" w:hAnsi="Bookman Old Style"/>
          <w:i/>
          <w:sz w:val="22"/>
        </w:rPr>
        <w:lastRenderedPageBreak/>
        <w:t>sistema de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Codensa, como se observa en el unifilar de la subestación La Guaca:</w:t>
      </w:r>
    </w:p>
    <w:p w:rsid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  <w:r>
        <w:rPr>
          <w:rFonts w:ascii="Bookman Old Style" w:hAnsi="Bookman Old Style"/>
          <w:i/>
          <w:sz w:val="22"/>
        </w:rPr>
        <w:t>Gráfico 2 (…)</w:t>
      </w:r>
    </w:p>
    <w:p w:rsidR="00930457" w:rsidRDefault="00930457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7E5C38" w:rsidRDefault="007E5C38" w:rsidP="007E5C38">
      <w:pPr>
        <w:ind w:right="567"/>
        <w:jc w:val="center"/>
        <w:rPr>
          <w:rFonts w:ascii="Bookman Old Style" w:hAnsi="Bookman Old Style"/>
          <w:i/>
          <w:sz w:val="22"/>
        </w:rPr>
      </w:pPr>
      <w:r w:rsidRPr="007E5C38">
        <w:rPr>
          <w:noProof/>
          <w:lang w:val="es-CO" w:eastAsia="es-CO"/>
        </w:rPr>
        <w:drawing>
          <wp:inline distT="0" distB="0" distL="0" distR="0" wp14:anchorId="073535A5" wp14:editId="1F579C70">
            <wp:extent cx="3848100" cy="377987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6495" t="8967" r="25608" b="15761"/>
                    <a:stretch/>
                  </pic:blipFill>
                  <pic:spPr bwMode="auto">
                    <a:xfrm>
                      <a:off x="0" y="0"/>
                      <a:ext cx="3850890" cy="3782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C38" w:rsidRDefault="007E5C38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  <w:r w:rsidRPr="00681008">
        <w:rPr>
          <w:rFonts w:ascii="Bookman Old Style" w:hAnsi="Bookman Old Style"/>
          <w:i/>
          <w:sz w:val="22"/>
        </w:rPr>
        <w:t>Considerando que este circuito no paga peaje sino cargo de conexión definido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mediante un contrato entre las partes, en la solicitud de cargos de distribución bajo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la resolución CREG 097 de 20078 aclaramos que para eliminar la energía de</w:t>
      </w:r>
      <w:r>
        <w:rPr>
          <w:rFonts w:ascii="Bookman Old Style" w:hAnsi="Bookman Old Style"/>
          <w:i/>
          <w:sz w:val="22"/>
        </w:rPr>
        <w:t xml:space="preserve"> </w:t>
      </w:r>
      <w:proofErr w:type="spellStart"/>
      <w:r w:rsidRPr="00681008">
        <w:rPr>
          <w:rFonts w:ascii="Bookman Old Style" w:hAnsi="Bookman Old Style"/>
          <w:i/>
          <w:sz w:val="22"/>
        </w:rPr>
        <w:t>Anapoima</w:t>
      </w:r>
      <w:proofErr w:type="spellEnd"/>
      <w:r w:rsidRPr="00681008">
        <w:rPr>
          <w:rFonts w:ascii="Bookman Old Style" w:hAnsi="Bookman Old Style"/>
          <w:i/>
          <w:sz w:val="22"/>
        </w:rPr>
        <w:t xml:space="preserve"> del cálculo del balance energético, se excluyó la energía relacionada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con este circuito.</w:t>
      </w: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  <w:r w:rsidRPr="00681008">
        <w:rPr>
          <w:rFonts w:ascii="Bookman Old Style" w:hAnsi="Bookman Old Style"/>
          <w:i/>
          <w:sz w:val="22"/>
        </w:rPr>
        <w:t>Luego de las aclaraciones realizadas por CODENSA, En el documento de trabajo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dé CRE</w:t>
      </w:r>
      <w:r>
        <w:rPr>
          <w:rFonts w:ascii="Bookman Old Style" w:hAnsi="Bookman Old Style"/>
          <w:i/>
          <w:sz w:val="22"/>
        </w:rPr>
        <w:t>G</w:t>
      </w:r>
      <w:r w:rsidRPr="00681008">
        <w:rPr>
          <w:rFonts w:ascii="Bookman Old Style" w:hAnsi="Bookman Old Style"/>
          <w:i/>
          <w:sz w:val="22"/>
        </w:rPr>
        <w:t xml:space="preserve"> 079 de Costos y Cargos por Uso de los activos operados por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Codensa (Soporte de la Resolución CREO 100), la Comisión, en la sección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pérdidas de nivel de tensión 3 informó que realizó los ajustes solicitados por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 xml:space="preserve">CODENSA, es decir, excluyó la energía relacionada con </w:t>
      </w:r>
      <w:proofErr w:type="spellStart"/>
      <w:r w:rsidRPr="00681008">
        <w:rPr>
          <w:rFonts w:ascii="Bookman Old Style" w:hAnsi="Bookman Old Style"/>
          <w:i/>
          <w:sz w:val="22"/>
        </w:rPr>
        <w:t>Anapoima</w:t>
      </w:r>
      <w:proofErr w:type="spellEnd"/>
      <w:r w:rsidRPr="00681008">
        <w:rPr>
          <w:rFonts w:ascii="Bookman Old Style" w:hAnsi="Bookman Old Style"/>
          <w:i/>
          <w:sz w:val="22"/>
        </w:rPr>
        <w:t xml:space="preserve"> en el nivel de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tensión 3. Lo anterior se corrobora en el anexo 3 de</w:t>
      </w:r>
      <w:r>
        <w:rPr>
          <w:rFonts w:ascii="Bookman Old Style" w:hAnsi="Bookman Old Style"/>
          <w:i/>
          <w:sz w:val="22"/>
        </w:rPr>
        <w:t>l</w:t>
      </w:r>
      <w:r w:rsidRPr="00681008">
        <w:rPr>
          <w:rFonts w:ascii="Bookman Old Style" w:hAnsi="Bookman Old Style"/>
          <w:i/>
          <w:sz w:val="22"/>
        </w:rPr>
        <w:t xml:space="preserve"> documento de trabajo CREG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en donde la CREG informa que:</w:t>
      </w: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Pr="00681008" w:rsidRDefault="00681008" w:rsidP="00681008">
      <w:pPr>
        <w:ind w:left="1134" w:right="992"/>
        <w:jc w:val="both"/>
        <w:rPr>
          <w:rFonts w:ascii="Bookman Old Style" w:hAnsi="Bookman Old Style"/>
          <w:i/>
          <w:sz w:val="22"/>
        </w:rPr>
      </w:pPr>
      <w:r w:rsidRPr="00681008">
        <w:rPr>
          <w:rFonts w:ascii="Bookman Old Style" w:hAnsi="Bookman Old Style"/>
          <w:i/>
          <w:sz w:val="22"/>
        </w:rPr>
        <w:t>"La frontera IEEC5001 corresponde a energía que entra al mercado de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Empresa de energía de Cundinamarca S.A ESP a través de un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trasformador conectado al STN, por tanto se considera una entrada de STN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al sistema de Cundinamarca y no se considera como energía que circula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por el sistema de Codensa."</w:t>
      </w: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Pr="00681008" w:rsidRDefault="00681008" w:rsidP="00681008">
      <w:pPr>
        <w:ind w:right="567"/>
        <w:jc w:val="center"/>
        <w:rPr>
          <w:rFonts w:ascii="Bookman Old Style" w:hAnsi="Bookman Old Style"/>
          <w:b/>
          <w:i/>
          <w:sz w:val="22"/>
        </w:rPr>
      </w:pPr>
      <w:r w:rsidRPr="00681008">
        <w:rPr>
          <w:rFonts w:ascii="Bookman Old Style" w:hAnsi="Bookman Old Style"/>
          <w:b/>
          <w:i/>
          <w:sz w:val="22"/>
        </w:rPr>
        <w:t>4. PETICIÓN</w:t>
      </w:r>
    </w:p>
    <w:p w:rsidR="00681008" w:rsidRP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</w:p>
    <w:p w:rsidR="00681008" w:rsidRDefault="00681008" w:rsidP="00681008">
      <w:pPr>
        <w:ind w:right="567"/>
        <w:jc w:val="both"/>
        <w:rPr>
          <w:rFonts w:ascii="Bookman Old Style" w:hAnsi="Bookman Old Style"/>
          <w:i/>
          <w:sz w:val="22"/>
        </w:rPr>
      </w:pPr>
      <w:r w:rsidRPr="00681008">
        <w:rPr>
          <w:rFonts w:ascii="Bookman Old Style" w:hAnsi="Bookman Old Style"/>
          <w:i/>
          <w:sz w:val="22"/>
        </w:rPr>
        <w:t>Con base en lo anteriormente expuesto, de manera atenta se solicita se revoque,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modif</w:t>
      </w:r>
      <w:r>
        <w:rPr>
          <w:rFonts w:ascii="Bookman Old Style" w:hAnsi="Bookman Old Style"/>
          <w:i/>
          <w:sz w:val="22"/>
        </w:rPr>
        <w:t>i</w:t>
      </w:r>
      <w:r w:rsidRPr="00681008">
        <w:rPr>
          <w:rFonts w:ascii="Bookman Old Style" w:hAnsi="Bookman Old Style"/>
          <w:i/>
          <w:sz w:val="22"/>
        </w:rPr>
        <w:t>que o adicione la resolución CREG 060 de 2012 y, en su lugar, se disponga</w:t>
      </w:r>
      <w:r>
        <w:rPr>
          <w:rFonts w:ascii="Bookman Old Style" w:hAnsi="Bookman Old Style"/>
          <w:i/>
          <w:sz w:val="22"/>
        </w:rPr>
        <w:t xml:space="preserve"> </w:t>
      </w:r>
      <w:r w:rsidRPr="00681008">
        <w:rPr>
          <w:rFonts w:ascii="Bookman Old Style" w:hAnsi="Bookman Old Style"/>
          <w:i/>
          <w:sz w:val="22"/>
        </w:rPr>
        <w:t>la corrección del balance de energía cuyas pérdidas de baja tensión son 10,01%</w:t>
      </w:r>
    </w:p>
    <w:p w:rsidR="004B3A0B" w:rsidRPr="00717B3F" w:rsidRDefault="004B3A0B" w:rsidP="00AD02E6">
      <w:pPr>
        <w:ind w:left="0"/>
        <w:jc w:val="both"/>
        <w:rPr>
          <w:rFonts w:ascii="Bookman Old Style" w:hAnsi="Bookman Old Style"/>
        </w:rPr>
      </w:pPr>
    </w:p>
    <w:p w:rsidR="00E36F93" w:rsidRDefault="00E36F93" w:rsidP="00AD02E6">
      <w:pPr>
        <w:ind w:left="0"/>
        <w:jc w:val="both"/>
        <w:rPr>
          <w:rFonts w:ascii="Bookman Old Style" w:hAnsi="Bookman Old Style"/>
          <w:b/>
        </w:rPr>
      </w:pPr>
    </w:p>
    <w:p w:rsidR="00681008" w:rsidRPr="00717B3F" w:rsidRDefault="00717B3F" w:rsidP="00AD02E6">
      <w:pPr>
        <w:ind w:left="0"/>
        <w:jc w:val="both"/>
        <w:rPr>
          <w:rFonts w:ascii="Bookman Old Style" w:hAnsi="Bookman Old Style"/>
          <w:b/>
        </w:rPr>
      </w:pPr>
      <w:r w:rsidRPr="00717B3F">
        <w:rPr>
          <w:rFonts w:ascii="Bookman Old Style" w:hAnsi="Bookman Old Style"/>
          <w:b/>
        </w:rPr>
        <w:lastRenderedPageBreak/>
        <w:t xml:space="preserve">Análisis de la CREG </w:t>
      </w:r>
    </w:p>
    <w:p w:rsidR="0099322C" w:rsidRDefault="0099322C" w:rsidP="00AD02E6">
      <w:pPr>
        <w:ind w:left="0"/>
        <w:jc w:val="both"/>
        <w:rPr>
          <w:rFonts w:ascii="Bookman Old Style" w:hAnsi="Bookman Old Style"/>
        </w:rPr>
      </w:pPr>
    </w:p>
    <w:p w:rsidR="00717B3F" w:rsidRDefault="00717B3F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 primer lugar se señala que l</w:t>
      </w:r>
      <w:r w:rsidRPr="00717B3F">
        <w:rPr>
          <w:rFonts w:ascii="Bookman Old Style" w:hAnsi="Bookman Old Style"/>
        </w:rPr>
        <w:t xml:space="preserve">os índices </w:t>
      </w:r>
      <w:r>
        <w:rPr>
          <w:rFonts w:ascii="Bookman Old Style" w:hAnsi="Bookman Old Style"/>
        </w:rPr>
        <w:t>aprobados en la resolución CREG 060 de 2012 son el resultado de la aplicación de la metodología establecida en la Resolución CREG 172 de 2011, en la cual</w:t>
      </w:r>
      <w:r w:rsidR="007E5C3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para definir </w:t>
      </w:r>
      <w:r w:rsidR="007E5C38">
        <w:rPr>
          <w:rFonts w:ascii="Bookman Old Style" w:hAnsi="Bookman Old Style"/>
        </w:rPr>
        <w:t xml:space="preserve">la energía de entrada a nivel de tensión 1 y con base en este valor definir </w:t>
      </w:r>
      <w:r>
        <w:rPr>
          <w:rFonts w:ascii="Bookman Old Style" w:hAnsi="Bookman Old Style"/>
        </w:rPr>
        <w:t xml:space="preserve">el índice de pérdidas de </w:t>
      </w:r>
      <w:r w:rsidR="007E5C38">
        <w:rPr>
          <w:rFonts w:ascii="Bookman Old Style" w:hAnsi="Bookman Old Style"/>
        </w:rPr>
        <w:t xml:space="preserve">este </w:t>
      </w:r>
      <w:r>
        <w:rPr>
          <w:rFonts w:ascii="Bookman Old Style" w:hAnsi="Bookman Old Style"/>
        </w:rPr>
        <w:t>nivel</w:t>
      </w:r>
      <w:r w:rsidR="007E5C3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se hace un balance entre la energía de entrada y la energía de salida en cada nivel de tensión </w:t>
      </w:r>
      <w:r w:rsidR="007E5C38">
        <w:rPr>
          <w:rFonts w:ascii="Bookman Old Style" w:hAnsi="Bookman Old Style"/>
        </w:rPr>
        <w:t xml:space="preserve">del </w:t>
      </w:r>
      <w:r>
        <w:rPr>
          <w:rFonts w:ascii="Bookman Old Style" w:hAnsi="Bookman Old Style"/>
        </w:rPr>
        <w:t>sistema del O</w:t>
      </w:r>
      <w:r w:rsidR="007E5C38">
        <w:rPr>
          <w:rFonts w:ascii="Bookman Old Style" w:hAnsi="Bookman Old Style"/>
        </w:rPr>
        <w:t>R comenzando desde los niveles superiores</w:t>
      </w:r>
      <w:r>
        <w:rPr>
          <w:rFonts w:ascii="Bookman Old Style" w:hAnsi="Bookman Old Style"/>
        </w:rPr>
        <w:t>.</w:t>
      </w:r>
    </w:p>
    <w:p w:rsidR="00717B3F" w:rsidRDefault="00717B3F" w:rsidP="00AD02E6">
      <w:pPr>
        <w:ind w:left="0"/>
        <w:jc w:val="both"/>
        <w:rPr>
          <w:rFonts w:ascii="Bookman Old Style" w:hAnsi="Bookman Old Style"/>
        </w:rPr>
      </w:pPr>
    </w:p>
    <w:p w:rsidR="007E5C38" w:rsidRDefault="007E5C38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 el balance se deben considerar todas las entradas y todas las salidas, de tal forma que la energía de entrada a un nivel de tensión debe ser igual a la suma de las ventas a usuarios, las salidas a otros OR, las salidas al STN, las pérdidas reconocidas y la energía hacia niveles de tensión inferiores del OR.</w:t>
      </w:r>
    </w:p>
    <w:p w:rsidR="007E5C38" w:rsidRDefault="007E5C38" w:rsidP="00AD02E6">
      <w:pPr>
        <w:ind w:left="0"/>
        <w:jc w:val="both"/>
        <w:rPr>
          <w:rFonts w:ascii="Bookman Old Style" w:hAnsi="Bookman Old Style"/>
        </w:rPr>
      </w:pPr>
    </w:p>
    <w:p w:rsidR="003E2E9E" w:rsidRDefault="007E5C38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la </w:t>
      </w:r>
      <w:r w:rsidR="006D5FC7">
        <w:rPr>
          <w:rFonts w:ascii="Bookman Old Style" w:hAnsi="Bookman Old Style"/>
        </w:rPr>
        <w:t>subestación la Guaca</w:t>
      </w:r>
      <w:r w:rsidR="00F9009F">
        <w:rPr>
          <w:rFonts w:ascii="Bookman Old Style" w:hAnsi="Bookman Old Style"/>
        </w:rPr>
        <w:t>,</w:t>
      </w:r>
      <w:r w:rsidR="006D5FC7">
        <w:rPr>
          <w:rFonts w:ascii="Bookman Old Style" w:hAnsi="Bookman Old Style"/>
        </w:rPr>
        <w:t xml:space="preserve"> </w:t>
      </w:r>
      <w:r w:rsidR="003E2E9E">
        <w:rPr>
          <w:rFonts w:ascii="Bookman Old Style" w:hAnsi="Bookman Old Style"/>
        </w:rPr>
        <w:t xml:space="preserve">mediante </w:t>
      </w:r>
      <w:r w:rsidR="0099322C">
        <w:rPr>
          <w:rFonts w:ascii="Bookman Old Style" w:hAnsi="Bookman Old Style"/>
        </w:rPr>
        <w:t xml:space="preserve">la frontera IEEB1139 asociada </w:t>
      </w:r>
      <w:r w:rsidR="006D5FC7">
        <w:rPr>
          <w:rFonts w:ascii="Bookman Old Style" w:hAnsi="Bookman Old Style"/>
        </w:rPr>
        <w:t xml:space="preserve">al transformador 230/34.5 </w:t>
      </w:r>
      <w:proofErr w:type="spellStart"/>
      <w:r w:rsidR="006D5FC7">
        <w:rPr>
          <w:rFonts w:ascii="Bookman Old Style" w:hAnsi="Bookman Old Style"/>
        </w:rPr>
        <w:t>kV</w:t>
      </w:r>
      <w:proofErr w:type="spellEnd"/>
      <w:r w:rsidR="003B0FC7">
        <w:rPr>
          <w:rFonts w:ascii="Bookman Old Style" w:hAnsi="Bookman Old Style"/>
        </w:rPr>
        <w:t>,</w:t>
      </w:r>
      <w:r w:rsidR="00F9009F">
        <w:rPr>
          <w:rFonts w:ascii="Bookman Old Style" w:hAnsi="Bookman Old Style"/>
        </w:rPr>
        <w:t xml:space="preserve"> que en el diagrama unifilar corresponde al medidor C1, </w:t>
      </w:r>
      <w:r w:rsidR="0099322C">
        <w:rPr>
          <w:rFonts w:ascii="Bookman Old Style" w:hAnsi="Bookman Old Style"/>
        </w:rPr>
        <w:t>se registra la energía de entrada del STN al nivel de tensión 3 de</w:t>
      </w:r>
      <w:r w:rsidR="00F9009F">
        <w:rPr>
          <w:rFonts w:ascii="Bookman Old Style" w:hAnsi="Bookman Old Style"/>
        </w:rPr>
        <w:t xml:space="preserve"> esta subestación. Esta energía incluye la que posteriormente se entrega al sistema de Cundinamarca y que se registra en la frontera IEEC5001, que en el diagrama unifilar corresponde al medidor C5</w:t>
      </w:r>
      <w:r w:rsidR="003E2E9E">
        <w:rPr>
          <w:rFonts w:ascii="Bookman Old Style" w:hAnsi="Bookman Old Style"/>
        </w:rPr>
        <w:t xml:space="preserve">. </w:t>
      </w:r>
    </w:p>
    <w:p w:rsidR="003E2E9E" w:rsidRDefault="003E2E9E" w:rsidP="00AD02E6">
      <w:pPr>
        <w:ind w:left="0"/>
        <w:jc w:val="both"/>
        <w:rPr>
          <w:rFonts w:ascii="Bookman Old Style" w:hAnsi="Bookman Old Style"/>
        </w:rPr>
      </w:pPr>
    </w:p>
    <w:p w:rsidR="007F6132" w:rsidRDefault="00792971" w:rsidP="007B4F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acuerdo con lo expresado por el OR en la sustentación del recurso</w:t>
      </w:r>
      <w:r w:rsidR="007B4FE6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la energía de la frontera IEEC5001 no debe ser considerada como una salida</w:t>
      </w:r>
      <w:r w:rsidR="007F613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ya  que </w:t>
      </w:r>
      <w:r w:rsidR="007B4FE6">
        <w:rPr>
          <w:rFonts w:ascii="Bookman Old Style" w:hAnsi="Bookman Old Style"/>
        </w:rPr>
        <w:t>é</w:t>
      </w:r>
      <w:r>
        <w:rPr>
          <w:rFonts w:ascii="Bookman Old Style" w:hAnsi="Bookman Old Style"/>
        </w:rPr>
        <w:t xml:space="preserve">sta no </w:t>
      </w:r>
      <w:r w:rsidR="007B4FE6">
        <w:rPr>
          <w:rFonts w:ascii="Bookman Old Style" w:hAnsi="Bookman Old Style"/>
        </w:rPr>
        <w:t xml:space="preserve">paga peaje al entenderse conectada directamente al STN. </w:t>
      </w:r>
    </w:p>
    <w:p w:rsidR="007F6132" w:rsidRDefault="007F6132" w:rsidP="007B4FE6">
      <w:pPr>
        <w:ind w:left="0"/>
        <w:jc w:val="both"/>
        <w:rPr>
          <w:rFonts w:ascii="Bookman Old Style" w:hAnsi="Bookman Old Style"/>
        </w:rPr>
      </w:pPr>
    </w:p>
    <w:p w:rsidR="001206E5" w:rsidRDefault="001206E5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Una vez revisada la aprobación de cargos de distribución se encuentra que el transformador 230/34.5 de 40 MVA de la Subestación La Guaca se solicitó y se reconoció en un 80% para Codensa y un 20% para la EEC. </w:t>
      </w:r>
    </w:p>
    <w:p w:rsidR="007F6132" w:rsidRDefault="007F6132" w:rsidP="00AD02E6">
      <w:pPr>
        <w:ind w:left="0"/>
        <w:jc w:val="both"/>
        <w:rPr>
          <w:rFonts w:ascii="Bookman Old Style" w:hAnsi="Bookman Old Style"/>
        </w:rPr>
      </w:pPr>
    </w:p>
    <w:p w:rsidR="00C721F4" w:rsidRDefault="007B4FE6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 lo anterior, </w:t>
      </w:r>
      <w:r w:rsidR="001206E5">
        <w:rPr>
          <w:rFonts w:ascii="Bookman Old Style" w:hAnsi="Bookman Old Style"/>
        </w:rPr>
        <w:t xml:space="preserve">al considerar la energía del circuito </w:t>
      </w:r>
      <w:proofErr w:type="spellStart"/>
      <w:r w:rsidR="001206E5">
        <w:rPr>
          <w:rFonts w:ascii="Bookman Old Style" w:hAnsi="Bookman Old Style"/>
        </w:rPr>
        <w:t>Anapoima</w:t>
      </w:r>
      <w:proofErr w:type="spellEnd"/>
      <w:r w:rsidR="001206E5">
        <w:rPr>
          <w:rFonts w:ascii="Bookman Old Style" w:hAnsi="Bookman Old Style"/>
        </w:rPr>
        <w:t xml:space="preserve"> como una </w:t>
      </w:r>
      <w:r w:rsidR="00C721F4">
        <w:rPr>
          <w:rFonts w:ascii="Bookman Old Style" w:hAnsi="Bookman Old Style"/>
        </w:rPr>
        <w:t xml:space="preserve">energía transportada a través de una </w:t>
      </w:r>
      <w:r w:rsidR="001206E5">
        <w:rPr>
          <w:rFonts w:ascii="Bookman Old Style" w:hAnsi="Bookman Old Style"/>
        </w:rPr>
        <w:t xml:space="preserve">conexión directamente </w:t>
      </w:r>
      <w:r w:rsidR="00C721F4">
        <w:rPr>
          <w:rFonts w:ascii="Bookman Old Style" w:hAnsi="Bookman Old Style"/>
        </w:rPr>
        <w:t>del</w:t>
      </w:r>
      <w:r w:rsidR="001206E5">
        <w:rPr>
          <w:rFonts w:ascii="Bookman Old Style" w:hAnsi="Bookman Old Style"/>
        </w:rPr>
        <w:t xml:space="preserve"> STN, se debe excluir del balance como una salida del nivel 3 del sistema de Codensa</w:t>
      </w:r>
      <w:r w:rsidR="00C721F4">
        <w:rPr>
          <w:rFonts w:ascii="Bookman Old Style" w:hAnsi="Bookman Old Style"/>
        </w:rPr>
        <w:t xml:space="preserve">. </w:t>
      </w:r>
      <w:r w:rsidR="00C4171A">
        <w:rPr>
          <w:rFonts w:ascii="Bookman Old Style" w:hAnsi="Bookman Old Style"/>
        </w:rPr>
        <w:t>En este caso</w:t>
      </w:r>
      <w:r w:rsidR="00C721F4">
        <w:rPr>
          <w:rFonts w:ascii="Bookman Old Style" w:hAnsi="Bookman Old Style"/>
        </w:rPr>
        <w:t xml:space="preserve">, para no tener en cuenta el transporte de esta energía </w:t>
      </w:r>
      <w:r w:rsidR="00C4171A">
        <w:rPr>
          <w:rFonts w:ascii="Bookman Old Style" w:hAnsi="Bookman Old Style"/>
        </w:rPr>
        <w:t>a través d</w:t>
      </w:r>
      <w:r w:rsidR="00C721F4">
        <w:rPr>
          <w:rFonts w:ascii="Bookman Old Style" w:hAnsi="Bookman Old Style"/>
        </w:rPr>
        <w:t xml:space="preserve">el sistema de Codensa, es necesario </w:t>
      </w:r>
      <w:r w:rsidR="001206E5">
        <w:rPr>
          <w:rFonts w:ascii="Bookman Old Style" w:hAnsi="Bookman Old Style"/>
        </w:rPr>
        <w:t>resta</w:t>
      </w:r>
      <w:r w:rsidR="00C721F4">
        <w:rPr>
          <w:rFonts w:ascii="Bookman Old Style" w:hAnsi="Bookman Old Style"/>
        </w:rPr>
        <w:t xml:space="preserve">rla </w:t>
      </w:r>
      <w:r w:rsidR="001206E5">
        <w:rPr>
          <w:rFonts w:ascii="Bookman Old Style" w:hAnsi="Bookman Old Style"/>
        </w:rPr>
        <w:t>de</w:t>
      </w:r>
      <w:r w:rsidR="00C721F4">
        <w:rPr>
          <w:rFonts w:ascii="Bookman Old Style" w:hAnsi="Bookman Old Style"/>
        </w:rPr>
        <w:t>l registro de la frontera IEEB1139, la cual integra toda la energía de entrada a este activo de conexión compartido.</w:t>
      </w:r>
      <w:r w:rsidR="00C4171A">
        <w:rPr>
          <w:rFonts w:ascii="Bookman Old Style" w:hAnsi="Bookman Old Style"/>
        </w:rPr>
        <w:t xml:space="preserve"> </w:t>
      </w:r>
    </w:p>
    <w:p w:rsidR="00E36F93" w:rsidRDefault="00C721F4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E36F93" w:rsidRDefault="00E36F93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 referir la energía de la frontera IEEC5001 del nivel de tensión 3 al STN se utiliza el factor </w:t>
      </w:r>
      <w:r w:rsidRPr="00E36F93">
        <w:rPr>
          <w:rFonts w:ascii="Bookman Old Style" w:hAnsi="Bookman Old Style"/>
          <w:i/>
        </w:rPr>
        <w:t>P</w:t>
      </w:r>
      <w:r w:rsidRPr="00E36F93">
        <w:rPr>
          <w:rFonts w:ascii="Bookman Old Style" w:hAnsi="Bookman Old Style"/>
          <w:i/>
          <w:vertAlign w:val="subscript"/>
        </w:rPr>
        <w:t>j</w:t>
      </w:r>
      <w:proofErr w:type="gramStart"/>
      <w:r w:rsidRPr="00E36F93">
        <w:rPr>
          <w:rFonts w:ascii="Bookman Old Style" w:hAnsi="Bookman Old Style"/>
          <w:i/>
          <w:vertAlign w:val="subscript"/>
        </w:rPr>
        <w:t>,STN</w:t>
      </w:r>
      <w:proofErr w:type="gramEnd"/>
      <w:r w:rsidRPr="00E36F93">
        <w:rPr>
          <w:rFonts w:ascii="Bookman Old Style" w:hAnsi="Bookman Old Style"/>
          <w:i/>
          <w:vertAlign w:val="subscript"/>
        </w:rPr>
        <w:t>-3</w:t>
      </w:r>
      <w:r>
        <w:rPr>
          <w:rFonts w:ascii="Bookman Old Style" w:hAnsi="Bookman Old Style"/>
        </w:rPr>
        <w:t xml:space="preserve"> definido en el numeral 12.3 del capítulo 12 de la Resolución CREG 097 de 2008. </w:t>
      </w:r>
    </w:p>
    <w:p w:rsidR="001206E5" w:rsidRDefault="001206E5" w:rsidP="00AD02E6">
      <w:pPr>
        <w:ind w:left="0"/>
        <w:jc w:val="both"/>
        <w:rPr>
          <w:rFonts w:ascii="Bookman Old Style" w:hAnsi="Bookman Old Style"/>
        </w:rPr>
      </w:pPr>
    </w:p>
    <w:p w:rsidR="007B4FE6" w:rsidRDefault="001206E5" w:rsidP="001206E5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 base en lo anterior se calculó </w:t>
      </w:r>
      <w:r w:rsidR="00CB5B0A">
        <w:rPr>
          <w:rFonts w:ascii="Bookman Old Style" w:hAnsi="Bookman Old Style"/>
        </w:rPr>
        <w:t xml:space="preserve">nuevamente </w:t>
      </w:r>
      <w:r>
        <w:rPr>
          <w:rFonts w:ascii="Bookman Old Style" w:hAnsi="Bookman Old Style"/>
        </w:rPr>
        <w:t xml:space="preserve">el índice de pérdidas de nivel de tensión 1, </w:t>
      </w:r>
      <w:r w:rsidR="00E36F93" w:rsidRPr="00E36F93">
        <w:rPr>
          <w:rFonts w:ascii="Bookman Old Style" w:hAnsi="Bookman Old Style"/>
          <w:i/>
        </w:rPr>
        <w:t>P</w:t>
      </w:r>
      <w:r w:rsidR="00E36F93" w:rsidRPr="00E36F93">
        <w:rPr>
          <w:rFonts w:ascii="Bookman Old Style" w:hAnsi="Bookman Old Style"/>
          <w:i/>
          <w:vertAlign w:val="subscript"/>
        </w:rPr>
        <w:t>j</w:t>
      </w:r>
      <w:proofErr w:type="gramStart"/>
      <w:r w:rsidR="00E36F93" w:rsidRPr="00E36F93">
        <w:rPr>
          <w:rFonts w:ascii="Bookman Old Style" w:hAnsi="Bookman Old Style"/>
          <w:i/>
          <w:vertAlign w:val="subscript"/>
        </w:rPr>
        <w:t>,1,0</w:t>
      </w:r>
      <w:proofErr w:type="gramEnd"/>
      <w:r w:rsidR="00E36F93">
        <w:rPr>
          <w:rFonts w:ascii="Bookman Old Style" w:hAnsi="Bookman Old Style"/>
        </w:rPr>
        <w:t xml:space="preserve">, para el sistema de Codensa, </w:t>
      </w:r>
      <w:r>
        <w:rPr>
          <w:rFonts w:ascii="Bookman Old Style" w:hAnsi="Bookman Old Style"/>
        </w:rPr>
        <w:t>dando c</w:t>
      </w:r>
      <w:r w:rsidR="00CB5B0A">
        <w:rPr>
          <w:rFonts w:ascii="Bookman Old Style" w:hAnsi="Bookman Old Style"/>
        </w:rPr>
        <w:t xml:space="preserve">omo resultado un valor de 9.61%, razón </w:t>
      </w:r>
      <w:r w:rsidR="00E77D66">
        <w:rPr>
          <w:rFonts w:ascii="Bookman Old Style" w:hAnsi="Bookman Old Style"/>
        </w:rPr>
        <w:t>por</w:t>
      </w:r>
      <w:r w:rsidR="00CB5B0A">
        <w:rPr>
          <w:rFonts w:ascii="Bookman Old Style" w:hAnsi="Bookman Old Style"/>
        </w:rPr>
        <w:t xml:space="preserve"> la cual se procederá a la respectiva modificación.</w:t>
      </w:r>
      <w:r>
        <w:rPr>
          <w:rFonts w:ascii="Bookman Old Style" w:hAnsi="Bookman Old Style"/>
        </w:rPr>
        <w:t xml:space="preserve"> </w:t>
      </w:r>
    </w:p>
    <w:p w:rsidR="007B4FE6" w:rsidRDefault="007B4FE6" w:rsidP="00AD02E6">
      <w:pPr>
        <w:ind w:left="0"/>
        <w:jc w:val="both"/>
        <w:rPr>
          <w:rFonts w:ascii="Bookman Old Style" w:hAnsi="Bookman Old Style"/>
        </w:rPr>
      </w:pPr>
    </w:p>
    <w:p w:rsidR="00AD02E6" w:rsidRDefault="00F64BDF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 </w:t>
      </w:r>
      <w:r w:rsidR="00AD02E6" w:rsidRPr="00AD02E6">
        <w:rPr>
          <w:rFonts w:ascii="Bookman Old Style" w:hAnsi="Bookman Old Style"/>
        </w:rPr>
        <w:t>la Comisión de Regu</w:t>
      </w:r>
      <w:r w:rsidR="00890680">
        <w:rPr>
          <w:rFonts w:ascii="Bookman Old Style" w:hAnsi="Bookman Old Style"/>
        </w:rPr>
        <w:t>lación de Energía y Gas, en su S</w:t>
      </w:r>
      <w:r w:rsidR="00AD02E6" w:rsidRPr="00AD02E6">
        <w:rPr>
          <w:rFonts w:ascii="Bookman Old Style" w:hAnsi="Bookman Old Style"/>
        </w:rPr>
        <w:t xml:space="preserve">esión </w:t>
      </w:r>
      <w:r w:rsidR="00890680">
        <w:rPr>
          <w:rFonts w:ascii="Bookman Old Style" w:hAnsi="Bookman Old Style"/>
        </w:rPr>
        <w:t xml:space="preserve">No. </w:t>
      </w:r>
      <w:r w:rsidR="00930457">
        <w:rPr>
          <w:rFonts w:ascii="Bookman Old Style" w:hAnsi="Bookman Old Style"/>
        </w:rPr>
        <w:t>536</w:t>
      </w:r>
      <w:r w:rsidR="007E11E2" w:rsidRPr="007E11E2">
        <w:rPr>
          <w:rFonts w:ascii="Bookman Old Style" w:hAnsi="Bookman Old Style"/>
        </w:rPr>
        <w:t xml:space="preserve"> </w:t>
      </w:r>
      <w:r w:rsidR="00AD02E6" w:rsidRPr="007E11E2">
        <w:rPr>
          <w:rFonts w:ascii="Bookman Old Style" w:hAnsi="Bookman Old Style"/>
        </w:rPr>
        <w:t xml:space="preserve">del </w:t>
      </w:r>
      <w:r w:rsidR="00930457">
        <w:rPr>
          <w:rFonts w:ascii="Bookman Old Style" w:hAnsi="Bookman Old Style"/>
        </w:rPr>
        <w:t>25</w:t>
      </w:r>
      <w:r w:rsidR="007E11E2" w:rsidRPr="007E11E2">
        <w:rPr>
          <w:rFonts w:ascii="Bookman Old Style" w:hAnsi="Bookman Old Style"/>
        </w:rPr>
        <w:t xml:space="preserve"> </w:t>
      </w:r>
      <w:r w:rsidR="00AD02E6" w:rsidRPr="007E11E2">
        <w:rPr>
          <w:rFonts w:ascii="Bookman Old Style" w:hAnsi="Bookman Old Style"/>
        </w:rPr>
        <w:t xml:space="preserve">de </w:t>
      </w:r>
      <w:r w:rsidR="004B3A0B">
        <w:rPr>
          <w:rFonts w:ascii="Bookman Old Style" w:hAnsi="Bookman Old Style"/>
        </w:rPr>
        <w:t xml:space="preserve">Septiembre </w:t>
      </w:r>
      <w:r w:rsidR="00AD02E6" w:rsidRPr="007E11E2">
        <w:rPr>
          <w:rFonts w:ascii="Bookman Old Style" w:hAnsi="Bookman Old Style"/>
        </w:rPr>
        <w:t>de 201</w:t>
      </w:r>
      <w:r w:rsidR="007E11E2" w:rsidRPr="007E11E2">
        <w:rPr>
          <w:rFonts w:ascii="Bookman Old Style" w:hAnsi="Bookman Old Style"/>
        </w:rPr>
        <w:t>2</w:t>
      </w:r>
      <w:r w:rsidR="00AD02E6" w:rsidRPr="007E11E2">
        <w:rPr>
          <w:rFonts w:ascii="Bookman Old Style" w:hAnsi="Bookman Old Style"/>
        </w:rPr>
        <w:t>, acordó expedir la presente resolución;</w:t>
      </w:r>
    </w:p>
    <w:p w:rsidR="000B4E51" w:rsidRDefault="000B4E51" w:rsidP="000B4E51">
      <w:pPr>
        <w:ind w:left="0"/>
        <w:jc w:val="both"/>
        <w:rPr>
          <w:rFonts w:ascii="Bookman Old Style" w:hAnsi="Bookman Old Style"/>
        </w:rPr>
      </w:pPr>
    </w:p>
    <w:p w:rsidR="00930457" w:rsidRDefault="00930457" w:rsidP="000B4E51">
      <w:pPr>
        <w:ind w:left="0"/>
        <w:jc w:val="both"/>
        <w:rPr>
          <w:rFonts w:ascii="Bookman Old Style" w:hAnsi="Bookman Old Style"/>
        </w:rPr>
      </w:pPr>
    </w:p>
    <w:p w:rsidR="00930457" w:rsidRDefault="00930457" w:rsidP="000B4E51">
      <w:pPr>
        <w:ind w:left="0"/>
        <w:jc w:val="both"/>
        <w:rPr>
          <w:rFonts w:ascii="Bookman Old Style" w:hAnsi="Bookman Old Style"/>
        </w:rPr>
      </w:pPr>
    </w:p>
    <w:p w:rsidR="00930457" w:rsidRPr="000B4E51" w:rsidRDefault="00930457" w:rsidP="000B4E51">
      <w:pPr>
        <w:ind w:left="0"/>
        <w:jc w:val="both"/>
        <w:rPr>
          <w:rFonts w:ascii="Bookman Old Style" w:hAnsi="Bookman Old Style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/>
          <w:b/>
        </w:rPr>
      </w:pPr>
      <w:bookmarkStart w:id="7" w:name="_Toc259626851"/>
    </w:p>
    <w:p w:rsidR="000B4E51" w:rsidRPr="000B4E51" w:rsidRDefault="000B4E51" w:rsidP="00857A4A">
      <w:pPr>
        <w:ind w:left="0"/>
        <w:jc w:val="center"/>
        <w:rPr>
          <w:rFonts w:ascii="Bookman Old Style" w:hAnsi="Bookman Old Style"/>
          <w:b/>
          <w:spacing w:val="40"/>
        </w:rPr>
      </w:pPr>
      <w:r w:rsidRPr="000B4E51">
        <w:rPr>
          <w:rFonts w:ascii="Bookman Old Style" w:hAnsi="Bookman Old Style"/>
          <w:b/>
        </w:rPr>
        <w:lastRenderedPageBreak/>
        <w:t xml:space="preserve">R E S U E L V </w:t>
      </w:r>
      <w:r w:rsidRPr="000B4E51">
        <w:rPr>
          <w:rFonts w:ascii="Bookman Old Style" w:hAnsi="Bookman Old Style"/>
          <w:b/>
          <w:spacing w:val="40"/>
        </w:rPr>
        <w:t>E:</w:t>
      </w:r>
      <w:bookmarkEnd w:id="7"/>
    </w:p>
    <w:p w:rsidR="001206E5" w:rsidRDefault="001206E5" w:rsidP="000B4E51">
      <w:pPr>
        <w:ind w:left="0"/>
        <w:jc w:val="both"/>
        <w:rPr>
          <w:rFonts w:ascii="Bookman Old Style" w:hAnsi="Bookman Old Style"/>
          <w:b/>
          <w:spacing w:val="40"/>
        </w:rPr>
      </w:pPr>
    </w:p>
    <w:p w:rsidR="00930457" w:rsidRDefault="00930457" w:rsidP="000B4E51">
      <w:pPr>
        <w:ind w:left="0"/>
        <w:jc w:val="both"/>
        <w:rPr>
          <w:rFonts w:ascii="Bookman Old Style" w:hAnsi="Bookman Old Style"/>
          <w:b/>
          <w:spacing w:val="40"/>
        </w:rPr>
      </w:pPr>
    </w:p>
    <w:p w:rsidR="001206E5" w:rsidRPr="008075BB" w:rsidRDefault="001206E5" w:rsidP="000B4E51">
      <w:pPr>
        <w:ind w:left="0"/>
        <w:jc w:val="both"/>
        <w:rPr>
          <w:rFonts w:ascii="Bookman Old Style" w:hAnsi="Bookman Old Style" w:cs="Arial"/>
          <w:b/>
        </w:rPr>
      </w:pPr>
      <w:r w:rsidRPr="008075BB">
        <w:rPr>
          <w:rFonts w:ascii="Bookman Old Style" w:hAnsi="Bookman Old Style" w:cs="Arial"/>
          <w:b/>
        </w:rPr>
        <w:t xml:space="preserve">Articulo 1. </w:t>
      </w:r>
      <w:r w:rsidR="008075BB" w:rsidRPr="008075BB">
        <w:rPr>
          <w:rFonts w:ascii="Bookman Old Style" w:hAnsi="Bookman Old Style" w:cs="Arial"/>
        </w:rPr>
        <w:t>Modificar</w:t>
      </w:r>
      <w:r w:rsidR="008075BB">
        <w:rPr>
          <w:rFonts w:ascii="Bookman Old Style" w:hAnsi="Bookman Old Style" w:cs="Arial"/>
        </w:rPr>
        <w:t xml:space="preserve"> el Artículo 1 de la Resolución CREG 060 de 2012, el cual queda así:</w:t>
      </w:r>
    </w:p>
    <w:p w:rsidR="001206E5" w:rsidRPr="000B4E51" w:rsidRDefault="001206E5" w:rsidP="000B4E51">
      <w:pPr>
        <w:ind w:left="0"/>
        <w:jc w:val="both"/>
        <w:rPr>
          <w:rFonts w:ascii="Bookman Old Style" w:hAnsi="Bookman Old Style"/>
          <w:b/>
          <w:spacing w:val="40"/>
        </w:rPr>
      </w:pPr>
    </w:p>
    <w:p w:rsidR="003010CB" w:rsidRPr="008075BB" w:rsidRDefault="008075BB" w:rsidP="008075BB">
      <w:pPr>
        <w:pStyle w:val="Artculo"/>
        <w:numPr>
          <w:ilvl w:val="0"/>
          <w:numId w:val="0"/>
        </w:numPr>
        <w:ind w:left="567" w:right="425"/>
        <w:rPr>
          <w:i/>
        </w:rPr>
      </w:pPr>
      <w:r>
        <w:rPr>
          <w:b/>
          <w:i/>
        </w:rPr>
        <w:t xml:space="preserve">Artículo 1. </w:t>
      </w:r>
      <w:r w:rsidR="003010CB" w:rsidRPr="008075BB">
        <w:rPr>
          <w:b/>
          <w:i/>
        </w:rPr>
        <w:t>Índice de Pérdidas de Nivel de Tensión 1</w:t>
      </w:r>
      <w:r w:rsidR="000B4E51" w:rsidRPr="008075BB">
        <w:rPr>
          <w:b/>
          <w:i/>
        </w:rPr>
        <w:t>.</w:t>
      </w:r>
      <w:r w:rsidR="000B4E51" w:rsidRPr="008075BB">
        <w:rPr>
          <w:i/>
        </w:rPr>
        <w:t xml:space="preserve"> </w:t>
      </w:r>
      <w:r w:rsidR="003010CB" w:rsidRPr="008075BB">
        <w:rPr>
          <w:i/>
        </w:rPr>
        <w:t xml:space="preserve">El Índice de Pérdidas </w:t>
      </w:r>
      <w:r w:rsidR="002518BE" w:rsidRPr="008075BB">
        <w:rPr>
          <w:i/>
        </w:rPr>
        <w:t>d</w:t>
      </w:r>
      <w:r w:rsidR="003010CB" w:rsidRPr="008075BB">
        <w:rPr>
          <w:i/>
        </w:rPr>
        <w:t xml:space="preserve">e Nivel de Tensión 1 </w:t>
      </w:r>
      <w:r w:rsidR="002518BE" w:rsidRPr="008075BB">
        <w:rPr>
          <w:i/>
        </w:rPr>
        <w:t xml:space="preserve">reconocido para </w:t>
      </w:r>
      <w:r w:rsidR="003010CB" w:rsidRPr="008075BB">
        <w:rPr>
          <w:i/>
        </w:rPr>
        <w:t xml:space="preserve">el sistema operado por </w:t>
      </w:r>
      <w:r w:rsidR="00E12DE2" w:rsidRPr="008075BB">
        <w:rPr>
          <w:i/>
        </w:rPr>
        <w:t xml:space="preserve">el OR </w:t>
      </w:r>
      <w:r w:rsidR="00E42576" w:rsidRPr="008075BB">
        <w:rPr>
          <w:i/>
        </w:rPr>
        <w:t>CODENSA</w:t>
      </w:r>
      <w:r w:rsidR="008A0306" w:rsidRPr="008075BB">
        <w:rPr>
          <w:i/>
        </w:rPr>
        <w:t xml:space="preserve"> S.A. E.S.P.</w:t>
      </w:r>
      <w:r w:rsidR="003010CB" w:rsidRPr="008075BB">
        <w:rPr>
          <w:i/>
        </w:rPr>
        <w:t>, calculado en la forma establecida en la Resolución CREG</w:t>
      </w:r>
      <w:r w:rsidR="002518BE" w:rsidRPr="008075BB">
        <w:rPr>
          <w:i/>
        </w:rPr>
        <w:t xml:space="preserve"> </w:t>
      </w:r>
      <w:r w:rsidR="003010CB" w:rsidRPr="008075BB">
        <w:rPr>
          <w:i/>
        </w:rPr>
        <w:t>172 de 2011, es:</w:t>
      </w:r>
    </w:p>
    <w:p w:rsidR="009069EF" w:rsidRDefault="009069EF" w:rsidP="008075BB">
      <w:pPr>
        <w:ind w:right="425"/>
        <w:rPr>
          <w:rFonts w:ascii="Bookman Old Style" w:hAnsi="Bookman Old Style"/>
          <w:i/>
        </w:rPr>
      </w:pPr>
    </w:p>
    <w:p w:rsidR="00930457" w:rsidRPr="008075BB" w:rsidRDefault="00930457" w:rsidP="008075BB">
      <w:pPr>
        <w:ind w:right="425"/>
        <w:rPr>
          <w:rFonts w:ascii="Bookman Old Style" w:hAnsi="Bookman Old Style"/>
          <w:i/>
        </w:rPr>
      </w:pPr>
    </w:p>
    <w:p w:rsidR="003010CB" w:rsidRPr="008075BB" w:rsidRDefault="009069EF" w:rsidP="008075BB">
      <w:pPr>
        <w:ind w:right="425"/>
        <w:jc w:val="center"/>
        <w:rPr>
          <w:rFonts w:ascii="Bookman Old Style" w:hAnsi="Bookman Old Style"/>
          <w:i/>
        </w:rPr>
      </w:pPr>
      <w:r w:rsidRPr="008075BB">
        <w:rPr>
          <w:rFonts w:ascii="Bookman Old Style" w:hAnsi="Bookman Old Style"/>
          <w:b/>
          <w:i/>
        </w:rPr>
        <w:t>P</w:t>
      </w:r>
      <w:r w:rsidRPr="008075BB">
        <w:rPr>
          <w:rFonts w:ascii="Bookman Old Style" w:hAnsi="Bookman Old Style"/>
          <w:b/>
          <w:i/>
          <w:vertAlign w:val="subscript"/>
        </w:rPr>
        <w:t>j</w:t>
      </w:r>
      <w:proofErr w:type="gramStart"/>
      <w:r w:rsidRPr="008075BB">
        <w:rPr>
          <w:rFonts w:ascii="Bookman Old Style" w:hAnsi="Bookman Old Style"/>
          <w:b/>
          <w:i/>
          <w:vertAlign w:val="subscript"/>
        </w:rPr>
        <w:t>,1,0</w:t>
      </w:r>
      <w:proofErr w:type="gramEnd"/>
      <w:r w:rsidRPr="008075BB">
        <w:rPr>
          <w:rFonts w:ascii="Bookman Old Style" w:hAnsi="Bookman Old Style"/>
          <w:i/>
        </w:rPr>
        <w:t xml:space="preserve"> = </w:t>
      </w:r>
      <w:r w:rsidRPr="008075BB">
        <w:rPr>
          <w:rFonts w:ascii="Bookman Old Style" w:hAnsi="Bookman Old Style"/>
          <w:b/>
          <w:i/>
        </w:rPr>
        <w:t>9,</w:t>
      </w:r>
      <w:r w:rsidR="00400C88" w:rsidRPr="008075BB">
        <w:rPr>
          <w:rFonts w:ascii="Bookman Old Style" w:hAnsi="Bookman Old Style"/>
          <w:b/>
          <w:i/>
        </w:rPr>
        <w:t>6</w:t>
      </w:r>
      <w:r w:rsidR="008075BB" w:rsidRPr="008075BB">
        <w:rPr>
          <w:rFonts w:ascii="Bookman Old Style" w:hAnsi="Bookman Old Style"/>
          <w:b/>
          <w:i/>
        </w:rPr>
        <w:t>1</w:t>
      </w:r>
      <w:r w:rsidRPr="008075BB">
        <w:rPr>
          <w:rFonts w:ascii="Bookman Old Style" w:hAnsi="Bookman Old Style"/>
          <w:b/>
          <w:i/>
        </w:rPr>
        <w:t>%</w:t>
      </w:r>
    </w:p>
    <w:p w:rsidR="000B4E51" w:rsidRDefault="009069EF" w:rsidP="008075BB">
      <w:pPr>
        <w:ind w:right="425"/>
        <w:rPr>
          <w:rFonts w:ascii="Bookman Old Style" w:hAnsi="Bookman Old Style"/>
          <w:i/>
        </w:rPr>
      </w:pPr>
      <w:r w:rsidRPr="008075BB">
        <w:rPr>
          <w:rFonts w:ascii="Bookman Old Style" w:hAnsi="Bookman Old Style"/>
          <w:i/>
        </w:rPr>
        <w:t xml:space="preserve"> </w:t>
      </w:r>
    </w:p>
    <w:p w:rsidR="00930457" w:rsidRPr="008075BB" w:rsidRDefault="00930457" w:rsidP="008075BB">
      <w:pPr>
        <w:ind w:right="425"/>
        <w:rPr>
          <w:rFonts w:ascii="Bookman Old Style" w:hAnsi="Bookman Old Style"/>
          <w:b/>
          <w:i/>
        </w:rPr>
      </w:pPr>
    </w:p>
    <w:p w:rsidR="007A4FB7" w:rsidRPr="008075BB" w:rsidRDefault="007A4FB7" w:rsidP="008075BB">
      <w:pPr>
        <w:ind w:right="425"/>
        <w:jc w:val="both"/>
        <w:rPr>
          <w:rFonts w:ascii="Bookman Old Style" w:hAnsi="Bookman Old Style"/>
          <w:b/>
          <w:i/>
        </w:rPr>
      </w:pPr>
      <w:r w:rsidRPr="008075BB">
        <w:rPr>
          <w:rFonts w:ascii="Bookman Old Style" w:hAnsi="Bookman Old Style"/>
          <w:b/>
          <w:i/>
        </w:rPr>
        <w:t>Parágrafo:</w:t>
      </w:r>
      <w:r w:rsidRPr="008075BB">
        <w:rPr>
          <w:rFonts w:ascii="Bookman Old Style" w:hAnsi="Bookman Old Style"/>
          <w:i/>
        </w:rPr>
        <w:t xml:space="preserve"> </w:t>
      </w:r>
      <w:r w:rsidR="00B53E42" w:rsidRPr="008075BB">
        <w:rPr>
          <w:rFonts w:ascii="Bookman Old Style" w:hAnsi="Bookman Old Style"/>
          <w:i/>
        </w:rPr>
        <w:t>De conformidad con el numeral 5.1 del Anexo 5 de la Resolución</w:t>
      </w:r>
      <w:r w:rsidR="00034A51" w:rsidRPr="008075BB">
        <w:rPr>
          <w:rFonts w:ascii="Bookman Old Style" w:hAnsi="Bookman Old Style"/>
          <w:i/>
        </w:rPr>
        <w:t xml:space="preserve"> CREG 172 de 2011</w:t>
      </w:r>
      <w:r w:rsidR="00C57A3E" w:rsidRPr="008075BB">
        <w:rPr>
          <w:rFonts w:ascii="Bookman Old Style" w:hAnsi="Bookman Old Style"/>
          <w:i/>
        </w:rPr>
        <w:t>,</w:t>
      </w:r>
      <w:r w:rsidR="00034A51" w:rsidRPr="008075BB">
        <w:rPr>
          <w:rFonts w:ascii="Bookman Old Style" w:hAnsi="Bookman Old Style"/>
          <w:i/>
        </w:rPr>
        <w:t xml:space="preserve"> </w:t>
      </w:r>
      <w:r w:rsidR="00B53E42" w:rsidRPr="008075BB">
        <w:rPr>
          <w:rFonts w:ascii="Bookman Old Style" w:hAnsi="Bookman Old Style"/>
          <w:i/>
        </w:rPr>
        <w:t>a</w:t>
      </w:r>
      <w:r w:rsidRPr="008075BB">
        <w:rPr>
          <w:rFonts w:ascii="Bookman Old Style" w:hAnsi="Bookman Old Style"/>
          <w:i/>
        </w:rPr>
        <w:t xml:space="preserve"> partir de la aprobación de la presente resolución </w:t>
      </w:r>
      <w:r w:rsidR="00C57A3E" w:rsidRPr="008075BB">
        <w:rPr>
          <w:rFonts w:ascii="Bookman Old Style" w:hAnsi="Bookman Old Style"/>
          <w:i/>
        </w:rPr>
        <w:t xml:space="preserve">y </w:t>
      </w:r>
      <w:r w:rsidRPr="008075BB">
        <w:rPr>
          <w:rFonts w:ascii="Bookman Old Style" w:hAnsi="Bookman Old Style"/>
          <w:i/>
        </w:rPr>
        <w:t>hasta el 3</w:t>
      </w:r>
      <w:r w:rsidR="00242121" w:rsidRPr="008075BB">
        <w:rPr>
          <w:rFonts w:ascii="Bookman Old Style" w:hAnsi="Bookman Old Style"/>
          <w:i/>
        </w:rPr>
        <w:t>1</w:t>
      </w:r>
      <w:r w:rsidRPr="008075BB">
        <w:rPr>
          <w:rFonts w:ascii="Bookman Old Style" w:hAnsi="Bookman Old Style"/>
          <w:i/>
        </w:rPr>
        <w:t xml:space="preserve"> de </w:t>
      </w:r>
      <w:r w:rsidR="00242121" w:rsidRPr="008075BB">
        <w:rPr>
          <w:rFonts w:ascii="Bookman Old Style" w:hAnsi="Bookman Old Style"/>
          <w:i/>
        </w:rPr>
        <w:t xml:space="preserve">diciembre </w:t>
      </w:r>
      <w:r w:rsidRPr="008075BB">
        <w:rPr>
          <w:rFonts w:ascii="Bookman Old Style" w:hAnsi="Bookman Old Style"/>
          <w:i/>
        </w:rPr>
        <w:t xml:space="preserve">del año 2013 el </w:t>
      </w:r>
      <w:r w:rsidR="007E11E2" w:rsidRPr="008075BB">
        <w:rPr>
          <w:rFonts w:ascii="Bookman Old Style" w:hAnsi="Bookman Old Style"/>
          <w:i/>
        </w:rPr>
        <w:t>valor de P</w:t>
      </w:r>
      <w:r w:rsidR="007E11E2" w:rsidRPr="008075BB">
        <w:rPr>
          <w:rFonts w:ascii="Bookman Old Style" w:hAnsi="Bookman Old Style"/>
          <w:i/>
          <w:vertAlign w:val="subscript"/>
        </w:rPr>
        <w:t>j</w:t>
      </w:r>
      <w:proofErr w:type="gramStart"/>
      <w:r w:rsidR="007E11E2" w:rsidRPr="008075BB">
        <w:rPr>
          <w:rFonts w:ascii="Bookman Old Style" w:hAnsi="Bookman Old Style"/>
          <w:i/>
          <w:vertAlign w:val="subscript"/>
        </w:rPr>
        <w:t>,1</w:t>
      </w:r>
      <w:proofErr w:type="gramEnd"/>
      <w:r w:rsidR="007E11E2" w:rsidRPr="008075BB">
        <w:rPr>
          <w:rFonts w:ascii="Bookman Old Style" w:hAnsi="Bookman Old Style"/>
          <w:i/>
        </w:rPr>
        <w:t xml:space="preserve"> </w:t>
      </w:r>
      <w:r w:rsidR="009E773C" w:rsidRPr="008075BB">
        <w:rPr>
          <w:rFonts w:ascii="Bookman Old Style" w:hAnsi="Bookman Old Style"/>
          <w:i/>
        </w:rPr>
        <w:t xml:space="preserve">será igual a </w:t>
      </w:r>
      <w:r w:rsidR="009069EF" w:rsidRPr="008075BB">
        <w:rPr>
          <w:rFonts w:ascii="Bookman Old Style" w:hAnsi="Bookman Old Style"/>
          <w:i/>
        </w:rPr>
        <w:t>10</w:t>
      </w:r>
      <w:r w:rsidR="009E773C" w:rsidRPr="008075BB">
        <w:rPr>
          <w:rFonts w:ascii="Bookman Old Style" w:hAnsi="Bookman Old Style"/>
          <w:i/>
        </w:rPr>
        <w:t>,</w:t>
      </w:r>
      <w:r w:rsidR="009069EF" w:rsidRPr="008075BB">
        <w:rPr>
          <w:rFonts w:ascii="Bookman Old Style" w:hAnsi="Bookman Old Style"/>
          <w:i/>
        </w:rPr>
        <w:t>07</w:t>
      </w:r>
      <w:r w:rsidR="00E12DE2" w:rsidRPr="008075BB">
        <w:rPr>
          <w:rFonts w:ascii="Bookman Old Style" w:hAnsi="Bookman Old Style"/>
          <w:i/>
        </w:rPr>
        <w:t> </w:t>
      </w:r>
      <w:r w:rsidR="009E773C" w:rsidRPr="008075BB">
        <w:rPr>
          <w:rFonts w:ascii="Bookman Old Style" w:hAnsi="Bookman Old Style"/>
          <w:i/>
        </w:rPr>
        <w:t>%</w:t>
      </w:r>
      <w:r w:rsidR="001777E8" w:rsidRPr="008075BB">
        <w:rPr>
          <w:rFonts w:ascii="Bookman Old Style" w:hAnsi="Bookman Old Style"/>
          <w:i/>
        </w:rPr>
        <w:t>.  P</w:t>
      </w:r>
      <w:r w:rsidR="00443A6B" w:rsidRPr="008075BB">
        <w:rPr>
          <w:rFonts w:ascii="Bookman Old Style" w:hAnsi="Bookman Old Style"/>
          <w:i/>
        </w:rPr>
        <w:t>ara el perí</w:t>
      </w:r>
      <w:r w:rsidR="009E773C" w:rsidRPr="008075BB">
        <w:rPr>
          <w:rFonts w:ascii="Bookman Old Style" w:hAnsi="Bookman Old Style"/>
          <w:i/>
        </w:rPr>
        <w:t xml:space="preserve">odo comprendido entre el 1 de </w:t>
      </w:r>
      <w:r w:rsidR="00242121" w:rsidRPr="008075BB">
        <w:rPr>
          <w:rFonts w:ascii="Bookman Old Style" w:hAnsi="Bookman Old Style"/>
          <w:i/>
        </w:rPr>
        <w:t xml:space="preserve">enero </w:t>
      </w:r>
      <w:r w:rsidR="009E773C" w:rsidRPr="008075BB">
        <w:rPr>
          <w:rFonts w:ascii="Bookman Old Style" w:hAnsi="Bookman Old Style"/>
          <w:i/>
        </w:rPr>
        <w:t>de 201</w:t>
      </w:r>
      <w:r w:rsidR="00242121" w:rsidRPr="008075BB">
        <w:rPr>
          <w:rFonts w:ascii="Bookman Old Style" w:hAnsi="Bookman Old Style"/>
          <w:i/>
        </w:rPr>
        <w:t>4</w:t>
      </w:r>
      <w:r w:rsidR="009E773C" w:rsidRPr="008075BB">
        <w:rPr>
          <w:rFonts w:ascii="Bookman Old Style" w:hAnsi="Bookman Old Style"/>
          <w:i/>
        </w:rPr>
        <w:t xml:space="preserve"> al 3</w:t>
      </w:r>
      <w:r w:rsidR="00242121" w:rsidRPr="008075BB">
        <w:rPr>
          <w:rFonts w:ascii="Bookman Old Style" w:hAnsi="Bookman Old Style"/>
          <w:i/>
        </w:rPr>
        <w:t>1</w:t>
      </w:r>
      <w:r w:rsidR="009E773C" w:rsidRPr="008075BB">
        <w:rPr>
          <w:rFonts w:ascii="Bookman Old Style" w:hAnsi="Bookman Old Style"/>
          <w:i/>
        </w:rPr>
        <w:t xml:space="preserve"> de </w:t>
      </w:r>
      <w:r w:rsidR="00242121" w:rsidRPr="008075BB">
        <w:rPr>
          <w:rFonts w:ascii="Bookman Old Style" w:hAnsi="Bookman Old Style"/>
          <w:i/>
        </w:rPr>
        <w:t xml:space="preserve">diciembre </w:t>
      </w:r>
      <w:r w:rsidR="009E773C" w:rsidRPr="008075BB">
        <w:rPr>
          <w:rFonts w:ascii="Bookman Old Style" w:hAnsi="Bookman Old Style"/>
          <w:i/>
        </w:rPr>
        <w:t xml:space="preserve">de 2014 el </w:t>
      </w:r>
      <w:r w:rsidR="001777E8" w:rsidRPr="008075BB">
        <w:rPr>
          <w:rFonts w:ascii="Bookman Old Style" w:hAnsi="Bookman Old Style"/>
          <w:i/>
        </w:rPr>
        <w:t>valor de P</w:t>
      </w:r>
      <w:r w:rsidR="001777E8" w:rsidRPr="008075BB">
        <w:rPr>
          <w:rFonts w:ascii="Bookman Old Style" w:hAnsi="Bookman Old Style"/>
          <w:i/>
          <w:vertAlign w:val="subscript"/>
        </w:rPr>
        <w:t>j</w:t>
      </w:r>
      <w:proofErr w:type="gramStart"/>
      <w:r w:rsidR="001777E8" w:rsidRPr="008075BB">
        <w:rPr>
          <w:rFonts w:ascii="Bookman Old Style" w:hAnsi="Bookman Old Style"/>
          <w:i/>
          <w:vertAlign w:val="subscript"/>
        </w:rPr>
        <w:t>,1</w:t>
      </w:r>
      <w:proofErr w:type="gramEnd"/>
      <w:r w:rsidR="009E773C" w:rsidRPr="008075BB">
        <w:rPr>
          <w:rFonts w:ascii="Bookman Old Style" w:hAnsi="Bookman Old Style"/>
          <w:i/>
        </w:rPr>
        <w:t xml:space="preserve"> será igual a </w:t>
      </w:r>
      <w:r w:rsidR="009069EF" w:rsidRPr="008075BB">
        <w:rPr>
          <w:rFonts w:ascii="Bookman Old Style" w:hAnsi="Bookman Old Style"/>
          <w:i/>
        </w:rPr>
        <w:t>9,</w:t>
      </w:r>
      <w:r w:rsidR="00400C88" w:rsidRPr="008075BB">
        <w:rPr>
          <w:rFonts w:ascii="Bookman Old Style" w:hAnsi="Bookman Old Style"/>
          <w:i/>
        </w:rPr>
        <w:t>84</w:t>
      </w:r>
      <w:r w:rsidR="00E12DE2" w:rsidRPr="008075BB">
        <w:rPr>
          <w:rFonts w:ascii="Bookman Old Style" w:hAnsi="Bookman Old Style"/>
          <w:i/>
        </w:rPr>
        <w:t> </w:t>
      </w:r>
      <w:r w:rsidR="009E773C" w:rsidRPr="008075BB">
        <w:rPr>
          <w:rFonts w:ascii="Bookman Old Style" w:hAnsi="Bookman Old Style"/>
          <w:i/>
        </w:rPr>
        <w:t xml:space="preserve">% y a partir del 1 de </w:t>
      </w:r>
      <w:r w:rsidR="00242121" w:rsidRPr="008075BB">
        <w:rPr>
          <w:rFonts w:ascii="Bookman Old Style" w:hAnsi="Bookman Old Style"/>
          <w:i/>
        </w:rPr>
        <w:t xml:space="preserve">enero de 2015 </w:t>
      </w:r>
      <w:r w:rsidR="009E773C" w:rsidRPr="008075BB">
        <w:rPr>
          <w:rFonts w:ascii="Bookman Old Style" w:hAnsi="Bookman Old Style"/>
          <w:i/>
        </w:rPr>
        <w:t>corresponderá al valor señalado en este artículo</w:t>
      </w:r>
      <w:r w:rsidR="00E12DE2" w:rsidRPr="008075BB">
        <w:rPr>
          <w:rFonts w:ascii="Bookman Old Style" w:hAnsi="Bookman Old Style"/>
          <w:i/>
        </w:rPr>
        <w:t xml:space="preserve"> para P</w:t>
      </w:r>
      <w:r w:rsidR="00E12DE2" w:rsidRPr="008075BB">
        <w:rPr>
          <w:rFonts w:ascii="Bookman Old Style" w:hAnsi="Bookman Old Style"/>
          <w:i/>
          <w:vertAlign w:val="subscript"/>
        </w:rPr>
        <w:t>j,1,0</w:t>
      </w:r>
      <w:r w:rsidR="009E773C" w:rsidRPr="008075BB">
        <w:rPr>
          <w:rFonts w:ascii="Bookman Old Style" w:hAnsi="Bookman Old Style"/>
          <w:i/>
        </w:rPr>
        <w:t xml:space="preserve">. </w:t>
      </w:r>
    </w:p>
    <w:p w:rsidR="003010CB" w:rsidRPr="00930457" w:rsidRDefault="003010CB" w:rsidP="003010CB">
      <w:pPr>
        <w:ind w:left="0"/>
        <w:rPr>
          <w:rFonts w:ascii="Bookman Old Style" w:hAnsi="Bookman Old Style"/>
          <w:b/>
          <w:sz w:val="40"/>
        </w:rPr>
      </w:pPr>
    </w:p>
    <w:p w:rsidR="008075BB" w:rsidRPr="008075BB" w:rsidRDefault="008075BB" w:rsidP="008075BB">
      <w:pPr>
        <w:ind w:left="0"/>
        <w:jc w:val="both"/>
        <w:rPr>
          <w:rFonts w:ascii="Bookman Old Style" w:hAnsi="Bookman Old Style" w:cs="Arial"/>
          <w:b/>
        </w:rPr>
      </w:pPr>
      <w:r w:rsidRPr="008075BB">
        <w:rPr>
          <w:rFonts w:ascii="Bookman Old Style" w:hAnsi="Bookman Old Style" w:cs="Arial"/>
          <w:b/>
        </w:rPr>
        <w:t xml:space="preserve">Articulo </w:t>
      </w:r>
      <w:r>
        <w:rPr>
          <w:rFonts w:ascii="Bookman Old Style" w:hAnsi="Bookman Old Style" w:cs="Arial"/>
          <w:b/>
        </w:rPr>
        <w:t>2</w:t>
      </w:r>
      <w:r w:rsidRPr="008075BB">
        <w:rPr>
          <w:rFonts w:ascii="Bookman Old Style" w:hAnsi="Bookman Old Style" w:cs="Arial"/>
          <w:b/>
        </w:rPr>
        <w:t xml:space="preserve">. </w:t>
      </w:r>
      <w:r w:rsidRPr="008075BB">
        <w:rPr>
          <w:rFonts w:ascii="Bookman Old Style" w:hAnsi="Bookman Old Style" w:cs="Arial"/>
        </w:rPr>
        <w:t>Modificar</w:t>
      </w:r>
      <w:r>
        <w:rPr>
          <w:rFonts w:ascii="Bookman Old Style" w:hAnsi="Bookman Old Style" w:cs="Arial"/>
        </w:rPr>
        <w:t xml:space="preserve"> el Artículo 2 de la Resolución CREG 060 de 2012, el cual quedará así:</w:t>
      </w:r>
    </w:p>
    <w:p w:rsidR="008075BB" w:rsidRPr="00930457" w:rsidRDefault="008075BB" w:rsidP="003010CB">
      <w:pPr>
        <w:ind w:left="0"/>
        <w:rPr>
          <w:rFonts w:ascii="Bookman Old Style" w:hAnsi="Bookman Old Style"/>
          <w:b/>
          <w:sz w:val="22"/>
        </w:rPr>
      </w:pPr>
    </w:p>
    <w:p w:rsidR="000B4E51" w:rsidRPr="008075BB" w:rsidRDefault="008075BB" w:rsidP="008075BB">
      <w:pPr>
        <w:pStyle w:val="Artculo"/>
        <w:numPr>
          <w:ilvl w:val="0"/>
          <w:numId w:val="0"/>
        </w:numPr>
        <w:ind w:left="567" w:right="425"/>
        <w:rPr>
          <w:i/>
        </w:rPr>
      </w:pPr>
      <w:bookmarkStart w:id="8" w:name="_Ref207937090"/>
      <w:r w:rsidRPr="008075BB">
        <w:rPr>
          <w:b/>
          <w:i/>
        </w:rPr>
        <w:t xml:space="preserve">Artículo 2. </w:t>
      </w:r>
      <w:r w:rsidR="003010CB" w:rsidRPr="008075BB">
        <w:rPr>
          <w:b/>
          <w:i/>
        </w:rPr>
        <w:t>Modificación del a</w:t>
      </w:r>
      <w:r w:rsidR="00E12DE2" w:rsidRPr="008075BB">
        <w:rPr>
          <w:b/>
          <w:i/>
        </w:rPr>
        <w:t xml:space="preserve">rtículo 6 de la Resolución CREG </w:t>
      </w:r>
      <w:r w:rsidR="003010CB" w:rsidRPr="008075BB">
        <w:rPr>
          <w:b/>
          <w:i/>
        </w:rPr>
        <w:t>10</w:t>
      </w:r>
      <w:r w:rsidR="009069EF" w:rsidRPr="008075BB">
        <w:rPr>
          <w:b/>
          <w:i/>
        </w:rPr>
        <w:t>0</w:t>
      </w:r>
      <w:r w:rsidR="003010CB" w:rsidRPr="008075BB">
        <w:rPr>
          <w:b/>
          <w:i/>
        </w:rPr>
        <w:t xml:space="preserve"> de 2009</w:t>
      </w:r>
      <w:r w:rsidR="000B4E51" w:rsidRPr="008075BB">
        <w:rPr>
          <w:b/>
          <w:i/>
        </w:rPr>
        <w:t>.</w:t>
      </w:r>
      <w:r w:rsidR="000B4E51" w:rsidRPr="008075BB">
        <w:rPr>
          <w:i/>
        </w:rPr>
        <w:t xml:space="preserve"> </w:t>
      </w:r>
      <w:r w:rsidR="003010CB" w:rsidRPr="008075BB">
        <w:rPr>
          <w:i/>
        </w:rPr>
        <w:t>El artículo 6 de la resolución CREG 10</w:t>
      </w:r>
      <w:r w:rsidR="000E5027" w:rsidRPr="008075BB">
        <w:rPr>
          <w:i/>
        </w:rPr>
        <w:t>0</w:t>
      </w:r>
      <w:r w:rsidR="003010CB" w:rsidRPr="008075BB">
        <w:rPr>
          <w:i/>
        </w:rPr>
        <w:t xml:space="preserve"> de 2009 queda así</w:t>
      </w:r>
      <w:r w:rsidR="000B4E51" w:rsidRPr="008075BB">
        <w:rPr>
          <w:i/>
        </w:rPr>
        <w:t>:</w:t>
      </w:r>
      <w:bookmarkEnd w:id="8"/>
    </w:p>
    <w:p w:rsidR="000B4E51" w:rsidRPr="008075BB" w:rsidRDefault="000B4E51" w:rsidP="008075BB">
      <w:pPr>
        <w:ind w:right="425"/>
        <w:jc w:val="both"/>
        <w:rPr>
          <w:rFonts w:ascii="Bookman Old Style" w:hAnsi="Bookman Old Style"/>
          <w:i/>
        </w:rPr>
      </w:pPr>
    </w:p>
    <w:p w:rsidR="003010CB" w:rsidRPr="008075BB" w:rsidRDefault="003010CB" w:rsidP="008075BB">
      <w:pPr>
        <w:pStyle w:val="Artculo"/>
        <w:numPr>
          <w:ilvl w:val="0"/>
          <w:numId w:val="0"/>
        </w:numPr>
        <w:ind w:left="567" w:right="425"/>
        <w:rPr>
          <w:i/>
        </w:rPr>
      </w:pPr>
      <w:r w:rsidRPr="008075BB">
        <w:rPr>
          <w:b/>
          <w:i/>
        </w:rPr>
        <w:t>“Artículo 6. Pérdidas reconocidas.</w:t>
      </w:r>
      <w:r w:rsidRPr="008075BB">
        <w:rPr>
          <w:i/>
        </w:rPr>
        <w:t xml:space="preserve"> Las pérdidas reconocidas para cada nivel de tensión del sistema operado por el OR </w:t>
      </w:r>
      <w:r w:rsidR="00E42576" w:rsidRPr="008075BB">
        <w:rPr>
          <w:i/>
        </w:rPr>
        <w:t>CODENSA</w:t>
      </w:r>
      <w:r w:rsidR="008A0306" w:rsidRPr="008075BB">
        <w:rPr>
          <w:i/>
        </w:rPr>
        <w:t xml:space="preserve"> S.A. E.S.P.</w:t>
      </w:r>
      <w:r w:rsidRPr="008075BB">
        <w:rPr>
          <w:i/>
        </w:rPr>
        <w:t>, calculadas en la forma es</w:t>
      </w:r>
      <w:r w:rsidR="00E12DE2" w:rsidRPr="008075BB">
        <w:rPr>
          <w:i/>
        </w:rPr>
        <w:t xml:space="preserve">tablecida en la Resolución CREG </w:t>
      </w:r>
      <w:r w:rsidRPr="008075BB">
        <w:rPr>
          <w:i/>
        </w:rPr>
        <w:t>097 de 2008 y 172 de 2011, son:</w:t>
      </w:r>
    </w:p>
    <w:p w:rsidR="003010CB" w:rsidRPr="008075BB" w:rsidRDefault="003010CB" w:rsidP="008075BB">
      <w:pPr>
        <w:pStyle w:val="Artculo"/>
        <w:numPr>
          <w:ilvl w:val="0"/>
          <w:numId w:val="0"/>
        </w:numPr>
        <w:ind w:left="567" w:right="425"/>
        <w:rPr>
          <w:i/>
        </w:rPr>
      </w:pPr>
    </w:p>
    <w:tbl>
      <w:tblPr>
        <w:tblStyle w:val="Tablaconcuadrcula"/>
        <w:tblW w:w="0" w:type="auto"/>
        <w:jc w:val="center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2"/>
        <w:gridCol w:w="1727"/>
      </w:tblGrid>
      <w:tr w:rsidR="003010CB" w:rsidRPr="008075BB" w:rsidTr="009E773C">
        <w:trPr>
          <w:trHeight w:val="406"/>
          <w:jc w:val="center"/>
        </w:trPr>
        <w:tc>
          <w:tcPr>
            <w:tcW w:w="4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10CB" w:rsidRPr="008075BB" w:rsidRDefault="003010CB" w:rsidP="008075BB">
            <w:pPr>
              <w:ind w:right="425"/>
              <w:jc w:val="center"/>
              <w:rPr>
                <w:rFonts w:ascii="Bookman Old Style" w:hAnsi="Bookman Old Style"/>
                <w:b/>
                <w:i/>
              </w:rPr>
            </w:pPr>
            <w:r w:rsidRPr="008075BB">
              <w:rPr>
                <w:rFonts w:ascii="Bookman Old Style" w:hAnsi="Bookman Old Style"/>
                <w:b/>
                <w:i/>
              </w:rPr>
              <w:t>Índice de pérdidas reconocidas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10CB" w:rsidRPr="008075BB" w:rsidRDefault="003010CB" w:rsidP="008075BB">
            <w:pPr>
              <w:ind w:right="425"/>
              <w:jc w:val="center"/>
              <w:rPr>
                <w:rFonts w:ascii="Bookman Old Style" w:hAnsi="Bookman Old Style"/>
                <w:b/>
                <w:i/>
              </w:rPr>
            </w:pPr>
            <w:r w:rsidRPr="008075BB">
              <w:rPr>
                <w:rFonts w:ascii="Bookman Old Style" w:hAnsi="Bookman Old Style"/>
                <w:b/>
                <w:i/>
              </w:rPr>
              <w:t>(%)</w:t>
            </w:r>
          </w:p>
        </w:tc>
      </w:tr>
      <w:tr w:rsidR="003010CB" w:rsidRPr="008075BB" w:rsidTr="00B36196">
        <w:trPr>
          <w:trHeight w:val="404"/>
          <w:jc w:val="center"/>
        </w:trPr>
        <w:tc>
          <w:tcPr>
            <w:tcW w:w="4542" w:type="dxa"/>
            <w:tcBorders>
              <w:top w:val="single" w:sz="12" w:space="0" w:color="auto"/>
            </w:tcBorders>
            <w:vAlign w:val="center"/>
          </w:tcPr>
          <w:p w:rsidR="003010CB" w:rsidRPr="008075BB" w:rsidRDefault="003010CB" w:rsidP="008075BB">
            <w:pPr>
              <w:ind w:right="425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Nivel de Tensión 4 (</w:t>
            </w:r>
            <w:r w:rsidRPr="008075BB">
              <w:rPr>
                <w:rFonts w:ascii="Bookman Old Style" w:hAnsi="Bookman Old Style"/>
                <w:b/>
                <w:i/>
              </w:rPr>
              <w:t>P</w:t>
            </w:r>
            <w:r w:rsidRPr="008075BB">
              <w:rPr>
                <w:rFonts w:ascii="Bookman Old Style" w:hAnsi="Bookman Old Style"/>
                <w:b/>
                <w:i/>
                <w:vertAlign w:val="subscript"/>
              </w:rPr>
              <w:t>j,4</w:t>
            </w:r>
            <w:r w:rsidRPr="008075BB">
              <w:rPr>
                <w:rFonts w:ascii="Bookman Old Style" w:hAnsi="Bookman Old Style"/>
                <w:i/>
              </w:rPr>
              <w:t>)</w:t>
            </w:r>
          </w:p>
        </w:tc>
        <w:tc>
          <w:tcPr>
            <w:tcW w:w="1662" w:type="dxa"/>
            <w:tcBorders>
              <w:top w:val="single" w:sz="12" w:space="0" w:color="auto"/>
            </w:tcBorders>
            <w:vAlign w:val="center"/>
          </w:tcPr>
          <w:p w:rsidR="003010CB" w:rsidRPr="008075BB" w:rsidRDefault="00B36196" w:rsidP="008075BB">
            <w:pPr>
              <w:ind w:right="425"/>
              <w:jc w:val="center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0,91</w:t>
            </w:r>
          </w:p>
        </w:tc>
      </w:tr>
      <w:tr w:rsidR="00B36196" w:rsidRPr="008075BB" w:rsidTr="00B36196">
        <w:trPr>
          <w:trHeight w:val="404"/>
          <w:jc w:val="center"/>
        </w:trPr>
        <w:tc>
          <w:tcPr>
            <w:tcW w:w="4542" w:type="dxa"/>
            <w:vAlign w:val="center"/>
          </w:tcPr>
          <w:p w:rsidR="00B36196" w:rsidRPr="008075BB" w:rsidRDefault="00B36196" w:rsidP="008075BB">
            <w:pPr>
              <w:ind w:right="425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Nivel de Tensión 3 (</w:t>
            </w:r>
            <w:r w:rsidRPr="008075BB">
              <w:rPr>
                <w:rFonts w:ascii="Bookman Old Style" w:hAnsi="Bookman Old Style"/>
                <w:b/>
                <w:i/>
              </w:rPr>
              <w:t>P</w:t>
            </w:r>
            <w:r w:rsidRPr="008075BB">
              <w:rPr>
                <w:rFonts w:ascii="Bookman Old Style" w:hAnsi="Bookman Old Style"/>
                <w:b/>
                <w:i/>
                <w:vertAlign w:val="subscript"/>
              </w:rPr>
              <w:t>j,</w:t>
            </w:r>
            <w:r w:rsidR="009E773C" w:rsidRPr="008075BB">
              <w:rPr>
                <w:rFonts w:ascii="Bookman Old Style" w:hAnsi="Bookman Old Style"/>
                <w:b/>
                <w:i/>
                <w:vertAlign w:val="subscript"/>
              </w:rPr>
              <w:t>3</w:t>
            </w:r>
            <w:r w:rsidRPr="008075BB">
              <w:rPr>
                <w:rFonts w:ascii="Bookman Old Style" w:hAnsi="Bookman Old Style"/>
                <w:i/>
              </w:rPr>
              <w:t>)</w:t>
            </w:r>
          </w:p>
        </w:tc>
        <w:tc>
          <w:tcPr>
            <w:tcW w:w="1662" w:type="dxa"/>
            <w:vAlign w:val="center"/>
          </w:tcPr>
          <w:p w:rsidR="00B36196" w:rsidRPr="008075BB" w:rsidRDefault="009069EF" w:rsidP="008075BB">
            <w:pPr>
              <w:ind w:right="425"/>
              <w:jc w:val="center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2</w:t>
            </w:r>
            <w:r w:rsidR="00E12DE2" w:rsidRPr="008075BB">
              <w:rPr>
                <w:rFonts w:ascii="Bookman Old Style" w:hAnsi="Bookman Old Style"/>
                <w:i/>
              </w:rPr>
              <w:t>,</w:t>
            </w:r>
            <w:r w:rsidRPr="008075BB">
              <w:rPr>
                <w:rFonts w:ascii="Bookman Old Style" w:hAnsi="Bookman Old Style"/>
                <w:i/>
              </w:rPr>
              <w:t>40</w:t>
            </w:r>
          </w:p>
        </w:tc>
      </w:tr>
      <w:tr w:rsidR="00B36196" w:rsidRPr="008075BB" w:rsidTr="00B36196">
        <w:trPr>
          <w:trHeight w:val="404"/>
          <w:jc w:val="center"/>
        </w:trPr>
        <w:tc>
          <w:tcPr>
            <w:tcW w:w="4542" w:type="dxa"/>
            <w:vAlign w:val="center"/>
          </w:tcPr>
          <w:p w:rsidR="00B36196" w:rsidRPr="008075BB" w:rsidRDefault="00B36196" w:rsidP="008075BB">
            <w:pPr>
              <w:ind w:right="425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Nivel de Tensión 2 (</w:t>
            </w:r>
            <w:r w:rsidRPr="008075BB">
              <w:rPr>
                <w:rFonts w:ascii="Bookman Old Style" w:hAnsi="Bookman Old Style"/>
                <w:b/>
                <w:i/>
              </w:rPr>
              <w:t>P</w:t>
            </w:r>
            <w:r w:rsidRPr="008075BB">
              <w:rPr>
                <w:rFonts w:ascii="Bookman Old Style" w:hAnsi="Bookman Old Style"/>
                <w:b/>
                <w:i/>
                <w:vertAlign w:val="subscript"/>
              </w:rPr>
              <w:t>j,</w:t>
            </w:r>
            <w:r w:rsidR="009E773C" w:rsidRPr="008075BB">
              <w:rPr>
                <w:rFonts w:ascii="Bookman Old Style" w:hAnsi="Bookman Old Style"/>
                <w:b/>
                <w:i/>
                <w:vertAlign w:val="subscript"/>
              </w:rPr>
              <w:t>2</w:t>
            </w:r>
            <w:r w:rsidRPr="008075BB">
              <w:rPr>
                <w:rFonts w:ascii="Bookman Old Style" w:hAnsi="Bookman Old Style"/>
                <w:i/>
              </w:rPr>
              <w:t>)</w:t>
            </w:r>
          </w:p>
        </w:tc>
        <w:tc>
          <w:tcPr>
            <w:tcW w:w="1662" w:type="dxa"/>
            <w:vAlign w:val="center"/>
          </w:tcPr>
          <w:p w:rsidR="00B36196" w:rsidRPr="008075BB" w:rsidRDefault="00E12DE2" w:rsidP="008075BB">
            <w:pPr>
              <w:ind w:right="425"/>
              <w:jc w:val="center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1,</w:t>
            </w:r>
            <w:r w:rsidR="009069EF" w:rsidRPr="008075BB">
              <w:rPr>
                <w:rFonts w:ascii="Bookman Old Style" w:hAnsi="Bookman Old Style"/>
                <w:i/>
              </w:rPr>
              <w:t>76</w:t>
            </w:r>
          </w:p>
        </w:tc>
      </w:tr>
      <w:tr w:rsidR="00B36196" w:rsidRPr="008075BB" w:rsidTr="00B36196">
        <w:trPr>
          <w:trHeight w:val="404"/>
          <w:jc w:val="center"/>
        </w:trPr>
        <w:tc>
          <w:tcPr>
            <w:tcW w:w="4542" w:type="dxa"/>
            <w:vAlign w:val="center"/>
          </w:tcPr>
          <w:p w:rsidR="00B36196" w:rsidRPr="008075BB" w:rsidRDefault="00B36196" w:rsidP="008075BB">
            <w:pPr>
              <w:ind w:right="425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Nivel de Tensión 1 (</w:t>
            </w:r>
            <w:r w:rsidRPr="008075BB">
              <w:rPr>
                <w:rFonts w:ascii="Bookman Old Style" w:hAnsi="Bookman Old Style"/>
                <w:b/>
                <w:i/>
              </w:rPr>
              <w:t>P</w:t>
            </w:r>
            <w:r w:rsidRPr="008075BB">
              <w:rPr>
                <w:rFonts w:ascii="Bookman Old Style" w:hAnsi="Bookman Old Style"/>
                <w:b/>
                <w:i/>
                <w:vertAlign w:val="subscript"/>
              </w:rPr>
              <w:t>j,</w:t>
            </w:r>
            <w:r w:rsidR="009E773C" w:rsidRPr="008075BB">
              <w:rPr>
                <w:rFonts w:ascii="Bookman Old Style" w:hAnsi="Bookman Old Style"/>
                <w:b/>
                <w:i/>
                <w:vertAlign w:val="subscript"/>
              </w:rPr>
              <w:t>1</w:t>
            </w:r>
            <w:r w:rsidRPr="008075BB">
              <w:rPr>
                <w:rFonts w:ascii="Bookman Old Style" w:hAnsi="Bookman Old Style"/>
                <w:i/>
              </w:rPr>
              <w:t>)</w:t>
            </w:r>
          </w:p>
        </w:tc>
        <w:tc>
          <w:tcPr>
            <w:tcW w:w="1662" w:type="dxa"/>
            <w:vAlign w:val="center"/>
          </w:tcPr>
          <w:p w:rsidR="00B36196" w:rsidRPr="008075BB" w:rsidRDefault="009069EF" w:rsidP="008075BB">
            <w:pPr>
              <w:ind w:right="425"/>
              <w:jc w:val="center"/>
              <w:rPr>
                <w:rFonts w:ascii="Bookman Old Style" w:hAnsi="Bookman Old Style"/>
                <w:i/>
              </w:rPr>
            </w:pPr>
            <w:r w:rsidRPr="008075BB">
              <w:rPr>
                <w:rFonts w:ascii="Bookman Old Style" w:hAnsi="Bookman Old Style"/>
                <w:i/>
              </w:rPr>
              <w:t>9</w:t>
            </w:r>
            <w:r w:rsidR="00E12DE2" w:rsidRPr="008075BB">
              <w:rPr>
                <w:rFonts w:ascii="Bookman Old Style" w:hAnsi="Bookman Old Style"/>
                <w:i/>
              </w:rPr>
              <w:t>,</w:t>
            </w:r>
            <w:r w:rsidR="00F51F53" w:rsidRPr="008075BB">
              <w:rPr>
                <w:rFonts w:ascii="Bookman Old Style" w:hAnsi="Bookman Old Style"/>
                <w:i/>
              </w:rPr>
              <w:t>6</w:t>
            </w:r>
            <w:r w:rsidR="008075BB">
              <w:rPr>
                <w:rFonts w:ascii="Bookman Old Style" w:hAnsi="Bookman Old Style"/>
                <w:i/>
              </w:rPr>
              <w:t>1</w:t>
            </w:r>
          </w:p>
        </w:tc>
      </w:tr>
    </w:tbl>
    <w:p w:rsidR="003010CB" w:rsidRPr="008075BB" w:rsidRDefault="003010CB" w:rsidP="008075BB">
      <w:pPr>
        <w:pStyle w:val="Artculo"/>
        <w:numPr>
          <w:ilvl w:val="0"/>
          <w:numId w:val="0"/>
        </w:numPr>
        <w:ind w:left="567" w:right="425"/>
        <w:rPr>
          <w:i/>
        </w:rPr>
      </w:pPr>
    </w:p>
    <w:p w:rsidR="003010CB" w:rsidRPr="008075BB" w:rsidRDefault="00B36196" w:rsidP="008075BB">
      <w:pPr>
        <w:pStyle w:val="Artculo"/>
        <w:numPr>
          <w:ilvl w:val="0"/>
          <w:numId w:val="0"/>
        </w:numPr>
        <w:ind w:left="567" w:right="425"/>
        <w:rPr>
          <w:i/>
        </w:rPr>
      </w:pPr>
      <w:r w:rsidRPr="008075BB">
        <w:rPr>
          <w:b/>
          <w:i/>
          <w:noProof/>
          <w:lang w:val="es-CO" w:eastAsia="es-CO"/>
        </w:rPr>
        <w:t>Parágrafo:</w:t>
      </w:r>
      <w:r w:rsidRPr="008075BB">
        <w:rPr>
          <w:i/>
          <w:noProof/>
          <w:lang w:val="es-CO" w:eastAsia="es-CO"/>
        </w:rPr>
        <w:t xml:space="preserve"> </w:t>
      </w:r>
      <w:r w:rsidR="001777E8" w:rsidRPr="008075BB">
        <w:rPr>
          <w:i/>
        </w:rPr>
        <w:t xml:space="preserve">A partir de la aprobación de la resolución </w:t>
      </w:r>
      <w:r w:rsidR="00034A51" w:rsidRPr="008075BB">
        <w:rPr>
          <w:i/>
        </w:rPr>
        <w:t xml:space="preserve">que </w:t>
      </w:r>
      <w:r w:rsidR="00E43F6B" w:rsidRPr="008075BB">
        <w:rPr>
          <w:i/>
        </w:rPr>
        <w:t xml:space="preserve">defina </w:t>
      </w:r>
      <w:r w:rsidR="00034A51" w:rsidRPr="008075BB">
        <w:rPr>
          <w:i/>
        </w:rPr>
        <w:t>el Índice de Pérdidas de Nivel de Tensión 1 reconocido para el sistema operado por CODENSA S.A. E.S.P.</w:t>
      </w:r>
      <w:r w:rsidR="001437E7" w:rsidRPr="008075BB">
        <w:rPr>
          <w:i/>
        </w:rPr>
        <w:t xml:space="preserve"> </w:t>
      </w:r>
      <w:r w:rsidR="001777E8" w:rsidRPr="008075BB">
        <w:rPr>
          <w:i/>
        </w:rPr>
        <w:t>y hasta el 3</w:t>
      </w:r>
      <w:r w:rsidR="00242121" w:rsidRPr="008075BB">
        <w:rPr>
          <w:i/>
        </w:rPr>
        <w:t xml:space="preserve">1 de diciembre </w:t>
      </w:r>
      <w:r w:rsidR="001777E8" w:rsidRPr="008075BB">
        <w:rPr>
          <w:i/>
        </w:rPr>
        <w:t>de</w:t>
      </w:r>
      <w:r w:rsidR="00242121" w:rsidRPr="008075BB">
        <w:rPr>
          <w:i/>
        </w:rPr>
        <w:t>l</w:t>
      </w:r>
      <w:r w:rsidR="001777E8" w:rsidRPr="008075BB">
        <w:rPr>
          <w:i/>
        </w:rPr>
        <w:t xml:space="preserve"> año 2013 el valor de P</w:t>
      </w:r>
      <w:r w:rsidR="001777E8" w:rsidRPr="008075BB">
        <w:rPr>
          <w:i/>
          <w:vertAlign w:val="subscript"/>
        </w:rPr>
        <w:t>j</w:t>
      </w:r>
      <w:proofErr w:type="gramStart"/>
      <w:r w:rsidR="001777E8" w:rsidRPr="008075BB">
        <w:rPr>
          <w:i/>
          <w:vertAlign w:val="subscript"/>
        </w:rPr>
        <w:t>,1</w:t>
      </w:r>
      <w:proofErr w:type="gramEnd"/>
      <w:r w:rsidR="001777E8" w:rsidRPr="008075BB">
        <w:rPr>
          <w:i/>
        </w:rPr>
        <w:t xml:space="preserve"> será igual a </w:t>
      </w:r>
      <w:r w:rsidR="009069EF" w:rsidRPr="008075BB">
        <w:rPr>
          <w:i/>
        </w:rPr>
        <w:t>10</w:t>
      </w:r>
      <w:r w:rsidR="001777E8" w:rsidRPr="008075BB">
        <w:rPr>
          <w:i/>
        </w:rPr>
        <w:t>,</w:t>
      </w:r>
      <w:r w:rsidR="009069EF" w:rsidRPr="008075BB">
        <w:rPr>
          <w:i/>
        </w:rPr>
        <w:t>07</w:t>
      </w:r>
      <w:r w:rsidR="00443A6B" w:rsidRPr="008075BB">
        <w:rPr>
          <w:i/>
        </w:rPr>
        <w:t xml:space="preserve"> %. Para el perí</w:t>
      </w:r>
      <w:r w:rsidR="001777E8" w:rsidRPr="008075BB">
        <w:rPr>
          <w:i/>
        </w:rPr>
        <w:t xml:space="preserve">odo comprendido entre el 1 de </w:t>
      </w:r>
      <w:r w:rsidR="00242121" w:rsidRPr="008075BB">
        <w:rPr>
          <w:i/>
        </w:rPr>
        <w:t xml:space="preserve">enero de 2014 </w:t>
      </w:r>
      <w:r w:rsidR="001777E8" w:rsidRPr="008075BB">
        <w:rPr>
          <w:i/>
        </w:rPr>
        <w:t>al 3</w:t>
      </w:r>
      <w:r w:rsidR="00242121" w:rsidRPr="008075BB">
        <w:rPr>
          <w:i/>
        </w:rPr>
        <w:t xml:space="preserve">1 de diciembre </w:t>
      </w:r>
      <w:r w:rsidR="001777E8" w:rsidRPr="008075BB">
        <w:rPr>
          <w:i/>
        </w:rPr>
        <w:t>de 2014 el valor de P</w:t>
      </w:r>
      <w:r w:rsidR="001777E8" w:rsidRPr="008075BB">
        <w:rPr>
          <w:i/>
          <w:vertAlign w:val="subscript"/>
        </w:rPr>
        <w:t>j</w:t>
      </w:r>
      <w:proofErr w:type="gramStart"/>
      <w:r w:rsidR="001777E8" w:rsidRPr="008075BB">
        <w:rPr>
          <w:i/>
          <w:vertAlign w:val="subscript"/>
        </w:rPr>
        <w:t>,1</w:t>
      </w:r>
      <w:proofErr w:type="gramEnd"/>
      <w:r w:rsidR="001777E8" w:rsidRPr="008075BB">
        <w:rPr>
          <w:i/>
        </w:rPr>
        <w:t xml:space="preserve"> será igual a </w:t>
      </w:r>
      <w:r w:rsidR="009069EF" w:rsidRPr="008075BB">
        <w:rPr>
          <w:i/>
        </w:rPr>
        <w:t>9,</w:t>
      </w:r>
      <w:r w:rsidR="007C6D33" w:rsidRPr="008075BB">
        <w:rPr>
          <w:i/>
        </w:rPr>
        <w:t>84</w:t>
      </w:r>
      <w:r w:rsidR="001777E8" w:rsidRPr="008075BB">
        <w:rPr>
          <w:i/>
        </w:rPr>
        <w:t xml:space="preserve"> % y a partir del 1 de </w:t>
      </w:r>
      <w:r w:rsidR="00242121" w:rsidRPr="008075BB">
        <w:rPr>
          <w:i/>
        </w:rPr>
        <w:t xml:space="preserve">enero de 2015 </w:t>
      </w:r>
      <w:r w:rsidR="001777E8" w:rsidRPr="008075BB">
        <w:rPr>
          <w:i/>
        </w:rPr>
        <w:t>corresponderá al valor señalado en este artículo.</w:t>
      </w:r>
      <w:r w:rsidR="00E12DE2" w:rsidRPr="008075BB">
        <w:rPr>
          <w:i/>
        </w:rPr>
        <w:t>”</w:t>
      </w:r>
    </w:p>
    <w:p w:rsidR="00B36196" w:rsidRPr="004E6C16" w:rsidRDefault="001472F7" w:rsidP="001472F7">
      <w:pPr>
        <w:pStyle w:val="Artculo"/>
        <w:numPr>
          <w:ilvl w:val="0"/>
          <w:numId w:val="0"/>
        </w:numPr>
      </w:pPr>
      <w:r>
        <w:rPr>
          <w:b/>
        </w:rPr>
        <w:lastRenderedPageBreak/>
        <w:t xml:space="preserve">Artículo 3. </w:t>
      </w:r>
      <w:r w:rsidR="004E6C16" w:rsidRPr="004E6C16">
        <w:t xml:space="preserve">Notificar personalmente al representante legal de la Empresa </w:t>
      </w:r>
      <w:r w:rsidR="00CB5B0A">
        <w:t xml:space="preserve">Codensa </w:t>
      </w:r>
      <w:r w:rsidR="004E6C16" w:rsidRPr="00CB5B0A">
        <w:t>S.A. E.S.P.</w:t>
      </w:r>
      <w:r w:rsidR="004E6C16" w:rsidRPr="004E6C16">
        <w:t xml:space="preserve"> el contenido de esta resolución, y hacerle saber que contra lo dispuesto en este acto no procede recurso alguno por la vía gubernativa. Publíquese en el </w:t>
      </w:r>
      <w:r w:rsidR="004E6C16" w:rsidRPr="00930457">
        <w:rPr>
          <w:i/>
        </w:rPr>
        <w:t>Diario Oficial</w:t>
      </w:r>
      <w:r w:rsidR="004E6C16" w:rsidRPr="004E6C16">
        <w:t>.</w:t>
      </w:r>
    </w:p>
    <w:p w:rsidR="000B4E51" w:rsidRPr="000B4E51" w:rsidRDefault="000B4E51" w:rsidP="000B4E51">
      <w:pPr>
        <w:jc w:val="both"/>
        <w:rPr>
          <w:rFonts w:ascii="Bookman Old Style" w:hAnsi="Bookman Old Style"/>
        </w:rPr>
      </w:pPr>
    </w:p>
    <w:p w:rsidR="000B4E51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p w:rsidR="000B1944" w:rsidRPr="000058F4" w:rsidRDefault="00B36196" w:rsidP="000B1944">
      <w:pPr>
        <w:ind w:left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NOTIFÍQUESE, </w:t>
      </w:r>
      <w:r w:rsidR="000B1944">
        <w:rPr>
          <w:rFonts w:ascii="Bookman Old Style" w:hAnsi="Bookman Old Style"/>
          <w:b/>
        </w:rPr>
        <w:t>PUBLÍQUESE</w:t>
      </w:r>
      <w:r w:rsidR="000B1944" w:rsidRPr="000058F4">
        <w:rPr>
          <w:rFonts w:ascii="Bookman Old Style" w:hAnsi="Bookman Old Style"/>
          <w:b/>
        </w:rPr>
        <w:t xml:space="preserve"> Y CÚMPLASE</w:t>
      </w:r>
    </w:p>
    <w:p w:rsidR="000B4E51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p w:rsidR="000B1944" w:rsidRDefault="000B1944" w:rsidP="000B4E51">
      <w:pPr>
        <w:jc w:val="both"/>
        <w:rPr>
          <w:rFonts w:ascii="Bookman Old Style" w:hAnsi="Bookman Old Style" w:cs="Arial"/>
          <w:spacing w:val="-3"/>
        </w:rPr>
      </w:pPr>
    </w:p>
    <w:p w:rsidR="000B4E51" w:rsidRDefault="000B1944" w:rsidP="000B1944">
      <w:pPr>
        <w:ind w:left="0"/>
        <w:jc w:val="both"/>
        <w:rPr>
          <w:rFonts w:ascii="Bookman Old Style" w:hAnsi="Bookman Old Style" w:cs="Arial"/>
          <w:spacing w:val="-3"/>
        </w:rPr>
      </w:pPr>
      <w:r>
        <w:rPr>
          <w:rFonts w:ascii="Bookman Old Style" w:hAnsi="Bookman Old Style" w:cs="Arial"/>
          <w:spacing w:val="-3"/>
        </w:rPr>
        <w:t xml:space="preserve">Dada en Bogotá, D.C., a los </w:t>
      </w:r>
    </w:p>
    <w:p w:rsidR="000B4E51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p w:rsidR="00443A6B" w:rsidRDefault="00443A6B" w:rsidP="000B4E51">
      <w:pPr>
        <w:jc w:val="both"/>
        <w:rPr>
          <w:rFonts w:ascii="Bookman Old Style" w:hAnsi="Bookman Old Style" w:cs="Arial"/>
          <w:spacing w:val="-3"/>
        </w:rPr>
      </w:pPr>
    </w:p>
    <w:p w:rsidR="00443A6B" w:rsidRDefault="00443A6B" w:rsidP="000B4E51">
      <w:pPr>
        <w:jc w:val="both"/>
        <w:rPr>
          <w:rFonts w:ascii="Bookman Old Style" w:hAnsi="Bookman Old Style" w:cs="Arial"/>
          <w:spacing w:val="-3"/>
        </w:rPr>
      </w:pPr>
    </w:p>
    <w:p w:rsidR="00443A6B" w:rsidRDefault="00443A6B" w:rsidP="000B4E51">
      <w:pPr>
        <w:jc w:val="both"/>
        <w:rPr>
          <w:rFonts w:ascii="Bookman Old Style" w:hAnsi="Bookman Old Style" w:cs="Arial"/>
          <w:spacing w:val="-3"/>
        </w:rPr>
      </w:pPr>
    </w:p>
    <w:p w:rsidR="000B4E51" w:rsidRPr="000B4E51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tbl>
      <w:tblPr>
        <w:tblW w:w="0" w:type="auto"/>
        <w:jc w:val="center"/>
        <w:tblInd w:w="-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4"/>
        <w:gridCol w:w="4624"/>
      </w:tblGrid>
      <w:tr w:rsidR="000B4E51" w:rsidRPr="000B4E51" w:rsidTr="001921CF">
        <w:trPr>
          <w:trHeight w:val="391"/>
          <w:jc w:val="center"/>
        </w:trPr>
        <w:tc>
          <w:tcPr>
            <w:tcW w:w="4624" w:type="dxa"/>
            <w:vAlign w:val="center"/>
          </w:tcPr>
          <w:p w:rsidR="000B4E51" w:rsidRPr="000B4E51" w:rsidRDefault="00930457" w:rsidP="000B4E51">
            <w:pPr>
              <w:ind w:left="-3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FEDERICO RENJIFO VELEZ</w:t>
            </w:r>
          </w:p>
        </w:tc>
        <w:tc>
          <w:tcPr>
            <w:tcW w:w="4624" w:type="dxa"/>
            <w:vAlign w:val="center"/>
          </w:tcPr>
          <w:p w:rsidR="000B4E51" w:rsidRPr="000B4E51" w:rsidRDefault="00B36196" w:rsidP="00B36196">
            <w:pPr>
              <w:ind w:left="-7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 xml:space="preserve">GERMÁN CASTRO FERREIRA </w:t>
            </w:r>
          </w:p>
        </w:tc>
      </w:tr>
      <w:tr w:rsidR="000B4E51" w:rsidRPr="000B4E51" w:rsidTr="001921CF">
        <w:trPr>
          <w:jc w:val="center"/>
        </w:trPr>
        <w:tc>
          <w:tcPr>
            <w:tcW w:w="4624" w:type="dxa"/>
          </w:tcPr>
          <w:p w:rsidR="000B4E51" w:rsidRDefault="00930457" w:rsidP="00EF529D">
            <w:pPr>
              <w:ind w:left="-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Ministro de Minas y Energía</w:t>
            </w:r>
          </w:p>
          <w:p w:rsidR="00930457" w:rsidRPr="000B4E51" w:rsidRDefault="00930457" w:rsidP="00EF529D">
            <w:pPr>
              <w:ind w:left="-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Presidente</w:t>
            </w:r>
          </w:p>
        </w:tc>
        <w:tc>
          <w:tcPr>
            <w:tcW w:w="4624" w:type="dxa"/>
          </w:tcPr>
          <w:p w:rsidR="000B4E51" w:rsidRPr="000B4E51" w:rsidRDefault="000B4E51" w:rsidP="000B4E51">
            <w:pPr>
              <w:ind w:left="-70"/>
              <w:jc w:val="center"/>
              <w:rPr>
                <w:rFonts w:ascii="Bookman Old Style" w:hAnsi="Bookman Old Style"/>
              </w:rPr>
            </w:pPr>
            <w:r w:rsidRPr="000B4E51">
              <w:rPr>
                <w:rFonts w:ascii="Bookman Old Style" w:hAnsi="Bookman Old Style"/>
              </w:rPr>
              <w:t>Director Ejecutivo</w:t>
            </w:r>
          </w:p>
        </w:tc>
      </w:tr>
      <w:tr w:rsidR="000B4E51" w:rsidRPr="000B4E51" w:rsidTr="001921CF">
        <w:trPr>
          <w:jc w:val="center"/>
        </w:trPr>
        <w:tc>
          <w:tcPr>
            <w:tcW w:w="4624" w:type="dxa"/>
          </w:tcPr>
          <w:p w:rsidR="000B4E51" w:rsidRPr="000B4E51" w:rsidRDefault="000B4E51" w:rsidP="000B4E51">
            <w:pPr>
              <w:ind w:left="-3"/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  <w:tc>
          <w:tcPr>
            <w:tcW w:w="4624" w:type="dxa"/>
          </w:tcPr>
          <w:p w:rsidR="000B4E51" w:rsidRPr="000B4E51" w:rsidRDefault="000B4E51" w:rsidP="000B4E51">
            <w:pPr>
              <w:ind w:left="-70"/>
              <w:jc w:val="both"/>
              <w:rPr>
                <w:rFonts w:ascii="Bookman Old Style" w:hAnsi="Bookman Old Style"/>
              </w:rPr>
            </w:pPr>
          </w:p>
        </w:tc>
      </w:tr>
      <w:tr w:rsidR="000B4E51" w:rsidRPr="000B4E51" w:rsidTr="001921CF">
        <w:trPr>
          <w:jc w:val="center"/>
        </w:trPr>
        <w:tc>
          <w:tcPr>
            <w:tcW w:w="4624" w:type="dxa"/>
          </w:tcPr>
          <w:p w:rsidR="000B4E51" w:rsidRPr="000B4E51" w:rsidRDefault="000B4E51" w:rsidP="000B4E51">
            <w:pPr>
              <w:ind w:left="-3"/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  <w:tc>
          <w:tcPr>
            <w:tcW w:w="4624" w:type="dxa"/>
          </w:tcPr>
          <w:p w:rsidR="000B4E51" w:rsidRPr="000B4E51" w:rsidRDefault="000B4E51" w:rsidP="000B4E51">
            <w:pPr>
              <w:ind w:left="-70"/>
              <w:jc w:val="both"/>
              <w:rPr>
                <w:rFonts w:ascii="Bookman Old Style" w:hAnsi="Bookman Old Style"/>
              </w:rPr>
            </w:pPr>
          </w:p>
        </w:tc>
      </w:tr>
    </w:tbl>
    <w:p w:rsidR="000B4E51" w:rsidRPr="000B4E51" w:rsidRDefault="000B4E51" w:rsidP="000B4E51">
      <w:pPr>
        <w:jc w:val="both"/>
        <w:rPr>
          <w:rFonts w:ascii="Bookman Old Style" w:hAnsi="Bookman Old Style" w:cs="Arial"/>
        </w:rPr>
      </w:pPr>
    </w:p>
    <w:p w:rsidR="00C06D5A" w:rsidRDefault="00C06D5A" w:rsidP="00AD02E6">
      <w:pPr>
        <w:ind w:left="0"/>
        <w:jc w:val="both"/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Pr="00C06D5A" w:rsidRDefault="00C06D5A" w:rsidP="00C06D5A">
      <w:pPr>
        <w:rPr>
          <w:rFonts w:ascii="Bookman Old Style" w:hAnsi="Bookman Old Style" w:cs="Arial"/>
        </w:rPr>
      </w:pPr>
    </w:p>
    <w:p w:rsidR="00C06D5A" w:rsidRDefault="00C06D5A" w:rsidP="00C06D5A">
      <w:pPr>
        <w:rPr>
          <w:rFonts w:ascii="Bookman Old Style" w:hAnsi="Bookman Old Style" w:cs="Arial"/>
        </w:rPr>
      </w:pPr>
    </w:p>
    <w:p w:rsidR="00C06D5A" w:rsidRDefault="00C06D5A" w:rsidP="00C06D5A">
      <w:pPr>
        <w:rPr>
          <w:rFonts w:ascii="Bookman Old Style" w:hAnsi="Bookman Old Style" w:cs="Arial"/>
        </w:rPr>
      </w:pPr>
    </w:p>
    <w:p w:rsidR="00C06D5A" w:rsidRDefault="00C06D5A" w:rsidP="00C06D5A">
      <w:pPr>
        <w:rPr>
          <w:rFonts w:ascii="Bookman Old Style" w:hAnsi="Bookman Old Style" w:cs="Arial"/>
        </w:rPr>
      </w:pPr>
    </w:p>
    <w:p w:rsidR="000B4E51" w:rsidRPr="00C06D5A" w:rsidRDefault="00C06D5A" w:rsidP="00C06D5A">
      <w:pPr>
        <w:tabs>
          <w:tab w:val="left" w:pos="3285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</w:p>
    <w:sectPr w:rsidR="000B4E51" w:rsidRPr="00C06D5A" w:rsidSect="00FA4B01">
      <w:headerReference w:type="default" r:id="rId12"/>
      <w:headerReference w:type="first" r:id="rId13"/>
      <w:type w:val="continuous"/>
      <w:pgSz w:w="12242" w:h="18722" w:code="123"/>
      <w:pgMar w:top="2341" w:right="1185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85" w:rsidRDefault="00F12085">
      <w:r>
        <w:separator/>
      </w:r>
    </w:p>
  </w:endnote>
  <w:endnote w:type="continuationSeparator" w:id="0">
    <w:p w:rsidR="00F12085" w:rsidRDefault="00F1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85" w:rsidRDefault="00F12085">
      <w:r>
        <w:separator/>
      </w:r>
    </w:p>
  </w:footnote>
  <w:footnote w:type="continuationSeparator" w:id="0">
    <w:p w:rsidR="00F12085" w:rsidRDefault="00F1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01" w:rsidRDefault="00FA4B01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FA4B01" w:rsidRPr="00951F79" w:rsidRDefault="00FA4B01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A22B8C">
      <w:rPr>
        <w:rFonts w:ascii="Bookman Old Style" w:hAnsi="Bookman Old Style" w:cs="Arial"/>
        <w:b w:val="0"/>
        <w:noProof/>
        <w:sz w:val="22"/>
        <w:szCs w:val="22"/>
      </w:rPr>
      <w:t>7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A22B8C" w:rsidRPr="00A22B8C">
        <w:rPr>
          <w:rFonts w:ascii="Bookman Old Style" w:hAnsi="Bookman Old Style" w:cs="Arial"/>
          <w:b w:val="0"/>
          <w:noProof/>
          <w:sz w:val="22"/>
          <w:szCs w:val="22"/>
        </w:rPr>
        <w:t>7</w:t>
      </w:r>
    </w:fldSimple>
  </w:p>
  <w:p w:rsidR="00FA4B01" w:rsidRDefault="00FA4B01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FFD055" wp14:editId="51E8261E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FA4B01" w:rsidRPr="007847FE" w:rsidRDefault="00681008" w:rsidP="00AD01E4">
    <w:pPr>
      <w:pBdr>
        <w:bottom w:val="single" w:sz="4" w:space="1" w:color="auto"/>
      </w:pBdr>
      <w:ind w:left="142" w:right="148"/>
      <w:rPr>
        <w:b/>
        <w:sz w:val="20"/>
        <w:szCs w:val="22"/>
      </w:rPr>
    </w:pPr>
    <w:r w:rsidRPr="007847FE">
      <w:rPr>
        <w:rFonts w:ascii="Bookman Old Style" w:hAnsi="Bookman Old Style" w:cs="Arial"/>
        <w:sz w:val="22"/>
      </w:rPr>
      <w:t>Por la cual se resuelve el recurso de reposición interpuesto por CODENSA S.A. E.S.P. contra la Resolución CREG 060 de 2012.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01" w:rsidRDefault="00FA4B01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FA4B01" w:rsidRDefault="00FA4B01">
    <w:pPr>
      <w:pStyle w:val="Encabezado"/>
      <w:jc w:val="center"/>
      <w:rPr>
        <w:rFonts w:ascii="Arial" w:hAnsi="Arial" w:cs="Arial"/>
        <w:spacing w:val="20"/>
        <w:sz w:val="20"/>
      </w:rPr>
    </w:pPr>
  </w:p>
  <w:p w:rsidR="00FA4B01" w:rsidRDefault="00FA4B01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B3621" wp14:editId="02789152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B4BA6"/>
    <w:multiLevelType w:val="hybridMultilevel"/>
    <w:tmpl w:val="7ABACD60"/>
    <w:name w:val="WW8Num64232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33740"/>
    <w:multiLevelType w:val="hybridMultilevel"/>
    <w:tmpl w:val="87B47EC4"/>
    <w:lvl w:ilvl="0" w:tplc="24E00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A4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61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02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41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08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E4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6B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26398"/>
    <w:multiLevelType w:val="multilevel"/>
    <w:tmpl w:val="9C6205C8"/>
    <w:lvl w:ilvl="0">
      <w:start w:val="1"/>
      <w:numFmt w:val="decimal"/>
      <w:lvlText w:val="ANEXO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BF00E26"/>
    <w:multiLevelType w:val="hybridMultilevel"/>
    <w:tmpl w:val="94FE3786"/>
    <w:lvl w:ilvl="0" w:tplc="C7D84174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97F5A"/>
    <w:multiLevelType w:val="hybridMultilevel"/>
    <w:tmpl w:val="00A2C710"/>
    <w:lvl w:ilvl="0" w:tplc="E77639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42951"/>
    <w:multiLevelType w:val="hybridMultilevel"/>
    <w:tmpl w:val="93CC77CC"/>
    <w:lvl w:ilvl="0" w:tplc="3D3EC566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663F1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E51660"/>
    <w:multiLevelType w:val="hybridMultilevel"/>
    <w:tmpl w:val="4A18FE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550E3"/>
    <w:multiLevelType w:val="hybridMultilevel"/>
    <w:tmpl w:val="FDAC7B4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9207C"/>
    <w:multiLevelType w:val="hybridMultilevel"/>
    <w:tmpl w:val="A3161AD8"/>
    <w:lvl w:ilvl="0" w:tplc="BC163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71D8A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734CB"/>
    <w:multiLevelType w:val="hybridMultilevel"/>
    <w:tmpl w:val="F91A105E"/>
    <w:lvl w:ilvl="0" w:tplc="240A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3">
    <w:nsid w:val="41B91CF1"/>
    <w:multiLevelType w:val="hybridMultilevel"/>
    <w:tmpl w:val="3D3A50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E2F0F"/>
    <w:multiLevelType w:val="hybridMultilevel"/>
    <w:tmpl w:val="11AA2ECA"/>
    <w:name w:val="Lista4322222"/>
    <w:lvl w:ilvl="0" w:tplc="07E0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30A6" w:tentative="1">
      <w:start w:val="1"/>
      <w:numFmt w:val="lowerLetter"/>
      <w:lvlText w:val="%2."/>
      <w:lvlJc w:val="left"/>
      <w:pPr>
        <w:ind w:left="1440" w:hanging="360"/>
      </w:pPr>
    </w:lvl>
    <w:lvl w:ilvl="2" w:tplc="A3940E8A" w:tentative="1">
      <w:start w:val="1"/>
      <w:numFmt w:val="lowerRoman"/>
      <w:lvlText w:val="%3."/>
      <w:lvlJc w:val="right"/>
      <w:pPr>
        <w:ind w:left="2160" w:hanging="180"/>
      </w:pPr>
    </w:lvl>
    <w:lvl w:ilvl="3" w:tplc="187A6DB8" w:tentative="1">
      <w:start w:val="1"/>
      <w:numFmt w:val="decimal"/>
      <w:lvlText w:val="%4."/>
      <w:lvlJc w:val="left"/>
      <w:pPr>
        <w:ind w:left="2880" w:hanging="360"/>
      </w:pPr>
    </w:lvl>
    <w:lvl w:ilvl="4" w:tplc="B1CEA2E0" w:tentative="1">
      <w:start w:val="1"/>
      <w:numFmt w:val="lowerLetter"/>
      <w:lvlText w:val="%5."/>
      <w:lvlJc w:val="left"/>
      <w:pPr>
        <w:ind w:left="3600" w:hanging="360"/>
      </w:pPr>
    </w:lvl>
    <w:lvl w:ilvl="5" w:tplc="DD268AD8" w:tentative="1">
      <w:start w:val="1"/>
      <w:numFmt w:val="lowerRoman"/>
      <w:lvlText w:val="%6."/>
      <w:lvlJc w:val="right"/>
      <w:pPr>
        <w:ind w:left="4320" w:hanging="180"/>
      </w:pPr>
    </w:lvl>
    <w:lvl w:ilvl="6" w:tplc="FE7A34A2" w:tentative="1">
      <w:start w:val="1"/>
      <w:numFmt w:val="decimal"/>
      <w:lvlText w:val="%7."/>
      <w:lvlJc w:val="left"/>
      <w:pPr>
        <w:ind w:left="5040" w:hanging="360"/>
      </w:pPr>
    </w:lvl>
    <w:lvl w:ilvl="7" w:tplc="AFCA5AC2" w:tentative="1">
      <w:start w:val="1"/>
      <w:numFmt w:val="lowerLetter"/>
      <w:lvlText w:val="%8."/>
      <w:lvlJc w:val="left"/>
      <w:pPr>
        <w:ind w:left="5760" w:hanging="360"/>
      </w:pPr>
    </w:lvl>
    <w:lvl w:ilvl="8" w:tplc="179A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8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2EF74C9"/>
    <w:multiLevelType w:val="hybridMultilevel"/>
    <w:tmpl w:val="E18656F6"/>
    <w:lvl w:ilvl="0" w:tplc="70DC267A">
      <w:start w:val="1"/>
      <w:numFmt w:val="decimal"/>
      <w:pStyle w:val="Artculo"/>
      <w:lvlText w:val="Artículo %1."/>
      <w:lvlJc w:val="left"/>
      <w:pPr>
        <w:ind w:left="2204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7A1E3F"/>
    <w:multiLevelType w:val="hybridMultilevel"/>
    <w:tmpl w:val="13866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20DE6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82328"/>
    <w:multiLevelType w:val="hybridMultilevel"/>
    <w:tmpl w:val="4C585FF0"/>
    <w:lvl w:ilvl="0" w:tplc="CBC85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4B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2F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8B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E3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749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2E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0B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CE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C00230"/>
    <w:multiLevelType w:val="hybridMultilevel"/>
    <w:tmpl w:val="116E1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DB3F5A"/>
    <w:multiLevelType w:val="hybridMultilevel"/>
    <w:tmpl w:val="0E7E6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6644F4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34111"/>
    <w:multiLevelType w:val="hybridMultilevel"/>
    <w:tmpl w:val="BA447440"/>
    <w:lvl w:ilvl="0" w:tplc="89808780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72C07A0">
      <w:start w:val="2"/>
      <w:numFmt w:val="lowerRoman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CE80B39C">
      <w:start w:val="1"/>
      <w:numFmt w:val="lowerLetter"/>
      <w:lvlText w:val="%3."/>
      <w:lvlJc w:val="left"/>
      <w:pPr>
        <w:ind w:left="4140" w:hanging="360"/>
      </w:pPr>
      <w:rPr>
        <w:rFonts w:hint="default"/>
      </w:rPr>
    </w:lvl>
    <w:lvl w:ilvl="3" w:tplc="364EA008">
      <w:start w:val="1"/>
      <w:numFmt w:val="decimal"/>
      <w:lvlText w:val="%4."/>
      <w:lvlJc w:val="left"/>
      <w:pPr>
        <w:ind w:left="46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966F4"/>
    <w:multiLevelType w:val="hybridMultilevel"/>
    <w:tmpl w:val="FB1C1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43"/>
  </w:num>
  <w:num w:numId="4">
    <w:abstractNumId w:val="11"/>
  </w:num>
  <w:num w:numId="5">
    <w:abstractNumId w:val="33"/>
  </w:num>
  <w:num w:numId="6">
    <w:abstractNumId w:val="4"/>
  </w:num>
  <w:num w:numId="7">
    <w:abstractNumId w:val="3"/>
  </w:num>
  <w:num w:numId="8">
    <w:abstractNumId w:val="36"/>
  </w:num>
  <w:num w:numId="9">
    <w:abstractNumId w:val="34"/>
  </w:num>
  <w:num w:numId="10">
    <w:abstractNumId w:val="26"/>
  </w:num>
  <w:num w:numId="11">
    <w:abstractNumId w:val="44"/>
  </w:num>
  <w:num w:numId="12">
    <w:abstractNumId w:val="41"/>
  </w:num>
  <w:num w:numId="13">
    <w:abstractNumId w:val="19"/>
  </w:num>
  <w:num w:numId="14">
    <w:abstractNumId w:val="2"/>
  </w:num>
  <w:num w:numId="15">
    <w:abstractNumId w:val="27"/>
  </w:num>
  <w:num w:numId="16">
    <w:abstractNumId w:val="1"/>
  </w:num>
  <w:num w:numId="17">
    <w:abstractNumId w:val="18"/>
  </w:num>
  <w:num w:numId="18">
    <w:abstractNumId w:val="0"/>
  </w:num>
  <w:num w:numId="19">
    <w:abstractNumId w:val="38"/>
  </w:num>
  <w:num w:numId="20">
    <w:abstractNumId w:val="28"/>
  </w:num>
  <w:num w:numId="21">
    <w:abstractNumId w:val="12"/>
  </w:num>
  <w:num w:numId="22">
    <w:abstractNumId w:val="15"/>
  </w:num>
  <w:num w:numId="23">
    <w:abstractNumId w:val="7"/>
  </w:num>
  <w:num w:numId="24">
    <w:abstractNumId w:val="29"/>
  </w:num>
  <w:num w:numId="25">
    <w:abstractNumId w:val="20"/>
  </w:num>
  <w:num w:numId="26">
    <w:abstractNumId w:val="24"/>
  </w:num>
  <w:num w:numId="27">
    <w:abstractNumId w:val="32"/>
  </w:num>
  <w:num w:numId="28">
    <w:abstractNumId w:val="22"/>
  </w:num>
  <w:num w:numId="29">
    <w:abstractNumId w:val="8"/>
  </w:num>
  <w:num w:numId="30">
    <w:abstractNumId w:val="39"/>
  </w:num>
  <w:num w:numId="31">
    <w:abstractNumId w:val="14"/>
  </w:num>
  <w:num w:numId="32">
    <w:abstractNumId w:val="21"/>
  </w:num>
  <w:num w:numId="33">
    <w:abstractNumId w:val="16"/>
  </w:num>
  <w:num w:numId="34">
    <w:abstractNumId w:val="17"/>
  </w:num>
  <w:num w:numId="35">
    <w:abstractNumId w:val="9"/>
  </w:num>
  <w:num w:numId="36">
    <w:abstractNumId w:val="37"/>
  </w:num>
  <w:num w:numId="37">
    <w:abstractNumId w:val="40"/>
  </w:num>
  <w:num w:numId="38">
    <w:abstractNumId w:val="6"/>
  </w:num>
  <w:num w:numId="39">
    <w:abstractNumId w:val="31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2"/>
  </w:num>
  <w:num w:numId="44">
    <w:abstractNumId w:val="23"/>
  </w:num>
  <w:num w:numId="45">
    <w:abstractNumId w:val="10"/>
  </w:num>
  <w:num w:numId="46">
    <w:abstractNumId w:val="30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6AE2"/>
    <w:rsid w:val="000075B9"/>
    <w:rsid w:val="000076A1"/>
    <w:rsid w:val="00011A72"/>
    <w:rsid w:val="00012259"/>
    <w:rsid w:val="00025383"/>
    <w:rsid w:val="00034A51"/>
    <w:rsid w:val="00041B54"/>
    <w:rsid w:val="00045D3D"/>
    <w:rsid w:val="000577E1"/>
    <w:rsid w:val="00063657"/>
    <w:rsid w:val="0006600D"/>
    <w:rsid w:val="00076680"/>
    <w:rsid w:val="00076A1D"/>
    <w:rsid w:val="00077527"/>
    <w:rsid w:val="0008073E"/>
    <w:rsid w:val="00091CDB"/>
    <w:rsid w:val="00092426"/>
    <w:rsid w:val="000A1503"/>
    <w:rsid w:val="000A19AC"/>
    <w:rsid w:val="000B1944"/>
    <w:rsid w:val="000B2EC9"/>
    <w:rsid w:val="000B4E51"/>
    <w:rsid w:val="000D26F8"/>
    <w:rsid w:val="000E26E9"/>
    <w:rsid w:val="000E2F2D"/>
    <w:rsid w:val="000E5027"/>
    <w:rsid w:val="00114D4A"/>
    <w:rsid w:val="001159F3"/>
    <w:rsid w:val="001206E5"/>
    <w:rsid w:val="0013526C"/>
    <w:rsid w:val="001366F2"/>
    <w:rsid w:val="00136FDF"/>
    <w:rsid w:val="00137629"/>
    <w:rsid w:val="001405C6"/>
    <w:rsid w:val="00141013"/>
    <w:rsid w:val="001437E7"/>
    <w:rsid w:val="001472F7"/>
    <w:rsid w:val="00156DB2"/>
    <w:rsid w:val="00157FD9"/>
    <w:rsid w:val="0017388A"/>
    <w:rsid w:val="001777E8"/>
    <w:rsid w:val="001921CF"/>
    <w:rsid w:val="00192CBF"/>
    <w:rsid w:val="00192FF1"/>
    <w:rsid w:val="001A5F1B"/>
    <w:rsid w:val="001B1C22"/>
    <w:rsid w:val="001B34C6"/>
    <w:rsid w:val="001B61FB"/>
    <w:rsid w:val="001D3EAB"/>
    <w:rsid w:val="001D7832"/>
    <w:rsid w:val="001D7EFA"/>
    <w:rsid w:val="001F6E1B"/>
    <w:rsid w:val="0020105F"/>
    <w:rsid w:val="002066BA"/>
    <w:rsid w:val="002067EF"/>
    <w:rsid w:val="00210DC1"/>
    <w:rsid w:val="00211D34"/>
    <w:rsid w:val="00214F04"/>
    <w:rsid w:val="002276DC"/>
    <w:rsid w:val="00242121"/>
    <w:rsid w:val="002518BE"/>
    <w:rsid w:val="00266CD6"/>
    <w:rsid w:val="00275DAB"/>
    <w:rsid w:val="00281AD2"/>
    <w:rsid w:val="0029253B"/>
    <w:rsid w:val="002A782A"/>
    <w:rsid w:val="002B11E2"/>
    <w:rsid w:val="002B24B8"/>
    <w:rsid w:val="002B3288"/>
    <w:rsid w:val="002D0FE6"/>
    <w:rsid w:val="002D3AE9"/>
    <w:rsid w:val="002D4510"/>
    <w:rsid w:val="002F0734"/>
    <w:rsid w:val="002F1F62"/>
    <w:rsid w:val="002F46E7"/>
    <w:rsid w:val="003010CB"/>
    <w:rsid w:val="00301B84"/>
    <w:rsid w:val="003101DA"/>
    <w:rsid w:val="00314757"/>
    <w:rsid w:val="003163BC"/>
    <w:rsid w:val="003211CE"/>
    <w:rsid w:val="003271B2"/>
    <w:rsid w:val="00333A36"/>
    <w:rsid w:val="00335209"/>
    <w:rsid w:val="0035403A"/>
    <w:rsid w:val="0035627D"/>
    <w:rsid w:val="0036394B"/>
    <w:rsid w:val="00366DB6"/>
    <w:rsid w:val="003709B5"/>
    <w:rsid w:val="003759C2"/>
    <w:rsid w:val="00380962"/>
    <w:rsid w:val="003867C2"/>
    <w:rsid w:val="00397365"/>
    <w:rsid w:val="003A31F6"/>
    <w:rsid w:val="003B0FC7"/>
    <w:rsid w:val="003B54EA"/>
    <w:rsid w:val="003C3447"/>
    <w:rsid w:val="003D076C"/>
    <w:rsid w:val="003D0E37"/>
    <w:rsid w:val="003E2CE0"/>
    <w:rsid w:val="003E2E9E"/>
    <w:rsid w:val="003E78B5"/>
    <w:rsid w:val="003F5A6C"/>
    <w:rsid w:val="00400C88"/>
    <w:rsid w:val="00415BAB"/>
    <w:rsid w:val="00415ED2"/>
    <w:rsid w:val="0042068C"/>
    <w:rsid w:val="0042255D"/>
    <w:rsid w:val="004228CD"/>
    <w:rsid w:val="004232E6"/>
    <w:rsid w:val="00436F01"/>
    <w:rsid w:val="0044318E"/>
    <w:rsid w:val="00443A6B"/>
    <w:rsid w:val="00443B35"/>
    <w:rsid w:val="0046715C"/>
    <w:rsid w:val="0047122B"/>
    <w:rsid w:val="00472E1D"/>
    <w:rsid w:val="00473B7A"/>
    <w:rsid w:val="004960E9"/>
    <w:rsid w:val="004A2E88"/>
    <w:rsid w:val="004A2F7E"/>
    <w:rsid w:val="004A3D15"/>
    <w:rsid w:val="004A40CF"/>
    <w:rsid w:val="004A5305"/>
    <w:rsid w:val="004B3A0B"/>
    <w:rsid w:val="004B7AB9"/>
    <w:rsid w:val="004D0991"/>
    <w:rsid w:val="004D7634"/>
    <w:rsid w:val="004E611A"/>
    <w:rsid w:val="004E6C16"/>
    <w:rsid w:val="004F5CBA"/>
    <w:rsid w:val="005003EF"/>
    <w:rsid w:val="00501843"/>
    <w:rsid w:val="00504C02"/>
    <w:rsid w:val="0052323C"/>
    <w:rsid w:val="005300D3"/>
    <w:rsid w:val="00542821"/>
    <w:rsid w:val="00544F82"/>
    <w:rsid w:val="00547E7A"/>
    <w:rsid w:val="005509D2"/>
    <w:rsid w:val="005562EC"/>
    <w:rsid w:val="0056519A"/>
    <w:rsid w:val="00593076"/>
    <w:rsid w:val="00593C4F"/>
    <w:rsid w:val="005946A8"/>
    <w:rsid w:val="005A4407"/>
    <w:rsid w:val="005A59EF"/>
    <w:rsid w:val="005A5BFB"/>
    <w:rsid w:val="005B1C7E"/>
    <w:rsid w:val="005B4088"/>
    <w:rsid w:val="005C284B"/>
    <w:rsid w:val="005C6002"/>
    <w:rsid w:val="005C6976"/>
    <w:rsid w:val="005D00F5"/>
    <w:rsid w:val="005E147F"/>
    <w:rsid w:val="005E2F54"/>
    <w:rsid w:val="005F60BD"/>
    <w:rsid w:val="005F6F41"/>
    <w:rsid w:val="00613841"/>
    <w:rsid w:val="006200FD"/>
    <w:rsid w:val="0062037A"/>
    <w:rsid w:val="00625DC6"/>
    <w:rsid w:val="00630EDF"/>
    <w:rsid w:val="0063658B"/>
    <w:rsid w:val="0064391D"/>
    <w:rsid w:val="00651821"/>
    <w:rsid w:val="00654384"/>
    <w:rsid w:val="006651B4"/>
    <w:rsid w:val="006675CD"/>
    <w:rsid w:val="00674B99"/>
    <w:rsid w:val="00681008"/>
    <w:rsid w:val="00684D9B"/>
    <w:rsid w:val="00697556"/>
    <w:rsid w:val="006A20A4"/>
    <w:rsid w:val="006B4647"/>
    <w:rsid w:val="006B4C2B"/>
    <w:rsid w:val="006B6194"/>
    <w:rsid w:val="006B6D47"/>
    <w:rsid w:val="006C5AFE"/>
    <w:rsid w:val="006D5FC7"/>
    <w:rsid w:val="006E3A5B"/>
    <w:rsid w:val="006F6D95"/>
    <w:rsid w:val="00706F13"/>
    <w:rsid w:val="007072E8"/>
    <w:rsid w:val="00714C78"/>
    <w:rsid w:val="00715994"/>
    <w:rsid w:val="0071618D"/>
    <w:rsid w:val="00717B3F"/>
    <w:rsid w:val="00725BF6"/>
    <w:rsid w:val="00725FA4"/>
    <w:rsid w:val="00732476"/>
    <w:rsid w:val="00733627"/>
    <w:rsid w:val="00740446"/>
    <w:rsid w:val="007438A9"/>
    <w:rsid w:val="0074491E"/>
    <w:rsid w:val="00761E79"/>
    <w:rsid w:val="0076247A"/>
    <w:rsid w:val="00767D1D"/>
    <w:rsid w:val="00775964"/>
    <w:rsid w:val="007765FE"/>
    <w:rsid w:val="0078464F"/>
    <w:rsid w:val="007847FE"/>
    <w:rsid w:val="00792971"/>
    <w:rsid w:val="00794E2E"/>
    <w:rsid w:val="00795BFB"/>
    <w:rsid w:val="00795E23"/>
    <w:rsid w:val="0079743F"/>
    <w:rsid w:val="007A4FB7"/>
    <w:rsid w:val="007B2760"/>
    <w:rsid w:val="007B4FE6"/>
    <w:rsid w:val="007B53E9"/>
    <w:rsid w:val="007C6D33"/>
    <w:rsid w:val="007D230E"/>
    <w:rsid w:val="007E11E2"/>
    <w:rsid w:val="007E5C38"/>
    <w:rsid w:val="007F6132"/>
    <w:rsid w:val="00805A37"/>
    <w:rsid w:val="00806C01"/>
    <w:rsid w:val="008075BB"/>
    <w:rsid w:val="008148CC"/>
    <w:rsid w:val="008211A4"/>
    <w:rsid w:val="00823532"/>
    <w:rsid w:val="00857A4A"/>
    <w:rsid w:val="00873150"/>
    <w:rsid w:val="0087657D"/>
    <w:rsid w:val="008807D5"/>
    <w:rsid w:val="00880832"/>
    <w:rsid w:val="00886EE1"/>
    <w:rsid w:val="0088727D"/>
    <w:rsid w:val="00887827"/>
    <w:rsid w:val="00890680"/>
    <w:rsid w:val="0089470C"/>
    <w:rsid w:val="00897C75"/>
    <w:rsid w:val="008A0306"/>
    <w:rsid w:val="008B6CE9"/>
    <w:rsid w:val="008C1130"/>
    <w:rsid w:val="008D18E6"/>
    <w:rsid w:val="008D7A9B"/>
    <w:rsid w:val="008E0060"/>
    <w:rsid w:val="008E38FD"/>
    <w:rsid w:val="008E76AC"/>
    <w:rsid w:val="008F1A26"/>
    <w:rsid w:val="008F21F6"/>
    <w:rsid w:val="009069EF"/>
    <w:rsid w:val="009129A4"/>
    <w:rsid w:val="00915F2A"/>
    <w:rsid w:val="00923E7A"/>
    <w:rsid w:val="009268B2"/>
    <w:rsid w:val="00930457"/>
    <w:rsid w:val="00932BB4"/>
    <w:rsid w:val="00951F79"/>
    <w:rsid w:val="00962DD6"/>
    <w:rsid w:val="009642C6"/>
    <w:rsid w:val="00974AB5"/>
    <w:rsid w:val="0098706D"/>
    <w:rsid w:val="0099322C"/>
    <w:rsid w:val="009935FB"/>
    <w:rsid w:val="009B042C"/>
    <w:rsid w:val="009C3EE0"/>
    <w:rsid w:val="009D31AA"/>
    <w:rsid w:val="009E1F29"/>
    <w:rsid w:val="009E773C"/>
    <w:rsid w:val="009F4A54"/>
    <w:rsid w:val="009F4BEC"/>
    <w:rsid w:val="009F5874"/>
    <w:rsid w:val="00A205F3"/>
    <w:rsid w:val="00A22B8C"/>
    <w:rsid w:val="00A25FD7"/>
    <w:rsid w:val="00A37A12"/>
    <w:rsid w:val="00A43AFF"/>
    <w:rsid w:val="00A61512"/>
    <w:rsid w:val="00A7793A"/>
    <w:rsid w:val="00A973BB"/>
    <w:rsid w:val="00AA4CC7"/>
    <w:rsid w:val="00AA5E8E"/>
    <w:rsid w:val="00AB4706"/>
    <w:rsid w:val="00AB6CA7"/>
    <w:rsid w:val="00AD01E4"/>
    <w:rsid w:val="00AD02E6"/>
    <w:rsid w:val="00AD0858"/>
    <w:rsid w:val="00AD413B"/>
    <w:rsid w:val="00AE7340"/>
    <w:rsid w:val="00AF1BBD"/>
    <w:rsid w:val="00AF6024"/>
    <w:rsid w:val="00B10207"/>
    <w:rsid w:val="00B11B0E"/>
    <w:rsid w:val="00B141E7"/>
    <w:rsid w:val="00B27560"/>
    <w:rsid w:val="00B3027F"/>
    <w:rsid w:val="00B33E05"/>
    <w:rsid w:val="00B351B4"/>
    <w:rsid w:val="00B36196"/>
    <w:rsid w:val="00B405DE"/>
    <w:rsid w:val="00B46BCA"/>
    <w:rsid w:val="00B478AA"/>
    <w:rsid w:val="00B53E42"/>
    <w:rsid w:val="00B629D8"/>
    <w:rsid w:val="00B76198"/>
    <w:rsid w:val="00B87806"/>
    <w:rsid w:val="00B87EC9"/>
    <w:rsid w:val="00B95880"/>
    <w:rsid w:val="00BC070A"/>
    <w:rsid w:val="00BC38FD"/>
    <w:rsid w:val="00BD0059"/>
    <w:rsid w:val="00C034CB"/>
    <w:rsid w:val="00C051A8"/>
    <w:rsid w:val="00C054BC"/>
    <w:rsid w:val="00C06D5A"/>
    <w:rsid w:val="00C17897"/>
    <w:rsid w:val="00C25546"/>
    <w:rsid w:val="00C342E7"/>
    <w:rsid w:val="00C409D5"/>
    <w:rsid w:val="00C4171A"/>
    <w:rsid w:val="00C435C3"/>
    <w:rsid w:val="00C53260"/>
    <w:rsid w:val="00C56108"/>
    <w:rsid w:val="00C57A3E"/>
    <w:rsid w:val="00C6234B"/>
    <w:rsid w:val="00C63EAE"/>
    <w:rsid w:val="00C71CEF"/>
    <w:rsid w:val="00C721F4"/>
    <w:rsid w:val="00C7629F"/>
    <w:rsid w:val="00C766A3"/>
    <w:rsid w:val="00C804B4"/>
    <w:rsid w:val="00C8661B"/>
    <w:rsid w:val="00CA139A"/>
    <w:rsid w:val="00CA2899"/>
    <w:rsid w:val="00CA3A3D"/>
    <w:rsid w:val="00CA77FB"/>
    <w:rsid w:val="00CB379B"/>
    <w:rsid w:val="00CB4B35"/>
    <w:rsid w:val="00CB5B0A"/>
    <w:rsid w:val="00CB5DD0"/>
    <w:rsid w:val="00CB6627"/>
    <w:rsid w:val="00CC14C1"/>
    <w:rsid w:val="00CC51D4"/>
    <w:rsid w:val="00CC65DA"/>
    <w:rsid w:val="00CE1039"/>
    <w:rsid w:val="00CE1EC2"/>
    <w:rsid w:val="00CF21B9"/>
    <w:rsid w:val="00CF2809"/>
    <w:rsid w:val="00CF6BF9"/>
    <w:rsid w:val="00D03800"/>
    <w:rsid w:val="00D065D3"/>
    <w:rsid w:val="00D14C94"/>
    <w:rsid w:val="00D16D33"/>
    <w:rsid w:val="00D24A23"/>
    <w:rsid w:val="00D301E5"/>
    <w:rsid w:val="00D3307A"/>
    <w:rsid w:val="00D342A6"/>
    <w:rsid w:val="00D36A98"/>
    <w:rsid w:val="00D44FD3"/>
    <w:rsid w:val="00D45750"/>
    <w:rsid w:val="00D45CA6"/>
    <w:rsid w:val="00D4638F"/>
    <w:rsid w:val="00D464BF"/>
    <w:rsid w:val="00D53E26"/>
    <w:rsid w:val="00D600E9"/>
    <w:rsid w:val="00D96AC5"/>
    <w:rsid w:val="00DA1B43"/>
    <w:rsid w:val="00DA350C"/>
    <w:rsid w:val="00DA69D9"/>
    <w:rsid w:val="00DB02CF"/>
    <w:rsid w:val="00DB3194"/>
    <w:rsid w:val="00DC0BC0"/>
    <w:rsid w:val="00DD4F0E"/>
    <w:rsid w:val="00DF0BF0"/>
    <w:rsid w:val="00DF0F6F"/>
    <w:rsid w:val="00DF3CA2"/>
    <w:rsid w:val="00E01463"/>
    <w:rsid w:val="00E05E0A"/>
    <w:rsid w:val="00E060BE"/>
    <w:rsid w:val="00E0722F"/>
    <w:rsid w:val="00E12DE2"/>
    <w:rsid w:val="00E14CC4"/>
    <w:rsid w:val="00E15920"/>
    <w:rsid w:val="00E31CFC"/>
    <w:rsid w:val="00E36F93"/>
    <w:rsid w:val="00E413EC"/>
    <w:rsid w:val="00E42576"/>
    <w:rsid w:val="00E43F6B"/>
    <w:rsid w:val="00E52DCB"/>
    <w:rsid w:val="00E534CF"/>
    <w:rsid w:val="00E57869"/>
    <w:rsid w:val="00E63D26"/>
    <w:rsid w:val="00E74DBA"/>
    <w:rsid w:val="00E770DF"/>
    <w:rsid w:val="00E77D66"/>
    <w:rsid w:val="00E81CB4"/>
    <w:rsid w:val="00E8585B"/>
    <w:rsid w:val="00EA3F15"/>
    <w:rsid w:val="00EA7847"/>
    <w:rsid w:val="00EB2746"/>
    <w:rsid w:val="00EB4C2F"/>
    <w:rsid w:val="00EC5024"/>
    <w:rsid w:val="00ED590E"/>
    <w:rsid w:val="00EE10C1"/>
    <w:rsid w:val="00EE2E6E"/>
    <w:rsid w:val="00EF529D"/>
    <w:rsid w:val="00F0759E"/>
    <w:rsid w:val="00F12085"/>
    <w:rsid w:val="00F16A43"/>
    <w:rsid w:val="00F25327"/>
    <w:rsid w:val="00F30D68"/>
    <w:rsid w:val="00F32F56"/>
    <w:rsid w:val="00F46780"/>
    <w:rsid w:val="00F50148"/>
    <w:rsid w:val="00F51F53"/>
    <w:rsid w:val="00F545EA"/>
    <w:rsid w:val="00F55F73"/>
    <w:rsid w:val="00F64BDF"/>
    <w:rsid w:val="00F66D96"/>
    <w:rsid w:val="00F67C83"/>
    <w:rsid w:val="00F71A36"/>
    <w:rsid w:val="00F72A24"/>
    <w:rsid w:val="00F821A3"/>
    <w:rsid w:val="00F9009F"/>
    <w:rsid w:val="00F9314A"/>
    <w:rsid w:val="00F940B2"/>
    <w:rsid w:val="00FA20C4"/>
    <w:rsid w:val="00FA21AF"/>
    <w:rsid w:val="00FA4B01"/>
    <w:rsid w:val="00FC58EF"/>
    <w:rsid w:val="00FD33DF"/>
    <w:rsid w:val="00FD35D1"/>
    <w:rsid w:val="00FE39D7"/>
    <w:rsid w:val="00FE451D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aliases w:val="ANEXO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9C3EE0"/>
    <w:pPr>
      <w:numPr>
        <w:ilvl w:val="1"/>
        <w:numId w:val="29"/>
      </w:numPr>
      <w:ind w:left="0" w:firstLine="0"/>
      <w:jc w:val="both"/>
      <w:outlineLvl w:val="1"/>
    </w:pPr>
    <w:rPr>
      <w:rFonts w:ascii="Bookman Old Style" w:hAnsi="Bookman Old Style"/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spacing w:before="160" w:after="160"/>
      <w:ind w:left="1440" w:hanging="144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spacing w:before="160" w:after="160"/>
      <w:ind w:left="1584" w:hanging="1584"/>
      <w:jc w:val="both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D3307A"/>
    <w:pPr>
      <w:tabs>
        <w:tab w:val="left" w:pos="1560"/>
        <w:tab w:val="right" w:leader="dot" w:pos="9214"/>
      </w:tabs>
      <w:spacing w:before="120"/>
      <w:ind w:left="1560" w:right="142" w:hanging="1560"/>
      <w:jc w:val="both"/>
    </w:pPr>
    <w:rPr>
      <w:rFonts w:ascii="Bookman Old Style" w:hAnsi="Bookman Old Style"/>
      <w:b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C3EE0"/>
    <w:rPr>
      <w:rFonts w:ascii="Bookman Old Style" w:hAnsi="Bookman Old Style"/>
      <w:b/>
      <w:spacing w:val="4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character" w:customStyle="1" w:styleId="Ttulo1Car">
    <w:name w:val="Título 1 Car"/>
    <w:aliases w:val="ANEXO Car"/>
    <w:link w:val="Ttulo1"/>
    <w:rsid w:val="000B4E51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character" w:customStyle="1" w:styleId="EpgrafeCar">
    <w:name w:val="Epígrafe Car"/>
    <w:link w:val="Epgrafe"/>
    <w:rsid w:val="000B4E51"/>
    <w:rPr>
      <w:rFonts w:ascii="Arial" w:hAnsi="Arial"/>
      <w:lang w:val="es-ES" w:eastAsia="es-ES"/>
    </w:rPr>
  </w:style>
  <w:style w:type="paragraph" w:customStyle="1" w:styleId="Artculo">
    <w:name w:val="Artículo"/>
    <w:basedOn w:val="Normal"/>
    <w:link w:val="ArtculoCar"/>
    <w:autoRedefine/>
    <w:qFormat/>
    <w:rsid w:val="0052323C"/>
    <w:pPr>
      <w:numPr>
        <w:numId w:val="24"/>
      </w:numPr>
      <w:ind w:left="0" w:firstLine="0"/>
      <w:jc w:val="both"/>
    </w:pPr>
    <w:rPr>
      <w:rFonts w:ascii="Bookman Old Style" w:hAnsi="Bookman Old Style" w:cs="Arial"/>
    </w:rPr>
  </w:style>
  <w:style w:type="character" w:customStyle="1" w:styleId="ArtculoCar">
    <w:name w:val="Artículo Car"/>
    <w:link w:val="Artculo"/>
    <w:rsid w:val="0052323C"/>
    <w:rPr>
      <w:rFonts w:ascii="Bookman Old Style" w:hAnsi="Bookman Old Style" w:cs="Arial"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  <w:ind w:left="0"/>
      <w:jc w:val="both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uiPriority w:val="99"/>
    <w:semiHidden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  <w:jc w:val="both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rFonts w:ascii="Bookman Old Style" w:hAnsi="Bookman Old Style"/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74DBA"/>
    <w:pPr>
      <w:tabs>
        <w:tab w:val="left" w:pos="2268"/>
        <w:tab w:val="right" w:leader="dot" w:pos="9214"/>
      </w:tabs>
      <w:spacing w:before="100"/>
      <w:ind w:left="2268" w:right="142" w:hanging="708"/>
      <w:jc w:val="both"/>
    </w:pPr>
    <w:rPr>
      <w:rFonts w:ascii="Bookman Old Style" w:hAnsi="Bookman Old Style"/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  <w:jc w:val="both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  <w:jc w:val="both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  <w:jc w:val="both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  <w:spacing w:before="240"/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  <w:jc w:val="both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  <w:ind w:left="0"/>
      <w:jc w:val="both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  <w:jc w:val="both"/>
    </w:pPr>
    <w:rPr>
      <w:rFonts w:ascii="Bookman Old Style" w:hAnsi="Bookman Old Style"/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left="0" w:right="616"/>
      <w:jc w:val="both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4E51"/>
    <w:pPr>
      <w:spacing w:before="160" w:after="160"/>
      <w:ind w:left="0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ind w:left="0" w:hanging="357"/>
      <w:jc w:val="left"/>
      <w:outlineLvl w:val="9"/>
    </w:pPr>
    <w:rPr>
      <w:rFonts w:ascii="Cambria" w:hAnsi="Cambria"/>
      <w:bCs/>
      <w:cap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  <w:ind w:left="0"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  <w:jc w:val="both"/>
    </w:pPr>
    <w:rPr>
      <w:rFonts w:ascii="Bookman Old Style" w:hAnsi="Bookman Old Style"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ind w:left="0"/>
      <w:jc w:val="both"/>
      <w:textAlignment w:val="baseline"/>
    </w:pPr>
    <w:rPr>
      <w:rFonts w:ascii="Bookman Old Style" w:hAnsi="Bookman Old Style"/>
    </w:r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0B4E51"/>
    <w:pPr>
      <w:tabs>
        <w:tab w:val="left" w:pos="-720"/>
        <w:tab w:val="left" w:pos="1560"/>
      </w:tabs>
      <w:suppressAutoHyphens/>
      <w:spacing w:before="240"/>
      <w:ind w:left="1560" w:hanging="1560"/>
      <w:jc w:val="both"/>
    </w:pPr>
    <w:rPr>
      <w:rFonts w:ascii="Bookman Old Style" w:hAnsi="Bookman Old Style"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jc w:val="both"/>
      <w:outlineLvl w:val="0"/>
    </w:pPr>
    <w:rPr>
      <w:rFonts w:ascii="Bookman Old Style" w:hAnsi="Bookman Old Style"/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left="0" w:right="45"/>
      <w:jc w:val="both"/>
      <w:textAlignment w:val="baseline"/>
    </w:pPr>
    <w:rPr>
      <w:rFonts w:ascii="Bookman Old Style" w:hAnsi="Bookman Old Style"/>
      <w:sz w:val="22"/>
      <w:szCs w:val="20"/>
    </w:rPr>
  </w:style>
  <w:style w:type="paragraph" w:customStyle="1" w:styleId="Estilo2">
    <w:name w:val="Estilo2"/>
    <w:basedOn w:val="Ttulo1"/>
    <w:rsid w:val="000B4E51"/>
    <w:pPr>
      <w:adjustRightInd w:val="0"/>
      <w:spacing w:before="240" w:after="360"/>
      <w:ind w:left="0"/>
      <w:textAlignment w:val="baseline"/>
    </w:pPr>
    <w:rPr>
      <w:rFonts w:ascii="Bookman Old Style" w:hAnsi="Bookman Old Style"/>
      <w:bCs/>
      <w:caps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hAnsi="Bookman Old Style"/>
    </w:r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before="240" w:after="120"/>
      <w:ind w:left="0"/>
      <w:jc w:val="both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  <w:ind w:left="0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  <w:ind w:left="0"/>
      <w:jc w:val="both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  <w:jc w:val="both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  <w:jc w:val="both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  <w:ind w:left="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  <w:ind w:left="0"/>
      <w:jc w:val="both"/>
    </w:pPr>
    <w:rPr>
      <w:rFonts w:ascii="Bookman Old Style" w:hAnsi="Bookman Old Style"/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left="0"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Epgrafe"/>
    <w:link w:val="TablaCar"/>
    <w:qFormat/>
    <w:rsid w:val="000B4E51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ind w:left="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ind w:left="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ind w:left="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ind w:left="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spacing w:before="240" w:after="240"/>
      <w:ind w:left="0"/>
      <w:jc w:val="both"/>
      <w:textAlignment w:val="baseline"/>
    </w:pPr>
    <w:rPr>
      <w:rFonts w:ascii="Bookman Old Style" w:hAnsi="Bookman Old Style"/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aliases w:val="ANEXO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9C3EE0"/>
    <w:pPr>
      <w:numPr>
        <w:ilvl w:val="1"/>
        <w:numId w:val="29"/>
      </w:numPr>
      <w:ind w:left="0" w:firstLine="0"/>
      <w:jc w:val="both"/>
      <w:outlineLvl w:val="1"/>
    </w:pPr>
    <w:rPr>
      <w:rFonts w:ascii="Bookman Old Style" w:hAnsi="Bookman Old Style"/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spacing w:before="160" w:after="160"/>
      <w:ind w:left="1440" w:hanging="144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spacing w:before="160" w:after="160"/>
      <w:ind w:left="1584" w:hanging="1584"/>
      <w:jc w:val="both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D3307A"/>
    <w:pPr>
      <w:tabs>
        <w:tab w:val="left" w:pos="1560"/>
        <w:tab w:val="right" w:leader="dot" w:pos="9214"/>
      </w:tabs>
      <w:spacing w:before="120"/>
      <w:ind w:left="1560" w:right="142" w:hanging="1560"/>
      <w:jc w:val="both"/>
    </w:pPr>
    <w:rPr>
      <w:rFonts w:ascii="Bookman Old Style" w:hAnsi="Bookman Old Style"/>
      <w:b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C3EE0"/>
    <w:rPr>
      <w:rFonts w:ascii="Bookman Old Style" w:hAnsi="Bookman Old Style"/>
      <w:b/>
      <w:spacing w:val="4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character" w:customStyle="1" w:styleId="Ttulo1Car">
    <w:name w:val="Título 1 Car"/>
    <w:aliases w:val="ANEXO Car"/>
    <w:link w:val="Ttulo1"/>
    <w:rsid w:val="000B4E51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character" w:customStyle="1" w:styleId="EpgrafeCar">
    <w:name w:val="Epígrafe Car"/>
    <w:link w:val="Epgrafe"/>
    <w:rsid w:val="000B4E51"/>
    <w:rPr>
      <w:rFonts w:ascii="Arial" w:hAnsi="Arial"/>
      <w:lang w:val="es-ES" w:eastAsia="es-ES"/>
    </w:rPr>
  </w:style>
  <w:style w:type="paragraph" w:customStyle="1" w:styleId="Artculo">
    <w:name w:val="Artículo"/>
    <w:basedOn w:val="Normal"/>
    <w:link w:val="ArtculoCar"/>
    <w:autoRedefine/>
    <w:qFormat/>
    <w:rsid w:val="0052323C"/>
    <w:pPr>
      <w:numPr>
        <w:numId w:val="24"/>
      </w:numPr>
      <w:ind w:left="0" w:firstLine="0"/>
      <w:jc w:val="both"/>
    </w:pPr>
    <w:rPr>
      <w:rFonts w:ascii="Bookman Old Style" w:hAnsi="Bookman Old Style" w:cs="Arial"/>
    </w:rPr>
  </w:style>
  <w:style w:type="character" w:customStyle="1" w:styleId="ArtculoCar">
    <w:name w:val="Artículo Car"/>
    <w:link w:val="Artculo"/>
    <w:rsid w:val="0052323C"/>
    <w:rPr>
      <w:rFonts w:ascii="Bookman Old Style" w:hAnsi="Bookman Old Style" w:cs="Arial"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  <w:ind w:left="0"/>
      <w:jc w:val="both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uiPriority w:val="99"/>
    <w:semiHidden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  <w:jc w:val="both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rFonts w:ascii="Bookman Old Style" w:hAnsi="Bookman Old Style"/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74DBA"/>
    <w:pPr>
      <w:tabs>
        <w:tab w:val="left" w:pos="2268"/>
        <w:tab w:val="right" w:leader="dot" w:pos="9214"/>
      </w:tabs>
      <w:spacing w:before="100"/>
      <w:ind w:left="2268" w:right="142" w:hanging="708"/>
      <w:jc w:val="both"/>
    </w:pPr>
    <w:rPr>
      <w:rFonts w:ascii="Bookman Old Style" w:hAnsi="Bookman Old Style"/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  <w:jc w:val="both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  <w:jc w:val="both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  <w:jc w:val="both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  <w:spacing w:before="240"/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  <w:jc w:val="both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  <w:ind w:left="0"/>
      <w:jc w:val="both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  <w:jc w:val="both"/>
    </w:pPr>
    <w:rPr>
      <w:rFonts w:ascii="Bookman Old Style" w:hAnsi="Bookman Old Style"/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left="0" w:right="616"/>
      <w:jc w:val="both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4E51"/>
    <w:pPr>
      <w:spacing w:before="160" w:after="160"/>
      <w:ind w:left="0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ind w:left="0" w:hanging="357"/>
      <w:jc w:val="left"/>
      <w:outlineLvl w:val="9"/>
    </w:pPr>
    <w:rPr>
      <w:rFonts w:ascii="Cambria" w:hAnsi="Cambria"/>
      <w:bCs/>
      <w:cap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  <w:ind w:left="0"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  <w:jc w:val="both"/>
    </w:pPr>
    <w:rPr>
      <w:rFonts w:ascii="Bookman Old Style" w:hAnsi="Bookman Old Style"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ind w:left="0"/>
      <w:jc w:val="both"/>
      <w:textAlignment w:val="baseline"/>
    </w:pPr>
    <w:rPr>
      <w:rFonts w:ascii="Bookman Old Style" w:hAnsi="Bookman Old Style"/>
    </w:r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0B4E51"/>
    <w:pPr>
      <w:tabs>
        <w:tab w:val="left" w:pos="-720"/>
        <w:tab w:val="left" w:pos="1560"/>
      </w:tabs>
      <w:suppressAutoHyphens/>
      <w:spacing w:before="240"/>
      <w:ind w:left="1560" w:hanging="1560"/>
      <w:jc w:val="both"/>
    </w:pPr>
    <w:rPr>
      <w:rFonts w:ascii="Bookman Old Style" w:hAnsi="Bookman Old Style"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jc w:val="both"/>
      <w:outlineLvl w:val="0"/>
    </w:pPr>
    <w:rPr>
      <w:rFonts w:ascii="Bookman Old Style" w:hAnsi="Bookman Old Style"/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left="0" w:right="45"/>
      <w:jc w:val="both"/>
      <w:textAlignment w:val="baseline"/>
    </w:pPr>
    <w:rPr>
      <w:rFonts w:ascii="Bookman Old Style" w:hAnsi="Bookman Old Style"/>
      <w:sz w:val="22"/>
      <w:szCs w:val="20"/>
    </w:rPr>
  </w:style>
  <w:style w:type="paragraph" w:customStyle="1" w:styleId="Estilo2">
    <w:name w:val="Estilo2"/>
    <w:basedOn w:val="Ttulo1"/>
    <w:rsid w:val="000B4E51"/>
    <w:pPr>
      <w:adjustRightInd w:val="0"/>
      <w:spacing w:before="240" w:after="360"/>
      <w:ind w:left="0"/>
      <w:textAlignment w:val="baseline"/>
    </w:pPr>
    <w:rPr>
      <w:rFonts w:ascii="Bookman Old Style" w:hAnsi="Bookman Old Style"/>
      <w:bCs/>
      <w:caps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hAnsi="Bookman Old Style"/>
    </w:r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before="240" w:after="120"/>
      <w:ind w:left="0"/>
      <w:jc w:val="both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  <w:ind w:left="0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  <w:ind w:left="0"/>
      <w:jc w:val="both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  <w:jc w:val="both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  <w:jc w:val="both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  <w:ind w:left="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  <w:ind w:left="0"/>
      <w:jc w:val="both"/>
    </w:pPr>
    <w:rPr>
      <w:rFonts w:ascii="Bookman Old Style" w:hAnsi="Bookman Old Style"/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left="0"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Epgrafe"/>
    <w:link w:val="TablaCar"/>
    <w:qFormat/>
    <w:rsid w:val="000B4E51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ind w:left="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ind w:left="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ind w:left="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ind w:left="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spacing w:before="240" w:after="240"/>
      <w:ind w:left="0"/>
      <w:jc w:val="both"/>
      <w:textAlignment w:val="baseline"/>
    </w:pPr>
    <w:rPr>
      <w:rFonts w:ascii="Bookman Old Style" w:hAnsi="Bookman Old Style"/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201A-2D7F-4097-A7CC-CD2402D0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7</Pages>
  <Words>2398</Words>
  <Characters>11444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13815</CharactersWithSpaces>
  <SharedDoc>false</SharedDoc>
  <HLinks>
    <vt:vector size="300" baseType="variant">
      <vt:variant>
        <vt:i4>1310768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_Toc310577409</vt:lpwstr>
      </vt:variant>
      <vt:variant>
        <vt:i4>1310768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_Toc310577408</vt:lpwstr>
      </vt:variant>
      <vt:variant>
        <vt:i4>1310768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_Toc310577407</vt:lpwstr>
      </vt:variant>
      <vt:variant>
        <vt:i4>1310768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_Toc310577406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_Toc310577405</vt:lpwstr>
      </vt:variant>
      <vt:variant>
        <vt:i4>1310768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_Toc310577404</vt:lpwstr>
      </vt:variant>
      <vt:variant>
        <vt:i4>1310768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_Toc310577403</vt:lpwstr>
      </vt:variant>
      <vt:variant>
        <vt:i4>1310768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_Toc310577402</vt:lpwstr>
      </vt:variant>
      <vt:variant>
        <vt:i4>1310768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_Toc310577401</vt:lpwstr>
      </vt:variant>
      <vt:variant>
        <vt:i4>1310768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_Toc310577400</vt:lpwstr>
      </vt:variant>
      <vt:variant>
        <vt:i4>1900599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_Toc310577399</vt:lpwstr>
      </vt:variant>
      <vt:variant>
        <vt:i4>1900599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_Toc310577398</vt:lpwstr>
      </vt:variant>
      <vt:variant>
        <vt:i4>1900599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_Toc310577397</vt:lpwstr>
      </vt:variant>
      <vt:variant>
        <vt:i4>1900599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_Toc310577396</vt:lpwstr>
      </vt:variant>
      <vt:variant>
        <vt:i4>1900599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_Toc310577395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_Toc310577394</vt:lpwstr>
      </vt:variant>
      <vt:variant>
        <vt:i4>1900599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_Toc310577393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_Toc310577392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_Toc310577391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_Toc310577390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_Toc310577389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_Toc310577388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_Toc310577387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_Toc310577386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_Toc310577385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_Toc310577384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_Toc310577383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_Toc310577382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_Toc310577381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_Toc310577380</vt:lpwstr>
      </vt:variant>
      <vt:variant>
        <vt:i4>1245239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_Toc310577379</vt:lpwstr>
      </vt:variant>
      <vt:variant>
        <vt:i4>1245239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_Toc310577378</vt:lpwstr>
      </vt:variant>
      <vt:variant>
        <vt:i4>1245239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_Toc310577377</vt:lpwstr>
      </vt:variant>
      <vt:variant>
        <vt:i4>1245239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_Toc310577376</vt:lpwstr>
      </vt:variant>
      <vt:variant>
        <vt:i4>1245239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_Toc310577375</vt:lpwstr>
      </vt:variant>
      <vt:variant>
        <vt:i4>1245239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_Toc310577374</vt:lpwstr>
      </vt:variant>
      <vt:variant>
        <vt:i4>1245239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_Toc310577373</vt:lpwstr>
      </vt:variant>
      <vt:variant>
        <vt:i4>1245239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_Toc310577372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_Toc310577371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_Toc310577370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_Toc310577369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_Toc310577368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_Toc310577367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_Toc310577366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_Toc310577365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_Toc310577364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_Toc310577363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_Toc310577362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_Toc310577361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_Toc310577360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Maria Eugenia Murillo Ramirez</cp:lastModifiedBy>
  <cp:revision>2</cp:revision>
  <cp:lastPrinted>2012-09-27T22:24:00Z</cp:lastPrinted>
  <dcterms:created xsi:type="dcterms:W3CDTF">2012-11-06T14:59:00Z</dcterms:created>
  <dcterms:modified xsi:type="dcterms:W3CDTF">2012-11-06T14:59:00Z</dcterms:modified>
</cp:coreProperties>
</file>