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619F" w14:textId="3D741C1E" w:rsidR="00386051" w:rsidRPr="00E060BE" w:rsidRDefault="008543F1" w:rsidP="00386051">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noProof/>
          <w:snapToGrid/>
          <w:sz w:val="24"/>
          <w:szCs w:val="24"/>
        </w:rPr>
        <w:object w:dxaOrig="1440" w:dyaOrig="1440" w14:anchorId="19929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pt;width:52.5pt;height:48.75pt;z-index:251658240" fillcolor="#0c9">
            <v:imagedata r:id="rId11" o:title=""/>
          </v:shape>
          <o:OLEObject Type="Embed" ProgID="PBrush" ShapeID="_x0000_s2050" DrawAspect="Content" ObjectID="_1706344989" r:id="rId12"/>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1BB516C7" w:rsidR="00386051"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w:t>
      </w:r>
      <w:r w:rsidR="00425C47">
        <w:rPr>
          <w:rFonts w:ascii="Bookman Old Style" w:hAnsi="Bookman Old Style"/>
          <w:sz w:val="24"/>
          <w:szCs w:val="24"/>
        </w:rPr>
        <w:t xml:space="preserve"> </w:t>
      </w:r>
      <w:r w:rsidR="00425C47" w:rsidRPr="00425C47">
        <w:rPr>
          <w:rFonts w:ascii="Bookman Old Style" w:hAnsi="Bookman Old Style"/>
          <w:sz w:val="32"/>
          <w:szCs w:val="32"/>
        </w:rPr>
        <w:t>101</w:t>
      </w:r>
      <w:r w:rsidR="007C10BA">
        <w:rPr>
          <w:rFonts w:ascii="Bookman Old Style" w:hAnsi="Bookman Old Style"/>
          <w:sz w:val="32"/>
          <w:szCs w:val="32"/>
        </w:rPr>
        <w:t xml:space="preserve"> </w:t>
      </w:r>
      <w:r w:rsidR="00ED48C7">
        <w:rPr>
          <w:rFonts w:ascii="Bookman Old Style" w:hAnsi="Bookman Old Style"/>
          <w:sz w:val="32"/>
          <w:szCs w:val="32"/>
        </w:rPr>
        <w:t>004</w:t>
      </w:r>
      <w:r w:rsidRPr="00E060BE">
        <w:rPr>
          <w:rFonts w:ascii="Bookman Old Style" w:hAnsi="Bookman Old Style"/>
          <w:sz w:val="24"/>
          <w:szCs w:val="24"/>
        </w:rPr>
        <w:t xml:space="preserve">  DE 20</w:t>
      </w:r>
      <w:r>
        <w:rPr>
          <w:rFonts w:ascii="Bookman Old Style" w:hAnsi="Bookman Old Style"/>
          <w:sz w:val="24"/>
          <w:szCs w:val="24"/>
        </w:rPr>
        <w:t>2</w:t>
      </w:r>
      <w:r w:rsidR="00A05CF0">
        <w:rPr>
          <w:rFonts w:ascii="Bookman Old Style" w:hAnsi="Bookman Old Style"/>
          <w:sz w:val="24"/>
          <w:szCs w:val="24"/>
        </w:rPr>
        <w:t>2</w:t>
      </w:r>
    </w:p>
    <w:p w14:paraId="1F8CF37D" w14:textId="7D65B309" w:rsidR="005933FB" w:rsidRDefault="005933FB" w:rsidP="005933FB">
      <w:pPr>
        <w:rPr>
          <w:lang w:val="es-ES_tradnl"/>
        </w:rPr>
      </w:pPr>
    </w:p>
    <w:p w14:paraId="035D2757" w14:textId="1A7CC74E" w:rsidR="00386051" w:rsidRPr="00E060BE" w:rsidRDefault="00386051" w:rsidP="00386051">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ED48C7">
        <w:rPr>
          <w:rFonts w:ascii="Bookman Old Style" w:hAnsi="Bookman Old Style"/>
          <w:bCs/>
          <w:sz w:val="32"/>
          <w:szCs w:val="32"/>
        </w:rPr>
        <w:t>01</w:t>
      </w:r>
      <w:r w:rsidR="009D1367" w:rsidRPr="009D1367">
        <w:rPr>
          <w:rFonts w:ascii="Bookman Old Style" w:hAnsi="Bookman Old Style"/>
          <w:bCs/>
          <w:sz w:val="32"/>
          <w:szCs w:val="32"/>
        </w:rPr>
        <w:t xml:space="preserve"> </w:t>
      </w:r>
      <w:r w:rsidR="005933FB">
        <w:rPr>
          <w:rFonts w:ascii="Bookman Old Style" w:hAnsi="Bookman Old Style"/>
          <w:bCs/>
          <w:sz w:val="32"/>
          <w:szCs w:val="32"/>
        </w:rPr>
        <w:t>FEB</w:t>
      </w:r>
      <w:r w:rsidR="009D1367" w:rsidRPr="009D1367">
        <w:rPr>
          <w:rFonts w:ascii="Bookman Old Style" w:hAnsi="Bookman Old Style"/>
          <w:bCs/>
          <w:sz w:val="32"/>
          <w:szCs w:val="32"/>
        </w:rPr>
        <w:t>. 202</w:t>
      </w:r>
      <w:r w:rsidR="005933FB">
        <w:rPr>
          <w:rFonts w:ascii="Bookman Old Style" w:hAnsi="Bookman Old Style"/>
          <w:bCs/>
          <w:sz w:val="32"/>
          <w:szCs w:val="32"/>
        </w:rPr>
        <w:t>2</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648FB83D" w14:textId="55DFA590" w:rsidR="009F3785" w:rsidRPr="00CC5568" w:rsidRDefault="003E6769" w:rsidP="00DE7E37">
      <w:pPr>
        <w:ind w:left="0"/>
        <w:jc w:val="center"/>
        <w:rPr>
          <w:rFonts w:ascii="Bookman Old Style" w:hAnsi="Bookman Old Style"/>
        </w:rPr>
      </w:pPr>
      <w:r w:rsidRPr="00CC5568">
        <w:rPr>
          <w:rFonts w:ascii="Bookman Old Style" w:hAnsi="Bookman Old Style" w:cs="Arial"/>
        </w:rPr>
        <w:t xml:space="preserve">Por la cual se </w:t>
      </w:r>
      <w:r w:rsidR="00930406">
        <w:rPr>
          <w:rFonts w:ascii="Bookman Old Style" w:hAnsi="Bookman Old Style" w:cs="Arial"/>
        </w:rPr>
        <w:t>establece</w:t>
      </w:r>
      <w:r w:rsidR="00930406" w:rsidRPr="00CC5568">
        <w:rPr>
          <w:rFonts w:ascii="Bookman Old Style" w:hAnsi="Bookman Old Style" w:cs="Arial"/>
        </w:rPr>
        <w:t xml:space="preserve"> </w:t>
      </w:r>
      <w:r w:rsidRPr="00CC5568">
        <w:rPr>
          <w:rFonts w:ascii="Bookman Old Style" w:hAnsi="Bookman Old Style" w:cs="Arial"/>
        </w:rPr>
        <w:t xml:space="preserve">la oportunidad en que se asignarán las Obligaciones </w:t>
      </w:r>
      <w:r w:rsidR="002C2578">
        <w:rPr>
          <w:rFonts w:ascii="Bookman Old Style" w:hAnsi="Bookman Old Style" w:cs="Arial"/>
        </w:rPr>
        <w:br/>
      </w:r>
      <w:r w:rsidRPr="00CC5568">
        <w:rPr>
          <w:rFonts w:ascii="Bookman Old Style" w:hAnsi="Bookman Old Style" w:cs="Arial"/>
        </w:rPr>
        <w:t xml:space="preserve">de Energía Firme del Cargo por Confiabilidad </w:t>
      </w:r>
      <w:r w:rsidR="005933FB">
        <w:rPr>
          <w:rFonts w:ascii="Bookman Old Style" w:hAnsi="Bookman Old Style" w:cs="Arial"/>
        </w:rPr>
        <w:t xml:space="preserve">a quienes representen plantas existentes </w:t>
      </w:r>
      <w:r w:rsidRPr="00CC5568">
        <w:rPr>
          <w:rFonts w:ascii="Bookman Old Style" w:hAnsi="Bookman Old Style" w:cs="Arial"/>
        </w:rPr>
        <w:t xml:space="preserve">para </w:t>
      </w:r>
      <w:r w:rsidR="00872A6C" w:rsidRPr="00CC5568">
        <w:rPr>
          <w:rFonts w:ascii="Bookman Old Style" w:hAnsi="Bookman Old Style" w:cs="Arial"/>
        </w:rPr>
        <w:t xml:space="preserve">los </w:t>
      </w:r>
      <w:r w:rsidRPr="00CC5568">
        <w:rPr>
          <w:rFonts w:ascii="Bookman Old Style" w:hAnsi="Bookman Old Style" w:cs="Arial"/>
        </w:rPr>
        <w:t>período</w:t>
      </w:r>
      <w:r w:rsidR="00872A6C" w:rsidRPr="00CC5568">
        <w:rPr>
          <w:rFonts w:ascii="Bookman Old Style" w:hAnsi="Bookman Old Style" w:cs="Arial"/>
        </w:rPr>
        <w:t>s</w:t>
      </w:r>
      <w:r w:rsidRPr="00CC5568">
        <w:rPr>
          <w:rFonts w:ascii="Bookman Old Style" w:hAnsi="Bookman Old Style" w:cs="Arial"/>
        </w:rPr>
        <w:t xml:space="preserve"> comprendido</w:t>
      </w:r>
      <w:r w:rsidR="0095230E" w:rsidRPr="00CC5568">
        <w:rPr>
          <w:rFonts w:ascii="Bookman Old Style" w:hAnsi="Bookman Old Style" w:cs="Arial"/>
        </w:rPr>
        <w:t>s</w:t>
      </w:r>
      <w:r w:rsidRPr="00CC5568">
        <w:rPr>
          <w:rFonts w:ascii="Bookman Old Style" w:hAnsi="Bookman Old Style" w:cs="Arial"/>
        </w:rPr>
        <w:t xml:space="preserve"> entre </w:t>
      </w:r>
      <w:r w:rsidR="003E71DD" w:rsidRPr="00CC5568">
        <w:rPr>
          <w:rFonts w:ascii="Bookman Old Style" w:hAnsi="Bookman Old Style" w:cs="Arial"/>
        </w:rPr>
        <w:t>d</w:t>
      </w:r>
      <w:r w:rsidRPr="00CC5568">
        <w:rPr>
          <w:rFonts w:ascii="Bookman Old Style" w:hAnsi="Bookman Old Style" w:cs="Arial"/>
        </w:rPr>
        <w:t xml:space="preserve">iciembre </w:t>
      </w:r>
      <w:r w:rsidR="003E71DD" w:rsidRPr="00CC5568">
        <w:rPr>
          <w:rFonts w:ascii="Bookman Old Style" w:hAnsi="Bookman Old Style" w:cs="Arial"/>
        </w:rPr>
        <w:t xml:space="preserve">1 de </w:t>
      </w:r>
      <w:r w:rsidRPr="00CC5568">
        <w:rPr>
          <w:rFonts w:ascii="Bookman Old Style" w:hAnsi="Bookman Old Style" w:cs="Arial"/>
        </w:rPr>
        <w:t xml:space="preserve">2023 </w:t>
      </w:r>
      <w:r w:rsidR="0095230E" w:rsidRPr="00CC5568">
        <w:rPr>
          <w:rFonts w:ascii="Bookman Old Style" w:hAnsi="Bookman Old Style" w:cs="Arial"/>
        </w:rPr>
        <w:t xml:space="preserve">a </w:t>
      </w:r>
      <w:r w:rsidRPr="00CC5568">
        <w:rPr>
          <w:rFonts w:ascii="Bookman Old Style" w:hAnsi="Bookman Old Style" w:cs="Arial"/>
        </w:rPr>
        <w:t xml:space="preserve">noviembre </w:t>
      </w:r>
      <w:r w:rsidR="003E71DD" w:rsidRPr="00CC5568">
        <w:rPr>
          <w:rFonts w:ascii="Bookman Old Style" w:hAnsi="Bookman Old Style" w:cs="Arial"/>
        </w:rPr>
        <w:t xml:space="preserve">30 </w:t>
      </w:r>
      <w:r w:rsidRPr="00CC5568">
        <w:rPr>
          <w:rFonts w:ascii="Bookman Old Style" w:hAnsi="Bookman Old Style" w:cs="Arial"/>
        </w:rPr>
        <w:t>de 2024</w:t>
      </w:r>
      <w:r w:rsidR="0098229E">
        <w:rPr>
          <w:rFonts w:ascii="Bookman Old Style" w:hAnsi="Bookman Old Style" w:cs="Arial"/>
        </w:rPr>
        <w:t>,</w:t>
      </w:r>
      <w:r w:rsidR="00872A6C" w:rsidRPr="00CC5568">
        <w:rPr>
          <w:rFonts w:ascii="Bookman Old Style" w:hAnsi="Bookman Old Style" w:cs="Arial"/>
        </w:rPr>
        <w:t xml:space="preserve"> y diciembre </w:t>
      </w:r>
      <w:r w:rsidR="003E71DD" w:rsidRPr="00CC5568">
        <w:rPr>
          <w:rFonts w:ascii="Bookman Old Style" w:hAnsi="Bookman Old Style" w:cs="Arial"/>
        </w:rPr>
        <w:t xml:space="preserve">1 de </w:t>
      </w:r>
      <w:r w:rsidR="00872A6C" w:rsidRPr="00CC5568">
        <w:rPr>
          <w:rFonts w:ascii="Bookman Old Style" w:hAnsi="Bookman Old Style" w:cs="Arial"/>
        </w:rPr>
        <w:t xml:space="preserve">2024 </w:t>
      </w:r>
      <w:r w:rsidR="0095230E" w:rsidRPr="00CC5568">
        <w:rPr>
          <w:rFonts w:ascii="Bookman Old Style" w:hAnsi="Bookman Old Style" w:cs="Arial"/>
        </w:rPr>
        <w:t>a</w:t>
      </w:r>
      <w:r w:rsidR="003E71DD" w:rsidRPr="00CC5568">
        <w:rPr>
          <w:rFonts w:ascii="Bookman Old Style" w:hAnsi="Bookman Old Style" w:cs="Arial"/>
        </w:rPr>
        <w:t xml:space="preserve"> </w:t>
      </w:r>
      <w:r w:rsidR="00872A6C" w:rsidRPr="00CC5568">
        <w:rPr>
          <w:rFonts w:ascii="Bookman Old Style" w:hAnsi="Bookman Old Style" w:cs="Arial"/>
        </w:rPr>
        <w:t xml:space="preserve">noviembre </w:t>
      </w:r>
      <w:r w:rsidR="003E71DD" w:rsidRPr="00CC5568">
        <w:rPr>
          <w:rFonts w:ascii="Bookman Old Style" w:hAnsi="Bookman Old Style" w:cs="Arial"/>
        </w:rPr>
        <w:t xml:space="preserve">30 </w:t>
      </w:r>
      <w:r w:rsidR="00872A6C" w:rsidRPr="00CC5568">
        <w:rPr>
          <w:rFonts w:ascii="Bookman Old Style" w:hAnsi="Bookman Old Style" w:cs="Arial"/>
        </w:rPr>
        <w:t>de 2025</w:t>
      </w:r>
    </w:p>
    <w:p w14:paraId="7EA7DD32" w14:textId="275AF3E9" w:rsidR="00DD58E1" w:rsidRDefault="00DD58E1" w:rsidP="00ED48C7">
      <w:pPr>
        <w:ind w:left="0" w:right="51"/>
        <w:rPr>
          <w:rFonts w:ascii="Bookman Old Style" w:hAnsi="Bookman Old Style"/>
        </w:rPr>
      </w:pPr>
    </w:p>
    <w:p w14:paraId="674BF6BA" w14:textId="77777777" w:rsidR="003E6769" w:rsidRDefault="003E6769" w:rsidP="00ED48C7">
      <w:pPr>
        <w:ind w:left="0" w:right="51"/>
        <w:rPr>
          <w:rFonts w:ascii="Bookman Old Style" w:hAnsi="Bookman Old Style"/>
        </w:rPr>
      </w:pPr>
    </w:p>
    <w:p w14:paraId="1CC55A9A" w14:textId="04F25380"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3AEAC210" w14:textId="77777777" w:rsidR="00EC6015" w:rsidRPr="00C435C3" w:rsidRDefault="00EC6015" w:rsidP="00DE7E37">
      <w:pPr>
        <w:ind w:left="0" w:right="51"/>
        <w:rPr>
          <w:rFonts w:ascii="Bookman Old Style" w:hAnsi="Bookman Old Style"/>
        </w:rPr>
      </w:pPr>
    </w:p>
    <w:p w14:paraId="27CBF71C" w14:textId="498CE000"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w:t>
      </w:r>
      <w:r w:rsidR="0098229E">
        <w:rPr>
          <w:rFonts w:ascii="Bookman Old Style" w:hAnsi="Bookman Old Style"/>
        </w:rPr>
        <w:t>,</w:t>
      </w:r>
      <w:r w:rsidRPr="00AD1F99">
        <w:rPr>
          <w:rFonts w:ascii="Bookman Old Style" w:hAnsi="Bookman Old Style"/>
        </w:rPr>
        <w:t xml:space="preserve"> y 1260 de 2013.</w:t>
      </w:r>
    </w:p>
    <w:p w14:paraId="177A3C40" w14:textId="778E9120" w:rsidR="00C240CA" w:rsidRDefault="00C240CA" w:rsidP="00ED48C7">
      <w:pPr>
        <w:ind w:left="0"/>
        <w:jc w:val="both"/>
        <w:rPr>
          <w:rFonts w:ascii="Bookman Old Style" w:hAnsi="Bookman Old Style"/>
        </w:rPr>
      </w:pPr>
    </w:p>
    <w:p w14:paraId="33627635" w14:textId="14AC924E" w:rsidR="00C240CA" w:rsidRDefault="00C240CA" w:rsidP="00ED48C7">
      <w:pPr>
        <w:ind w:left="0"/>
        <w:jc w:val="both"/>
        <w:rPr>
          <w:rFonts w:ascii="Bookman Old Style" w:hAnsi="Bookman Old Style"/>
        </w:rPr>
      </w:pPr>
    </w:p>
    <w:p w14:paraId="0423A25E" w14:textId="5600C3EC" w:rsidR="00DE7E37" w:rsidRPr="00C435C3" w:rsidRDefault="00DE7E37" w:rsidP="00ED48C7">
      <w:pPr>
        <w:spacing w:before="120"/>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00DB225C">
        <w:rPr>
          <w:rFonts w:ascii="Bookman Old Style" w:hAnsi="Bookman Old Style"/>
          <w:b/>
        </w:rPr>
        <w:t xml:space="preserve"> </w:t>
      </w:r>
      <w:r w:rsidRPr="00C435C3">
        <w:rPr>
          <w:rFonts w:ascii="Bookman Old Style" w:hAnsi="Bookman Old Style"/>
          <w:b/>
        </w:rPr>
        <w:t>:</w:t>
      </w:r>
    </w:p>
    <w:p w14:paraId="6618A32C" w14:textId="77777777" w:rsidR="00F44ED7" w:rsidRPr="00ED48C7" w:rsidRDefault="00F44ED7" w:rsidP="00ED48C7">
      <w:pPr>
        <w:ind w:left="0"/>
        <w:jc w:val="both"/>
        <w:rPr>
          <w:rFonts w:ascii="Bookman Old Style" w:hAnsi="Bookman Old Style"/>
        </w:rPr>
      </w:pPr>
    </w:p>
    <w:p w14:paraId="6D1BC0D1" w14:textId="77777777" w:rsidR="0006683F" w:rsidRDefault="0006683F" w:rsidP="0006683F">
      <w:pPr>
        <w:ind w:left="0"/>
        <w:jc w:val="both"/>
        <w:rPr>
          <w:rFonts w:ascii="Bookman Old Style" w:hAnsi="Bookman Old Style" w:cs="Arial"/>
          <w:lang w:val="es-CO"/>
        </w:rPr>
      </w:pPr>
    </w:p>
    <w:p w14:paraId="1A8283BF" w14:textId="77777777"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S</w:t>
      </w:r>
      <w:r w:rsidRPr="001B44E2">
        <w:rPr>
          <w:rFonts w:ascii="Bookman Old Style" w:hAnsi="Bookman Old Style"/>
          <w:lang w:eastAsia="ar-SA"/>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w:t>
      </w:r>
      <w:r>
        <w:rPr>
          <w:rFonts w:ascii="Bookman Old Style" w:hAnsi="Bookman Old Style"/>
          <w:lang w:eastAsia="ar-SA"/>
        </w:rPr>
        <w:t>alidad y seguridad establecidos.</w:t>
      </w:r>
      <w:r w:rsidRPr="001B44E2">
        <w:rPr>
          <w:rFonts w:ascii="Bookman Old Style" w:hAnsi="Bookman Old Style"/>
          <w:lang w:eastAsia="ar-SA"/>
        </w:rPr>
        <w:t xml:space="preserve"> </w:t>
      </w:r>
    </w:p>
    <w:p w14:paraId="1C04F81A" w14:textId="77777777" w:rsidR="008A7880" w:rsidRPr="001B44E2" w:rsidRDefault="008A7880" w:rsidP="008A7880">
      <w:pPr>
        <w:suppressAutoHyphens/>
        <w:ind w:left="0"/>
        <w:jc w:val="both"/>
        <w:rPr>
          <w:rFonts w:ascii="Bookman Old Style" w:hAnsi="Bookman Old Style"/>
          <w:lang w:eastAsia="ar-SA"/>
        </w:rPr>
      </w:pPr>
    </w:p>
    <w:p w14:paraId="05AEBC64" w14:textId="77777777"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L</w:t>
      </w:r>
      <w:r w:rsidRPr="001B44E2">
        <w:rPr>
          <w:rFonts w:ascii="Bookman Old Style" w:hAnsi="Bookman Old Style"/>
          <w:lang w:eastAsia="ar-SA"/>
        </w:rPr>
        <w:t>a Ley 143 de 1994, artículo 20, definió como objetivo fundamental de la Regulación en el sector eléctrico, asegurar una adecuada prestación del servicio mediante el aprovechamiento eficiente de los diferentes recursos en</w:t>
      </w:r>
      <w:r>
        <w:rPr>
          <w:rFonts w:ascii="Bookman Old Style" w:hAnsi="Bookman Old Style"/>
          <w:lang w:eastAsia="ar-SA"/>
        </w:rPr>
        <w:t>ergé</w:t>
      </w:r>
      <w:r w:rsidRPr="001B44E2">
        <w:rPr>
          <w:rFonts w:ascii="Bookman Old Style" w:hAnsi="Bookman Old Style"/>
          <w:lang w:eastAsia="ar-SA"/>
        </w:rPr>
        <w:t>ticos, en beneficio del usuario en términos de calidad, o</w:t>
      </w:r>
      <w:r>
        <w:rPr>
          <w:rFonts w:ascii="Bookman Old Style" w:hAnsi="Bookman Old Style"/>
          <w:lang w:eastAsia="ar-SA"/>
        </w:rPr>
        <w:t>portunidad y costo del servicio.</w:t>
      </w:r>
      <w:r w:rsidRPr="001B44E2">
        <w:rPr>
          <w:rFonts w:ascii="Bookman Old Style" w:hAnsi="Bookman Old Style"/>
          <w:lang w:eastAsia="ar-SA"/>
        </w:rPr>
        <w:t xml:space="preserve"> </w:t>
      </w:r>
    </w:p>
    <w:p w14:paraId="413F59B6" w14:textId="6C1D7421" w:rsidR="00930406" w:rsidRDefault="00930406" w:rsidP="00ED48C7">
      <w:pPr>
        <w:suppressAutoHyphens/>
        <w:ind w:left="0"/>
        <w:jc w:val="both"/>
        <w:rPr>
          <w:rFonts w:ascii="Bookman Old Style" w:hAnsi="Bookman Old Style"/>
          <w:lang w:eastAsia="ar-SA"/>
        </w:rPr>
      </w:pPr>
    </w:p>
    <w:p w14:paraId="1B7DEB9F" w14:textId="5605DDED" w:rsidR="008A7880" w:rsidRPr="001B44E2" w:rsidRDefault="008A7880" w:rsidP="009B5364">
      <w:pPr>
        <w:suppressAutoHyphens/>
        <w:spacing w:after="120"/>
        <w:ind w:left="0"/>
        <w:jc w:val="both"/>
        <w:rPr>
          <w:rFonts w:ascii="Bookman Old Style" w:hAnsi="Bookman Old Style"/>
          <w:lang w:eastAsia="ar-SA"/>
        </w:rPr>
      </w:pPr>
      <w:r>
        <w:rPr>
          <w:rFonts w:ascii="Bookman Old Style" w:hAnsi="Bookman Old Style"/>
          <w:lang w:eastAsia="ar-SA"/>
        </w:rPr>
        <w:t>P</w:t>
      </w:r>
      <w:r w:rsidRPr="001B44E2">
        <w:rPr>
          <w:rFonts w:ascii="Bookman Old Style" w:hAnsi="Bookman Old Style"/>
          <w:lang w:eastAsia="ar-SA"/>
        </w:rPr>
        <w:t xml:space="preserve">ara el cumplimiento del objetivo señalado, la Ley 143 de 1994, artículo 23, le </w:t>
      </w:r>
      <w:r w:rsidR="00726ACC">
        <w:rPr>
          <w:rFonts w:ascii="Bookman Old Style" w:hAnsi="Bookman Old Style"/>
          <w:lang w:eastAsia="ar-SA"/>
        </w:rPr>
        <w:t>otorgó</w:t>
      </w:r>
      <w:r w:rsidR="00726ACC" w:rsidRPr="001B44E2">
        <w:rPr>
          <w:rFonts w:ascii="Bookman Old Style" w:hAnsi="Bookman Old Style"/>
          <w:lang w:eastAsia="ar-SA"/>
        </w:rPr>
        <w:t xml:space="preserve"> </w:t>
      </w:r>
      <w:r w:rsidRPr="001B44E2">
        <w:rPr>
          <w:rFonts w:ascii="Bookman Old Style" w:hAnsi="Bookman Old Style"/>
          <w:lang w:eastAsia="ar-SA"/>
        </w:rPr>
        <w:t>a la Comisión de Regulación de Energía y Gas, entre otras, las siguientes funciones:</w:t>
      </w:r>
    </w:p>
    <w:p w14:paraId="47EEFF3C" w14:textId="77777777" w:rsidR="008A7880" w:rsidRPr="00C0797B" w:rsidRDefault="008A7880" w:rsidP="009B5364">
      <w:pPr>
        <w:pStyle w:val="Prrafodelista"/>
        <w:numPr>
          <w:ilvl w:val="0"/>
          <w:numId w:val="2"/>
        </w:numPr>
        <w:suppressAutoHyphens/>
        <w:spacing w:after="120"/>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36C26AD4" w14:textId="77777777" w:rsidR="008A7880" w:rsidRPr="00C0797B" w:rsidRDefault="008A7880" w:rsidP="009B5364">
      <w:pPr>
        <w:pStyle w:val="Prrafodelista"/>
        <w:numPr>
          <w:ilvl w:val="0"/>
          <w:numId w:val="2"/>
        </w:numPr>
        <w:suppressAutoHyphens/>
        <w:spacing w:after="120"/>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t>Valorar la capacidad de generación de respaldo de la oferta eficiente.</w:t>
      </w:r>
    </w:p>
    <w:p w14:paraId="33A4E6ED" w14:textId="77777777" w:rsidR="008A7880" w:rsidRPr="00C0797B" w:rsidRDefault="008A7880" w:rsidP="009B5364">
      <w:pPr>
        <w:pStyle w:val="Prrafodelista"/>
        <w:numPr>
          <w:ilvl w:val="0"/>
          <w:numId w:val="2"/>
        </w:numPr>
        <w:suppressAutoHyphens/>
        <w:spacing w:after="120"/>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lastRenderedPageBreak/>
        <w:t xml:space="preserve">Definir y hacer operativos los criterios técnicos de calidad, confiabilidad y seguridad del servicio de energía. </w:t>
      </w:r>
    </w:p>
    <w:p w14:paraId="0BC07FEB" w14:textId="77777777" w:rsidR="008A7880" w:rsidRPr="00C0797B" w:rsidRDefault="008A7880" w:rsidP="009B5364">
      <w:pPr>
        <w:pStyle w:val="Prrafodelista"/>
        <w:numPr>
          <w:ilvl w:val="0"/>
          <w:numId w:val="2"/>
        </w:numPr>
        <w:suppressAutoHyphens/>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t>Establecer el Reglamento de Operación para realizar el planeamiento y la coordinación de la operación del Sistema Interconectado Nacional; y determinar las condiciones para la liberación gradual del mercado hacia la libre competencia.</w:t>
      </w:r>
    </w:p>
    <w:p w14:paraId="72F80CA5" w14:textId="77777777" w:rsidR="008A7880" w:rsidRPr="001B44E2" w:rsidRDefault="008A7880" w:rsidP="008A7880">
      <w:pPr>
        <w:suppressAutoHyphens/>
        <w:ind w:left="0"/>
        <w:jc w:val="both"/>
        <w:rPr>
          <w:rFonts w:ascii="Bookman Old Style" w:hAnsi="Bookman Old Style"/>
          <w:lang w:eastAsia="ar-SA"/>
        </w:rPr>
      </w:pPr>
    </w:p>
    <w:p w14:paraId="600D11BA" w14:textId="77777777" w:rsidR="00A66A35" w:rsidRPr="003C3499" w:rsidRDefault="00A66A35" w:rsidP="009B5364">
      <w:pPr>
        <w:ind w:left="0"/>
        <w:rPr>
          <w:rFonts w:ascii="Bookman Old Style" w:hAnsi="Bookman Old Style" w:cs="Arial"/>
        </w:rPr>
      </w:pPr>
      <w:r w:rsidRPr="003C3499">
        <w:rPr>
          <w:rFonts w:ascii="Bookman Old Style" w:hAnsi="Bookman Old Style" w:cs="Arial"/>
        </w:rPr>
        <w:t>De acuerdo con lo establecido en el literal c) del artículo 74.1 de la ley 142 de 1994, le corresponde a la CREG establecer el Reglamento de Operación, para regular el funcionamiento del Mercado Mayorista.</w:t>
      </w:r>
    </w:p>
    <w:p w14:paraId="706DE6A2" w14:textId="77777777" w:rsidR="00A66A35" w:rsidRPr="003C3499" w:rsidRDefault="00A66A35" w:rsidP="00A66A35">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14:paraId="4335BB6E" w14:textId="6AAD4ADF" w:rsidR="00A66A35" w:rsidRPr="003C3499" w:rsidRDefault="00A66A35" w:rsidP="00A66A35">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3C3499">
        <w:rPr>
          <w:rFonts w:ascii="Bookman Old Style" w:hAnsi="Bookman Old Style" w:cs="Arial"/>
          <w:bCs/>
          <w:szCs w:val="24"/>
          <w:lang w:val="es-CO" w:eastAsia="es-ES"/>
        </w:rPr>
        <w:t>La CREG</w:t>
      </w:r>
      <w:r w:rsidR="0098229E">
        <w:rPr>
          <w:rFonts w:ascii="Bookman Old Style" w:hAnsi="Bookman Old Style" w:cs="Arial"/>
          <w:bCs/>
          <w:szCs w:val="24"/>
          <w:lang w:val="es-CO" w:eastAsia="es-ES"/>
        </w:rPr>
        <w:t>,</w:t>
      </w:r>
      <w:r w:rsidRPr="003C3499">
        <w:rPr>
          <w:rFonts w:ascii="Bookman Old Style" w:hAnsi="Bookman Old Style" w:cs="Arial"/>
          <w:bCs/>
          <w:szCs w:val="24"/>
          <w:lang w:val="es-CO" w:eastAsia="es-ES"/>
        </w:rPr>
        <w:t xml:space="preserve"> mediante Resolución CREG</w:t>
      </w:r>
      <w:r w:rsidR="0098229E">
        <w:rPr>
          <w:rFonts w:ascii="Bookman Old Style" w:hAnsi="Bookman Old Style" w:cs="Arial"/>
          <w:bCs/>
          <w:szCs w:val="24"/>
          <w:lang w:val="es-CO" w:eastAsia="es-ES"/>
        </w:rPr>
        <w:t xml:space="preserve"> </w:t>
      </w:r>
      <w:r w:rsidRPr="003C3499">
        <w:rPr>
          <w:rFonts w:ascii="Bookman Old Style" w:hAnsi="Bookman Old Style" w:cs="Arial"/>
          <w:bCs/>
          <w:szCs w:val="24"/>
          <w:lang w:val="es-CO" w:eastAsia="es-ES"/>
        </w:rPr>
        <w:t>071 de 2006, adoptó la metodología para la remuneración del Cargo por Confiabilidad en el Mercado Mayorista de Energía, en la cual se estableció que</w:t>
      </w:r>
      <w:r w:rsidR="0098229E">
        <w:rPr>
          <w:rFonts w:ascii="Bookman Old Style" w:hAnsi="Bookman Old Style" w:cs="Arial"/>
          <w:bCs/>
          <w:szCs w:val="24"/>
          <w:lang w:val="es-CO" w:eastAsia="es-ES"/>
        </w:rPr>
        <w:t>,</w:t>
      </w:r>
      <w:r w:rsidRPr="003C3499">
        <w:rPr>
          <w:rFonts w:ascii="Bookman Old Style" w:hAnsi="Bookman Old Style" w:cs="Arial"/>
          <w:bCs/>
          <w:szCs w:val="24"/>
          <w:lang w:val="es-CO" w:eastAsia="es-ES"/>
        </w:rPr>
        <w:t xml:space="preserve"> con el fin de garantizar la confiabilidad del servicio de energía eléctrica en el Sistema Interconectado Nacional</w:t>
      </w:r>
      <w:r w:rsidR="0098229E">
        <w:rPr>
          <w:rFonts w:ascii="Bookman Old Style" w:hAnsi="Bookman Old Style" w:cs="Arial"/>
          <w:bCs/>
          <w:szCs w:val="24"/>
          <w:lang w:val="es-CO" w:eastAsia="es-ES"/>
        </w:rPr>
        <w:t>,</w:t>
      </w:r>
      <w:r w:rsidRPr="003C3499">
        <w:rPr>
          <w:rFonts w:ascii="Bookman Old Style" w:hAnsi="Bookman Old Style" w:cs="Arial"/>
          <w:bCs/>
          <w:szCs w:val="24"/>
          <w:lang w:val="es-CO" w:eastAsia="es-ES"/>
        </w:rPr>
        <w:t xml:space="preserve"> se definirá una Demanda Objetivo que debe cubrir</w:t>
      </w:r>
      <w:r w:rsidR="00FB22BA">
        <w:rPr>
          <w:rFonts w:ascii="Bookman Old Style" w:hAnsi="Bookman Old Style" w:cs="Arial"/>
          <w:bCs/>
          <w:szCs w:val="24"/>
          <w:lang w:val="es-CO" w:eastAsia="es-ES"/>
        </w:rPr>
        <w:t>se</w:t>
      </w:r>
      <w:r w:rsidRPr="003C3499">
        <w:rPr>
          <w:rFonts w:ascii="Bookman Old Style" w:hAnsi="Bookman Old Style" w:cs="Arial"/>
          <w:bCs/>
          <w:szCs w:val="24"/>
          <w:lang w:val="es-CO" w:eastAsia="es-ES"/>
        </w:rPr>
        <w:t xml:space="preserve"> mediante Obligaciones de Energía Firme.</w:t>
      </w:r>
    </w:p>
    <w:p w14:paraId="7F64380F" w14:textId="77777777" w:rsidR="00A66A35" w:rsidRPr="00ED48C7" w:rsidRDefault="00A66A35" w:rsidP="00ED48C7">
      <w:pPr>
        <w:pStyle w:val="Vietaletra"/>
        <w:numPr>
          <w:ilvl w:val="0"/>
          <w:numId w:val="0"/>
        </w:numPr>
        <w:suppressAutoHyphens w:val="0"/>
        <w:overflowPunct/>
        <w:autoSpaceDE/>
        <w:textAlignment w:val="auto"/>
        <w:rPr>
          <w:rFonts w:ascii="Bookman Old Style" w:hAnsi="Bookman Old Style" w:cs="Arial"/>
          <w:bCs/>
          <w:lang w:val="es-CO"/>
        </w:rPr>
      </w:pPr>
    </w:p>
    <w:p w14:paraId="42C79421" w14:textId="3A1FB459" w:rsidR="00A66A35" w:rsidRPr="003C3499" w:rsidRDefault="00A66A35" w:rsidP="00A66A35">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3C3499">
        <w:rPr>
          <w:rFonts w:ascii="Bookman Old Style" w:hAnsi="Bookman Old Style" w:cs="Arial"/>
          <w:bCs/>
          <w:szCs w:val="24"/>
          <w:lang w:val="es-CO" w:eastAsia="es-ES"/>
        </w:rPr>
        <w:t>En el artículo 2 de la Resolución CREG</w:t>
      </w:r>
      <w:r w:rsidR="0098229E">
        <w:rPr>
          <w:rFonts w:ascii="Bookman Old Style" w:hAnsi="Bookman Old Style" w:cs="Arial"/>
          <w:bCs/>
          <w:szCs w:val="24"/>
          <w:lang w:val="es-CO" w:eastAsia="es-ES"/>
        </w:rPr>
        <w:t xml:space="preserve"> </w:t>
      </w:r>
      <w:r w:rsidRPr="003C3499">
        <w:rPr>
          <w:rFonts w:ascii="Bookman Old Style" w:hAnsi="Bookman Old Style" w:cs="Arial"/>
          <w:bCs/>
          <w:szCs w:val="24"/>
          <w:lang w:val="es-CO" w:eastAsia="es-ES"/>
        </w:rPr>
        <w:t>071 de 2006 se definió la Demanda Objetivo como aquella que “</w:t>
      </w:r>
      <w:r w:rsidRPr="00ED48C7">
        <w:rPr>
          <w:rFonts w:ascii="Bookman Old Style" w:hAnsi="Bookman Old Style" w:cs="Arial"/>
          <w:bCs/>
          <w:i/>
          <w:iCs/>
          <w:szCs w:val="24"/>
          <w:lang w:val="es-CO" w:eastAsia="es-ES"/>
        </w:rPr>
        <w:t>equivale a la Demanda Total Doméstica de Energía para cada uno de los meses comprendidos entre el 1º de Diciembre y el 30 de noviembre del año siguiente al Período de Planeación, más un porcentaje que fijará la CREG</w:t>
      </w:r>
      <w:r>
        <w:rPr>
          <w:rFonts w:ascii="Bookman Old Style" w:hAnsi="Bookman Old Style" w:cs="Arial"/>
          <w:bCs/>
          <w:szCs w:val="24"/>
          <w:lang w:val="es-CO" w:eastAsia="es-ES"/>
        </w:rPr>
        <w:t>…”</w:t>
      </w:r>
      <w:r w:rsidRPr="003C3499">
        <w:rPr>
          <w:rFonts w:ascii="Bookman Old Style" w:hAnsi="Bookman Old Style" w:cs="Arial"/>
          <w:bCs/>
          <w:szCs w:val="24"/>
          <w:lang w:val="es-CO" w:eastAsia="es-ES"/>
        </w:rPr>
        <w:t>; y se estableció que “</w:t>
      </w:r>
      <w:r w:rsidRPr="00ED48C7">
        <w:rPr>
          <w:rFonts w:ascii="Bookman Old Style" w:hAnsi="Bookman Old Style" w:cs="Arial"/>
          <w:bCs/>
          <w:i/>
          <w:iCs/>
          <w:szCs w:val="24"/>
          <w:lang w:val="es-CO" w:eastAsia="es-ES"/>
        </w:rPr>
        <w:t>la Demanda Total Doméstica de Energía corresponderá a la proyección más reciente elaborada por la UPME para el escenario de proyección seleccionado por la CREG</w:t>
      </w:r>
      <w:r w:rsidRPr="003C3499">
        <w:rPr>
          <w:rFonts w:ascii="Bookman Old Style" w:hAnsi="Bookman Old Style" w:cs="Arial"/>
          <w:bCs/>
          <w:szCs w:val="24"/>
          <w:lang w:val="es-CO" w:eastAsia="es-ES"/>
        </w:rPr>
        <w:t>”.</w:t>
      </w:r>
    </w:p>
    <w:p w14:paraId="7D8A996A" w14:textId="77777777" w:rsidR="00A66A35" w:rsidRPr="00BC4290" w:rsidRDefault="00A66A35" w:rsidP="00A66A35">
      <w:pPr>
        <w:rPr>
          <w:rFonts w:ascii="Bookman Old Style" w:hAnsi="Bookman Old Style" w:cs="Arial"/>
          <w:bCs/>
          <w:sz w:val="22"/>
        </w:rPr>
      </w:pPr>
    </w:p>
    <w:p w14:paraId="2C298470" w14:textId="6D569FB5" w:rsidR="00A66A35" w:rsidRPr="003C3499" w:rsidRDefault="00A66A35" w:rsidP="00A66A35">
      <w:pPr>
        <w:ind w:left="0"/>
        <w:jc w:val="both"/>
        <w:rPr>
          <w:rFonts w:ascii="Bookman Old Style" w:hAnsi="Bookman Old Style" w:cs="Arial"/>
          <w:i/>
        </w:rPr>
      </w:pPr>
      <w:r w:rsidRPr="003C3499">
        <w:rPr>
          <w:rFonts w:ascii="Bookman Old Style" w:hAnsi="Bookman Old Style" w:cs="Arial"/>
          <w:bCs/>
        </w:rPr>
        <w:t>En el artículo 18 de la Resolución CREG</w:t>
      </w:r>
      <w:r w:rsidR="0098229E">
        <w:rPr>
          <w:rFonts w:ascii="Bookman Old Style" w:hAnsi="Bookman Old Style" w:cs="Arial"/>
          <w:bCs/>
        </w:rPr>
        <w:t xml:space="preserve"> </w:t>
      </w:r>
      <w:r w:rsidRPr="003C3499">
        <w:rPr>
          <w:rFonts w:ascii="Bookman Old Style" w:hAnsi="Bookman Old Style" w:cs="Arial"/>
          <w:bCs/>
        </w:rPr>
        <w:t xml:space="preserve">071 de 2006 se estableció que </w:t>
      </w:r>
      <w:r w:rsidRPr="003C3499">
        <w:rPr>
          <w:rFonts w:ascii="Bookman Old Style" w:hAnsi="Bookman Old Style" w:cs="Arial"/>
          <w:bCs/>
          <w:i/>
        </w:rPr>
        <w:t>“l</w:t>
      </w:r>
      <w:r w:rsidRPr="003C3499">
        <w:rPr>
          <w:rFonts w:ascii="Bookman Old Style" w:hAnsi="Bookman Old Style" w:cs="Arial"/>
          <w:i/>
        </w:rPr>
        <w:t>a CREG fijará, mediante resolución, la oportunidad en que el ASIC debe llevar a cabo la Subasta o el mecanismo de asignación que haga sus veces; así como el cronograma de las actividades que deben ejecutarse durante los Períodos de Precalificación y de Planeación de la Subasta, o las fechas máximas de ejecución de las actividades asociadas al mecanismo de asignación, según sea el caso”.</w:t>
      </w:r>
    </w:p>
    <w:p w14:paraId="4FCA89CA" w14:textId="77777777" w:rsidR="00A66A35" w:rsidRPr="00BC4290" w:rsidRDefault="00A66A35" w:rsidP="00A66A35">
      <w:pPr>
        <w:ind w:left="0"/>
        <w:jc w:val="both"/>
        <w:rPr>
          <w:rFonts w:ascii="Bookman Old Style" w:hAnsi="Bookman Old Style" w:cs="Arial"/>
          <w:bCs/>
          <w:sz w:val="22"/>
        </w:rPr>
      </w:pPr>
    </w:p>
    <w:p w14:paraId="2814E0B4" w14:textId="6F9B7DFB" w:rsidR="00A66A35" w:rsidRPr="003C3499" w:rsidRDefault="00A66A35" w:rsidP="00A66A35">
      <w:pPr>
        <w:ind w:left="0"/>
        <w:jc w:val="both"/>
        <w:rPr>
          <w:rFonts w:ascii="Bookman Old Style" w:hAnsi="Bookman Old Style"/>
          <w:bCs/>
        </w:rPr>
      </w:pPr>
      <w:r>
        <w:rPr>
          <w:rFonts w:ascii="Bookman Old Style" w:hAnsi="Bookman Old Style"/>
          <w:bCs/>
        </w:rPr>
        <w:t>La UPME publicó en su página WEB (</w:t>
      </w:r>
      <w:hyperlink r:id="rId13" w:history="1">
        <w:r w:rsidRPr="00591779">
          <w:rPr>
            <w:rStyle w:val="Hipervnculo"/>
            <w:rFonts w:ascii="Bookman Old Style" w:hAnsi="Bookman Old Style"/>
            <w:bCs/>
          </w:rPr>
          <w:t>www.upme.gov.co</w:t>
        </w:r>
      </w:hyperlink>
      <w:r>
        <w:rPr>
          <w:rFonts w:ascii="Bookman Old Style" w:hAnsi="Bookman Old Style"/>
          <w:bCs/>
        </w:rPr>
        <w:t>) el documento “Proyección de Demanda de Energía Eléctrica y Gas Natural 2021-2035”</w:t>
      </w:r>
      <w:r w:rsidR="009B5364">
        <w:rPr>
          <w:rFonts w:ascii="Bookman Old Style" w:hAnsi="Bookman Old Style"/>
          <w:bCs/>
        </w:rPr>
        <w:t xml:space="preserve"> (</w:t>
      </w:r>
      <w:r w:rsidR="00AF6BC0">
        <w:rPr>
          <w:rFonts w:ascii="Bookman Old Style" w:hAnsi="Bookman Old Style"/>
          <w:bCs/>
        </w:rPr>
        <w:t xml:space="preserve">Proyección junio </w:t>
      </w:r>
      <w:r w:rsidR="009B5364">
        <w:rPr>
          <w:rFonts w:ascii="Bookman Old Style" w:hAnsi="Bookman Old Style"/>
          <w:bCs/>
        </w:rPr>
        <w:t>2021)</w:t>
      </w:r>
      <w:r w:rsidR="00FB22BA">
        <w:rPr>
          <w:rFonts w:ascii="Bookman Old Style" w:hAnsi="Bookman Old Style"/>
          <w:bCs/>
        </w:rPr>
        <w:t>, que corresponde a la proyección más reciente elaborada por la UPME</w:t>
      </w:r>
      <w:r>
        <w:rPr>
          <w:rFonts w:ascii="Bookman Old Style" w:hAnsi="Bookman Old Style"/>
          <w:bCs/>
        </w:rPr>
        <w:t>.</w:t>
      </w:r>
    </w:p>
    <w:p w14:paraId="394C3B81" w14:textId="75A9B870" w:rsidR="00224582" w:rsidRDefault="00224582" w:rsidP="00656042">
      <w:pPr>
        <w:suppressAutoHyphens/>
        <w:ind w:left="0"/>
        <w:jc w:val="both"/>
        <w:rPr>
          <w:rFonts w:ascii="Bookman Old Style" w:hAnsi="Bookman Old Style"/>
          <w:lang w:eastAsia="ar-SA"/>
        </w:rPr>
      </w:pPr>
    </w:p>
    <w:p w14:paraId="667AFE50" w14:textId="5AB0422D" w:rsidR="00B70782" w:rsidRDefault="00B70782" w:rsidP="00B70782">
      <w:pPr>
        <w:ind w:left="0"/>
        <w:jc w:val="both"/>
        <w:rPr>
          <w:rFonts w:ascii="Bookman Old Style" w:hAnsi="Bookman Old Style"/>
          <w:bCs/>
        </w:rPr>
      </w:pPr>
      <w:r w:rsidRPr="003C3499">
        <w:rPr>
          <w:rFonts w:ascii="Bookman Old Style" w:hAnsi="Bookman Old Style"/>
          <w:bCs/>
        </w:rPr>
        <w:t>En cumplimiento</w:t>
      </w:r>
      <w:r w:rsidR="00E047C9">
        <w:rPr>
          <w:rFonts w:ascii="Bookman Old Style" w:hAnsi="Bookman Old Style"/>
          <w:bCs/>
        </w:rPr>
        <w:t xml:space="preserve"> </w:t>
      </w:r>
      <w:r w:rsidR="00930406">
        <w:rPr>
          <w:rFonts w:ascii="Bookman Old Style" w:hAnsi="Bookman Old Style"/>
          <w:bCs/>
        </w:rPr>
        <w:t>de</w:t>
      </w:r>
      <w:r w:rsidR="00E047C9">
        <w:rPr>
          <w:rFonts w:ascii="Bookman Old Style" w:hAnsi="Bookman Old Style"/>
          <w:bCs/>
        </w:rPr>
        <w:t xml:space="preserve"> lo dispuesto en</w:t>
      </w:r>
      <w:r w:rsidRPr="003C3499">
        <w:rPr>
          <w:rFonts w:ascii="Bookman Old Style" w:hAnsi="Bookman Old Style"/>
          <w:bCs/>
        </w:rPr>
        <w:t xml:space="preserve"> el</w:t>
      </w:r>
      <w:r w:rsidR="00FB22BA">
        <w:rPr>
          <w:rFonts w:ascii="Bookman Old Style" w:hAnsi="Bookman Old Style"/>
          <w:bCs/>
        </w:rPr>
        <w:t xml:space="preserve"> citado</w:t>
      </w:r>
      <w:r w:rsidRPr="003C3499">
        <w:rPr>
          <w:rFonts w:ascii="Bookman Old Style" w:hAnsi="Bookman Old Style"/>
          <w:bCs/>
        </w:rPr>
        <w:t xml:space="preserve"> artículo 18 de la resolución CREG</w:t>
      </w:r>
      <w:r w:rsidR="0098229E">
        <w:rPr>
          <w:rFonts w:ascii="Bookman Old Style" w:hAnsi="Bookman Old Style"/>
          <w:bCs/>
        </w:rPr>
        <w:t xml:space="preserve"> </w:t>
      </w:r>
      <w:r w:rsidRPr="003C3499">
        <w:rPr>
          <w:rFonts w:ascii="Bookman Old Style" w:hAnsi="Bookman Old Style"/>
          <w:bCs/>
        </w:rPr>
        <w:t xml:space="preserve">071 de 2006, se analizó la información reportada oportunamente por los agentes y se verificó </w:t>
      </w:r>
      <w:r w:rsidR="00930406">
        <w:rPr>
          <w:rFonts w:ascii="Bookman Old Style" w:hAnsi="Bookman Old Style"/>
          <w:bCs/>
        </w:rPr>
        <w:t xml:space="preserve">para los períodos </w:t>
      </w:r>
      <w:r w:rsidR="00930406" w:rsidRPr="00930406">
        <w:rPr>
          <w:rFonts w:ascii="Bookman Old Style" w:hAnsi="Bookman Old Style"/>
          <w:bCs/>
        </w:rPr>
        <w:t>comprendidos entre diciembre 1 de 2023 a noviembre 30 de 2024</w:t>
      </w:r>
      <w:r w:rsidR="0098229E">
        <w:rPr>
          <w:rFonts w:ascii="Bookman Old Style" w:hAnsi="Bookman Old Style"/>
          <w:bCs/>
        </w:rPr>
        <w:t>,</w:t>
      </w:r>
      <w:r w:rsidR="00930406" w:rsidRPr="00930406">
        <w:rPr>
          <w:rFonts w:ascii="Bookman Old Style" w:hAnsi="Bookman Old Style"/>
          <w:bCs/>
        </w:rPr>
        <w:t xml:space="preserve"> y diciembre 1 de 2024 a noviembre 30 de 2025</w:t>
      </w:r>
      <w:r w:rsidR="00930406">
        <w:rPr>
          <w:rFonts w:ascii="Bookman Old Style" w:hAnsi="Bookman Old Style"/>
          <w:bCs/>
        </w:rPr>
        <w:t>, s</w:t>
      </w:r>
      <w:r w:rsidRPr="003C3499">
        <w:rPr>
          <w:rFonts w:ascii="Bookman Old Style" w:hAnsi="Bookman Old Style"/>
          <w:bCs/>
        </w:rPr>
        <w:t>i la suma de las ENFICC de cada una de las plantas es mayor o igual a la demanda objetivo</w:t>
      </w:r>
      <w:r>
        <w:rPr>
          <w:rFonts w:ascii="Bookman Old Style" w:hAnsi="Bookman Old Style"/>
          <w:bCs/>
        </w:rPr>
        <w:t>.</w:t>
      </w:r>
    </w:p>
    <w:p w14:paraId="0E0B809B" w14:textId="6A517E7E" w:rsidR="00907521" w:rsidRDefault="00907521" w:rsidP="00B70782">
      <w:pPr>
        <w:ind w:left="0"/>
        <w:jc w:val="both"/>
        <w:rPr>
          <w:rFonts w:ascii="Bookman Old Style" w:hAnsi="Bookman Old Style"/>
          <w:bCs/>
        </w:rPr>
      </w:pPr>
    </w:p>
    <w:p w14:paraId="536E8CDA" w14:textId="5534F160" w:rsidR="00907521" w:rsidRDefault="009D350A" w:rsidP="00B70782">
      <w:pPr>
        <w:ind w:left="0"/>
        <w:jc w:val="both"/>
        <w:rPr>
          <w:rFonts w:ascii="Bookman Old Style" w:hAnsi="Bookman Old Style"/>
          <w:i/>
          <w:iCs/>
        </w:rPr>
      </w:pPr>
      <w:r>
        <w:rPr>
          <w:rFonts w:ascii="Bookman Old Style" w:hAnsi="Bookman Old Style"/>
          <w:bCs/>
        </w:rPr>
        <w:t xml:space="preserve">La Comisión de Regulación de Energía y Gas, en su sesión 1142 del 17 de diciembre de 2021, aprobó hacer público el proyecto de resolución </w:t>
      </w:r>
      <w:r w:rsidRPr="738E1D91">
        <w:rPr>
          <w:rFonts w:ascii="Bookman Old Style" w:hAnsi="Bookman Old Style" w:cs="Arial"/>
        </w:rPr>
        <w:t>“</w:t>
      </w:r>
      <w:r w:rsidRPr="00CC5568">
        <w:rPr>
          <w:rFonts w:ascii="Bookman Old Style" w:hAnsi="Bookman Old Style" w:cs="Arial"/>
          <w:i/>
          <w:iCs/>
        </w:rPr>
        <w:t xml:space="preserve">Por la cual se </w:t>
      </w:r>
      <w:r>
        <w:rPr>
          <w:rFonts w:ascii="Bookman Old Style" w:hAnsi="Bookman Old Style" w:cs="Arial"/>
          <w:i/>
          <w:iCs/>
        </w:rPr>
        <w:t>establece</w:t>
      </w:r>
      <w:r w:rsidRPr="00CC5568">
        <w:rPr>
          <w:rFonts w:ascii="Bookman Old Style" w:hAnsi="Bookman Old Style" w:cs="Arial"/>
          <w:i/>
          <w:iCs/>
        </w:rPr>
        <w:t xml:space="preserve"> la oportunidad en que se asignarán las Obligaciones de Energía Firme del Cargo por Confiabilidad para los períodos comprendidos entre diciembre 1 de 2023 a noviembre 30 de 2024 y diciembre 1 de 2024 a noviembre 30 de 2025</w:t>
      </w:r>
      <w:r w:rsidRPr="738E1D91">
        <w:rPr>
          <w:rFonts w:ascii="Bookman Old Style" w:hAnsi="Bookman Old Style"/>
          <w:i/>
          <w:iCs/>
        </w:rPr>
        <w:t>”.</w:t>
      </w:r>
    </w:p>
    <w:p w14:paraId="5CB5A36C" w14:textId="3ECC26DD" w:rsidR="009D350A" w:rsidRDefault="00324007" w:rsidP="00B70782">
      <w:pPr>
        <w:ind w:left="0"/>
        <w:jc w:val="both"/>
        <w:rPr>
          <w:rFonts w:ascii="Bookman Old Style" w:hAnsi="Bookman Old Style"/>
          <w:bCs/>
        </w:rPr>
      </w:pPr>
      <w:r>
        <w:rPr>
          <w:rFonts w:ascii="Bookman Old Style" w:hAnsi="Bookman Old Style"/>
          <w:bCs/>
        </w:rPr>
        <w:lastRenderedPageBreak/>
        <w:t>En el plazo establecido para la consulta, se recibieron comentarios de los remitentes interesados sobre el mencionado proyecto de resolución publicado en la Resolución CREG 223 de 2021. El listado de remitentes que enviaron comentarios y el análisis de las observaciones y sugerencias recibidas en la consulta, se encuentran en el documento soporte que acompaña esta resolución.</w:t>
      </w:r>
    </w:p>
    <w:p w14:paraId="38FBBBB6" w14:textId="2C5CFD46" w:rsidR="00324007" w:rsidRDefault="00324007" w:rsidP="00B70782">
      <w:pPr>
        <w:ind w:left="0"/>
        <w:jc w:val="both"/>
        <w:rPr>
          <w:rFonts w:ascii="Bookman Old Style" w:hAnsi="Bookman Old Style"/>
          <w:bCs/>
        </w:rPr>
      </w:pPr>
    </w:p>
    <w:p w14:paraId="066D3D33" w14:textId="1B30EEB0" w:rsidR="00324007" w:rsidRDefault="00324007" w:rsidP="00B70782">
      <w:pPr>
        <w:ind w:left="0"/>
        <w:jc w:val="both"/>
        <w:rPr>
          <w:rFonts w:ascii="Bookman Old Style" w:hAnsi="Bookman Old Style"/>
          <w:bCs/>
        </w:rPr>
      </w:pPr>
      <w:r>
        <w:rPr>
          <w:rFonts w:ascii="Bookman Old Style" w:hAnsi="Bookman Old Style"/>
          <w:bCs/>
        </w:rPr>
        <w:t xml:space="preserve">Como resultado del diligenciamiento del formulario sobre prácticas restrictivas a la competencia, en cumplimiento de lo establecido en el Decreto 1074 de 2015, se concluyó </w:t>
      </w:r>
      <w:r w:rsidR="00A05CF0">
        <w:rPr>
          <w:rFonts w:ascii="Bookman Old Style" w:hAnsi="Bookman Old Style"/>
          <w:bCs/>
        </w:rPr>
        <w:t>que esta normativa no es restrictiva de la competencia. Por lo anterior, no se informó a la Superintendencia de Industria y Comercio, SIC, sobre la presente resolución.</w:t>
      </w:r>
    </w:p>
    <w:p w14:paraId="3F418B70" w14:textId="508F15B0" w:rsidR="00A05CF0" w:rsidRDefault="00A05CF0" w:rsidP="00B70782">
      <w:pPr>
        <w:ind w:left="0"/>
        <w:jc w:val="both"/>
        <w:rPr>
          <w:rFonts w:ascii="Bookman Old Style" w:hAnsi="Bookman Old Style"/>
          <w:bCs/>
        </w:rPr>
      </w:pPr>
    </w:p>
    <w:p w14:paraId="1C3FDE27" w14:textId="2CEA487F" w:rsidR="00A05CF0" w:rsidRDefault="00A05CF0" w:rsidP="00B70782">
      <w:pPr>
        <w:ind w:left="0"/>
        <w:jc w:val="both"/>
        <w:rPr>
          <w:rFonts w:ascii="Bookman Old Style" w:hAnsi="Bookman Old Style"/>
          <w:bCs/>
        </w:rPr>
      </w:pPr>
      <w:r>
        <w:rPr>
          <w:rFonts w:ascii="Bookman Old Style" w:hAnsi="Bookman Old Style"/>
          <w:bCs/>
        </w:rPr>
        <w:t>Con base en lo anterior, la Comisión de Regulación de Energía y Gas, en su sesión No.</w:t>
      </w:r>
      <w:r w:rsidR="00ED48C7">
        <w:rPr>
          <w:rFonts w:ascii="Bookman Old Style" w:hAnsi="Bookman Old Style"/>
          <w:bCs/>
        </w:rPr>
        <w:t>1148</w:t>
      </w:r>
      <w:r>
        <w:rPr>
          <w:rFonts w:ascii="Bookman Old Style" w:hAnsi="Bookman Old Style"/>
          <w:bCs/>
        </w:rPr>
        <w:t xml:space="preserve"> del </w:t>
      </w:r>
      <w:r w:rsidR="00ED48C7">
        <w:rPr>
          <w:rFonts w:ascii="Bookman Old Style" w:hAnsi="Bookman Old Style"/>
          <w:bCs/>
        </w:rPr>
        <w:t>1</w:t>
      </w:r>
      <w:r>
        <w:rPr>
          <w:rFonts w:ascii="Bookman Old Style" w:hAnsi="Bookman Old Style"/>
          <w:bCs/>
        </w:rPr>
        <w:t xml:space="preserve"> de febrero de 2022, acordó expedir esta resolución.</w:t>
      </w:r>
    </w:p>
    <w:p w14:paraId="52FB0404" w14:textId="77777777" w:rsidR="00A05CF0" w:rsidRPr="003C3499" w:rsidRDefault="00A05CF0" w:rsidP="00B70782">
      <w:pPr>
        <w:ind w:left="0"/>
        <w:jc w:val="both"/>
        <w:rPr>
          <w:rFonts w:ascii="Bookman Old Style" w:hAnsi="Bookman Old Style"/>
          <w:bCs/>
        </w:rPr>
      </w:pPr>
    </w:p>
    <w:p w14:paraId="6690BDAB" w14:textId="77777777" w:rsidR="00B27555" w:rsidRDefault="00B27555" w:rsidP="00771DB0">
      <w:pPr>
        <w:ind w:left="0"/>
        <w:jc w:val="both"/>
        <w:rPr>
          <w:rFonts w:ascii="Bookman Old Style" w:hAnsi="Bookman Old Style"/>
          <w:bCs/>
          <w:szCs w:val="18"/>
          <w:lang w:val="es-CO"/>
        </w:rPr>
      </w:pPr>
    </w:p>
    <w:p w14:paraId="496999A5" w14:textId="7205D2CF"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r w:rsidR="00DB225C">
        <w:rPr>
          <w:rFonts w:ascii="Bookman Old Style" w:hAnsi="Bookman Old Style"/>
          <w:b/>
          <w:spacing w:val="-3"/>
        </w:rPr>
        <w:t xml:space="preserve"> </w:t>
      </w:r>
      <w:r w:rsidRPr="00C435C3">
        <w:rPr>
          <w:rFonts w:ascii="Bookman Old Style" w:hAnsi="Bookman Old Style"/>
          <w:b/>
          <w:spacing w:val="-3"/>
        </w:rPr>
        <w:t>:</w:t>
      </w:r>
    </w:p>
    <w:p w14:paraId="68EB8C29" w14:textId="4D693F24" w:rsidR="00244689" w:rsidRPr="00ED48C7" w:rsidRDefault="00244689" w:rsidP="00ED48C7">
      <w:pPr>
        <w:spacing w:after="120"/>
        <w:ind w:left="0"/>
        <w:jc w:val="both"/>
        <w:rPr>
          <w:rFonts w:ascii="Bookman Old Style" w:hAnsi="Bookman Old Style"/>
          <w:bCs/>
        </w:rPr>
      </w:pPr>
    </w:p>
    <w:p w14:paraId="3D864E48" w14:textId="7EF2EA88" w:rsidR="0095230E" w:rsidRPr="0095230E" w:rsidRDefault="0095230E" w:rsidP="000B4071">
      <w:pPr>
        <w:pStyle w:val="Ttulo1"/>
        <w:ind w:left="0"/>
        <w:jc w:val="both"/>
        <w:rPr>
          <w:rFonts w:ascii="Bookman Old Style" w:hAnsi="Bookman Old Style"/>
          <w:b w:val="0"/>
          <w:bCs/>
        </w:rPr>
      </w:pPr>
      <w:r>
        <w:rPr>
          <w:rFonts w:ascii="Bookman Old Style" w:hAnsi="Bookman Old Style"/>
        </w:rPr>
        <w:t>Artículo 1.</w:t>
      </w:r>
      <w:r>
        <w:rPr>
          <w:rFonts w:ascii="Bookman Old Style" w:hAnsi="Bookman Old Style"/>
          <w:b w:val="0"/>
          <w:bCs/>
        </w:rPr>
        <w:t xml:space="preserve"> </w:t>
      </w:r>
      <w:r w:rsidRPr="0095230E">
        <w:rPr>
          <w:rFonts w:ascii="Bookman Old Style" w:hAnsi="Bookman Old Style"/>
        </w:rPr>
        <w:t>Objeto</w:t>
      </w:r>
      <w:r>
        <w:rPr>
          <w:rFonts w:ascii="Bookman Old Style" w:hAnsi="Bookman Old Style"/>
          <w:b w:val="0"/>
          <w:bCs/>
        </w:rPr>
        <w:t xml:space="preserve">. Mediante la presente resolución se establece la fecha en que el Administrador del Sistema de </w:t>
      </w:r>
      <w:r w:rsidR="003E71DD">
        <w:rPr>
          <w:rFonts w:ascii="Bookman Old Style" w:hAnsi="Bookman Old Style"/>
          <w:b w:val="0"/>
          <w:bCs/>
        </w:rPr>
        <w:t>Intercambios Comerciales del Mercado de Energía Mayorista, ASIC, debe llevar a cabo la asignación de Obligaciones de Energía Firme, OEF, del Cargo por Confiabilidad</w:t>
      </w:r>
      <w:r w:rsidR="007C10BA">
        <w:rPr>
          <w:rFonts w:ascii="Bookman Old Style" w:hAnsi="Bookman Old Style"/>
          <w:b w:val="0"/>
          <w:bCs/>
        </w:rPr>
        <w:t>,</w:t>
      </w:r>
      <w:r w:rsidR="00907521">
        <w:rPr>
          <w:rFonts w:ascii="Bookman Old Style" w:hAnsi="Bookman Old Style"/>
          <w:b w:val="0"/>
          <w:bCs/>
        </w:rPr>
        <w:t xml:space="preserve"> a quienes representan plantas existentes</w:t>
      </w:r>
      <w:r w:rsidR="003E71DD">
        <w:rPr>
          <w:rFonts w:ascii="Bookman Old Style" w:hAnsi="Bookman Old Style"/>
          <w:b w:val="0"/>
          <w:bCs/>
        </w:rPr>
        <w:t>, para los período</w:t>
      </w:r>
      <w:r w:rsidR="00181CEE">
        <w:rPr>
          <w:rFonts w:ascii="Bookman Old Style" w:hAnsi="Bookman Old Style"/>
          <w:b w:val="0"/>
          <w:bCs/>
        </w:rPr>
        <w:t>s</w:t>
      </w:r>
      <w:r w:rsidR="003E71DD">
        <w:rPr>
          <w:rFonts w:ascii="Bookman Old Style" w:hAnsi="Bookman Old Style"/>
          <w:b w:val="0"/>
          <w:bCs/>
        </w:rPr>
        <w:t xml:space="preserve"> comprendidos </w:t>
      </w:r>
      <w:r w:rsidR="007C10BA">
        <w:rPr>
          <w:rFonts w:ascii="Bookman Old Style" w:hAnsi="Bookman Old Style"/>
          <w:b w:val="0"/>
          <w:bCs/>
        </w:rPr>
        <w:t xml:space="preserve">de </w:t>
      </w:r>
      <w:r w:rsidR="003E71DD">
        <w:rPr>
          <w:rFonts w:ascii="Bookman Old Style" w:hAnsi="Bookman Old Style"/>
          <w:b w:val="0"/>
          <w:bCs/>
        </w:rPr>
        <w:t xml:space="preserve">diciembre </w:t>
      </w:r>
      <w:r w:rsidR="00181CEE">
        <w:rPr>
          <w:rFonts w:ascii="Bookman Old Style" w:hAnsi="Bookman Old Style"/>
          <w:b w:val="0"/>
          <w:bCs/>
        </w:rPr>
        <w:t xml:space="preserve">1 de </w:t>
      </w:r>
      <w:r w:rsidR="003E71DD">
        <w:rPr>
          <w:rFonts w:ascii="Bookman Old Style" w:hAnsi="Bookman Old Style"/>
          <w:b w:val="0"/>
          <w:bCs/>
        </w:rPr>
        <w:t xml:space="preserve">2023 a noviembre </w:t>
      </w:r>
      <w:r w:rsidR="00181CEE">
        <w:rPr>
          <w:rFonts w:ascii="Bookman Old Style" w:hAnsi="Bookman Old Style"/>
          <w:b w:val="0"/>
          <w:bCs/>
        </w:rPr>
        <w:t xml:space="preserve">30 </w:t>
      </w:r>
      <w:r w:rsidR="003E71DD">
        <w:rPr>
          <w:rFonts w:ascii="Bookman Old Style" w:hAnsi="Bookman Old Style"/>
          <w:b w:val="0"/>
          <w:bCs/>
        </w:rPr>
        <w:t>de 2024</w:t>
      </w:r>
      <w:r w:rsidR="0098229E">
        <w:rPr>
          <w:rFonts w:ascii="Bookman Old Style" w:hAnsi="Bookman Old Style"/>
          <w:b w:val="0"/>
          <w:bCs/>
        </w:rPr>
        <w:t>,</w:t>
      </w:r>
      <w:r w:rsidR="003E71DD">
        <w:rPr>
          <w:rFonts w:ascii="Bookman Old Style" w:hAnsi="Bookman Old Style"/>
          <w:b w:val="0"/>
          <w:bCs/>
        </w:rPr>
        <w:t xml:space="preserve"> </w:t>
      </w:r>
      <w:r w:rsidR="00181CEE">
        <w:rPr>
          <w:rFonts w:ascii="Bookman Old Style" w:hAnsi="Bookman Old Style"/>
          <w:b w:val="0"/>
          <w:bCs/>
        </w:rPr>
        <w:t xml:space="preserve">y </w:t>
      </w:r>
      <w:r w:rsidR="007C10BA">
        <w:rPr>
          <w:rFonts w:ascii="Bookman Old Style" w:hAnsi="Bookman Old Style"/>
          <w:b w:val="0"/>
          <w:bCs/>
        </w:rPr>
        <w:t xml:space="preserve">de </w:t>
      </w:r>
      <w:r w:rsidR="00181CEE">
        <w:rPr>
          <w:rFonts w:ascii="Bookman Old Style" w:hAnsi="Bookman Old Style"/>
          <w:b w:val="0"/>
          <w:bCs/>
        </w:rPr>
        <w:t>diciembre 1 de 2024 a noviembre 30 de 2025, así como el cronograma de actividades y las fechas máximas de ejecución de las mismas.</w:t>
      </w:r>
    </w:p>
    <w:p w14:paraId="1A1DB046" w14:textId="77777777" w:rsidR="0095230E" w:rsidRPr="00DB225C" w:rsidRDefault="0095230E" w:rsidP="00ED48C7">
      <w:pPr>
        <w:spacing w:after="120"/>
        <w:ind w:left="0"/>
        <w:jc w:val="both"/>
        <w:rPr>
          <w:rFonts w:ascii="Bookman Old Style" w:hAnsi="Bookman Old Style"/>
          <w:bCs/>
        </w:rPr>
      </w:pPr>
    </w:p>
    <w:p w14:paraId="23777CB8" w14:textId="60672D99" w:rsidR="00181CEE" w:rsidRDefault="00B70782" w:rsidP="009B5364">
      <w:pPr>
        <w:pStyle w:val="Ttulo1"/>
        <w:spacing w:after="120"/>
        <w:ind w:left="0"/>
        <w:jc w:val="both"/>
        <w:rPr>
          <w:rFonts w:ascii="Bookman Old Style" w:hAnsi="Bookman Old Style"/>
          <w:b w:val="0"/>
        </w:rPr>
      </w:pPr>
      <w:r w:rsidRPr="003C3499">
        <w:rPr>
          <w:rFonts w:ascii="Bookman Old Style" w:hAnsi="Bookman Old Style"/>
        </w:rPr>
        <w:t xml:space="preserve">Artículo </w:t>
      </w:r>
      <w:r w:rsidR="00181CEE">
        <w:rPr>
          <w:rFonts w:ascii="Bookman Old Style" w:hAnsi="Bookman Old Style"/>
        </w:rPr>
        <w:t>2</w:t>
      </w:r>
      <w:r w:rsidRPr="003C3499">
        <w:rPr>
          <w:rFonts w:ascii="Bookman Old Style" w:hAnsi="Bookman Old Style"/>
        </w:rPr>
        <w:t>. Asignación de Obligaciones de Energía Firme, OEF, correspondientes a</w:t>
      </w:r>
      <w:r w:rsidR="00872A6C">
        <w:rPr>
          <w:rFonts w:ascii="Bookman Old Style" w:hAnsi="Bookman Old Style"/>
        </w:rPr>
        <w:t xml:space="preserve"> </w:t>
      </w:r>
      <w:r w:rsidRPr="003C3499">
        <w:rPr>
          <w:rFonts w:ascii="Bookman Old Style" w:hAnsi="Bookman Old Style"/>
        </w:rPr>
        <w:t>l</w:t>
      </w:r>
      <w:r w:rsidR="00872A6C">
        <w:rPr>
          <w:rFonts w:ascii="Bookman Old Style" w:hAnsi="Bookman Old Style"/>
        </w:rPr>
        <w:t>os</w:t>
      </w:r>
      <w:r w:rsidRPr="003C3499">
        <w:rPr>
          <w:rFonts w:ascii="Bookman Old Style" w:hAnsi="Bookman Old Style"/>
        </w:rPr>
        <w:t xml:space="preserve"> período</w:t>
      </w:r>
      <w:r w:rsidR="00872A6C">
        <w:rPr>
          <w:rFonts w:ascii="Bookman Old Style" w:hAnsi="Bookman Old Style"/>
        </w:rPr>
        <w:t>s</w:t>
      </w:r>
      <w:r w:rsidRPr="003C3499">
        <w:rPr>
          <w:rFonts w:ascii="Bookman Old Style" w:hAnsi="Bookman Old Style"/>
        </w:rPr>
        <w:t xml:space="preserve"> 20</w:t>
      </w:r>
      <w:r w:rsidR="000B4071">
        <w:rPr>
          <w:rFonts w:ascii="Bookman Old Style" w:hAnsi="Bookman Old Style"/>
        </w:rPr>
        <w:t>23</w:t>
      </w:r>
      <w:r w:rsidRPr="003C3499">
        <w:rPr>
          <w:rFonts w:ascii="Bookman Old Style" w:hAnsi="Bookman Old Style"/>
        </w:rPr>
        <w:t>-20</w:t>
      </w:r>
      <w:r w:rsidR="000B4071">
        <w:rPr>
          <w:rFonts w:ascii="Bookman Old Style" w:hAnsi="Bookman Old Style"/>
        </w:rPr>
        <w:t>24</w:t>
      </w:r>
      <w:r w:rsidR="00872A6C">
        <w:rPr>
          <w:rFonts w:ascii="Bookman Old Style" w:hAnsi="Bookman Old Style"/>
        </w:rPr>
        <w:t xml:space="preserve"> y 2024-2025</w:t>
      </w:r>
      <w:r w:rsidRPr="003C3499">
        <w:rPr>
          <w:rFonts w:ascii="Bookman Old Style" w:hAnsi="Bookman Old Style"/>
        </w:rPr>
        <w:t xml:space="preserve">. </w:t>
      </w:r>
      <w:r w:rsidRPr="003C3499">
        <w:rPr>
          <w:rFonts w:ascii="Bookman Old Style" w:hAnsi="Bookman Old Style"/>
          <w:b w:val="0"/>
        </w:rPr>
        <w:t xml:space="preserve">El Administrador del Sistema de Intercambios Comerciales del Mercado de Energía Mayorista, ASIC, asignará las Obligaciones de Energía Firme, OEF, del Cargo por Confiabilidad </w:t>
      </w:r>
      <w:r w:rsidR="00314647">
        <w:rPr>
          <w:rFonts w:ascii="Bookman Old Style" w:hAnsi="Bookman Old Style"/>
          <w:b w:val="0"/>
        </w:rPr>
        <w:t xml:space="preserve">a quienes </w:t>
      </w:r>
      <w:r w:rsidR="00BA65BE">
        <w:rPr>
          <w:rFonts w:ascii="Bookman Old Style" w:hAnsi="Bookman Old Style"/>
          <w:b w:val="0"/>
        </w:rPr>
        <w:t xml:space="preserve">representen plantas existentes </w:t>
      </w:r>
      <w:r w:rsidRPr="003C3499">
        <w:rPr>
          <w:rFonts w:ascii="Bookman Old Style" w:hAnsi="Bookman Old Style"/>
          <w:b w:val="0"/>
        </w:rPr>
        <w:t xml:space="preserve">para </w:t>
      </w:r>
      <w:r w:rsidR="00872A6C">
        <w:rPr>
          <w:rFonts w:ascii="Bookman Old Style" w:hAnsi="Bookman Old Style"/>
          <w:b w:val="0"/>
        </w:rPr>
        <w:t xml:space="preserve">los </w:t>
      </w:r>
      <w:r w:rsidRPr="003C3499">
        <w:rPr>
          <w:rFonts w:ascii="Bookman Old Style" w:hAnsi="Bookman Old Style"/>
          <w:b w:val="0"/>
        </w:rPr>
        <w:t>período</w:t>
      </w:r>
      <w:r w:rsidR="00872A6C">
        <w:rPr>
          <w:rFonts w:ascii="Bookman Old Style" w:hAnsi="Bookman Old Style"/>
          <w:b w:val="0"/>
        </w:rPr>
        <w:t>s</w:t>
      </w:r>
      <w:r w:rsidRPr="003C3499">
        <w:rPr>
          <w:rFonts w:ascii="Bookman Old Style" w:hAnsi="Bookman Old Style"/>
          <w:b w:val="0"/>
        </w:rPr>
        <w:t xml:space="preserve"> comprendido</w:t>
      </w:r>
      <w:r w:rsidR="0095230E">
        <w:rPr>
          <w:rFonts w:ascii="Bookman Old Style" w:hAnsi="Bookman Old Style"/>
          <w:b w:val="0"/>
        </w:rPr>
        <w:t>s</w:t>
      </w:r>
      <w:r w:rsidRPr="003C3499">
        <w:rPr>
          <w:rFonts w:ascii="Bookman Old Style" w:hAnsi="Bookman Old Style"/>
          <w:b w:val="0"/>
        </w:rPr>
        <w:t xml:space="preserve"> entre</w:t>
      </w:r>
      <w:r w:rsidR="00181CEE">
        <w:rPr>
          <w:rFonts w:ascii="Bookman Old Style" w:hAnsi="Bookman Old Style"/>
          <w:b w:val="0"/>
        </w:rPr>
        <w:t>:</w:t>
      </w:r>
    </w:p>
    <w:p w14:paraId="3A3F3F8E" w14:textId="19CA86E0" w:rsidR="00181CEE" w:rsidRDefault="00181CEE" w:rsidP="00ED48C7">
      <w:pPr>
        <w:pStyle w:val="Ttulo1"/>
        <w:numPr>
          <w:ilvl w:val="0"/>
          <w:numId w:val="7"/>
        </w:numPr>
        <w:spacing w:after="120"/>
        <w:ind w:left="567"/>
        <w:jc w:val="both"/>
        <w:rPr>
          <w:rFonts w:ascii="Bookman Old Style" w:hAnsi="Bookman Old Style"/>
          <w:b w:val="0"/>
        </w:rPr>
      </w:pPr>
      <w:r>
        <w:rPr>
          <w:rFonts w:ascii="Bookman Old Style" w:hAnsi="Bookman Old Style"/>
          <w:b w:val="0"/>
        </w:rPr>
        <w:t>Diciembre 1 de 2023 a noviembre 30 de 2024 y</w:t>
      </w:r>
    </w:p>
    <w:p w14:paraId="09A501C4" w14:textId="2137B96B" w:rsidR="00181CEE" w:rsidRDefault="00181CEE" w:rsidP="00ED48C7">
      <w:pPr>
        <w:pStyle w:val="Ttulo1"/>
        <w:numPr>
          <w:ilvl w:val="0"/>
          <w:numId w:val="7"/>
        </w:numPr>
        <w:ind w:left="567"/>
        <w:jc w:val="both"/>
        <w:rPr>
          <w:rFonts w:ascii="Bookman Old Style" w:hAnsi="Bookman Old Style"/>
          <w:b w:val="0"/>
        </w:rPr>
      </w:pPr>
      <w:r w:rsidRPr="00181CEE">
        <w:rPr>
          <w:rFonts w:ascii="Bookman Old Style" w:hAnsi="Bookman Old Style"/>
          <w:b w:val="0"/>
        </w:rPr>
        <w:t>Dicie</w:t>
      </w:r>
      <w:r>
        <w:rPr>
          <w:rFonts w:ascii="Bookman Old Style" w:hAnsi="Bookman Old Style"/>
          <w:b w:val="0"/>
        </w:rPr>
        <w:t>mbre 1 de 2024 a noviembre 30 de 2025.</w:t>
      </w:r>
    </w:p>
    <w:p w14:paraId="0D904FDD" w14:textId="745479F8" w:rsidR="00181CEE" w:rsidRDefault="00181CEE" w:rsidP="00181CEE">
      <w:pPr>
        <w:ind w:left="0"/>
        <w:rPr>
          <w:lang w:val="es-CO"/>
        </w:rPr>
      </w:pPr>
    </w:p>
    <w:p w14:paraId="334C1430" w14:textId="2A3F51B6" w:rsidR="00B70782" w:rsidRDefault="00B70782" w:rsidP="000B4071">
      <w:pPr>
        <w:pStyle w:val="Ttulo1"/>
        <w:ind w:left="0"/>
        <w:jc w:val="both"/>
        <w:rPr>
          <w:rFonts w:ascii="Bookman Old Style" w:hAnsi="Bookman Old Style"/>
          <w:b w:val="0"/>
        </w:rPr>
      </w:pPr>
      <w:r w:rsidRPr="003C3499">
        <w:rPr>
          <w:rFonts w:ascii="Bookman Old Style" w:hAnsi="Bookman Old Style"/>
          <w:b w:val="0"/>
        </w:rPr>
        <w:t>Esta asignación la hará el ASIC en la forma establecida en el artículo 25 de la Resolución CREG</w:t>
      </w:r>
      <w:r w:rsidR="0098229E">
        <w:rPr>
          <w:rFonts w:ascii="Bookman Old Style" w:hAnsi="Bookman Old Style"/>
          <w:b w:val="0"/>
        </w:rPr>
        <w:t xml:space="preserve"> </w:t>
      </w:r>
      <w:r w:rsidRPr="003C3499">
        <w:rPr>
          <w:rFonts w:ascii="Bookman Old Style" w:hAnsi="Bookman Old Style"/>
          <w:b w:val="0"/>
        </w:rPr>
        <w:t>071 de 2006</w:t>
      </w:r>
      <w:r w:rsidR="007C10BA">
        <w:rPr>
          <w:rFonts w:ascii="Bookman Old Style" w:hAnsi="Bookman Old Style"/>
          <w:b w:val="0"/>
        </w:rPr>
        <w:t>,</w:t>
      </w:r>
      <w:r w:rsidR="00BA65BE">
        <w:rPr>
          <w:rFonts w:ascii="Bookman Old Style" w:hAnsi="Bookman Old Style"/>
          <w:b w:val="0"/>
        </w:rPr>
        <w:t xml:space="preserve"> y los plazos establecidos en el </w:t>
      </w:r>
      <w:r w:rsidR="00CA0691">
        <w:rPr>
          <w:rFonts w:ascii="Bookman Old Style" w:hAnsi="Bookman Old Style"/>
          <w:b w:val="0"/>
        </w:rPr>
        <w:t>A</w:t>
      </w:r>
      <w:r w:rsidR="00BA65BE">
        <w:rPr>
          <w:rFonts w:ascii="Bookman Old Style" w:hAnsi="Bookman Old Style"/>
          <w:b w:val="0"/>
        </w:rPr>
        <w:t>nexo de esta resolución</w:t>
      </w:r>
      <w:r w:rsidRPr="003C3499">
        <w:rPr>
          <w:rFonts w:ascii="Bookman Old Style" w:hAnsi="Bookman Old Style"/>
          <w:b w:val="0"/>
        </w:rPr>
        <w:t>.</w:t>
      </w:r>
    </w:p>
    <w:p w14:paraId="287BE67B" w14:textId="3445C990" w:rsidR="003279C7" w:rsidRDefault="003279C7" w:rsidP="00ED48C7">
      <w:pPr>
        <w:spacing w:after="120"/>
        <w:ind w:left="0"/>
        <w:jc w:val="both"/>
        <w:rPr>
          <w:lang w:val="es-CO"/>
        </w:rPr>
      </w:pPr>
    </w:p>
    <w:p w14:paraId="48E2E411" w14:textId="2F39D9BE" w:rsidR="00B70782" w:rsidRPr="003C3499" w:rsidRDefault="00B70782" w:rsidP="000B4071">
      <w:pPr>
        <w:pStyle w:val="Ttulo1"/>
        <w:tabs>
          <w:tab w:val="left" w:pos="0"/>
        </w:tabs>
        <w:ind w:left="0"/>
        <w:jc w:val="both"/>
        <w:rPr>
          <w:rFonts w:ascii="Bookman Old Style" w:hAnsi="Bookman Old Style"/>
          <w:b w:val="0"/>
          <w:iCs/>
        </w:rPr>
      </w:pPr>
      <w:r w:rsidRPr="003C3499">
        <w:rPr>
          <w:rFonts w:ascii="Bookman Old Style" w:hAnsi="Bookman Old Style"/>
        </w:rPr>
        <w:t xml:space="preserve">Artículo </w:t>
      </w:r>
      <w:r w:rsidR="00181CEE">
        <w:rPr>
          <w:rFonts w:ascii="Bookman Old Style" w:hAnsi="Bookman Old Style"/>
        </w:rPr>
        <w:t>3</w:t>
      </w:r>
      <w:r w:rsidRPr="003C3499">
        <w:rPr>
          <w:rFonts w:ascii="Bookman Old Style" w:hAnsi="Bookman Old Style"/>
        </w:rPr>
        <w:t xml:space="preserve">. </w:t>
      </w:r>
      <w:r w:rsidRPr="003C3499">
        <w:rPr>
          <w:rFonts w:ascii="Bookman Old Style" w:hAnsi="Bookman Old Style"/>
          <w:iCs/>
        </w:rPr>
        <w:t xml:space="preserve">Escenario de proyección de demanda para efectos de determinar la Demanda Objetivo.  </w:t>
      </w:r>
      <w:r w:rsidRPr="003C3499">
        <w:rPr>
          <w:rFonts w:ascii="Bookman Old Style" w:hAnsi="Bookman Old Style"/>
          <w:b w:val="0"/>
          <w:iCs/>
        </w:rPr>
        <w:t xml:space="preserve">Para efectos de lo previsto en el </w:t>
      </w:r>
      <w:r w:rsidRPr="00EE40B9">
        <w:rPr>
          <w:rFonts w:ascii="Bookman Old Style" w:hAnsi="Bookman Old Style"/>
          <w:b w:val="0"/>
          <w:iCs/>
        </w:rPr>
        <w:t xml:space="preserve">Artículo </w:t>
      </w:r>
      <w:r w:rsidR="00181CEE">
        <w:rPr>
          <w:rFonts w:ascii="Bookman Old Style" w:hAnsi="Bookman Old Style"/>
          <w:b w:val="0"/>
          <w:iCs/>
        </w:rPr>
        <w:t>2</w:t>
      </w:r>
      <w:r w:rsidRPr="003C3499">
        <w:rPr>
          <w:rFonts w:ascii="Bookman Old Style" w:hAnsi="Bookman Old Style"/>
          <w:b w:val="0"/>
          <w:iCs/>
        </w:rPr>
        <w:t xml:space="preserve"> de la presente Resolución, el escenario de proyección de demanda </w:t>
      </w:r>
      <w:r w:rsidR="00AF6BC0">
        <w:rPr>
          <w:rFonts w:ascii="Bookman Old Style" w:hAnsi="Bookman Old Style"/>
          <w:b w:val="0"/>
          <w:iCs/>
        </w:rPr>
        <w:t xml:space="preserve">de energía </w:t>
      </w:r>
      <w:r w:rsidRPr="003C3499">
        <w:rPr>
          <w:rFonts w:ascii="Bookman Old Style" w:hAnsi="Bookman Old Style"/>
          <w:b w:val="0"/>
          <w:iCs/>
        </w:rPr>
        <w:t xml:space="preserve">corresponderá al escenario de proyección </w:t>
      </w:r>
      <w:r w:rsidR="000B4071">
        <w:rPr>
          <w:rFonts w:ascii="Bookman Old Style" w:hAnsi="Bookman Old Style"/>
          <w:b w:val="0"/>
          <w:iCs/>
        </w:rPr>
        <w:t>denominado Límite A</w:t>
      </w:r>
      <w:r w:rsidRPr="003C3499">
        <w:rPr>
          <w:rFonts w:ascii="Bookman Old Style" w:hAnsi="Bookman Old Style"/>
          <w:b w:val="0"/>
          <w:iCs/>
        </w:rPr>
        <w:t xml:space="preserve">lto </w:t>
      </w:r>
      <w:r w:rsidR="00AF6BC0">
        <w:rPr>
          <w:rFonts w:ascii="Bookman Old Style" w:hAnsi="Bookman Old Style"/>
          <w:b w:val="0"/>
          <w:iCs/>
        </w:rPr>
        <w:t>publicado</w:t>
      </w:r>
      <w:r w:rsidR="00AF6BC0" w:rsidRPr="003C3499">
        <w:rPr>
          <w:rFonts w:ascii="Bookman Old Style" w:hAnsi="Bookman Old Style"/>
          <w:b w:val="0"/>
          <w:iCs/>
        </w:rPr>
        <w:t xml:space="preserve"> </w:t>
      </w:r>
      <w:r w:rsidRPr="003C3499">
        <w:rPr>
          <w:rFonts w:ascii="Bookman Old Style" w:hAnsi="Bookman Old Style"/>
          <w:b w:val="0"/>
          <w:iCs/>
        </w:rPr>
        <w:t xml:space="preserve">por la Unidad de Planeación </w:t>
      </w:r>
      <w:r w:rsidR="00CA0691" w:rsidRPr="003C3499">
        <w:rPr>
          <w:rFonts w:ascii="Bookman Old Style" w:hAnsi="Bookman Old Style"/>
          <w:b w:val="0"/>
          <w:iCs/>
        </w:rPr>
        <w:t>Minero</w:t>
      </w:r>
      <w:r w:rsidR="007C10BA">
        <w:rPr>
          <w:rFonts w:ascii="Bookman Old Style" w:hAnsi="Bookman Old Style"/>
          <w:b w:val="0"/>
          <w:iCs/>
        </w:rPr>
        <w:t xml:space="preserve"> </w:t>
      </w:r>
      <w:r w:rsidR="00CA0691" w:rsidRPr="003C3499">
        <w:rPr>
          <w:rFonts w:ascii="Bookman Old Style" w:hAnsi="Bookman Old Style"/>
          <w:b w:val="0"/>
          <w:iCs/>
        </w:rPr>
        <w:t>Energética</w:t>
      </w:r>
      <w:r w:rsidR="0098229E">
        <w:rPr>
          <w:rFonts w:ascii="Bookman Old Style" w:hAnsi="Bookman Old Style"/>
          <w:b w:val="0"/>
          <w:iCs/>
        </w:rPr>
        <w:t>,</w:t>
      </w:r>
      <w:r w:rsidRPr="003C3499">
        <w:rPr>
          <w:rFonts w:ascii="Bookman Old Style" w:hAnsi="Bookman Old Style"/>
          <w:b w:val="0"/>
          <w:iCs/>
        </w:rPr>
        <w:t xml:space="preserve"> UPME</w:t>
      </w:r>
      <w:r w:rsidR="0098229E">
        <w:rPr>
          <w:rFonts w:ascii="Bookman Old Style" w:hAnsi="Bookman Old Style"/>
          <w:b w:val="0"/>
          <w:iCs/>
        </w:rPr>
        <w:t>,</w:t>
      </w:r>
      <w:r w:rsidRPr="003C3499">
        <w:rPr>
          <w:rFonts w:ascii="Bookman Old Style" w:hAnsi="Bookman Old Style"/>
          <w:b w:val="0"/>
          <w:iCs/>
        </w:rPr>
        <w:t xml:space="preserve"> en </w:t>
      </w:r>
      <w:r w:rsidR="000B4071">
        <w:rPr>
          <w:rFonts w:ascii="Bookman Old Style" w:hAnsi="Bookman Old Style"/>
          <w:b w:val="0"/>
          <w:iCs/>
        </w:rPr>
        <w:t xml:space="preserve">junio </w:t>
      </w:r>
      <w:r w:rsidRPr="003C3499">
        <w:rPr>
          <w:rFonts w:ascii="Bookman Old Style" w:hAnsi="Bookman Old Style"/>
          <w:b w:val="0"/>
          <w:iCs/>
        </w:rPr>
        <w:t>de 20</w:t>
      </w:r>
      <w:r w:rsidR="000B4071">
        <w:rPr>
          <w:rFonts w:ascii="Bookman Old Style" w:hAnsi="Bookman Old Style"/>
          <w:b w:val="0"/>
          <w:iCs/>
        </w:rPr>
        <w:t>21</w:t>
      </w:r>
      <w:r w:rsidRPr="003C3499">
        <w:rPr>
          <w:rFonts w:ascii="Bookman Old Style" w:hAnsi="Bookman Old Style"/>
          <w:b w:val="0"/>
          <w:iCs/>
        </w:rPr>
        <w:t>.</w:t>
      </w:r>
    </w:p>
    <w:p w14:paraId="435446E7" w14:textId="77777777" w:rsidR="00B70782" w:rsidRPr="00ED48C7" w:rsidRDefault="00B70782" w:rsidP="00ED48C7">
      <w:pPr>
        <w:spacing w:after="120"/>
        <w:ind w:left="0"/>
        <w:jc w:val="both"/>
        <w:rPr>
          <w:lang w:val="es-CO"/>
        </w:rPr>
      </w:pPr>
    </w:p>
    <w:p w14:paraId="1330E6E2" w14:textId="1C8D9841" w:rsidR="00B70782" w:rsidRPr="003C3499" w:rsidRDefault="00B70782" w:rsidP="000B4071">
      <w:pPr>
        <w:pStyle w:val="Ttulo1"/>
        <w:ind w:left="0"/>
        <w:jc w:val="both"/>
        <w:rPr>
          <w:rFonts w:ascii="Bookman Old Style" w:hAnsi="Bookman Old Style"/>
          <w:b w:val="0"/>
          <w:iCs/>
        </w:rPr>
      </w:pPr>
      <w:r w:rsidRPr="003C3499">
        <w:rPr>
          <w:rFonts w:ascii="Bookman Old Style" w:hAnsi="Bookman Old Style"/>
        </w:rPr>
        <w:t xml:space="preserve">Artículo </w:t>
      </w:r>
      <w:r w:rsidR="00CC09C8">
        <w:rPr>
          <w:rFonts w:ascii="Bookman Old Style" w:hAnsi="Bookman Old Style"/>
        </w:rPr>
        <w:t>4</w:t>
      </w:r>
      <w:r w:rsidRPr="003C3499">
        <w:rPr>
          <w:rFonts w:ascii="Bookman Old Style" w:hAnsi="Bookman Old Style"/>
        </w:rPr>
        <w:t xml:space="preserve">. </w:t>
      </w:r>
      <w:r w:rsidRPr="003C3499">
        <w:rPr>
          <w:rFonts w:ascii="Bookman Old Style" w:hAnsi="Bookman Old Style"/>
          <w:iCs/>
        </w:rPr>
        <w:t xml:space="preserve">Demanda Objetivo. </w:t>
      </w:r>
      <w:r w:rsidRPr="003C3499">
        <w:rPr>
          <w:rFonts w:ascii="Bookman Old Style" w:hAnsi="Bookman Old Style"/>
          <w:b w:val="0"/>
          <w:iCs/>
        </w:rPr>
        <w:t>Para la asignación de la</w:t>
      </w:r>
      <w:r w:rsidR="0098229E">
        <w:rPr>
          <w:rFonts w:ascii="Bookman Old Style" w:hAnsi="Bookman Old Style"/>
          <w:b w:val="0"/>
          <w:iCs/>
        </w:rPr>
        <w:t>s</w:t>
      </w:r>
      <w:r w:rsidRPr="003C3499">
        <w:rPr>
          <w:rFonts w:ascii="Bookman Old Style" w:hAnsi="Bookman Old Style"/>
          <w:b w:val="0"/>
          <w:iCs/>
        </w:rPr>
        <w:t xml:space="preserve"> Obligaciones de Energía Firme de que trata la presente Resolución, la Demanda Objetivo para </w:t>
      </w:r>
      <w:r w:rsidRPr="003C3499">
        <w:rPr>
          <w:rFonts w:ascii="Bookman Old Style" w:hAnsi="Bookman Old Style"/>
          <w:b w:val="0"/>
          <w:iCs/>
        </w:rPr>
        <w:lastRenderedPageBreak/>
        <w:t xml:space="preserve">cada uno de los meses </w:t>
      </w:r>
      <w:r w:rsidR="00930357">
        <w:rPr>
          <w:rFonts w:ascii="Bookman Old Style" w:hAnsi="Bookman Old Style"/>
          <w:b w:val="0"/>
          <w:iCs/>
        </w:rPr>
        <w:t xml:space="preserve">comprendidos entre: diciembre 1 de 2023 a noviembre 30 de 2024 y diciembre 1 de 2024 a noviembre 30 de 2025, </w:t>
      </w:r>
      <w:r w:rsidRPr="003C3499">
        <w:rPr>
          <w:rFonts w:ascii="Bookman Old Style" w:hAnsi="Bookman Old Style"/>
          <w:b w:val="0"/>
          <w:iCs/>
        </w:rPr>
        <w:t>será la que se especifica en la siguiente tabla.</w:t>
      </w:r>
    </w:p>
    <w:p w14:paraId="56163335" w14:textId="77777777" w:rsidR="00B70782" w:rsidRPr="003C3499" w:rsidRDefault="00B70782" w:rsidP="000B4071">
      <w:pPr>
        <w:jc w:val="both"/>
        <w:rPr>
          <w:rFonts w:ascii="Bookman Old Style" w:hAnsi="Bookman Old Style"/>
        </w:rPr>
      </w:pPr>
    </w:p>
    <w:tbl>
      <w:tblPr>
        <w:tblW w:w="708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01"/>
        <w:gridCol w:w="1840"/>
        <w:gridCol w:w="1701"/>
        <w:gridCol w:w="1842"/>
      </w:tblGrid>
      <w:tr w:rsidR="00930357" w:rsidRPr="003C3499" w14:paraId="661FD43F" w14:textId="77777777" w:rsidTr="00ED48C7">
        <w:trPr>
          <w:trHeight w:val="399"/>
          <w:jc w:val="center"/>
        </w:trPr>
        <w:tc>
          <w:tcPr>
            <w:tcW w:w="3541" w:type="dxa"/>
            <w:gridSpan w:val="2"/>
            <w:shd w:val="clear" w:color="auto" w:fill="DEEAF6" w:themeFill="accent1" w:themeFillTint="33"/>
            <w:vAlign w:val="center"/>
          </w:tcPr>
          <w:p w14:paraId="39329D60" w14:textId="19A8034A" w:rsidR="00930357" w:rsidRPr="009D1367" w:rsidRDefault="00930357" w:rsidP="005A4C0C">
            <w:pPr>
              <w:ind w:left="0"/>
              <w:jc w:val="center"/>
              <w:rPr>
                <w:rFonts w:ascii="Bookman Old Style" w:hAnsi="Bookman Old Style" w:cs="Arial"/>
                <w:b/>
                <w:sz w:val="22"/>
                <w:szCs w:val="22"/>
                <w:lang w:eastAsia="ar-SA"/>
              </w:rPr>
            </w:pPr>
            <w:r>
              <w:rPr>
                <w:rFonts w:ascii="Bookman Old Style" w:hAnsi="Bookman Old Style" w:cs="Arial"/>
                <w:b/>
                <w:sz w:val="22"/>
                <w:szCs w:val="22"/>
                <w:lang w:eastAsia="ar-SA"/>
              </w:rPr>
              <w:t>Período 2023-2024</w:t>
            </w:r>
          </w:p>
        </w:tc>
        <w:tc>
          <w:tcPr>
            <w:tcW w:w="3543" w:type="dxa"/>
            <w:gridSpan w:val="2"/>
            <w:shd w:val="clear" w:color="auto" w:fill="DEEAF6" w:themeFill="accent1" w:themeFillTint="33"/>
            <w:vAlign w:val="center"/>
          </w:tcPr>
          <w:p w14:paraId="6975C552" w14:textId="5FF26831" w:rsidR="00930357" w:rsidRPr="009D1367" w:rsidRDefault="00930357" w:rsidP="005A4C0C">
            <w:pPr>
              <w:ind w:left="0"/>
              <w:jc w:val="center"/>
              <w:rPr>
                <w:rFonts w:ascii="Bookman Old Style" w:hAnsi="Bookman Old Style" w:cs="Arial"/>
                <w:b/>
                <w:sz w:val="22"/>
                <w:szCs w:val="22"/>
                <w:lang w:eastAsia="ar-SA"/>
              </w:rPr>
            </w:pPr>
            <w:r>
              <w:rPr>
                <w:rFonts w:ascii="Bookman Old Style" w:hAnsi="Bookman Old Style" w:cs="Arial"/>
                <w:b/>
                <w:sz w:val="22"/>
                <w:szCs w:val="22"/>
                <w:lang w:eastAsia="ar-SA"/>
              </w:rPr>
              <w:t>Período 2024-2025</w:t>
            </w:r>
          </w:p>
        </w:tc>
      </w:tr>
      <w:tr w:rsidR="009D6564" w:rsidRPr="003C3499" w14:paraId="245D8E9E" w14:textId="42EF2C8F" w:rsidTr="009D6564">
        <w:trPr>
          <w:jc w:val="center"/>
        </w:trPr>
        <w:tc>
          <w:tcPr>
            <w:tcW w:w="1701" w:type="dxa"/>
            <w:shd w:val="clear" w:color="auto" w:fill="DEEAF6" w:themeFill="accent1" w:themeFillTint="33"/>
            <w:vAlign w:val="center"/>
          </w:tcPr>
          <w:p w14:paraId="2CB7608E" w14:textId="121DAE0A" w:rsidR="00535E6C" w:rsidRPr="009D1367" w:rsidRDefault="00535E6C" w:rsidP="009B5364">
            <w:pPr>
              <w:rPr>
                <w:rFonts w:ascii="Bookman Old Style" w:hAnsi="Bookman Old Style" w:cs="Arial"/>
                <w:b/>
                <w:sz w:val="22"/>
                <w:szCs w:val="22"/>
                <w:lang w:eastAsia="ar-SA"/>
              </w:rPr>
            </w:pPr>
            <w:r w:rsidRPr="009D1367">
              <w:rPr>
                <w:rFonts w:ascii="Bookman Old Style" w:hAnsi="Bookman Old Style" w:cs="Arial"/>
                <w:b/>
                <w:sz w:val="22"/>
                <w:szCs w:val="22"/>
                <w:lang w:eastAsia="ar-SA"/>
              </w:rPr>
              <w:t>Mes</w:t>
            </w:r>
          </w:p>
        </w:tc>
        <w:tc>
          <w:tcPr>
            <w:tcW w:w="1840" w:type="dxa"/>
            <w:shd w:val="clear" w:color="auto" w:fill="DEEAF6" w:themeFill="accent1" w:themeFillTint="33"/>
            <w:vAlign w:val="center"/>
          </w:tcPr>
          <w:p w14:paraId="1B5353AE" w14:textId="09582243" w:rsidR="00535E6C" w:rsidRPr="009D1367" w:rsidRDefault="00930357" w:rsidP="00DA7837">
            <w:pPr>
              <w:ind w:left="0"/>
              <w:jc w:val="center"/>
              <w:rPr>
                <w:rFonts w:ascii="Bookman Old Style" w:hAnsi="Bookman Old Style" w:cs="Arial"/>
                <w:b/>
                <w:sz w:val="22"/>
                <w:szCs w:val="22"/>
                <w:lang w:eastAsia="ar-SA"/>
              </w:rPr>
            </w:pPr>
            <w:r>
              <w:rPr>
                <w:rFonts w:ascii="Bookman Old Style" w:hAnsi="Bookman Old Style" w:cs="Arial"/>
                <w:b/>
                <w:sz w:val="22"/>
                <w:szCs w:val="22"/>
                <w:lang w:eastAsia="ar-SA"/>
              </w:rPr>
              <w:t>Demanda Objetivo</w:t>
            </w:r>
          </w:p>
          <w:p w14:paraId="11FFFB6F" w14:textId="2F0551E7" w:rsidR="00535E6C" w:rsidRPr="009D1367" w:rsidRDefault="007964C6" w:rsidP="00DA7837">
            <w:pPr>
              <w:ind w:left="0"/>
              <w:jc w:val="center"/>
              <w:rPr>
                <w:rFonts w:ascii="Bookman Old Style" w:hAnsi="Bookman Old Style" w:cs="Arial"/>
                <w:b/>
                <w:sz w:val="22"/>
                <w:szCs w:val="22"/>
                <w:lang w:eastAsia="ar-SA"/>
              </w:rPr>
            </w:pPr>
            <w:r w:rsidRPr="009D1367">
              <w:rPr>
                <w:rFonts w:ascii="Bookman Old Style" w:hAnsi="Bookman Old Style" w:cs="Arial"/>
                <w:b/>
                <w:sz w:val="22"/>
                <w:szCs w:val="22"/>
                <w:lang w:eastAsia="ar-SA"/>
              </w:rPr>
              <w:t>(</w:t>
            </w:r>
            <w:r w:rsidR="00535E6C" w:rsidRPr="009D1367">
              <w:rPr>
                <w:rFonts w:ascii="Bookman Old Style" w:hAnsi="Bookman Old Style" w:cs="Arial"/>
                <w:b/>
                <w:sz w:val="22"/>
                <w:szCs w:val="22"/>
                <w:lang w:eastAsia="ar-SA"/>
              </w:rPr>
              <w:t>GWh</w:t>
            </w:r>
            <w:r w:rsidRPr="009D1367">
              <w:rPr>
                <w:rFonts w:ascii="Bookman Old Style" w:hAnsi="Bookman Old Style" w:cs="Arial"/>
                <w:b/>
                <w:sz w:val="22"/>
                <w:szCs w:val="22"/>
                <w:lang w:eastAsia="ar-SA"/>
              </w:rPr>
              <w:t>)</w:t>
            </w:r>
          </w:p>
        </w:tc>
        <w:tc>
          <w:tcPr>
            <w:tcW w:w="1701" w:type="dxa"/>
            <w:shd w:val="clear" w:color="auto" w:fill="DEEAF6" w:themeFill="accent1" w:themeFillTint="33"/>
            <w:vAlign w:val="center"/>
          </w:tcPr>
          <w:p w14:paraId="1D894C88" w14:textId="6907DF62" w:rsidR="00535E6C" w:rsidRPr="009D1367" w:rsidRDefault="00535E6C" w:rsidP="009B5364">
            <w:pPr>
              <w:rPr>
                <w:rFonts w:ascii="Bookman Old Style" w:hAnsi="Bookman Old Style" w:cs="Arial"/>
                <w:b/>
                <w:sz w:val="22"/>
                <w:szCs w:val="22"/>
                <w:lang w:eastAsia="ar-SA"/>
              </w:rPr>
            </w:pPr>
            <w:r w:rsidRPr="009D1367">
              <w:rPr>
                <w:rFonts w:ascii="Bookman Old Style" w:hAnsi="Bookman Old Style" w:cs="Arial"/>
                <w:b/>
                <w:sz w:val="22"/>
                <w:szCs w:val="22"/>
                <w:lang w:eastAsia="ar-SA"/>
              </w:rPr>
              <w:t>Mes</w:t>
            </w:r>
          </w:p>
        </w:tc>
        <w:tc>
          <w:tcPr>
            <w:tcW w:w="1842" w:type="dxa"/>
            <w:shd w:val="clear" w:color="auto" w:fill="DEEAF6" w:themeFill="accent1" w:themeFillTint="33"/>
            <w:vAlign w:val="center"/>
          </w:tcPr>
          <w:p w14:paraId="3C2C7B43" w14:textId="1E018DB5" w:rsidR="00DA7837" w:rsidRPr="009D1367" w:rsidRDefault="00930357" w:rsidP="00DA7837">
            <w:pPr>
              <w:ind w:left="0"/>
              <w:jc w:val="center"/>
              <w:rPr>
                <w:rFonts w:ascii="Bookman Old Style" w:hAnsi="Bookman Old Style" w:cs="Arial"/>
                <w:b/>
                <w:sz w:val="22"/>
                <w:szCs w:val="22"/>
                <w:lang w:eastAsia="ar-SA"/>
              </w:rPr>
            </w:pPr>
            <w:r>
              <w:rPr>
                <w:rFonts w:ascii="Bookman Old Style" w:hAnsi="Bookman Old Style" w:cs="Arial"/>
                <w:b/>
                <w:sz w:val="22"/>
                <w:szCs w:val="22"/>
                <w:lang w:eastAsia="ar-SA"/>
              </w:rPr>
              <w:t>Demanda Objetivo</w:t>
            </w:r>
          </w:p>
          <w:p w14:paraId="6C8D4489" w14:textId="49B4476D" w:rsidR="00535E6C" w:rsidRPr="009D1367" w:rsidRDefault="00EA0D4A" w:rsidP="00DA7837">
            <w:pPr>
              <w:ind w:left="0"/>
              <w:jc w:val="center"/>
              <w:rPr>
                <w:rFonts w:ascii="Bookman Old Style" w:hAnsi="Bookman Old Style" w:cs="Arial"/>
                <w:b/>
                <w:sz w:val="22"/>
                <w:szCs w:val="22"/>
                <w:lang w:eastAsia="ar-SA"/>
              </w:rPr>
            </w:pPr>
            <w:r w:rsidRPr="009D1367">
              <w:rPr>
                <w:rFonts w:ascii="Bookman Old Style" w:hAnsi="Bookman Old Style" w:cs="Arial"/>
                <w:b/>
                <w:sz w:val="22"/>
                <w:szCs w:val="22"/>
                <w:lang w:eastAsia="ar-SA"/>
              </w:rPr>
              <w:t>(</w:t>
            </w:r>
            <w:r w:rsidR="00DA7837" w:rsidRPr="009D1367">
              <w:rPr>
                <w:rFonts w:ascii="Bookman Old Style" w:hAnsi="Bookman Old Style" w:cs="Arial"/>
                <w:b/>
                <w:sz w:val="22"/>
                <w:szCs w:val="22"/>
                <w:lang w:eastAsia="ar-SA"/>
              </w:rPr>
              <w:t>GWh</w:t>
            </w:r>
            <w:r w:rsidRPr="009D1367">
              <w:rPr>
                <w:rFonts w:ascii="Bookman Old Style" w:hAnsi="Bookman Old Style" w:cs="Arial"/>
                <w:b/>
                <w:sz w:val="22"/>
                <w:szCs w:val="22"/>
                <w:lang w:eastAsia="ar-SA"/>
              </w:rPr>
              <w:t>)</w:t>
            </w:r>
          </w:p>
        </w:tc>
      </w:tr>
      <w:tr w:rsidR="00535E6C" w:rsidRPr="003C3499" w14:paraId="5CC5062A" w14:textId="028B2CC4" w:rsidTr="00ED48C7">
        <w:trPr>
          <w:jc w:val="center"/>
        </w:trPr>
        <w:tc>
          <w:tcPr>
            <w:tcW w:w="1701" w:type="dxa"/>
          </w:tcPr>
          <w:p w14:paraId="34350D34" w14:textId="49558996"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Dic-2023</w:t>
            </w:r>
          </w:p>
        </w:tc>
        <w:tc>
          <w:tcPr>
            <w:tcW w:w="1840" w:type="dxa"/>
            <w:vAlign w:val="center"/>
          </w:tcPr>
          <w:p w14:paraId="72485A81" w14:textId="74FA559D"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6.879</w:t>
            </w:r>
          </w:p>
        </w:tc>
        <w:tc>
          <w:tcPr>
            <w:tcW w:w="1701" w:type="dxa"/>
          </w:tcPr>
          <w:p w14:paraId="22838F39" w14:textId="01F3B7AA"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Dic-2024</w:t>
            </w:r>
          </w:p>
        </w:tc>
        <w:tc>
          <w:tcPr>
            <w:tcW w:w="1842" w:type="dxa"/>
          </w:tcPr>
          <w:p w14:paraId="30410B62" w14:textId="78375B2F"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7.107</w:t>
            </w:r>
          </w:p>
        </w:tc>
      </w:tr>
      <w:tr w:rsidR="00535E6C" w:rsidRPr="003C3499" w14:paraId="79414E63" w14:textId="4A5E8093" w:rsidTr="00ED48C7">
        <w:trPr>
          <w:jc w:val="center"/>
        </w:trPr>
        <w:tc>
          <w:tcPr>
            <w:tcW w:w="1701" w:type="dxa"/>
          </w:tcPr>
          <w:p w14:paraId="0D8A6A7A" w14:textId="6BB4FD58"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Ene-2024</w:t>
            </w:r>
          </w:p>
        </w:tc>
        <w:tc>
          <w:tcPr>
            <w:tcW w:w="1840" w:type="dxa"/>
            <w:vAlign w:val="center"/>
          </w:tcPr>
          <w:p w14:paraId="12238F68" w14:textId="785F3625"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6.732</w:t>
            </w:r>
          </w:p>
        </w:tc>
        <w:tc>
          <w:tcPr>
            <w:tcW w:w="1701" w:type="dxa"/>
          </w:tcPr>
          <w:p w14:paraId="053C59F9" w14:textId="1F8B54D5"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Ene-2025</w:t>
            </w:r>
          </w:p>
        </w:tc>
        <w:tc>
          <w:tcPr>
            <w:tcW w:w="1842" w:type="dxa"/>
          </w:tcPr>
          <w:p w14:paraId="26776D4F" w14:textId="6FF3418A"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6.990</w:t>
            </w:r>
          </w:p>
        </w:tc>
      </w:tr>
      <w:tr w:rsidR="00535E6C" w:rsidRPr="003C3499" w14:paraId="0C10C9F6" w14:textId="4EA92460" w:rsidTr="00ED48C7">
        <w:trPr>
          <w:jc w:val="center"/>
        </w:trPr>
        <w:tc>
          <w:tcPr>
            <w:tcW w:w="1701" w:type="dxa"/>
          </w:tcPr>
          <w:p w14:paraId="5969225A" w14:textId="48C92157"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Feb-2024</w:t>
            </w:r>
          </w:p>
        </w:tc>
        <w:tc>
          <w:tcPr>
            <w:tcW w:w="1840" w:type="dxa"/>
            <w:vAlign w:val="center"/>
          </w:tcPr>
          <w:p w14:paraId="3157B03C" w14:textId="478E22FF"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6.549</w:t>
            </w:r>
          </w:p>
        </w:tc>
        <w:tc>
          <w:tcPr>
            <w:tcW w:w="1701" w:type="dxa"/>
          </w:tcPr>
          <w:p w14:paraId="79382241" w14:textId="0E079F0B"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Feb-2025</w:t>
            </w:r>
          </w:p>
        </w:tc>
        <w:tc>
          <w:tcPr>
            <w:tcW w:w="1842" w:type="dxa"/>
          </w:tcPr>
          <w:p w14:paraId="49E544F3" w14:textId="52EFBD16"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6.674</w:t>
            </w:r>
          </w:p>
        </w:tc>
      </w:tr>
      <w:tr w:rsidR="00535E6C" w:rsidRPr="003C3499" w14:paraId="440F3012" w14:textId="7B930274" w:rsidTr="00ED48C7">
        <w:trPr>
          <w:jc w:val="center"/>
        </w:trPr>
        <w:tc>
          <w:tcPr>
            <w:tcW w:w="1701" w:type="dxa"/>
          </w:tcPr>
          <w:p w14:paraId="7B20A5E0" w14:textId="1E9CE870"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Mar-2024</w:t>
            </w:r>
          </w:p>
        </w:tc>
        <w:tc>
          <w:tcPr>
            <w:tcW w:w="1840" w:type="dxa"/>
            <w:vAlign w:val="center"/>
          </w:tcPr>
          <w:p w14:paraId="2E887577" w14:textId="0F9E7AE3"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6.817</w:t>
            </w:r>
          </w:p>
        </w:tc>
        <w:tc>
          <w:tcPr>
            <w:tcW w:w="1701" w:type="dxa"/>
          </w:tcPr>
          <w:p w14:paraId="4B6DA3EB" w14:textId="5571650F"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Mar-2025</w:t>
            </w:r>
          </w:p>
        </w:tc>
        <w:tc>
          <w:tcPr>
            <w:tcW w:w="1842" w:type="dxa"/>
          </w:tcPr>
          <w:p w14:paraId="51D216B9" w14:textId="64D5F8F4"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7.132</w:t>
            </w:r>
          </w:p>
        </w:tc>
      </w:tr>
      <w:tr w:rsidR="00535E6C" w:rsidRPr="003C3499" w14:paraId="7EDD3BF3" w14:textId="03BE9758" w:rsidTr="00ED48C7">
        <w:trPr>
          <w:jc w:val="center"/>
        </w:trPr>
        <w:tc>
          <w:tcPr>
            <w:tcW w:w="1701" w:type="dxa"/>
          </w:tcPr>
          <w:p w14:paraId="15B3F437" w14:textId="50EEBA10"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Abr-2024</w:t>
            </w:r>
          </w:p>
        </w:tc>
        <w:tc>
          <w:tcPr>
            <w:tcW w:w="1840" w:type="dxa"/>
            <w:vAlign w:val="center"/>
          </w:tcPr>
          <w:p w14:paraId="33AC9502" w14:textId="36A1D3E4"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6.704</w:t>
            </w:r>
          </w:p>
        </w:tc>
        <w:tc>
          <w:tcPr>
            <w:tcW w:w="1701" w:type="dxa"/>
          </w:tcPr>
          <w:p w14:paraId="661E0A0B" w14:textId="58C32972"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Abr-2025</w:t>
            </w:r>
          </w:p>
        </w:tc>
        <w:tc>
          <w:tcPr>
            <w:tcW w:w="1842" w:type="dxa"/>
          </w:tcPr>
          <w:p w14:paraId="41C0C02B" w14:textId="09054AC8"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6.885</w:t>
            </w:r>
          </w:p>
        </w:tc>
      </w:tr>
      <w:tr w:rsidR="00535E6C" w:rsidRPr="003C3499" w14:paraId="79BA39DF" w14:textId="1A990A1D" w:rsidTr="00ED48C7">
        <w:trPr>
          <w:jc w:val="center"/>
        </w:trPr>
        <w:tc>
          <w:tcPr>
            <w:tcW w:w="1701" w:type="dxa"/>
          </w:tcPr>
          <w:p w14:paraId="0851CB66" w14:textId="172B49C2"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May-2024</w:t>
            </w:r>
          </w:p>
        </w:tc>
        <w:tc>
          <w:tcPr>
            <w:tcW w:w="1840" w:type="dxa"/>
            <w:vAlign w:val="center"/>
          </w:tcPr>
          <w:p w14:paraId="44F4ADBE" w14:textId="416C0800"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6.887</w:t>
            </w:r>
          </w:p>
        </w:tc>
        <w:tc>
          <w:tcPr>
            <w:tcW w:w="1701" w:type="dxa"/>
          </w:tcPr>
          <w:p w14:paraId="6CDA6002" w14:textId="46C4F2B2"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May-2025</w:t>
            </w:r>
          </w:p>
        </w:tc>
        <w:tc>
          <w:tcPr>
            <w:tcW w:w="1842" w:type="dxa"/>
          </w:tcPr>
          <w:p w14:paraId="7C25C1DD" w14:textId="2B1726A6"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7.142</w:t>
            </w:r>
          </w:p>
        </w:tc>
      </w:tr>
      <w:tr w:rsidR="00535E6C" w:rsidRPr="003C3499" w14:paraId="14FD34C8" w14:textId="4F8B387D" w:rsidTr="00ED48C7">
        <w:trPr>
          <w:jc w:val="center"/>
        </w:trPr>
        <w:tc>
          <w:tcPr>
            <w:tcW w:w="1701" w:type="dxa"/>
          </w:tcPr>
          <w:p w14:paraId="784B16C5" w14:textId="175F7F2F"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Jun-2024</w:t>
            </w:r>
          </w:p>
        </w:tc>
        <w:tc>
          <w:tcPr>
            <w:tcW w:w="1840" w:type="dxa"/>
            <w:vAlign w:val="center"/>
          </w:tcPr>
          <w:p w14:paraId="73B58005" w14:textId="6CFC3B78"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6.694</w:t>
            </w:r>
          </w:p>
        </w:tc>
        <w:tc>
          <w:tcPr>
            <w:tcW w:w="1701" w:type="dxa"/>
          </w:tcPr>
          <w:p w14:paraId="35B719D5" w14:textId="5B331BF7"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Jun-2025</w:t>
            </w:r>
          </w:p>
        </w:tc>
        <w:tc>
          <w:tcPr>
            <w:tcW w:w="1842" w:type="dxa"/>
          </w:tcPr>
          <w:p w14:paraId="2B030155" w14:textId="0DC87EF6"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6.910</w:t>
            </w:r>
          </w:p>
        </w:tc>
      </w:tr>
      <w:tr w:rsidR="00535E6C" w:rsidRPr="003C3499" w14:paraId="18D1CF2D" w14:textId="2D56DF44" w:rsidTr="00ED48C7">
        <w:trPr>
          <w:jc w:val="center"/>
        </w:trPr>
        <w:tc>
          <w:tcPr>
            <w:tcW w:w="1701" w:type="dxa"/>
          </w:tcPr>
          <w:p w14:paraId="50DEA4F6" w14:textId="642CF0C7"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Jul-2024</w:t>
            </w:r>
          </w:p>
        </w:tc>
        <w:tc>
          <w:tcPr>
            <w:tcW w:w="1840" w:type="dxa"/>
            <w:vAlign w:val="center"/>
          </w:tcPr>
          <w:p w14:paraId="086B5613" w14:textId="588ADC6E"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6.966</w:t>
            </w:r>
          </w:p>
        </w:tc>
        <w:tc>
          <w:tcPr>
            <w:tcW w:w="1701" w:type="dxa"/>
          </w:tcPr>
          <w:p w14:paraId="2161016C" w14:textId="60FD0D9A"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Jul-2025</w:t>
            </w:r>
          </w:p>
        </w:tc>
        <w:tc>
          <w:tcPr>
            <w:tcW w:w="1842" w:type="dxa"/>
          </w:tcPr>
          <w:p w14:paraId="78BFEED2" w14:textId="0B454281"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7.195</w:t>
            </w:r>
          </w:p>
        </w:tc>
      </w:tr>
      <w:tr w:rsidR="00535E6C" w:rsidRPr="003C3499" w14:paraId="65690478" w14:textId="7639D430" w:rsidTr="00ED48C7">
        <w:trPr>
          <w:jc w:val="center"/>
        </w:trPr>
        <w:tc>
          <w:tcPr>
            <w:tcW w:w="1701" w:type="dxa"/>
          </w:tcPr>
          <w:p w14:paraId="4405B4A2" w14:textId="57C4BF1E"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Ago-2024</w:t>
            </w:r>
          </w:p>
        </w:tc>
        <w:tc>
          <w:tcPr>
            <w:tcW w:w="1840" w:type="dxa"/>
            <w:vAlign w:val="center"/>
          </w:tcPr>
          <w:p w14:paraId="29EF890A" w14:textId="7FC6E5E7"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7.028</w:t>
            </w:r>
          </w:p>
        </w:tc>
        <w:tc>
          <w:tcPr>
            <w:tcW w:w="1701" w:type="dxa"/>
          </w:tcPr>
          <w:p w14:paraId="53073909" w14:textId="7B7CDE5B"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Ago-2025</w:t>
            </w:r>
          </w:p>
        </w:tc>
        <w:tc>
          <w:tcPr>
            <w:tcW w:w="1842" w:type="dxa"/>
          </w:tcPr>
          <w:p w14:paraId="238E36D7" w14:textId="47C1207B"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7.203</w:t>
            </w:r>
          </w:p>
        </w:tc>
      </w:tr>
      <w:tr w:rsidR="00535E6C" w:rsidRPr="003C3499" w14:paraId="4253A59B" w14:textId="21DAA442" w:rsidTr="00ED48C7">
        <w:trPr>
          <w:jc w:val="center"/>
        </w:trPr>
        <w:tc>
          <w:tcPr>
            <w:tcW w:w="1701" w:type="dxa"/>
          </w:tcPr>
          <w:p w14:paraId="08DD6682" w14:textId="54CC9062"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Sep-2024</w:t>
            </w:r>
          </w:p>
        </w:tc>
        <w:tc>
          <w:tcPr>
            <w:tcW w:w="1840" w:type="dxa"/>
            <w:vAlign w:val="center"/>
          </w:tcPr>
          <w:p w14:paraId="30B246D2" w14:textId="143D30DE"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6.868</w:t>
            </w:r>
          </w:p>
        </w:tc>
        <w:tc>
          <w:tcPr>
            <w:tcW w:w="1701" w:type="dxa"/>
          </w:tcPr>
          <w:p w14:paraId="17446F14" w14:textId="2FA9D84B"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Sep-2025</w:t>
            </w:r>
          </w:p>
        </w:tc>
        <w:tc>
          <w:tcPr>
            <w:tcW w:w="1842" w:type="dxa"/>
          </w:tcPr>
          <w:p w14:paraId="5BDC3CC2" w14:textId="45FA43AE"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7.099</w:t>
            </w:r>
          </w:p>
        </w:tc>
      </w:tr>
      <w:tr w:rsidR="00535E6C" w:rsidRPr="003C3499" w14:paraId="6795DC77" w14:textId="2B13D4F1" w:rsidTr="00ED48C7">
        <w:trPr>
          <w:jc w:val="center"/>
        </w:trPr>
        <w:tc>
          <w:tcPr>
            <w:tcW w:w="1701" w:type="dxa"/>
          </w:tcPr>
          <w:p w14:paraId="1E04F172" w14:textId="400DCCA3"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Oct-2024</w:t>
            </w:r>
          </w:p>
        </w:tc>
        <w:tc>
          <w:tcPr>
            <w:tcW w:w="1840" w:type="dxa"/>
            <w:vAlign w:val="center"/>
          </w:tcPr>
          <w:p w14:paraId="3EAF567D" w14:textId="30626A87"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7.102</w:t>
            </w:r>
          </w:p>
        </w:tc>
        <w:tc>
          <w:tcPr>
            <w:tcW w:w="1701" w:type="dxa"/>
          </w:tcPr>
          <w:p w14:paraId="63D6CF13" w14:textId="7E46C516"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Oct-2025</w:t>
            </w:r>
          </w:p>
        </w:tc>
        <w:tc>
          <w:tcPr>
            <w:tcW w:w="1842" w:type="dxa"/>
          </w:tcPr>
          <w:p w14:paraId="32DCDBB2" w14:textId="43E32214"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7.317</w:t>
            </w:r>
          </w:p>
        </w:tc>
      </w:tr>
      <w:tr w:rsidR="00535E6C" w:rsidRPr="003C3499" w14:paraId="1C8EE4CB" w14:textId="5DE513B4" w:rsidTr="00ED48C7">
        <w:trPr>
          <w:jc w:val="center"/>
        </w:trPr>
        <w:tc>
          <w:tcPr>
            <w:tcW w:w="1701" w:type="dxa"/>
          </w:tcPr>
          <w:p w14:paraId="7B37A003" w14:textId="2B85EE51" w:rsidR="00535E6C" w:rsidRPr="009D136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Nov-2024</w:t>
            </w:r>
          </w:p>
        </w:tc>
        <w:tc>
          <w:tcPr>
            <w:tcW w:w="1840" w:type="dxa"/>
            <w:vAlign w:val="center"/>
          </w:tcPr>
          <w:p w14:paraId="20028AAD" w14:textId="19451E33"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Calibri"/>
                <w:sz w:val="22"/>
                <w:szCs w:val="22"/>
              </w:rPr>
              <w:t>6.951</w:t>
            </w:r>
          </w:p>
        </w:tc>
        <w:tc>
          <w:tcPr>
            <w:tcW w:w="1701" w:type="dxa"/>
          </w:tcPr>
          <w:p w14:paraId="3519DE44" w14:textId="3A09174B" w:rsidR="00535E6C" w:rsidRPr="00ED48C7" w:rsidRDefault="00535E6C" w:rsidP="00ED48C7">
            <w:pPr>
              <w:ind w:left="174"/>
              <w:rPr>
                <w:rFonts w:ascii="Bookman Old Style" w:hAnsi="Bookman Old Style" w:cs="Arial"/>
                <w:sz w:val="22"/>
                <w:szCs w:val="22"/>
                <w:lang w:eastAsia="ar-SA"/>
              </w:rPr>
            </w:pPr>
            <w:r w:rsidRPr="009D1367">
              <w:rPr>
                <w:rFonts w:ascii="Bookman Old Style" w:hAnsi="Bookman Old Style" w:cs="Arial"/>
                <w:sz w:val="22"/>
                <w:szCs w:val="22"/>
                <w:lang w:eastAsia="ar-SA"/>
              </w:rPr>
              <w:t>Nov-2025</w:t>
            </w:r>
          </w:p>
        </w:tc>
        <w:tc>
          <w:tcPr>
            <w:tcW w:w="1842" w:type="dxa"/>
          </w:tcPr>
          <w:p w14:paraId="3831CAA4" w14:textId="6EC57E4C" w:rsidR="00535E6C" w:rsidRPr="009D1367" w:rsidRDefault="00DA7837" w:rsidP="00ED48C7">
            <w:pPr>
              <w:ind w:left="0" w:right="467"/>
              <w:jc w:val="right"/>
              <w:rPr>
                <w:rFonts w:ascii="Bookman Old Style" w:hAnsi="Bookman Old Style" w:cs="Calibri"/>
                <w:sz w:val="22"/>
                <w:szCs w:val="22"/>
              </w:rPr>
            </w:pPr>
            <w:r w:rsidRPr="009D1367">
              <w:rPr>
                <w:rFonts w:ascii="Bookman Old Style" w:hAnsi="Bookman Old Style" w:cs="Calibri"/>
                <w:sz w:val="22"/>
                <w:szCs w:val="22"/>
              </w:rPr>
              <w:t>7.137</w:t>
            </w:r>
          </w:p>
        </w:tc>
      </w:tr>
      <w:tr w:rsidR="00535E6C" w:rsidRPr="003C3499" w14:paraId="6850FC7E" w14:textId="6937BEC8" w:rsidTr="00ED48C7">
        <w:trPr>
          <w:jc w:val="center"/>
        </w:trPr>
        <w:tc>
          <w:tcPr>
            <w:tcW w:w="1701" w:type="dxa"/>
          </w:tcPr>
          <w:p w14:paraId="30EC0056" w14:textId="77777777" w:rsidR="00535E6C" w:rsidRPr="009D1367" w:rsidRDefault="00535E6C" w:rsidP="00535E6C">
            <w:pPr>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Total</w:t>
            </w:r>
          </w:p>
        </w:tc>
        <w:tc>
          <w:tcPr>
            <w:tcW w:w="1840" w:type="dxa"/>
          </w:tcPr>
          <w:p w14:paraId="68D5ACBF" w14:textId="43027641" w:rsidR="00535E6C" w:rsidRPr="009D1367" w:rsidRDefault="00535E6C" w:rsidP="00ED48C7">
            <w:pPr>
              <w:ind w:left="0" w:right="467"/>
              <w:jc w:val="right"/>
              <w:rPr>
                <w:rFonts w:ascii="Bookman Old Style" w:hAnsi="Bookman Old Style" w:cs="Arial"/>
                <w:sz w:val="22"/>
                <w:szCs w:val="22"/>
                <w:lang w:eastAsia="ar-SA"/>
              </w:rPr>
            </w:pPr>
            <w:r w:rsidRPr="009D1367">
              <w:rPr>
                <w:rFonts w:ascii="Bookman Old Style" w:hAnsi="Bookman Old Style" w:cs="Arial"/>
                <w:sz w:val="22"/>
                <w:szCs w:val="22"/>
                <w:lang w:eastAsia="ar-SA"/>
              </w:rPr>
              <w:t>82.177</w:t>
            </w:r>
          </w:p>
        </w:tc>
        <w:tc>
          <w:tcPr>
            <w:tcW w:w="1701" w:type="dxa"/>
          </w:tcPr>
          <w:p w14:paraId="49FAF8A0" w14:textId="7A85484A" w:rsidR="00535E6C" w:rsidRPr="009D1367" w:rsidRDefault="00535E6C" w:rsidP="00535E6C">
            <w:pPr>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Total</w:t>
            </w:r>
          </w:p>
        </w:tc>
        <w:tc>
          <w:tcPr>
            <w:tcW w:w="1842" w:type="dxa"/>
          </w:tcPr>
          <w:p w14:paraId="1A9EEA42" w14:textId="71C01692" w:rsidR="00535E6C" w:rsidRPr="00ED48C7" w:rsidRDefault="00DA7837" w:rsidP="00ED48C7">
            <w:pPr>
              <w:ind w:left="0" w:right="467"/>
              <w:jc w:val="right"/>
              <w:rPr>
                <w:rFonts w:ascii="Bookman Old Style" w:hAnsi="Bookman Old Style" w:cs="Calibri"/>
                <w:sz w:val="22"/>
                <w:szCs w:val="22"/>
              </w:rPr>
            </w:pPr>
            <w:r w:rsidRPr="00ED48C7">
              <w:rPr>
                <w:rFonts w:ascii="Bookman Old Style" w:hAnsi="Bookman Old Style" w:cs="Calibri"/>
                <w:sz w:val="22"/>
                <w:szCs w:val="22"/>
              </w:rPr>
              <w:t>84.791</w:t>
            </w:r>
          </w:p>
        </w:tc>
      </w:tr>
    </w:tbl>
    <w:p w14:paraId="05F35734" w14:textId="77777777" w:rsidR="00B70782" w:rsidRPr="00ED48C7" w:rsidRDefault="00B70782" w:rsidP="00ED48C7">
      <w:pPr>
        <w:spacing w:after="120"/>
        <w:ind w:left="0"/>
        <w:jc w:val="both"/>
        <w:rPr>
          <w:lang w:val="es-CO"/>
        </w:rPr>
      </w:pPr>
    </w:p>
    <w:p w14:paraId="636508CE" w14:textId="4FF11037" w:rsidR="00B70782" w:rsidRPr="00F2180C" w:rsidRDefault="00B70782" w:rsidP="000B4071">
      <w:pPr>
        <w:pStyle w:val="Ttulo1"/>
        <w:tabs>
          <w:tab w:val="left" w:pos="0"/>
        </w:tabs>
        <w:ind w:left="0"/>
        <w:jc w:val="both"/>
        <w:rPr>
          <w:rFonts w:ascii="Bookman Old Style" w:hAnsi="Bookman Old Style"/>
          <w:b w:val="0"/>
        </w:rPr>
      </w:pPr>
      <w:r w:rsidRPr="003C3499">
        <w:rPr>
          <w:rFonts w:ascii="Bookman Old Style" w:hAnsi="Bookman Old Style"/>
        </w:rPr>
        <w:t xml:space="preserve">Artículo </w:t>
      </w:r>
      <w:r w:rsidR="00CC09C8">
        <w:rPr>
          <w:rFonts w:ascii="Bookman Old Style" w:hAnsi="Bookman Old Style"/>
        </w:rPr>
        <w:t>5</w:t>
      </w:r>
      <w:r w:rsidRPr="003C3499">
        <w:rPr>
          <w:rFonts w:ascii="Bookman Old Style" w:hAnsi="Bookman Old Style"/>
        </w:rPr>
        <w:t xml:space="preserve">. Cronograma para la asignación de Obligaciones de Energía Firme. </w:t>
      </w:r>
      <w:r w:rsidRPr="00F2180C">
        <w:rPr>
          <w:rFonts w:ascii="Bookman Old Style" w:hAnsi="Bookman Old Style"/>
          <w:b w:val="0"/>
        </w:rPr>
        <w:t xml:space="preserve">La asignación de Obligaciones de Energía Firme a quienes representen plantas existentes </w:t>
      </w:r>
      <w:r w:rsidR="00EA0D4A">
        <w:rPr>
          <w:rFonts w:ascii="Bookman Old Style" w:hAnsi="Bookman Old Style"/>
          <w:b w:val="0"/>
        </w:rPr>
        <w:t xml:space="preserve">con ENFICC no comprometida </w:t>
      </w:r>
      <w:r w:rsidRPr="00F2180C">
        <w:rPr>
          <w:rFonts w:ascii="Bookman Old Style" w:hAnsi="Bookman Old Style"/>
          <w:b w:val="0"/>
        </w:rPr>
        <w:t xml:space="preserve">para la vigencia comprendida entre diciembre </w:t>
      </w:r>
      <w:r w:rsidR="007243D4">
        <w:rPr>
          <w:rFonts w:ascii="Bookman Old Style" w:hAnsi="Bookman Old Style"/>
          <w:b w:val="0"/>
        </w:rPr>
        <w:t xml:space="preserve">1 </w:t>
      </w:r>
      <w:r w:rsidRPr="00F2180C">
        <w:rPr>
          <w:rFonts w:ascii="Bookman Old Style" w:hAnsi="Bookman Old Style"/>
          <w:b w:val="0"/>
        </w:rPr>
        <w:t>de 20</w:t>
      </w:r>
      <w:r w:rsidR="00B766B9">
        <w:rPr>
          <w:rFonts w:ascii="Bookman Old Style" w:hAnsi="Bookman Old Style"/>
          <w:b w:val="0"/>
        </w:rPr>
        <w:t>23</w:t>
      </w:r>
      <w:r w:rsidRPr="00F2180C">
        <w:rPr>
          <w:rFonts w:ascii="Bookman Old Style" w:hAnsi="Bookman Old Style"/>
          <w:b w:val="0"/>
        </w:rPr>
        <w:t xml:space="preserve"> </w:t>
      </w:r>
      <w:r w:rsidR="007243D4">
        <w:rPr>
          <w:rFonts w:ascii="Bookman Old Style" w:hAnsi="Bookman Old Style"/>
          <w:b w:val="0"/>
        </w:rPr>
        <w:t xml:space="preserve">a </w:t>
      </w:r>
      <w:r w:rsidRPr="00F2180C">
        <w:rPr>
          <w:rFonts w:ascii="Bookman Old Style" w:hAnsi="Bookman Old Style"/>
          <w:b w:val="0"/>
        </w:rPr>
        <w:t xml:space="preserve">noviembre </w:t>
      </w:r>
      <w:r w:rsidR="007243D4">
        <w:rPr>
          <w:rFonts w:ascii="Bookman Old Style" w:hAnsi="Bookman Old Style"/>
          <w:b w:val="0"/>
        </w:rPr>
        <w:t xml:space="preserve">30 </w:t>
      </w:r>
      <w:r w:rsidRPr="00F2180C">
        <w:rPr>
          <w:rFonts w:ascii="Bookman Old Style" w:hAnsi="Bookman Old Style"/>
          <w:b w:val="0"/>
        </w:rPr>
        <w:t>de 20</w:t>
      </w:r>
      <w:r w:rsidR="00B766B9">
        <w:rPr>
          <w:rFonts w:ascii="Bookman Old Style" w:hAnsi="Bookman Old Style"/>
          <w:b w:val="0"/>
        </w:rPr>
        <w:t>24</w:t>
      </w:r>
      <w:r w:rsidR="00BC54CB">
        <w:rPr>
          <w:rFonts w:ascii="Bookman Old Style" w:hAnsi="Bookman Old Style"/>
          <w:b w:val="0"/>
        </w:rPr>
        <w:t>,</w:t>
      </w:r>
      <w:r w:rsidR="007243D4">
        <w:rPr>
          <w:rFonts w:ascii="Bookman Old Style" w:hAnsi="Bookman Old Style"/>
          <w:b w:val="0"/>
        </w:rPr>
        <w:t xml:space="preserve"> y </w:t>
      </w:r>
      <w:r w:rsidR="007243D4" w:rsidRPr="00F2180C">
        <w:rPr>
          <w:rFonts w:ascii="Bookman Old Style" w:hAnsi="Bookman Old Style"/>
          <w:b w:val="0"/>
        </w:rPr>
        <w:t xml:space="preserve">diciembre </w:t>
      </w:r>
      <w:r w:rsidR="007243D4">
        <w:rPr>
          <w:rFonts w:ascii="Bookman Old Style" w:hAnsi="Bookman Old Style"/>
          <w:b w:val="0"/>
        </w:rPr>
        <w:t xml:space="preserve">1 </w:t>
      </w:r>
      <w:r w:rsidR="007243D4" w:rsidRPr="00F2180C">
        <w:rPr>
          <w:rFonts w:ascii="Bookman Old Style" w:hAnsi="Bookman Old Style"/>
          <w:b w:val="0"/>
        </w:rPr>
        <w:t>de 20</w:t>
      </w:r>
      <w:r w:rsidR="007243D4">
        <w:rPr>
          <w:rFonts w:ascii="Bookman Old Style" w:hAnsi="Bookman Old Style"/>
          <w:b w:val="0"/>
        </w:rPr>
        <w:t>24</w:t>
      </w:r>
      <w:r w:rsidR="007243D4" w:rsidRPr="00F2180C">
        <w:rPr>
          <w:rFonts w:ascii="Bookman Old Style" w:hAnsi="Bookman Old Style"/>
          <w:b w:val="0"/>
        </w:rPr>
        <w:t xml:space="preserve"> </w:t>
      </w:r>
      <w:r w:rsidR="007243D4">
        <w:rPr>
          <w:rFonts w:ascii="Bookman Old Style" w:hAnsi="Bookman Old Style"/>
          <w:b w:val="0"/>
        </w:rPr>
        <w:t xml:space="preserve">a </w:t>
      </w:r>
      <w:r w:rsidR="007243D4" w:rsidRPr="00F2180C">
        <w:rPr>
          <w:rFonts w:ascii="Bookman Old Style" w:hAnsi="Bookman Old Style"/>
          <w:b w:val="0"/>
        </w:rPr>
        <w:t xml:space="preserve">noviembre </w:t>
      </w:r>
      <w:r w:rsidR="007243D4">
        <w:rPr>
          <w:rFonts w:ascii="Bookman Old Style" w:hAnsi="Bookman Old Style"/>
          <w:b w:val="0"/>
        </w:rPr>
        <w:t xml:space="preserve">30 </w:t>
      </w:r>
      <w:r w:rsidR="007243D4" w:rsidRPr="00F2180C">
        <w:rPr>
          <w:rFonts w:ascii="Bookman Old Style" w:hAnsi="Bookman Old Style"/>
          <w:b w:val="0"/>
        </w:rPr>
        <w:t>de 20</w:t>
      </w:r>
      <w:r w:rsidR="007243D4">
        <w:rPr>
          <w:rFonts w:ascii="Bookman Old Style" w:hAnsi="Bookman Old Style"/>
          <w:b w:val="0"/>
        </w:rPr>
        <w:t>25</w:t>
      </w:r>
      <w:r w:rsidRPr="00F2180C">
        <w:rPr>
          <w:rFonts w:ascii="Bookman Old Style" w:hAnsi="Bookman Old Style"/>
          <w:b w:val="0"/>
        </w:rPr>
        <w:t>, será de conformidad con el cronograma definido en el Anexo de esta Resolución.</w:t>
      </w:r>
    </w:p>
    <w:p w14:paraId="360FB967" w14:textId="77777777" w:rsidR="00B70782" w:rsidRPr="00ED48C7" w:rsidRDefault="00B70782" w:rsidP="000B4071">
      <w:pPr>
        <w:jc w:val="both"/>
        <w:rPr>
          <w:rFonts w:ascii="Bookman Old Style" w:hAnsi="Bookman Old Style"/>
        </w:rPr>
      </w:pPr>
    </w:p>
    <w:p w14:paraId="144873D8" w14:textId="6DAA6BA6" w:rsidR="00B70782" w:rsidRDefault="00B70782" w:rsidP="000B4071">
      <w:pPr>
        <w:ind w:left="0"/>
        <w:jc w:val="both"/>
        <w:rPr>
          <w:rFonts w:ascii="Bookman Old Style" w:hAnsi="Bookman Old Style" w:cs="Arial"/>
          <w:lang w:eastAsia="ar-SA"/>
        </w:rPr>
      </w:pPr>
      <w:r w:rsidRPr="003C3499">
        <w:rPr>
          <w:rFonts w:ascii="Bookman Old Style" w:hAnsi="Bookman Old Style" w:cs="Arial"/>
          <w:b/>
          <w:bCs/>
        </w:rPr>
        <w:t xml:space="preserve">Parágrafo. </w:t>
      </w:r>
      <w:r w:rsidRPr="003C3499">
        <w:rPr>
          <w:rFonts w:ascii="Bookman Old Style" w:hAnsi="Bookman Old Style" w:cs="Arial"/>
          <w:lang w:eastAsia="ar-SA"/>
        </w:rPr>
        <w:t xml:space="preserve">Los plazos establecidos en el Anexo de la presente Resolución vencerán a las 17:00 horas del respectivo día, según la Hora Legal para Colombia. Los agentes que no cumplan los plazos establecidos en </w:t>
      </w:r>
      <w:r w:rsidR="00B61A59">
        <w:rPr>
          <w:rFonts w:ascii="Bookman Old Style" w:hAnsi="Bookman Old Style" w:cs="Arial"/>
          <w:lang w:eastAsia="ar-SA"/>
        </w:rPr>
        <w:t>A</w:t>
      </w:r>
      <w:r w:rsidRPr="003C3499">
        <w:rPr>
          <w:rFonts w:ascii="Bookman Old Style" w:hAnsi="Bookman Old Style" w:cs="Arial"/>
          <w:lang w:eastAsia="ar-SA"/>
        </w:rPr>
        <w:t>nexo no serán considerados en la asignación de Obligaciones de Energía Firme.</w:t>
      </w:r>
    </w:p>
    <w:p w14:paraId="3DF0B89D" w14:textId="56E73BDF" w:rsidR="00B61A59" w:rsidRPr="00ED48C7" w:rsidRDefault="00B61A59" w:rsidP="00ED48C7">
      <w:pPr>
        <w:spacing w:after="120"/>
        <w:ind w:left="0"/>
        <w:jc w:val="both"/>
        <w:rPr>
          <w:lang w:val="es-CO"/>
        </w:rPr>
      </w:pPr>
    </w:p>
    <w:p w14:paraId="0253B55D" w14:textId="71E28971" w:rsidR="00934373" w:rsidRDefault="00B61A59" w:rsidP="000B4071">
      <w:pPr>
        <w:ind w:left="0"/>
        <w:jc w:val="both"/>
        <w:rPr>
          <w:rFonts w:ascii="Bookman Old Style" w:hAnsi="Bookman Old Style"/>
        </w:rPr>
      </w:pPr>
      <w:r w:rsidRPr="00B61A59">
        <w:rPr>
          <w:rFonts w:ascii="Bookman Old Style" w:hAnsi="Bookman Old Style"/>
          <w:b/>
          <w:bCs/>
        </w:rPr>
        <w:t xml:space="preserve">Artículo 6. </w:t>
      </w:r>
      <w:r>
        <w:rPr>
          <w:rFonts w:ascii="Bookman Old Style" w:hAnsi="Bookman Old Style"/>
          <w:b/>
          <w:bCs/>
        </w:rPr>
        <w:t>Tomadores del Cargo por Confiabilidad para los periodos 2023-2024 y 2024-2025.</w:t>
      </w:r>
      <w:r w:rsidR="009944DF">
        <w:rPr>
          <w:rFonts w:ascii="Bookman Old Style" w:hAnsi="Bookman Old Style"/>
        </w:rPr>
        <w:t xml:space="preserve"> </w:t>
      </w:r>
      <w:r w:rsidR="00934373">
        <w:rPr>
          <w:rFonts w:ascii="Bookman Old Style" w:hAnsi="Bookman Old Style"/>
        </w:rPr>
        <w:t xml:space="preserve">Para </w:t>
      </w:r>
      <w:r w:rsidR="00C360B0">
        <w:rPr>
          <w:rFonts w:ascii="Bookman Old Style" w:hAnsi="Bookman Old Style"/>
        </w:rPr>
        <w:t xml:space="preserve">permitir </w:t>
      </w:r>
      <w:r w:rsidR="00934373">
        <w:rPr>
          <w:rFonts w:ascii="Bookman Old Style" w:hAnsi="Bookman Old Style"/>
        </w:rPr>
        <w:t>que l</w:t>
      </w:r>
      <w:r w:rsidR="009944DF">
        <w:rPr>
          <w:rFonts w:ascii="Bookman Old Style" w:hAnsi="Bookman Old Style"/>
        </w:rPr>
        <w:t xml:space="preserve">as plantas que salieron asignadas en la </w:t>
      </w:r>
      <w:r w:rsidR="00BB56A0">
        <w:rPr>
          <w:rFonts w:ascii="Bookman Old Style" w:hAnsi="Bookman Old Style"/>
        </w:rPr>
        <w:t xml:space="preserve">Tercera Subasta de Contratación de </w:t>
      </w:r>
      <w:r w:rsidR="000C79C4">
        <w:rPr>
          <w:rFonts w:ascii="Bookman Old Style" w:hAnsi="Bookman Old Style"/>
        </w:rPr>
        <w:t>Largo Plazo adelanta</w:t>
      </w:r>
      <w:r w:rsidR="00743760">
        <w:rPr>
          <w:rFonts w:ascii="Bookman Old Style" w:hAnsi="Bookman Old Style"/>
        </w:rPr>
        <w:t>da</w:t>
      </w:r>
      <w:r w:rsidR="000C79C4">
        <w:rPr>
          <w:rFonts w:ascii="Bookman Old Style" w:hAnsi="Bookman Old Style"/>
        </w:rPr>
        <w:t xml:space="preserve"> en el 2021</w:t>
      </w:r>
      <w:r w:rsidR="005B298C">
        <w:rPr>
          <w:rFonts w:ascii="Bookman Old Style" w:hAnsi="Bookman Old Style"/>
        </w:rPr>
        <w:t xml:space="preserve">, </w:t>
      </w:r>
      <w:r w:rsidR="000C79C4">
        <w:rPr>
          <w:rFonts w:ascii="Bookman Old Style" w:hAnsi="Bookman Old Style"/>
        </w:rPr>
        <w:t>reglamentada por el Ministerio de Minas y Energía</w:t>
      </w:r>
      <w:r w:rsidR="005B298C">
        <w:rPr>
          <w:rFonts w:ascii="Bookman Old Style" w:hAnsi="Bookman Old Style"/>
        </w:rPr>
        <w:t xml:space="preserve"> </w:t>
      </w:r>
      <w:r w:rsidR="000C79C4">
        <w:rPr>
          <w:rFonts w:ascii="Bookman Old Style" w:hAnsi="Bookman Old Style"/>
        </w:rPr>
        <w:t>para lo compra venta de energía eléctrica proveniente de Fuentes No Convencionales de Energía Renovable</w:t>
      </w:r>
      <w:r w:rsidR="007C10BA">
        <w:rPr>
          <w:rFonts w:ascii="Bookman Old Style" w:hAnsi="Bookman Old Style"/>
        </w:rPr>
        <w:t>,</w:t>
      </w:r>
      <w:r w:rsidR="000C79C4">
        <w:rPr>
          <w:rFonts w:ascii="Bookman Old Style" w:hAnsi="Bookman Old Style"/>
        </w:rPr>
        <w:t xml:space="preserve"> FNCER</w:t>
      </w:r>
      <w:r w:rsidR="00314925">
        <w:rPr>
          <w:rFonts w:ascii="Bookman Old Style" w:hAnsi="Bookman Old Style"/>
        </w:rPr>
        <w:t xml:space="preserve">, </w:t>
      </w:r>
      <w:r w:rsidR="005B298C">
        <w:rPr>
          <w:rFonts w:ascii="Bookman Old Style" w:hAnsi="Bookman Old Style"/>
        </w:rPr>
        <w:t xml:space="preserve">denominada CLPE 03-2021, </w:t>
      </w:r>
      <w:r w:rsidR="00934373">
        <w:rPr>
          <w:rFonts w:ascii="Bookman Old Style" w:hAnsi="Bookman Old Style"/>
        </w:rPr>
        <w:t>puedan acoger</w:t>
      </w:r>
      <w:r w:rsidR="008D1744">
        <w:rPr>
          <w:rFonts w:ascii="Bookman Old Style" w:hAnsi="Bookman Old Style"/>
        </w:rPr>
        <w:t>se</w:t>
      </w:r>
      <w:r w:rsidR="00934373">
        <w:rPr>
          <w:rFonts w:ascii="Bookman Old Style" w:hAnsi="Bookman Old Style"/>
        </w:rPr>
        <w:t xml:space="preserve"> al mecanismo de </w:t>
      </w:r>
      <w:r w:rsidR="00314925">
        <w:rPr>
          <w:rFonts w:ascii="Bookman Old Style" w:hAnsi="Bookman Old Style"/>
        </w:rPr>
        <w:t xml:space="preserve">Tomadores del Cargo por Confiabilidad definido en la Resolución CREG 132 de 2019, </w:t>
      </w:r>
      <w:r w:rsidR="00934373">
        <w:rPr>
          <w:rFonts w:ascii="Bookman Old Style" w:hAnsi="Bookman Old Style"/>
        </w:rPr>
        <w:t>se tendrá en cuenta lo siguiente:</w:t>
      </w:r>
    </w:p>
    <w:p w14:paraId="144764E5" w14:textId="77777777" w:rsidR="00934373" w:rsidRDefault="00934373" w:rsidP="000B4071">
      <w:pPr>
        <w:ind w:left="0"/>
        <w:jc w:val="both"/>
        <w:rPr>
          <w:rFonts w:ascii="Bookman Old Style" w:hAnsi="Bookman Old Style"/>
        </w:rPr>
      </w:pPr>
    </w:p>
    <w:p w14:paraId="73CA5B3D" w14:textId="77777777" w:rsidR="009B2DD6" w:rsidRDefault="009B2DD6" w:rsidP="00ED48C7">
      <w:pPr>
        <w:pStyle w:val="Prrafodelista"/>
        <w:numPr>
          <w:ilvl w:val="0"/>
          <w:numId w:val="8"/>
        </w:numPr>
        <w:spacing w:after="120"/>
        <w:ind w:left="567" w:right="284" w:hanging="207"/>
        <w:jc w:val="both"/>
        <w:rPr>
          <w:rFonts w:ascii="Bookman Old Style" w:hAnsi="Bookman Old Style"/>
          <w:sz w:val="24"/>
          <w:szCs w:val="24"/>
        </w:rPr>
      </w:pPr>
      <w:r>
        <w:rPr>
          <w:rFonts w:ascii="Bookman Old Style" w:hAnsi="Bookman Old Style"/>
          <w:sz w:val="24"/>
          <w:szCs w:val="24"/>
        </w:rPr>
        <w:t xml:space="preserve">Para acogerse al mecanismo de Tomadores del Cargo por Confiabilidad para alguno de los períodos a asignar en la presente resolución, la plantas con contratos adjudicados en la subasta CLPE 03-2021 lo podrán hacer máximo </w:t>
      </w:r>
      <w:r w:rsidRPr="00743760">
        <w:rPr>
          <w:rFonts w:ascii="Bookman Old Style" w:hAnsi="Bookman Old Style"/>
          <w:sz w:val="24"/>
          <w:szCs w:val="24"/>
        </w:rPr>
        <w:t>hasta el 30 de noviembre de 2022</w:t>
      </w:r>
      <w:r>
        <w:rPr>
          <w:rFonts w:ascii="Bookman Old Style" w:hAnsi="Bookman Old Style"/>
          <w:sz w:val="24"/>
          <w:szCs w:val="24"/>
        </w:rPr>
        <w:t>.</w:t>
      </w:r>
    </w:p>
    <w:p w14:paraId="34B6F2A5" w14:textId="4702D854" w:rsidR="00934373" w:rsidRDefault="009B2DD6" w:rsidP="00ED48C7">
      <w:pPr>
        <w:pStyle w:val="Prrafodelista"/>
        <w:numPr>
          <w:ilvl w:val="0"/>
          <w:numId w:val="8"/>
        </w:numPr>
        <w:spacing w:after="120"/>
        <w:ind w:left="567" w:right="284" w:hanging="207"/>
        <w:jc w:val="both"/>
        <w:rPr>
          <w:rFonts w:ascii="Bookman Old Style" w:hAnsi="Bookman Old Style"/>
          <w:sz w:val="24"/>
          <w:szCs w:val="24"/>
        </w:rPr>
      </w:pPr>
      <w:r>
        <w:rPr>
          <w:rFonts w:ascii="Bookman Old Style" w:hAnsi="Bookman Old Style"/>
          <w:sz w:val="24"/>
          <w:szCs w:val="24"/>
        </w:rPr>
        <w:lastRenderedPageBreak/>
        <w:t xml:space="preserve">Para estas plantas no </w:t>
      </w:r>
      <w:r w:rsidR="00932A56">
        <w:rPr>
          <w:rFonts w:ascii="Bookman Old Style" w:hAnsi="Bookman Old Style"/>
          <w:sz w:val="24"/>
          <w:szCs w:val="24"/>
        </w:rPr>
        <w:t xml:space="preserve">se dará aplicación al </w:t>
      </w:r>
      <w:r w:rsidR="003F0DC5">
        <w:rPr>
          <w:rFonts w:ascii="Bookman Old Style" w:hAnsi="Bookman Old Style"/>
          <w:sz w:val="24"/>
          <w:szCs w:val="24"/>
        </w:rPr>
        <w:t xml:space="preserve">cuarto párrafo </w:t>
      </w:r>
      <w:r w:rsidR="008D1744">
        <w:rPr>
          <w:rFonts w:ascii="Bookman Old Style" w:hAnsi="Bookman Old Style"/>
          <w:sz w:val="24"/>
          <w:szCs w:val="24"/>
        </w:rPr>
        <w:t>d</w:t>
      </w:r>
      <w:r w:rsidR="003F0DC5">
        <w:rPr>
          <w:rFonts w:ascii="Bookman Old Style" w:hAnsi="Bookman Old Style"/>
          <w:sz w:val="24"/>
          <w:szCs w:val="24"/>
        </w:rPr>
        <w:t>el numeral iv del artículo 1 de la Resolución CREG 132 de 2019 que señala: “</w:t>
      </w:r>
      <w:r w:rsidR="003F0DC5" w:rsidRPr="003F0DC5">
        <w:rPr>
          <w:rFonts w:ascii="Bookman Old Style" w:hAnsi="Bookman Old Style"/>
          <w:i/>
          <w:iCs/>
          <w:sz w:val="24"/>
          <w:szCs w:val="24"/>
        </w:rPr>
        <w:t>Si durante el proceso descrito en el anexo, y antes de que el ASIC haya expedido el certificado de asignación de que trata numeral vii del presente artículo, la CREG llega a convocar una subasta o una asignación administrada, se considerará que el proceso se da por terminado</w:t>
      </w:r>
      <w:r w:rsidR="003F0DC5">
        <w:rPr>
          <w:rFonts w:ascii="Bookman Old Style" w:hAnsi="Bookman Old Style"/>
          <w:sz w:val="24"/>
          <w:szCs w:val="24"/>
        </w:rPr>
        <w:t>”.</w:t>
      </w:r>
    </w:p>
    <w:p w14:paraId="7FF0B5DF" w14:textId="567BCF5F" w:rsidR="00B61A59" w:rsidRPr="00743760" w:rsidRDefault="009F746C" w:rsidP="00ED48C7">
      <w:pPr>
        <w:pStyle w:val="Prrafodelista"/>
        <w:numPr>
          <w:ilvl w:val="0"/>
          <w:numId w:val="8"/>
        </w:numPr>
        <w:ind w:left="567" w:right="284" w:hanging="207"/>
        <w:jc w:val="both"/>
        <w:rPr>
          <w:rFonts w:ascii="Bookman Old Style" w:hAnsi="Bookman Old Style"/>
          <w:sz w:val="24"/>
          <w:szCs w:val="24"/>
        </w:rPr>
      </w:pPr>
      <w:r>
        <w:rPr>
          <w:rFonts w:ascii="Bookman Old Style" w:hAnsi="Bookman Old Style"/>
          <w:sz w:val="24"/>
          <w:szCs w:val="24"/>
        </w:rPr>
        <w:t xml:space="preserve">Se debe dar cumplimiento a las </w:t>
      </w:r>
      <w:r w:rsidR="00734D5D">
        <w:rPr>
          <w:rFonts w:ascii="Bookman Old Style" w:hAnsi="Bookman Old Style"/>
          <w:sz w:val="24"/>
          <w:szCs w:val="24"/>
        </w:rPr>
        <w:t>demás</w:t>
      </w:r>
      <w:r w:rsidR="00E773F7">
        <w:rPr>
          <w:rFonts w:ascii="Bookman Old Style" w:hAnsi="Bookman Old Style"/>
          <w:sz w:val="24"/>
          <w:szCs w:val="24"/>
        </w:rPr>
        <w:t xml:space="preserve"> condiciones que define la Resolución CREG 132 de 2019 para </w:t>
      </w:r>
      <w:r>
        <w:rPr>
          <w:rFonts w:ascii="Bookman Old Style" w:hAnsi="Bookman Old Style"/>
          <w:sz w:val="24"/>
          <w:szCs w:val="24"/>
        </w:rPr>
        <w:t>el mecanismo</w:t>
      </w:r>
      <w:r w:rsidR="00015AB4" w:rsidRPr="00ED48C7">
        <w:rPr>
          <w:rFonts w:ascii="Bookman Old Style" w:hAnsi="Bookman Old Style"/>
          <w:sz w:val="24"/>
          <w:szCs w:val="24"/>
        </w:rPr>
        <w:t xml:space="preserve"> </w:t>
      </w:r>
      <w:r w:rsidR="00AF69CB" w:rsidRPr="00ED48C7">
        <w:rPr>
          <w:rFonts w:ascii="Bookman Old Style" w:hAnsi="Bookman Old Style"/>
          <w:sz w:val="24"/>
          <w:szCs w:val="24"/>
        </w:rPr>
        <w:t xml:space="preserve">de </w:t>
      </w:r>
      <w:r w:rsidR="00015AB4" w:rsidRPr="00015AB4">
        <w:rPr>
          <w:rFonts w:ascii="Bookman Old Style" w:hAnsi="Bookman Old Style"/>
          <w:sz w:val="24"/>
          <w:szCs w:val="24"/>
        </w:rPr>
        <w:t>Tomadores del Cargo por Confiabilidad</w:t>
      </w:r>
      <w:r>
        <w:rPr>
          <w:rFonts w:ascii="Bookman Old Style" w:hAnsi="Bookman Old Style"/>
          <w:sz w:val="24"/>
          <w:szCs w:val="24"/>
        </w:rPr>
        <w:t>.</w:t>
      </w:r>
    </w:p>
    <w:p w14:paraId="118841AC" w14:textId="77777777" w:rsidR="00B70782" w:rsidRPr="00ED48C7" w:rsidRDefault="00B70782" w:rsidP="00ED48C7">
      <w:pPr>
        <w:spacing w:after="120"/>
        <w:ind w:left="0"/>
        <w:jc w:val="both"/>
        <w:rPr>
          <w:rFonts w:ascii="Bookman Old Style" w:hAnsi="Bookman Old Style"/>
          <w:bCs/>
        </w:rPr>
      </w:pPr>
    </w:p>
    <w:p w14:paraId="753E8BE3" w14:textId="2A3CB41F" w:rsidR="005E0A23" w:rsidRDefault="00222FA7" w:rsidP="00B11EEE">
      <w:pPr>
        <w:ind w:left="0"/>
        <w:jc w:val="both"/>
        <w:rPr>
          <w:rFonts w:ascii="Bookman Old Style" w:hAnsi="Bookman Old Style"/>
        </w:rPr>
      </w:pPr>
      <w:r w:rsidRPr="002A782A">
        <w:rPr>
          <w:rFonts w:ascii="Bookman Old Style" w:hAnsi="Bookman Old Style"/>
          <w:b/>
        </w:rPr>
        <w:t xml:space="preserve">Artículo </w:t>
      </w:r>
      <w:r w:rsidR="00B61A59">
        <w:rPr>
          <w:rFonts w:ascii="Bookman Old Style" w:hAnsi="Bookman Old Style"/>
          <w:b/>
        </w:rPr>
        <w:t>7</w:t>
      </w:r>
      <w:r w:rsidRPr="002A782A">
        <w:rPr>
          <w:rFonts w:ascii="Bookman Old Style" w:hAnsi="Bookman Old Style"/>
          <w:b/>
        </w:rPr>
        <w:t xml:space="preserve">. </w:t>
      </w:r>
      <w:r>
        <w:rPr>
          <w:rFonts w:ascii="Bookman Old Style" w:hAnsi="Bookman Old Style"/>
          <w:b/>
        </w:rPr>
        <w:t xml:space="preserve">Vigencia. </w:t>
      </w:r>
      <w:r>
        <w:rPr>
          <w:rFonts w:ascii="Bookman Old Style" w:hAnsi="Bookman Old Style"/>
        </w:rPr>
        <w:t xml:space="preserve">Esta resolución rige a partir de su publicación en el </w:t>
      </w:r>
      <w:r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7C569D26" w14:textId="7B44DF2D" w:rsidR="00956C7A" w:rsidRDefault="00956C7A" w:rsidP="00D35A92">
      <w:pPr>
        <w:ind w:left="0"/>
        <w:rPr>
          <w:rFonts w:ascii="Bookman Old Style" w:hAnsi="Bookman Old Style"/>
        </w:rPr>
      </w:pPr>
    </w:p>
    <w:p w14:paraId="3996679A" w14:textId="3762A978" w:rsidR="00D35A92" w:rsidRDefault="00D35A92" w:rsidP="00D35A92">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5F0C3A95" w14:textId="77777777" w:rsidR="00ED48C7" w:rsidRPr="00C435C3" w:rsidRDefault="00ED48C7" w:rsidP="00D35A92">
      <w:pPr>
        <w:jc w:val="center"/>
        <w:rPr>
          <w:rFonts w:ascii="Bookman Old Style" w:hAnsi="Bookman Old Style"/>
          <w:b/>
        </w:rPr>
      </w:pPr>
    </w:p>
    <w:p w14:paraId="700A4EE5" w14:textId="77777777" w:rsidR="00B142C5" w:rsidRDefault="00B142C5" w:rsidP="00D35A92">
      <w:pPr>
        <w:ind w:left="0"/>
        <w:rPr>
          <w:rFonts w:ascii="Bookman Old Style" w:hAnsi="Bookman Old Style"/>
        </w:rPr>
      </w:pPr>
    </w:p>
    <w:p w14:paraId="276251A2" w14:textId="661339EB" w:rsidR="00B83B7B" w:rsidRDefault="00ED48C7" w:rsidP="00D35A92">
      <w:pPr>
        <w:ind w:left="0"/>
        <w:rPr>
          <w:rFonts w:ascii="Bookman Old Style" w:hAnsi="Bookman Old Style"/>
        </w:rPr>
      </w:pPr>
      <w:r>
        <w:rPr>
          <w:rFonts w:ascii="Bookman Old Style" w:hAnsi="Bookman Old Style"/>
        </w:rPr>
        <w:t xml:space="preserve">Dada en Bogotá, D.C. a </w:t>
      </w:r>
      <w:r w:rsidRPr="00ED48C7">
        <w:rPr>
          <w:rFonts w:ascii="Bookman Old Style" w:hAnsi="Bookman Old Style"/>
          <w:b/>
          <w:bCs/>
        </w:rPr>
        <w:t>01 FEB. 2022</w:t>
      </w:r>
    </w:p>
    <w:p w14:paraId="31215EE6" w14:textId="7242C71E" w:rsidR="00C62653" w:rsidRDefault="00C62653" w:rsidP="00D35A92">
      <w:pPr>
        <w:ind w:left="0"/>
        <w:rPr>
          <w:rFonts w:ascii="Bookman Old Style" w:hAnsi="Bookman Old Style"/>
        </w:rPr>
      </w:pPr>
    </w:p>
    <w:p w14:paraId="06DDB739" w14:textId="2CBAFA13" w:rsidR="00C62653" w:rsidRDefault="00C62653" w:rsidP="00D35A92">
      <w:pPr>
        <w:ind w:left="0"/>
        <w:rPr>
          <w:rFonts w:ascii="Bookman Old Style" w:hAnsi="Bookman Old Style"/>
        </w:rPr>
      </w:pPr>
    </w:p>
    <w:p w14:paraId="49D5D13D" w14:textId="0AA1D7E6" w:rsidR="00C62653" w:rsidRDefault="00C62653" w:rsidP="00D35A92">
      <w:pPr>
        <w:ind w:left="0"/>
        <w:rPr>
          <w:rFonts w:ascii="Bookman Old Style" w:hAnsi="Bookman Old Style"/>
        </w:rPr>
      </w:pPr>
    </w:p>
    <w:p w14:paraId="7DE438C4" w14:textId="77777777" w:rsidR="00ED48C7" w:rsidRDefault="00ED48C7" w:rsidP="00D35A92">
      <w:pPr>
        <w:ind w:left="0"/>
        <w:rPr>
          <w:rFonts w:ascii="Bookman Old Style" w:hAnsi="Bookman Old Style"/>
        </w:rPr>
      </w:pPr>
    </w:p>
    <w:p w14:paraId="0235D46A" w14:textId="762FE22D" w:rsidR="00D35A92" w:rsidRDefault="00D35A92" w:rsidP="00D35A92">
      <w:pPr>
        <w:ind w:left="0"/>
        <w:rPr>
          <w:rFonts w:ascii="Bookman Old Style" w:hAnsi="Bookman Old Style"/>
        </w:rPr>
      </w:pPr>
    </w:p>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4678"/>
        <w:gridCol w:w="4678"/>
      </w:tblGrid>
      <w:tr w:rsidR="00EC6015" w:rsidRPr="00B64D62" w14:paraId="1CBD52AF" w14:textId="77777777" w:rsidTr="002D64CE">
        <w:trPr>
          <w:tblCellSpacing w:w="0" w:type="dxa"/>
        </w:trPr>
        <w:tc>
          <w:tcPr>
            <w:tcW w:w="4678" w:type="dxa"/>
            <w:shd w:val="clear" w:color="auto" w:fill="FFFFFF" w:themeFill="background1"/>
            <w:hideMark/>
          </w:tcPr>
          <w:p w14:paraId="1A6CAAA1" w14:textId="4760EA39" w:rsidR="00641863" w:rsidRDefault="005F777E" w:rsidP="005D70B8">
            <w:pPr>
              <w:ind w:left="0"/>
              <w:jc w:val="center"/>
              <w:rPr>
                <w:rFonts w:ascii="Bookman Old Style" w:hAnsi="Bookman Old Style"/>
                <w:b/>
              </w:rPr>
            </w:pPr>
            <w:r>
              <w:rPr>
                <w:rFonts w:ascii="Bookman Old Style" w:hAnsi="Bookman Old Style"/>
                <w:b/>
              </w:rPr>
              <w:t>DIEGO MESA PUYO</w:t>
            </w:r>
          </w:p>
          <w:p w14:paraId="29678DA1" w14:textId="1134EEAE" w:rsidR="00EC6015" w:rsidRPr="009B72C4" w:rsidRDefault="00EC6015" w:rsidP="738E1D91">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04B1314F" w14:textId="57C39845" w:rsidR="00EC6015" w:rsidRPr="00B64D62" w:rsidRDefault="00641863" w:rsidP="005D70B8">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EC6015" w:rsidRPr="00B64D62" w14:paraId="022F4B51" w14:textId="77777777" w:rsidTr="002D64CE">
        <w:trPr>
          <w:tblCellSpacing w:w="0" w:type="dxa"/>
        </w:trPr>
        <w:tc>
          <w:tcPr>
            <w:tcW w:w="4678" w:type="dxa"/>
            <w:shd w:val="clear" w:color="auto" w:fill="FFFFFF" w:themeFill="background1"/>
            <w:hideMark/>
          </w:tcPr>
          <w:p w14:paraId="2619B2C8" w14:textId="56CB67F3" w:rsidR="00EC6015" w:rsidRPr="00B64D62" w:rsidRDefault="00EC6015" w:rsidP="005D70B8">
            <w:pPr>
              <w:ind w:left="0"/>
              <w:jc w:val="center"/>
              <w:rPr>
                <w:rFonts w:ascii="Bookman Old Style" w:hAnsi="Bookman Old Style" w:cs="Arial"/>
                <w:lang w:val="es-CO" w:eastAsia="es-CO"/>
              </w:rPr>
            </w:pPr>
            <w:r w:rsidRPr="00B64D62">
              <w:rPr>
                <w:rFonts w:ascii="Bookman Old Style" w:hAnsi="Bookman Old Style"/>
              </w:rPr>
              <w:t>Ministr</w:t>
            </w:r>
            <w:r w:rsidR="00C84C34">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42EC66C4" w14:textId="77777777" w:rsidR="00EC6015" w:rsidRPr="00B64D62" w:rsidRDefault="00EC6015" w:rsidP="005D70B8">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EC6015" w:rsidRPr="00B64D62" w14:paraId="1EA92974" w14:textId="77777777" w:rsidTr="002D64CE">
        <w:trPr>
          <w:tblCellSpacing w:w="0" w:type="dxa"/>
        </w:trPr>
        <w:tc>
          <w:tcPr>
            <w:tcW w:w="4678" w:type="dxa"/>
            <w:shd w:val="clear" w:color="auto" w:fill="FFFFFF" w:themeFill="background1"/>
            <w:hideMark/>
          </w:tcPr>
          <w:p w14:paraId="6B691B4B" w14:textId="77777777" w:rsidR="00EC6015" w:rsidRPr="00B64D62" w:rsidRDefault="00EC6015" w:rsidP="005D70B8">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3A490748" w14:textId="77777777" w:rsidR="00EC6015" w:rsidRPr="00B64D62" w:rsidRDefault="00EC6015" w:rsidP="005D70B8">
            <w:pPr>
              <w:ind w:left="142"/>
              <w:rPr>
                <w:rFonts w:ascii="Bookman Old Style" w:hAnsi="Bookman Old Style" w:cs="Arial"/>
                <w:lang w:val="es-CO" w:eastAsia="es-CO"/>
              </w:rPr>
            </w:pPr>
            <w:r>
              <w:rPr>
                <w:noProof/>
              </w:rPr>
              <w:drawing>
                <wp:inline distT="0" distB="0" distL="0" distR="0" wp14:anchorId="5AA807E1" wp14:editId="1F81D2B7">
                  <wp:extent cx="9525" cy="9525"/>
                  <wp:effectExtent l="0" t="0" r="0" b="0"/>
                  <wp:docPr id="1461429505"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3431DB03" w14:textId="2AB37317" w:rsidR="00DC2D65" w:rsidRDefault="00DC2D65" w:rsidP="009868DB">
      <w:pPr>
        <w:ind w:left="0"/>
        <w:rPr>
          <w:rFonts w:ascii="Bookman Old Style" w:hAnsi="Bookman Old Style"/>
          <w:b/>
        </w:rPr>
      </w:pPr>
    </w:p>
    <w:p w14:paraId="41530735" w14:textId="1E4F8B23" w:rsidR="0072764D" w:rsidRDefault="0072764D" w:rsidP="009868DB">
      <w:pPr>
        <w:ind w:left="0"/>
        <w:rPr>
          <w:rFonts w:ascii="Bookman Old Style" w:hAnsi="Bookman Old Style"/>
          <w:b/>
        </w:rPr>
      </w:pPr>
    </w:p>
    <w:p w14:paraId="6C997D7A" w14:textId="55A2BA9C" w:rsidR="0072764D" w:rsidRDefault="0072764D" w:rsidP="009868DB">
      <w:pPr>
        <w:ind w:left="0"/>
        <w:rPr>
          <w:rFonts w:ascii="Bookman Old Style" w:hAnsi="Bookman Old Style"/>
          <w:b/>
        </w:rPr>
      </w:pPr>
    </w:p>
    <w:p w14:paraId="5EDDCD55" w14:textId="7E1B2DD6" w:rsidR="00425C47" w:rsidRDefault="00425C47" w:rsidP="009868DB">
      <w:pPr>
        <w:ind w:left="0"/>
        <w:rPr>
          <w:rFonts w:ascii="Bookman Old Style" w:hAnsi="Bookman Old Style"/>
          <w:b/>
        </w:rPr>
      </w:pPr>
    </w:p>
    <w:p w14:paraId="73BA6386" w14:textId="50890463" w:rsidR="00425C47" w:rsidRDefault="00425C47" w:rsidP="009868DB">
      <w:pPr>
        <w:ind w:left="0"/>
        <w:rPr>
          <w:rFonts w:ascii="Bookman Old Style" w:hAnsi="Bookman Old Style"/>
          <w:b/>
        </w:rPr>
      </w:pPr>
    </w:p>
    <w:p w14:paraId="337A3BC8" w14:textId="73543E1F" w:rsidR="00425C47" w:rsidRDefault="00425C47" w:rsidP="009868DB">
      <w:pPr>
        <w:ind w:left="0"/>
        <w:rPr>
          <w:rFonts w:ascii="Bookman Old Style" w:hAnsi="Bookman Old Style"/>
          <w:b/>
        </w:rPr>
      </w:pPr>
    </w:p>
    <w:p w14:paraId="01E01CA2" w14:textId="0DB71F96" w:rsidR="00425C47" w:rsidRDefault="00425C47" w:rsidP="009868DB">
      <w:pPr>
        <w:ind w:left="0"/>
        <w:rPr>
          <w:rFonts w:ascii="Bookman Old Style" w:hAnsi="Bookman Old Style"/>
          <w:b/>
        </w:rPr>
      </w:pPr>
    </w:p>
    <w:p w14:paraId="454381D4" w14:textId="49D885AC" w:rsidR="00425C47" w:rsidRDefault="00425C47" w:rsidP="009868DB">
      <w:pPr>
        <w:ind w:left="0"/>
        <w:rPr>
          <w:rFonts w:ascii="Bookman Old Style" w:hAnsi="Bookman Old Style"/>
          <w:b/>
        </w:rPr>
      </w:pPr>
    </w:p>
    <w:p w14:paraId="128CE14B" w14:textId="41ABAA80" w:rsidR="00425C47" w:rsidRDefault="00425C47" w:rsidP="009868DB">
      <w:pPr>
        <w:ind w:left="0"/>
        <w:rPr>
          <w:rFonts w:ascii="Bookman Old Style" w:hAnsi="Bookman Old Style"/>
          <w:b/>
        </w:rPr>
      </w:pPr>
    </w:p>
    <w:p w14:paraId="71B8C970" w14:textId="5914BED4" w:rsidR="00425C47" w:rsidRDefault="00425C47" w:rsidP="009868DB">
      <w:pPr>
        <w:ind w:left="0"/>
        <w:rPr>
          <w:rFonts w:ascii="Bookman Old Style" w:hAnsi="Bookman Old Style"/>
          <w:b/>
        </w:rPr>
      </w:pPr>
    </w:p>
    <w:p w14:paraId="0BE9AFA6" w14:textId="1F04249C" w:rsidR="00425C47" w:rsidRDefault="00425C47" w:rsidP="009868DB">
      <w:pPr>
        <w:ind w:left="0"/>
        <w:rPr>
          <w:rFonts w:ascii="Bookman Old Style" w:hAnsi="Bookman Old Style"/>
          <w:b/>
        </w:rPr>
      </w:pPr>
    </w:p>
    <w:p w14:paraId="7CFD3C13" w14:textId="19F6A914" w:rsidR="00425C47" w:rsidRDefault="00425C47" w:rsidP="009868DB">
      <w:pPr>
        <w:ind w:left="0"/>
        <w:rPr>
          <w:rFonts w:ascii="Bookman Old Style" w:hAnsi="Bookman Old Style"/>
          <w:b/>
        </w:rPr>
      </w:pPr>
    </w:p>
    <w:p w14:paraId="26C127A1" w14:textId="5B1A0A47" w:rsidR="00425C47" w:rsidRDefault="00425C47" w:rsidP="009868DB">
      <w:pPr>
        <w:ind w:left="0"/>
        <w:rPr>
          <w:rFonts w:ascii="Bookman Old Style" w:hAnsi="Bookman Old Style"/>
          <w:b/>
        </w:rPr>
      </w:pPr>
    </w:p>
    <w:p w14:paraId="110927E1" w14:textId="274B8D4D" w:rsidR="00425C47" w:rsidRDefault="00425C47" w:rsidP="009868DB">
      <w:pPr>
        <w:ind w:left="0"/>
        <w:rPr>
          <w:rFonts w:ascii="Bookman Old Style" w:hAnsi="Bookman Old Style"/>
          <w:b/>
        </w:rPr>
      </w:pPr>
    </w:p>
    <w:p w14:paraId="18787D0B" w14:textId="6161E011" w:rsidR="00425C47" w:rsidRDefault="00425C47" w:rsidP="009868DB">
      <w:pPr>
        <w:ind w:left="0"/>
        <w:rPr>
          <w:rFonts w:ascii="Bookman Old Style" w:hAnsi="Bookman Old Style"/>
          <w:b/>
        </w:rPr>
      </w:pPr>
    </w:p>
    <w:p w14:paraId="02DDDA8D" w14:textId="1415F5B1" w:rsidR="00425C47" w:rsidRDefault="00425C47" w:rsidP="009868DB">
      <w:pPr>
        <w:ind w:left="0"/>
        <w:rPr>
          <w:rFonts w:ascii="Bookman Old Style" w:hAnsi="Bookman Old Style"/>
          <w:b/>
        </w:rPr>
      </w:pPr>
    </w:p>
    <w:p w14:paraId="297F500F" w14:textId="142F283E" w:rsidR="00425C47" w:rsidRDefault="00425C47" w:rsidP="009868DB">
      <w:pPr>
        <w:ind w:left="0"/>
        <w:rPr>
          <w:rFonts w:ascii="Bookman Old Style" w:hAnsi="Bookman Old Style"/>
          <w:b/>
        </w:rPr>
      </w:pPr>
    </w:p>
    <w:p w14:paraId="70278F5D" w14:textId="38B3CF82" w:rsidR="00425C47" w:rsidRDefault="00425C47" w:rsidP="009868DB">
      <w:pPr>
        <w:ind w:left="0"/>
        <w:rPr>
          <w:rFonts w:ascii="Bookman Old Style" w:hAnsi="Bookman Old Style"/>
          <w:b/>
        </w:rPr>
      </w:pPr>
    </w:p>
    <w:p w14:paraId="652C7748" w14:textId="75E8E2D0" w:rsidR="00425C47" w:rsidRDefault="00425C47" w:rsidP="009868DB">
      <w:pPr>
        <w:ind w:left="0"/>
        <w:rPr>
          <w:rFonts w:ascii="Bookman Old Style" w:hAnsi="Bookman Old Style"/>
          <w:b/>
        </w:rPr>
      </w:pPr>
    </w:p>
    <w:p w14:paraId="025247B8" w14:textId="2995FE97" w:rsidR="00425C47" w:rsidRDefault="00425C47" w:rsidP="009868DB">
      <w:pPr>
        <w:ind w:left="0"/>
        <w:rPr>
          <w:rFonts w:ascii="Bookman Old Style" w:hAnsi="Bookman Old Style"/>
          <w:b/>
        </w:rPr>
      </w:pPr>
    </w:p>
    <w:p w14:paraId="7A54A8CB" w14:textId="1CDC5E99" w:rsidR="00425C47" w:rsidRDefault="00425C47" w:rsidP="009868DB">
      <w:pPr>
        <w:ind w:left="0"/>
        <w:rPr>
          <w:rFonts w:ascii="Bookman Old Style" w:hAnsi="Bookman Old Style"/>
          <w:b/>
        </w:rPr>
      </w:pPr>
    </w:p>
    <w:p w14:paraId="4D25C7F5" w14:textId="3D74DA92" w:rsidR="00425C47" w:rsidRDefault="00425C47" w:rsidP="009868DB">
      <w:pPr>
        <w:ind w:left="0"/>
        <w:rPr>
          <w:rFonts w:ascii="Bookman Old Style" w:hAnsi="Bookman Old Style"/>
          <w:b/>
        </w:rPr>
      </w:pPr>
    </w:p>
    <w:p w14:paraId="46F1E157" w14:textId="5BDF1F17" w:rsidR="009B2DD6" w:rsidRDefault="009B2DD6">
      <w:pPr>
        <w:ind w:left="0"/>
        <w:rPr>
          <w:rFonts w:ascii="Bookman Old Style" w:hAnsi="Bookman Old Style"/>
          <w:b/>
        </w:rPr>
      </w:pPr>
      <w:r>
        <w:rPr>
          <w:rFonts w:ascii="Bookman Old Style" w:hAnsi="Bookman Old Style"/>
          <w:b/>
        </w:rPr>
        <w:br w:type="page"/>
      </w:r>
    </w:p>
    <w:p w14:paraId="37940C65" w14:textId="45AC58C1" w:rsidR="007243D4" w:rsidRDefault="007243D4" w:rsidP="009868DB">
      <w:pPr>
        <w:ind w:left="0"/>
        <w:rPr>
          <w:rFonts w:ascii="Bookman Old Style" w:hAnsi="Bookman Old Style"/>
          <w:b/>
        </w:rPr>
      </w:pPr>
    </w:p>
    <w:p w14:paraId="5FFC44C9" w14:textId="2A2E9DE3" w:rsidR="000B09E0" w:rsidRDefault="000B09E0" w:rsidP="000B09E0">
      <w:pPr>
        <w:ind w:left="0"/>
        <w:jc w:val="center"/>
        <w:rPr>
          <w:rFonts w:ascii="Bookman Old Style" w:hAnsi="Bookman Old Style"/>
          <w:b/>
        </w:rPr>
      </w:pPr>
      <w:r>
        <w:rPr>
          <w:rFonts w:ascii="Bookman Old Style" w:hAnsi="Bookman Old Style"/>
          <w:b/>
        </w:rPr>
        <w:t>ANEXO</w:t>
      </w:r>
    </w:p>
    <w:p w14:paraId="328DE5C2" w14:textId="77777777" w:rsidR="000B09E0" w:rsidRDefault="000B09E0" w:rsidP="000B09E0">
      <w:pPr>
        <w:ind w:left="0"/>
        <w:jc w:val="center"/>
        <w:rPr>
          <w:rFonts w:ascii="Bookman Old Style" w:hAnsi="Bookman Old Style"/>
          <w:b/>
        </w:rPr>
      </w:pPr>
    </w:p>
    <w:p w14:paraId="30F11CCB" w14:textId="66CF5FD4" w:rsidR="00474210" w:rsidRPr="00474210" w:rsidRDefault="00474210" w:rsidP="00ED48C7">
      <w:pPr>
        <w:pStyle w:val="Ttulo1"/>
        <w:ind w:left="0"/>
        <w:rPr>
          <w:rFonts w:ascii="Bookman Old Style" w:hAnsi="Bookman Old Style"/>
          <w:b w:val="0"/>
          <w:sz w:val="22"/>
        </w:rPr>
      </w:pPr>
      <w:r w:rsidRPr="00474210">
        <w:rPr>
          <w:rFonts w:ascii="Bookman Old Style" w:hAnsi="Bookman Old Style"/>
          <w:sz w:val="22"/>
        </w:rPr>
        <w:t xml:space="preserve">CRONOGRAMA PARA EL REPORTE DE INFORMACIÓN DE </w:t>
      </w:r>
      <w:r w:rsidR="00314647">
        <w:rPr>
          <w:rFonts w:ascii="Bookman Old Style" w:hAnsi="Bookman Old Style"/>
          <w:sz w:val="22"/>
        </w:rPr>
        <w:t xml:space="preserve">PLANTAS EXISTENTES </w:t>
      </w:r>
      <w:r w:rsidR="001000B6" w:rsidRPr="00474210">
        <w:rPr>
          <w:rFonts w:ascii="Bookman Old Style" w:hAnsi="Bookman Old Style"/>
          <w:sz w:val="22"/>
        </w:rPr>
        <w:t xml:space="preserve">POR PARTE </w:t>
      </w:r>
      <w:r w:rsidR="00EA3B0F">
        <w:rPr>
          <w:rFonts w:ascii="Bookman Old Style" w:hAnsi="Bookman Old Style"/>
          <w:sz w:val="22"/>
        </w:rPr>
        <w:t xml:space="preserve">DE </w:t>
      </w:r>
      <w:r w:rsidRPr="00474210">
        <w:rPr>
          <w:rFonts w:ascii="Bookman Old Style" w:hAnsi="Bookman Old Style"/>
          <w:sz w:val="22"/>
        </w:rPr>
        <w:t xml:space="preserve">QUIENES DESEEN SER HABILITADOS PARA PARTICIPAR EN LA ASIGNACIÓN DE OBLIGACIONES DE ENERGÍA FIRME PARA </w:t>
      </w:r>
      <w:r w:rsidR="007243D4">
        <w:rPr>
          <w:rFonts w:ascii="Bookman Old Style" w:hAnsi="Bookman Old Style"/>
          <w:sz w:val="22"/>
        </w:rPr>
        <w:t xml:space="preserve">LOS </w:t>
      </w:r>
      <w:r w:rsidR="00AC38D1" w:rsidRPr="00474210">
        <w:rPr>
          <w:rFonts w:ascii="Bookman Old Style" w:hAnsi="Bookman Old Style"/>
          <w:sz w:val="22"/>
        </w:rPr>
        <w:t>PERÍODO</w:t>
      </w:r>
      <w:r w:rsidR="00AC38D1">
        <w:rPr>
          <w:rFonts w:ascii="Bookman Old Style" w:hAnsi="Bookman Old Style"/>
          <w:sz w:val="22"/>
        </w:rPr>
        <w:t xml:space="preserve">S </w:t>
      </w:r>
      <w:r w:rsidR="00AC38D1" w:rsidRPr="00474210">
        <w:rPr>
          <w:rFonts w:ascii="Bookman Old Style" w:hAnsi="Bookman Old Style"/>
          <w:sz w:val="22"/>
        </w:rPr>
        <w:t>DICIEMBRE</w:t>
      </w:r>
      <w:r w:rsidRPr="00474210">
        <w:rPr>
          <w:rFonts w:ascii="Bookman Old Style" w:hAnsi="Bookman Old Style"/>
          <w:sz w:val="22"/>
        </w:rPr>
        <w:t xml:space="preserve"> </w:t>
      </w:r>
      <w:r w:rsidR="007243D4">
        <w:rPr>
          <w:rFonts w:ascii="Bookman Old Style" w:hAnsi="Bookman Old Style"/>
          <w:sz w:val="22"/>
        </w:rPr>
        <w:t xml:space="preserve">1 </w:t>
      </w:r>
      <w:r w:rsidRPr="00474210">
        <w:rPr>
          <w:rFonts w:ascii="Bookman Old Style" w:hAnsi="Bookman Old Style"/>
          <w:sz w:val="22"/>
        </w:rPr>
        <w:t xml:space="preserve">DE 2023 A NOVIEMBRE </w:t>
      </w:r>
      <w:r w:rsidR="007243D4">
        <w:rPr>
          <w:rFonts w:ascii="Bookman Old Style" w:hAnsi="Bookman Old Style"/>
          <w:sz w:val="22"/>
        </w:rPr>
        <w:t xml:space="preserve">30 </w:t>
      </w:r>
      <w:r w:rsidRPr="00474210">
        <w:rPr>
          <w:rFonts w:ascii="Bookman Old Style" w:hAnsi="Bookman Old Style"/>
          <w:sz w:val="22"/>
        </w:rPr>
        <w:t>DE 2024</w:t>
      </w:r>
      <w:r w:rsidR="007243D4">
        <w:rPr>
          <w:rFonts w:ascii="Bookman Old Style" w:hAnsi="Bookman Old Style"/>
          <w:sz w:val="22"/>
        </w:rPr>
        <w:t xml:space="preserve"> Y </w:t>
      </w:r>
      <w:r w:rsidR="007243D4" w:rsidRPr="00474210">
        <w:rPr>
          <w:rFonts w:ascii="Bookman Old Style" w:hAnsi="Bookman Old Style"/>
          <w:sz w:val="22"/>
        </w:rPr>
        <w:t xml:space="preserve">DICIEMBRE </w:t>
      </w:r>
      <w:r w:rsidR="007243D4">
        <w:rPr>
          <w:rFonts w:ascii="Bookman Old Style" w:hAnsi="Bookman Old Style"/>
          <w:sz w:val="22"/>
        </w:rPr>
        <w:t xml:space="preserve">1 </w:t>
      </w:r>
      <w:r w:rsidR="007243D4" w:rsidRPr="00474210">
        <w:rPr>
          <w:rFonts w:ascii="Bookman Old Style" w:hAnsi="Bookman Old Style"/>
          <w:sz w:val="22"/>
        </w:rPr>
        <w:t>DE 202</w:t>
      </w:r>
      <w:r w:rsidR="007243D4">
        <w:rPr>
          <w:rFonts w:ascii="Bookman Old Style" w:hAnsi="Bookman Old Style"/>
          <w:sz w:val="22"/>
        </w:rPr>
        <w:t>4</w:t>
      </w:r>
      <w:r w:rsidR="007243D4" w:rsidRPr="00474210">
        <w:rPr>
          <w:rFonts w:ascii="Bookman Old Style" w:hAnsi="Bookman Old Style"/>
          <w:sz w:val="22"/>
        </w:rPr>
        <w:t xml:space="preserve"> A NOVIEMBRE </w:t>
      </w:r>
      <w:r w:rsidR="007243D4">
        <w:rPr>
          <w:rFonts w:ascii="Bookman Old Style" w:hAnsi="Bookman Old Style"/>
          <w:sz w:val="22"/>
        </w:rPr>
        <w:t xml:space="preserve">30 </w:t>
      </w:r>
      <w:r w:rsidR="007243D4" w:rsidRPr="00474210">
        <w:rPr>
          <w:rFonts w:ascii="Bookman Old Style" w:hAnsi="Bookman Old Style"/>
          <w:sz w:val="22"/>
        </w:rPr>
        <w:t>DE 202</w:t>
      </w:r>
      <w:r w:rsidR="007243D4">
        <w:rPr>
          <w:rFonts w:ascii="Bookman Old Style" w:hAnsi="Bookman Old Style"/>
          <w:sz w:val="22"/>
        </w:rPr>
        <w:t xml:space="preserve">5 </w:t>
      </w:r>
    </w:p>
    <w:p w14:paraId="7E011EAF" w14:textId="20F5BC19" w:rsidR="000B09E0" w:rsidRDefault="000B09E0" w:rsidP="000B09E0">
      <w:pPr>
        <w:ind w:left="0"/>
        <w:jc w:val="center"/>
        <w:rPr>
          <w:rFonts w:ascii="Bookman Old Style" w:hAnsi="Bookman Old Style"/>
          <w:b/>
        </w:rPr>
      </w:pPr>
    </w:p>
    <w:tbl>
      <w:tblPr>
        <w:tblStyle w:val="Tablaconcuadrcula"/>
        <w:tblW w:w="9493" w:type="dxa"/>
        <w:tblLayout w:type="fixed"/>
        <w:tblLook w:val="04A0" w:firstRow="1" w:lastRow="0" w:firstColumn="1" w:lastColumn="0" w:noHBand="0" w:noVBand="1"/>
      </w:tblPr>
      <w:tblGrid>
        <w:gridCol w:w="704"/>
        <w:gridCol w:w="2410"/>
        <w:gridCol w:w="2977"/>
        <w:gridCol w:w="1559"/>
        <w:gridCol w:w="1843"/>
      </w:tblGrid>
      <w:tr w:rsidR="004600F7" w14:paraId="2D2A9A4C" w14:textId="77777777" w:rsidTr="00ED48C7">
        <w:trPr>
          <w:trHeight w:val="522"/>
        </w:trPr>
        <w:tc>
          <w:tcPr>
            <w:tcW w:w="704" w:type="dxa"/>
            <w:shd w:val="clear" w:color="auto" w:fill="DEEAF6" w:themeFill="accent1" w:themeFillTint="33"/>
            <w:vAlign w:val="center"/>
          </w:tcPr>
          <w:p w14:paraId="6F3D2328"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Item</w:t>
            </w:r>
          </w:p>
        </w:tc>
        <w:tc>
          <w:tcPr>
            <w:tcW w:w="2410" w:type="dxa"/>
            <w:shd w:val="clear" w:color="auto" w:fill="DEEAF6" w:themeFill="accent1" w:themeFillTint="33"/>
            <w:vAlign w:val="center"/>
          </w:tcPr>
          <w:p w14:paraId="177AB3B7"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Tipo</w:t>
            </w:r>
          </w:p>
        </w:tc>
        <w:tc>
          <w:tcPr>
            <w:tcW w:w="2977" w:type="dxa"/>
            <w:shd w:val="clear" w:color="auto" w:fill="DEEAF6" w:themeFill="accent1" w:themeFillTint="33"/>
            <w:vAlign w:val="center"/>
          </w:tcPr>
          <w:p w14:paraId="594D2276"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Descripción</w:t>
            </w:r>
          </w:p>
        </w:tc>
        <w:tc>
          <w:tcPr>
            <w:tcW w:w="1559" w:type="dxa"/>
            <w:shd w:val="clear" w:color="auto" w:fill="DEEAF6" w:themeFill="accent1" w:themeFillTint="33"/>
            <w:vAlign w:val="center"/>
          </w:tcPr>
          <w:p w14:paraId="7F2FDE6F"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Responsable</w:t>
            </w:r>
          </w:p>
        </w:tc>
        <w:tc>
          <w:tcPr>
            <w:tcW w:w="1843" w:type="dxa"/>
            <w:shd w:val="clear" w:color="auto" w:fill="DEEAF6" w:themeFill="accent1" w:themeFillTint="33"/>
            <w:vAlign w:val="center"/>
          </w:tcPr>
          <w:p w14:paraId="6A7532CC"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Fecha</w:t>
            </w:r>
          </w:p>
        </w:tc>
      </w:tr>
      <w:tr w:rsidR="004600F7" w14:paraId="1CC3A5F0" w14:textId="77777777" w:rsidTr="00ED48C7">
        <w:tc>
          <w:tcPr>
            <w:tcW w:w="704" w:type="dxa"/>
          </w:tcPr>
          <w:p w14:paraId="566E1572" w14:textId="77777777" w:rsidR="000B09E0" w:rsidRPr="0024545A" w:rsidRDefault="000B09E0" w:rsidP="0022717B">
            <w:pPr>
              <w:ind w:left="0"/>
              <w:jc w:val="center"/>
              <w:rPr>
                <w:rFonts w:ascii="Bookman Old Style" w:hAnsi="Bookman Old Style"/>
                <w:bCs/>
                <w:sz w:val="20"/>
                <w:szCs w:val="20"/>
              </w:rPr>
            </w:pPr>
            <w:r w:rsidRPr="0024545A">
              <w:rPr>
                <w:rFonts w:ascii="Bookman Old Style" w:hAnsi="Bookman Old Style"/>
                <w:bCs/>
                <w:sz w:val="20"/>
                <w:szCs w:val="20"/>
              </w:rPr>
              <w:t>1</w:t>
            </w:r>
          </w:p>
        </w:tc>
        <w:tc>
          <w:tcPr>
            <w:tcW w:w="2410" w:type="dxa"/>
          </w:tcPr>
          <w:p w14:paraId="5839AD53" w14:textId="04A9374F" w:rsidR="000B09E0" w:rsidRPr="0064537D" w:rsidRDefault="00E3414B" w:rsidP="0022717B">
            <w:pPr>
              <w:ind w:left="0"/>
              <w:rPr>
                <w:rFonts w:ascii="Bookman Old Style" w:hAnsi="Bookman Old Style"/>
                <w:bCs/>
                <w:sz w:val="20"/>
                <w:szCs w:val="20"/>
              </w:rPr>
            </w:pPr>
            <w:r>
              <w:rPr>
                <w:rFonts w:ascii="Bookman Old Style" w:hAnsi="Bookman Old Style"/>
                <w:bCs/>
                <w:sz w:val="20"/>
                <w:szCs w:val="20"/>
              </w:rPr>
              <w:t xml:space="preserve">ENFICC </w:t>
            </w:r>
            <w:r w:rsidR="00D8177E">
              <w:rPr>
                <w:rFonts w:ascii="Bookman Old Style" w:hAnsi="Bookman Old Style"/>
                <w:bCs/>
                <w:sz w:val="20"/>
                <w:szCs w:val="20"/>
              </w:rPr>
              <w:t>verificada</w:t>
            </w:r>
          </w:p>
        </w:tc>
        <w:tc>
          <w:tcPr>
            <w:tcW w:w="2977" w:type="dxa"/>
          </w:tcPr>
          <w:p w14:paraId="6F2FC39B" w14:textId="3C9C2C92" w:rsidR="00CB151C" w:rsidRDefault="00D8177E" w:rsidP="00CB151C">
            <w:pPr>
              <w:ind w:left="0"/>
              <w:rPr>
                <w:rFonts w:ascii="Bookman Old Style" w:hAnsi="Bookman Old Style"/>
                <w:bCs/>
                <w:sz w:val="20"/>
                <w:szCs w:val="20"/>
              </w:rPr>
            </w:pPr>
            <w:r>
              <w:rPr>
                <w:rFonts w:ascii="Bookman Old Style" w:hAnsi="Bookman Old Style"/>
                <w:bCs/>
                <w:sz w:val="20"/>
                <w:szCs w:val="20"/>
              </w:rPr>
              <w:t xml:space="preserve">Corresponde a la </w:t>
            </w:r>
            <w:r w:rsidR="00E3414B">
              <w:rPr>
                <w:rFonts w:ascii="Bookman Old Style" w:hAnsi="Bookman Old Style"/>
                <w:bCs/>
                <w:sz w:val="20"/>
                <w:szCs w:val="20"/>
              </w:rPr>
              <w:t xml:space="preserve">ENFICC </w:t>
            </w:r>
            <w:r>
              <w:rPr>
                <w:rFonts w:ascii="Bookman Old Style" w:hAnsi="Bookman Old Style"/>
                <w:bCs/>
                <w:sz w:val="20"/>
                <w:szCs w:val="20"/>
              </w:rPr>
              <w:t>verificada por el CND en aplicación de la Resolución CREG 127 de 2020</w:t>
            </w:r>
            <w:r w:rsidR="00687FD2">
              <w:rPr>
                <w:rFonts w:ascii="Bookman Old Style" w:hAnsi="Bookman Old Style"/>
                <w:bCs/>
                <w:sz w:val="20"/>
                <w:szCs w:val="20"/>
              </w:rPr>
              <w:t>, y cuyos parámetros se declararon e</w:t>
            </w:r>
            <w:r w:rsidR="00E13C61">
              <w:rPr>
                <w:rFonts w:ascii="Bookman Old Style" w:hAnsi="Bookman Old Style"/>
                <w:bCs/>
                <w:sz w:val="20"/>
                <w:szCs w:val="20"/>
              </w:rPr>
              <w:t>n</w:t>
            </w:r>
            <w:r w:rsidR="00687FD2">
              <w:rPr>
                <w:rFonts w:ascii="Bookman Old Style" w:hAnsi="Bookman Old Style"/>
                <w:bCs/>
                <w:sz w:val="20"/>
                <w:szCs w:val="20"/>
              </w:rPr>
              <w:t xml:space="preserve"> diciembre 1 de 2021</w:t>
            </w:r>
          </w:p>
          <w:p w14:paraId="37BB2D1C" w14:textId="05A478CB" w:rsidR="00AF6BC0" w:rsidRPr="0066283E" w:rsidRDefault="00AF6BC0" w:rsidP="00CB151C">
            <w:pPr>
              <w:ind w:left="0"/>
              <w:rPr>
                <w:rFonts w:ascii="Bookman Old Style" w:hAnsi="Bookman Old Style"/>
                <w:bCs/>
                <w:sz w:val="20"/>
                <w:szCs w:val="20"/>
              </w:rPr>
            </w:pPr>
          </w:p>
        </w:tc>
        <w:tc>
          <w:tcPr>
            <w:tcW w:w="1559" w:type="dxa"/>
          </w:tcPr>
          <w:p w14:paraId="22BE4A7D" w14:textId="1C3520A4" w:rsidR="000B09E0" w:rsidRPr="0085253E" w:rsidRDefault="00687FD2" w:rsidP="00ED48C7">
            <w:pPr>
              <w:ind w:left="175"/>
              <w:rPr>
                <w:rFonts w:ascii="Bookman Old Style" w:hAnsi="Bookman Old Style"/>
                <w:bCs/>
                <w:sz w:val="20"/>
                <w:szCs w:val="20"/>
              </w:rPr>
            </w:pPr>
            <w:r>
              <w:rPr>
                <w:rFonts w:ascii="Bookman Old Style" w:hAnsi="Bookman Old Style"/>
                <w:bCs/>
                <w:sz w:val="20"/>
                <w:szCs w:val="20"/>
              </w:rPr>
              <w:t>CND</w:t>
            </w:r>
          </w:p>
        </w:tc>
        <w:tc>
          <w:tcPr>
            <w:tcW w:w="1843" w:type="dxa"/>
          </w:tcPr>
          <w:p w14:paraId="793C638A" w14:textId="5423F730" w:rsidR="00485519" w:rsidRPr="00131E94" w:rsidRDefault="00687FD2" w:rsidP="0022717B">
            <w:pPr>
              <w:ind w:left="0"/>
              <w:rPr>
                <w:rFonts w:ascii="Bookman Old Style" w:hAnsi="Bookman Old Style"/>
                <w:bCs/>
                <w:sz w:val="20"/>
                <w:szCs w:val="20"/>
              </w:rPr>
            </w:pPr>
            <w:r>
              <w:rPr>
                <w:rFonts w:ascii="Bookman Old Style" w:hAnsi="Bookman Old Style"/>
                <w:bCs/>
                <w:sz w:val="20"/>
                <w:szCs w:val="20"/>
              </w:rPr>
              <w:t xml:space="preserve">Fecha </w:t>
            </w:r>
            <w:r w:rsidR="00A862CD">
              <w:rPr>
                <w:rFonts w:ascii="Bookman Old Style" w:hAnsi="Bookman Old Style"/>
                <w:bCs/>
                <w:sz w:val="20"/>
                <w:szCs w:val="20"/>
              </w:rPr>
              <w:t xml:space="preserve">de </w:t>
            </w:r>
            <w:r>
              <w:rPr>
                <w:rFonts w:ascii="Bookman Old Style" w:hAnsi="Bookman Old Style"/>
                <w:bCs/>
                <w:sz w:val="20"/>
                <w:szCs w:val="20"/>
              </w:rPr>
              <w:t>p</w:t>
            </w:r>
            <w:r w:rsidR="000B09E0">
              <w:rPr>
                <w:rFonts w:ascii="Bookman Old Style" w:hAnsi="Bookman Old Style"/>
                <w:bCs/>
                <w:sz w:val="20"/>
                <w:szCs w:val="20"/>
              </w:rPr>
              <w:t xml:space="preserve">ublicación </w:t>
            </w:r>
            <w:r>
              <w:rPr>
                <w:rFonts w:ascii="Bookman Old Style" w:hAnsi="Bookman Old Style"/>
                <w:bCs/>
                <w:sz w:val="20"/>
                <w:szCs w:val="20"/>
              </w:rPr>
              <w:t xml:space="preserve">de </w:t>
            </w:r>
            <w:r w:rsidR="00E3414B">
              <w:rPr>
                <w:rFonts w:ascii="Bookman Old Style" w:hAnsi="Bookman Old Style"/>
                <w:bCs/>
                <w:sz w:val="20"/>
                <w:szCs w:val="20"/>
              </w:rPr>
              <w:t xml:space="preserve">ENFICC </w:t>
            </w:r>
            <w:r>
              <w:rPr>
                <w:rFonts w:ascii="Bookman Old Style" w:hAnsi="Bookman Old Style"/>
                <w:bCs/>
                <w:sz w:val="20"/>
                <w:szCs w:val="20"/>
              </w:rPr>
              <w:t>verificada</w:t>
            </w:r>
            <w:r w:rsidR="00A862CD">
              <w:rPr>
                <w:rFonts w:ascii="Bookman Old Style" w:hAnsi="Bookman Old Style"/>
                <w:bCs/>
                <w:sz w:val="20"/>
                <w:szCs w:val="20"/>
              </w:rPr>
              <w:t xml:space="preserve"> por el CND: </w:t>
            </w:r>
            <w:r w:rsidR="00485519">
              <w:rPr>
                <w:rFonts w:ascii="Bookman Old Style" w:hAnsi="Bookman Old Style"/>
                <w:bCs/>
                <w:sz w:val="20"/>
                <w:szCs w:val="20"/>
              </w:rPr>
              <w:t>Enero 6 de 2022</w:t>
            </w:r>
          </w:p>
        </w:tc>
      </w:tr>
      <w:tr w:rsidR="00485519" w14:paraId="25ACA0C3" w14:textId="77777777" w:rsidTr="00ED48C7">
        <w:tc>
          <w:tcPr>
            <w:tcW w:w="704" w:type="dxa"/>
          </w:tcPr>
          <w:p w14:paraId="1F777A22" w14:textId="6AA012D5" w:rsidR="00485519" w:rsidRDefault="00485519" w:rsidP="0022717B">
            <w:pPr>
              <w:ind w:left="0"/>
              <w:jc w:val="center"/>
              <w:rPr>
                <w:rFonts w:ascii="Bookman Old Style" w:hAnsi="Bookman Old Style"/>
                <w:bCs/>
                <w:sz w:val="20"/>
                <w:szCs w:val="20"/>
              </w:rPr>
            </w:pPr>
            <w:r>
              <w:rPr>
                <w:rFonts w:ascii="Bookman Old Style" w:hAnsi="Bookman Old Style"/>
                <w:bCs/>
                <w:sz w:val="20"/>
                <w:szCs w:val="20"/>
              </w:rPr>
              <w:t>2</w:t>
            </w:r>
          </w:p>
        </w:tc>
        <w:tc>
          <w:tcPr>
            <w:tcW w:w="2410" w:type="dxa"/>
          </w:tcPr>
          <w:p w14:paraId="45953701" w14:textId="02CEC9E1" w:rsidR="00485519" w:rsidRDefault="00485519" w:rsidP="0022717B">
            <w:pPr>
              <w:ind w:left="0"/>
              <w:rPr>
                <w:rFonts w:ascii="Bookman Old Style" w:hAnsi="Bookman Old Style"/>
                <w:bCs/>
                <w:sz w:val="20"/>
                <w:szCs w:val="20"/>
              </w:rPr>
            </w:pPr>
            <w:r>
              <w:rPr>
                <w:rFonts w:ascii="Bookman Old Style" w:hAnsi="Bookman Old Style"/>
                <w:bCs/>
                <w:sz w:val="20"/>
                <w:szCs w:val="20"/>
              </w:rPr>
              <w:t>Declaración de parámetros</w:t>
            </w:r>
            <w:r w:rsidR="003750BC">
              <w:rPr>
                <w:rFonts w:ascii="Bookman Old Style" w:hAnsi="Bookman Old Style"/>
                <w:bCs/>
                <w:sz w:val="20"/>
                <w:szCs w:val="20"/>
              </w:rPr>
              <w:t xml:space="preserve"> de</w:t>
            </w:r>
            <w:r>
              <w:rPr>
                <w:rFonts w:ascii="Bookman Old Style" w:hAnsi="Bookman Old Style"/>
                <w:bCs/>
                <w:sz w:val="20"/>
                <w:szCs w:val="20"/>
              </w:rPr>
              <w:t xml:space="preserve"> plantas existentes que no lo hicieron en el marco de la Res</w:t>
            </w:r>
            <w:r w:rsidR="003A3CC8">
              <w:rPr>
                <w:rFonts w:ascii="Bookman Old Style" w:hAnsi="Bookman Old Style"/>
                <w:bCs/>
                <w:sz w:val="20"/>
                <w:szCs w:val="20"/>
              </w:rPr>
              <w:t xml:space="preserve">. </w:t>
            </w:r>
            <w:r>
              <w:rPr>
                <w:rFonts w:ascii="Bookman Old Style" w:hAnsi="Bookman Old Style"/>
                <w:bCs/>
                <w:sz w:val="20"/>
                <w:szCs w:val="20"/>
              </w:rPr>
              <w:t>CREG 127 de 2020</w:t>
            </w:r>
          </w:p>
        </w:tc>
        <w:tc>
          <w:tcPr>
            <w:tcW w:w="2977" w:type="dxa"/>
          </w:tcPr>
          <w:p w14:paraId="3B336EBE" w14:textId="77777777" w:rsidR="00CB151C" w:rsidRDefault="00CF51EF" w:rsidP="00CB151C">
            <w:pPr>
              <w:ind w:left="0"/>
              <w:rPr>
                <w:rFonts w:ascii="Bookman Old Style" w:hAnsi="Bookman Old Style"/>
                <w:bCs/>
                <w:sz w:val="20"/>
                <w:szCs w:val="20"/>
              </w:rPr>
            </w:pPr>
            <w:r>
              <w:rPr>
                <w:rFonts w:ascii="Bookman Old Style" w:hAnsi="Bookman Old Style"/>
                <w:bCs/>
                <w:sz w:val="20"/>
                <w:szCs w:val="20"/>
              </w:rPr>
              <w:t xml:space="preserve">Corresponde </w:t>
            </w:r>
            <w:r w:rsidR="003A3CC8">
              <w:rPr>
                <w:rFonts w:ascii="Bookman Old Style" w:hAnsi="Bookman Old Style"/>
                <w:bCs/>
                <w:sz w:val="20"/>
                <w:szCs w:val="20"/>
              </w:rPr>
              <w:t xml:space="preserve">a la información </w:t>
            </w:r>
            <w:r w:rsidR="00EA53C6">
              <w:rPr>
                <w:rFonts w:ascii="Bookman Old Style" w:hAnsi="Bookman Old Style"/>
                <w:bCs/>
                <w:sz w:val="20"/>
                <w:szCs w:val="20"/>
              </w:rPr>
              <w:t xml:space="preserve">que se </w:t>
            </w:r>
            <w:r w:rsidR="003A3CC8">
              <w:rPr>
                <w:rFonts w:ascii="Bookman Old Style" w:hAnsi="Bookman Old Style"/>
                <w:bCs/>
                <w:sz w:val="20"/>
                <w:szCs w:val="20"/>
              </w:rPr>
              <w:t xml:space="preserve">reporta al CND de acuerdo con </w:t>
            </w:r>
            <w:r>
              <w:rPr>
                <w:rFonts w:ascii="Bookman Old Style" w:hAnsi="Bookman Old Style"/>
                <w:bCs/>
                <w:sz w:val="20"/>
                <w:szCs w:val="20"/>
              </w:rPr>
              <w:t xml:space="preserve">la descripción de </w:t>
            </w:r>
            <w:r w:rsidR="003A3CC8">
              <w:rPr>
                <w:rFonts w:ascii="Bookman Old Style" w:hAnsi="Bookman Old Style"/>
                <w:bCs/>
                <w:sz w:val="20"/>
                <w:szCs w:val="20"/>
              </w:rPr>
              <w:t>“</w:t>
            </w:r>
            <w:r>
              <w:rPr>
                <w:rFonts w:ascii="Bookman Old Style" w:hAnsi="Bookman Old Style"/>
                <w:bCs/>
                <w:sz w:val="20"/>
                <w:szCs w:val="20"/>
              </w:rPr>
              <w:t>Declaración de parámetros</w:t>
            </w:r>
            <w:r w:rsidR="003A3CC8">
              <w:rPr>
                <w:rFonts w:ascii="Bookman Old Style" w:hAnsi="Bookman Old Style"/>
                <w:bCs/>
                <w:sz w:val="20"/>
                <w:szCs w:val="20"/>
              </w:rPr>
              <w:t>”</w:t>
            </w:r>
            <w:r>
              <w:rPr>
                <w:rFonts w:ascii="Bookman Old Style" w:hAnsi="Bookman Old Style"/>
                <w:bCs/>
                <w:sz w:val="20"/>
                <w:szCs w:val="20"/>
              </w:rPr>
              <w:t xml:space="preserve"> que se tiene en el anexo de la Resolución CREG 127 de 2020.</w:t>
            </w:r>
          </w:p>
          <w:p w14:paraId="086BF43D" w14:textId="0356FCF8" w:rsidR="00CB151C" w:rsidRDefault="00CB151C" w:rsidP="00CB151C">
            <w:pPr>
              <w:ind w:left="0"/>
              <w:rPr>
                <w:rFonts w:ascii="Bookman Old Style" w:hAnsi="Bookman Old Style"/>
                <w:bCs/>
                <w:sz w:val="20"/>
                <w:szCs w:val="20"/>
              </w:rPr>
            </w:pPr>
          </w:p>
        </w:tc>
        <w:tc>
          <w:tcPr>
            <w:tcW w:w="1559" w:type="dxa"/>
          </w:tcPr>
          <w:p w14:paraId="30857797" w14:textId="7358CB31" w:rsidR="00485519" w:rsidRDefault="00857945"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0B49B4E0" w14:textId="0E968363" w:rsidR="00485519" w:rsidRDefault="00857945" w:rsidP="0022717B">
            <w:pPr>
              <w:ind w:left="0"/>
              <w:rPr>
                <w:rFonts w:ascii="Bookman Old Style" w:hAnsi="Bookman Old Style"/>
                <w:bCs/>
                <w:sz w:val="20"/>
                <w:szCs w:val="20"/>
              </w:rPr>
            </w:pPr>
            <w:r>
              <w:rPr>
                <w:rFonts w:ascii="Bookman Old Style" w:hAnsi="Bookman Old Style"/>
                <w:bCs/>
                <w:sz w:val="20"/>
                <w:szCs w:val="20"/>
              </w:rPr>
              <w:t>Dentro de los 10 días hábiles siguientes a la entrada en vigencia de la presente resolución.</w:t>
            </w:r>
          </w:p>
        </w:tc>
      </w:tr>
      <w:tr w:rsidR="007601FD" w14:paraId="1DDBAA67" w14:textId="77777777" w:rsidTr="00ED48C7">
        <w:tc>
          <w:tcPr>
            <w:tcW w:w="704" w:type="dxa"/>
            <w:vMerge w:val="restart"/>
          </w:tcPr>
          <w:p w14:paraId="2E119866" w14:textId="0F24E44C" w:rsidR="007601FD" w:rsidRDefault="007601FD" w:rsidP="0022717B">
            <w:pPr>
              <w:ind w:left="0"/>
              <w:jc w:val="center"/>
              <w:rPr>
                <w:rFonts w:ascii="Bookman Old Style" w:hAnsi="Bookman Old Style"/>
                <w:bCs/>
                <w:sz w:val="20"/>
                <w:szCs w:val="20"/>
              </w:rPr>
            </w:pPr>
            <w:r>
              <w:rPr>
                <w:rFonts w:ascii="Bookman Old Style" w:hAnsi="Bookman Old Style"/>
                <w:bCs/>
                <w:sz w:val="20"/>
                <w:szCs w:val="20"/>
              </w:rPr>
              <w:t>3</w:t>
            </w:r>
          </w:p>
        </w:tc>
        <w:tc>
          <w:tcPr>
            <w:tcW w:w="2410" w:type="dxa"/>
            <w:vMerge w:val="restart"/>
          </w:tcPr>
          <w:p w14:paraId="37CF8E30" w14:textId="306EE1B2" w:rsidR="00CB151C" w:rsidRDefault="007601FD" w:rsidP="00CB151C">
            <w:pPr>
              <w:ind w:left="0"/>
              <w:rPr>
                <w:rFonts w:ascii="Bookman Old Style" w:hAnsi="Bookman Old Style"/>
                <w:bCs/>
                <w:sz w:val="20"/>
                <w:szCs w:val="20"/>
              </w:rPr>
            </w:pPr>
            <w:r>
              <w:rPr>
                <w:rFonts w:ascii="Bookman Old Style" w:hAnsi="Bookman Old Style"/>
                <w:bCs/>
                <w:sz w:val="20"/>
                <w:szCs w:val="20"/>
              </w:rPr>
              <w:t>Verificación y solicitud de aclaraciones de información reporta</w:t>
            </w:r>
            <w:r w:rsidR="00AF69CB">
              <w:rPr>
                <w:rFonts w:ascii="Bookman Old Style" w:hAnsi="Bookman Old Style"/>
                <w:bCs/>
                <w:sz w:val="20"/>
                <w:szCs w:val="20"/>
              </w:rPr>
              <w:t>da</w:t>
            </w:r>
            <w:r>
              <w:rPr>
                <w:rFonts w:ascii="Bookman Old Style" w:hAnsi="Bookman Old Style"/>
                <w:bCs/>
                <w:sz w:val="20"/>
                <w:szCs w:val="20"/>
              </w:rPr>
              <w:t xml:space="preserve"> de parámetros de las plantas que no hicieron declaración en el marco de la Res. CREG 127 de 2020</w:t>
            </w:r>
          </w:p>
          <w:p w14:paraId="741054BF" w14:textId="05E831EA" w:rsidR="00CB151C" w:rsidRDefault="00CB151C" w:rsidP="00CB151C">
            <w:pPr>
              <w:ind w:left="0"/>
              <w:rPr>
                <w:rFonts w:ascii="Bookman Old Style" w:hAnsi="Bookman Old Style"/>
                <w:bCs/>
                <w:sz w:val="20"/>
                <w:szCs w:val="20"/>
              </w:rPr>
            </w:pPr>
          </w:p>
        </w:tc>
        <w:tc>
          <w:tcPr>
            <w:tcW w:w="2977" w:type="dxa"/>
          </w:tcPr>
          <w:p w14:paraId="09ED4979" w14:textId="77777777" w:rsidR="007601FD" w:rsidRDefault="007601FD" w:rsidP="0022717B">
            <w:pPr>
              <w:ind w:left="0"/>
              <w:rPr>
                <w:rFonts w:ascii="Bookman Old Style" w:hAnsi="Bookman Old Style"/>
                <w:bCs/>
                <w:sz w:val="20"/>
                <w:szCs w:val="20"/>
              </w:rPr>
            </w:pPr>
            <w:r>
              <w:rPr>
                <w:rFonts w:ascii="Bookman Old Style" w:hAnsi="Bookman Old Style"/>
                <w:bCs/>
                <w:sz w:val="20"/>
                <w:szCs w:val="20"/>
              </w:rPr>
              <w:t>Verificación de la información reportada de parámetros</w:t>
            </w:r>
          </w:p>
          <w:p w14:paraId="0B2CDA3A" w14:textId="77777777" w:rsidR="007601FD" w:rsidRDefault="007601FD" w:rsidP="0022717B">
            <w:pPr>
              <w:ind w:left="0"/>
              <w:rPr>
                <w:rFonts w:ascii="Bookman Old Style" w:hAnsi="Bookman Old Style"/>
                <w:bCs/>
                <w:sz w:val="20"/>
                <w:szCs w:val="20"/>
              </w:rPr>
            </w:pPr>
          </w:p>
          <w:p w14:paraId="31901F78" w14:textId="2C9FD7F7" w:rsidR="00CB151C" w:rsidRDefault="00CB151C" w:rsidP="0022717B">
            <w:pPr>
              <w:ind w:left="0"/>
              <w:rPr>
                <w:rFonts w:ascii="Bookman Old Style" w:hAnsi="Bookman Old Style"/>
                <w:bCs/>
                <w:sz w:val="20"/>
                <w:szCs w:val="20"/>
              </w:rPr>
            </w:pPr>
          </w:p>
        </w:tc>
        <w:tc>
          <w:tcPr>
            <w:tcW w:w="1559" w:type="dxa"/>
          </w:tcPr>
          <w:p w14:paraId="011410A5" w14:textId="04437466" w:rsidR="007601FD" w:rsidRDefault="007601FD" w:rsidP="00ED48C7">
            <w:pPr>
              <w:ind w:left="175"/>
              <w:rPr>
                <w:rFonts w:ascii="Bookman Old Style" w:hAnsi="Bookman Old Style"/>
                <w:bCs/>
                <w:sz w:val="20"/>
                <w:szCs w:val="20"/>
              </w:rPr>
            </w:pPr>
            <w:r>
              <w:rPr>
                <w:rFonts w:ascii="Bookman Old Style" w:hAnsi="Bookman Old Style"/>
                <w:bCs/>
                <w:sz w:val="20"/>
                <w:szCs w:val="20"/>
              </w:rPr>
              <w:t>CND</w:t>
            </w:r>
          </w:p>
        </w:tc>
        <w:tc>
          <w:tcPr>
            <w:tcW w:w="1843" w:type="dxa"/>
          </w:tcPr>
          <w:p w14:paraId="79CF3971" w14:textId="3C4EBE72" w:rsidR="007601FD" w:rsidRDefault="007601FD" w:rsidP="0022717B">
            <w:pPr>
              <w:ind w:left="0"/>
              <w:rPr>
                <w:rFonts w:ascii="Bookman Old Style" w:hAnsi="Bookman Old Style"/>
                <w:bCs/>
                <w:sz w:val="20"/>
                <w:szCs w:val="20"/>
              </w:rPr>
            </w:pPr>
            <w:r>
              <w:rPr>
                <w:rFonts w:ascii="Bookman Old Style" w:hAnsi="Bookman Old Style"/>
                <w:bCs/>
                <w:sz w:val="20"/>
                <w:szCs w:val="20"/>
              </w:rPr>
              <w:t>Dentro de los 3 días hábiles siguientes al item 2</w:t>
            </w:r>
          </w:p>
        </w:tc>
      </w:tr>
      <w:tr w:rsidR="007601FD" w14:paraId="42AE8E96" w14:textId="77777777" w:rsidTr="00ED48C7">
        <w:tc>
          <w:tcPr>
            <w:tcW w:w="704" w:type="dxa"/>
            <w:vMerge/>
          </w:tcPr>
          <w:p w14:paraId="5F445A5E" w14:textId="77777777" w:rsidR="007601FD" w:rsidRDefault="007601FD" w:rsidP="0022717B">
            <w:pPr>
              <w:ind w:left="0"/>
              <w:jc w:val="center"/>
              <w:rPr>
                <w:rFonts w:ascii="Bookman Old Style" w:hAnsi="Bookman Old Style"/>
                <w:bCs/>
                <w:sz w:val="20"/>
                <w:szCs w:val="20"/>
              </w:rPr>
            </w:pPr>
          </w:p>
        </w:tc>
        <w:tc>
          <w:tcPr>
            <w:tcW w:w="2410" w:type="dxa"/>
            <w:vMerge/>
          </w:tcPr>
          <w:p w14:paraId="5C4BABCD" w14:textId="77777777" w:rsidR="007601FD" w:rsidRDefault="007601FD" w:rsidP="0022717B">
            <w:pPr>
              <w:ind w:left="0"/>
              <w:rPr>
                <w:rFonts w:ascii="Bookman Old Style" w:hAnsi="Bookman Old Style"/>
                <w:bCs/>
                <w:sz w:val="20"/>
                <w:szCs w:val="20"/>
              </w:rPr>
            </w:pPr>
          </w:p>
        </w:tc>
        <w:tc>
          <w:tcPr>
            <w:tcW w:w="2977" w:type="dxa"/>
          </w:tcPr>
          <w:p w14:paraId="5E0AC7A4" w14:textId="749E5A65" w:rsidR="007601FD" w:rsidRDefault="007601FD" w:rsidP="0022717B">
            <w:pPr>
              <w:ind w:left="0"/>
              <w:rPr>
                <w:rFonts w:ascii="Bookman Old Style" w:hAnsi="Bookman Old Style"/>
                <w:bCs/>
                <w:sz w:val="20"/>
                <w:szCs w:val="20"/>
              </w:rPr>
            </w:pPr>
            <w:r>
              <w:rPr>
                <w:rFonts w:ascii="Bookman Old Style" w:hAnsi="Bookman Old Style"/>
                <w:bCs/>
                <w:sz w:val="20"/>
                <w:szCs w:val="20"/>
              </w:rPr>
              <w:t>Solicitud de aclaraciones a los parámetros reportados</w:t>
            </w:r>
          </w:p>
        </w:tc>
        <w:tc>
          <w:tcPr>
            <w:tcW w:w="1559" w:type="dxa"/>
          </w:tcPr>
          <w:p w14:paraId="5E99B532" w14:textId="087ABD55" w:rsidR="007601FD" w:rsidRDefault="007601FD" w:rsidP="00ED48C7">
            <w:pPr>
              <w:ind w:left="175"/>
              <w:rPr>
                <w:rFonts w:ascii="Bookman Old Style" w:hAnsi="Bookman Old Style"/>
                <w:bCs/>
                <w:sz w:val="20"/>
                <w:szCs w:val="20"/>
              </w:rPr>
            </w:pPr>
            <w:r>
              <w:rPr>
                <w:rFonts w:ascii="Bookman Old Style" w:hAnsi="Bookman Old Style"/>
                <w:bCs/>
                <w:sz w:val="20"/>
                <w:szCs w:val="20"/>
              </w:rPr>
              <w:t>CND</w:t>
            </w:r>
          </w:p>
        </w:tc>
        <w:tc>
          <w:tcPr>
            <w:tcW w:w="1843" w:type="dxa"/>
          </w:tcPr>
          <w:p w14:paraId="49C9181B" w14:textId="65E82FE2" w:rsidR="007601FD" w:rsidRDefault="007601FD" w:rsidP="0022717B">
            <w:pPr>
              <w:ind w:left="0"/>
              <w:rPr>
                <w:rFonts w:ascii="Bookman Old Style" w:hAnsi="Bookman Old Style"/>
                <w:bCs/>
                <w:sz w:val="20"/>
                <w:szCs w:val="20"/>
              </w:rPr>
            </w:pPr>
            <w:r>
              <w:rPr>
                <w:rFonts w:ascii="Bookman Old Style" w:hAnsi="Bookman Old Style"/>
                <w:bCs/>
                <w:sz w:val="20"/>
                <w:szCs w:val="20"/>
              </w:rPr>
              <w:t>Dentro de los 2 días hábiles siguientes a</w:t>
            </w:r>
            <w:r w:rsidR="005922E1">
              <w:rPr>
                <w:rFonts w:ascii="Bookman Old Style" w:hAnsi="Bookman Old Style"/>
                <w:bCs/>
                <w:sz w:val="20"/>
                <w:szCs w:val="20"/>
              </w:rPr>
              <w:t xml:space="preserve"> </w:t>
            </w:r>
            <w:r>
              <w:rPr>
                <w:rFonts w:ascii="Bookman Old Style" w:hAnsi="Bookman Old Style"/>
                <w:bCs/>
                <w:sz w:val="20"/>
                <w:szCs w:val="20"/>
              </w:rPr>
              <w:t>l</w:t>
            </w:r>
            <w:r w:rsidR="005922E1">
              <w:rPr>
                <w:rFonts w:ascii="Bookman Old Style" w:hAnsi="Bookman Old Style"/>
                <w:bCs/>
                <w:sz w:val="20"/>
                <w:szCs w:val="20"/>
              </w:rPr>
              <w:t>a verificación.</w:t>
            </w:r>
          </w:p>
        </w:tc>
      </w:tr>
      <w:tr w:rsidR="007601FD" w14:paraId="4BB3732F" w14:textId="77777777" w:rsidTr="00ED48C7">
        <w:tc>
          <w:tcPr>
            <w:tcW w:w="704" w:type="dxa"/>
          </w:tcPr>
          <w:p w14:paraId="2DB4B167" w14:textId="3E56B8CD" w:rsidR="007601FD" w:rsidRDefault="007601FD" w:rsidP="0022717B">
            <w:pPr>
              <w:ind w:left="0"/>
              <w:jc w:val="center"/>
              <w:rPr>
                <w:rFonts w:ascii="Bookman Old Style" w:hAnsi="Bookman Old Style"/>
                <w:bCs/>
                <w:sz w:val="20"/>
                <w:szCs w:val="20"/>
              </w:rPr>
            </w:pPr>
            <w:r>
              <w:rPr>
                <w:rFonts w:ascii="Bookman Old Style" w:hAnsi="Bookman Old Style"/>
                <w:bCs/>
                <w:sz w:val="20"/>
                <w:szCs w:val="20"/>
              </w:rPr>
              <w:t>4</w:t>
            </w:r>
          </w:p>
        </w:tc>
        <w:tc>
          <w:tcPr>
            <w:tcW w:w="2410" w:type="dxa"/>
          </w:tcPr>
          <w:p w14:paraId="08067A63" w14:textId="44D7E37C" w:rsidR="007601FD" w:rsidRDefault="007601FD" w:rsidP="0022717B">
            <w:pPr>
              <w:ind w:left="0"/>
              <w:rPr>
                <w:rFonts w:ascii="Bookman Old Style" w:hAnsi="Bookman Old Style"/>
                <w:bCs/>
                <w:sz w:val="20"/>
                <w:szCs w:val="20"/>
              </w:rPr>
            </w:pPr>
            <w:r>
              <w:rPr>
                <w:rFonts w:ascii="Bookman Old Style" w:hAnsi="Bookman Old Style"/>
                <w:bCs/>
                <w:sz w:val="20"/>
                <w:szCs w:val="20"/>
              </w:rPr>
              <w:t>Entrega de aclaraciones de parámetros de las plantas que no hicieron declaración en el marco de la Res. CREG 127 de 2020</w:t>
            </w:r>
          </w:p>
        </w:tc>
        <w:tc>
          <w:tcPr>
            <w:tcW w:w="2977" w:type="dxa"/>
          </w:tcPr>
          <w:p w14:paraId="7EF1C6D2" w14:textId="77777777" w:rsidR="007601FD" w:rsidRDefault="0047700C" w:rsidP="0022717B">
            <w:pPr>
              <w:ind w:left="0"/>
              <w:rPr>
                <w:rFonts w:ascii="Bookman Old Style" w:hAnsi="Bookman Old Style"/>
                <w:bCs/>
                <w:sz w:val="20"/>
                <w:szCs w:val="20"/>
              </w:rPr>
            </w:pPr>
            <w:r>
              <w:rPr>
                <w:rFonts w:ascii="Bookman Old Style" w:hAnsi="Bookman Old Style"/>
                <w:bCs/>
                <w:sz w:val="20"/>
                <w:szCs w:val="20"/>
              </w:rPr>
              <w:t>Entrega de las aclaraciones solicitadas por el CND.</w:t>
            </w:r>
          </w:p>
          <w:p w14:paraId="787BA88E" w14:textId="77777777" w:rsidR="0047700C" w:rsidRDefault="0047700C" w:rsidP="0022717B">
            <w:pPr>
              <w:ind w:left="0"/>
              <w:rPr>
                <w:rFonts w:ascii="Bookman Old Style" w:hAnsi="Bookman Old Style"/>
                <w:bCs/>
                <w:sz w:val="20"/>
                <w:szCs w:val="20"/>
              </w:rPr>
            </w:pPr>
          </w:p>
          <w:p w14:paraId="4C451720" w14:textId="77777777" w:rsidR="00CB151C" w:rsidRDefault="0047700C" w:rsidP="00CB151C">
            <w:pPr>
              <w:ind w:left="0"/>
              <w:rPr>
                <w:rFonts w:ascii="Bookman Old Style" w:hAnsi="Bookman Old Style"/>
                <w:bCs/>
                <w:sz w:val="20"/>
                <w:szCs w:val="20"/>
              </w:rPr>
            </w:pPr>
            <w:r>
              <w:rPr>
                <w:rFonts w:ascii="Bookman Old Style" w:hAnsi="Bookman Old Style"/>
                <w:bCs/>
                <w:sz w:val="20"/>
                <w:szCs w:val="20"/>
              </w:rPr>
              <w:t>En el caso de que el agente no haya dado respuesta oportuna o completa al CND se entenderá que el agente no hizo la declaración de parámetros.</w:t>
            </w:r>
          </w:p>
          <w:p w14:paraId="7B91E3C1" w14:textId="52B03098" w:rsidR="00CB151C" w:rsidRDefault="00CB151C" w:rsidP="00CB151C">
            <w:pPr>
              <w:ind w:left="0"/>
              <w:rPr>
                <w:rFonts w:ascii="Bookman Old Style" w:hAnsi="Bookman Old Style"/>
                <w:bCs/>
                <w:sz w:val="20"/>
                <w:szCs w:val="20"/>
              </w:rPr>
            </w:pPr>
          </w:p>
        </w:tc>
        <w:tc>
          <w:tcPr>
            <w:tcW w:w="1559" w:type="dxa"/>
          </w:tcPr>
          <w:p w14:paraId="26DB615F" w14:textId="5345507B" w:rsidR="007601FD" w:rsidRDefault="0047700C"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49332F89" w14:textId="31C87164" w:rsidR="007601FD" w:rsidRDefault="0047700C" w:rsidP="0022717B">
            <w:pPr>
              <w:ind w:left="0"/>
              <w:rPr>
                <w:rFonts w:ascii="Bookman Old Style" w:hAnsi="Bookman Old Style"/>
                <w:bCs/>
                <w:sz w:val="20"/>
                <w:szCs w:val="20"/>
              </w:rPr>
            </w:pPr>
            <w:r>
              <w:rPr>
                <w:rFonts w:ascii="Bookman Old Style" w:hAnsi="Bookman Old Style"/>
                <w:bCs/>
                <w:sz w:val="20"/>
                <w:szCs w:val="20"/>
              </w:rPr>
              <w:t>Dentro de los 2 días hábiles siguientes al item 3</w:t>
            </w:r>
          </w:p>
        </w:tc>
      </w:tr>
      <w:tr w:rsidR="0047700C" w14:paraId="76F1BB05" w14:textId="77777777" w:rsidTr="00ED48C7">
        <w:tc>
          <w:tcPr>
            <w:tcW w:w="704" w:type="dxa"/>
          </w:tcPr>
          <w:p w14:paraId="3BECA115" w14:textId="32A0A6ED" w:rsidR="0047700C" w:rsidRDefault="0047700C" w:rsidP="0022717B">
            <w:pPr>
              <w:ind w:left="0"/>
              <w:jc w:val="center"/>
              <w:rPr>
                <w:rFonts w:ascii="Bookman Old Style" w:hAnsi="Bookman Old Style"/>
                <w:bCs/>
                <w:sz w:val="20"/>
                <w:szCs w:val="20"/>
              </w:rPr>
            </w:pPr>
            <w:r>
              <w:rPr>
                <w:rFonts w:ascii="Bookman Old Style" w:hAnsi="Bookman Old Style"/>
                <w:bCs/>
                <w:sz w:val="20"/>
                <w:szCs w:val="20"/>
              </w:rPr>
              <w:t>5</w:t>
            </w:r>
          </w:p>
        </w:tc>
        <w:tc>
          <w:tcPr>
            <w:tcW w:w="2410" w:type="dxa"/>
          </w:tcPr>
          <w:p w14:paraId="3C04C0C4" w14:textId="77777777" w:rsidR="0047700C" w:rsidRDefault="0047700C" w:rsidP="0022717B">
            <w:pPr>
              <w:ind w:left="0"/>
              <w:rPr>
                <w:rFonts w:ascii="Bookman Old Style" w:hAnsi="Bookman Old Style"/>
                <w:bCs/>
                <w:sz w:val="20"/>
                <w:szCs w:val="20"/>
              </w:rPr>
            </w:pPr>
            <w:r>
              <w:rPr>
                <w:rFonts w:ascii="Bookman Old Style" w:hAnsi="Bookman Old Style"/>
                <w:bCs/>
                <w:sz w:val="20"/>
                <w:szCs w:val="20"/>
              </w:rPr>
              <w:t>Declaración de ENFICC y EDA de las plantas que no hicieron declaración en el marco de la Res. CREG 127 de 2020</w:t>
            </w:r>
          </w:p>
          <w:p w14:paraId="7FEC8169" w14:textId="5CA188AA" w:rsidR="00CB151C" w:rsidRDefault="00CB151C" w:rsidP="0022717B">
            <w:pPr>
              <w:ind w:left="0"/>
              <w:rPr>
                <w:rFonts w:ascii="Bookman Old Style" w:hAnsi="Bookman Old Style"/>
                <w:bCs/>
                <w:sz w:val="20"/>
                <w:szCs w:val="20"/>
              </w:rPr>
            </w:pPr>
          </w:p>
        </w:tc>
        <w:tc>
          <w:tcPr>
            <w:tcW w:w="2977" w:type="dxa"/>
          </w:tcPr>
          <w:p w14:paraId="2F2D90BB" w14:textId="05BA9E67" w:rsidR="0047700C" w:rsidRDefault="0047700C" w:rsidP="0022717B">
            <w:pPr>
              <w:ind w:left="0"/>
              <w:rPr>
                <w:rFonts w:ascii="Bookman Old Style" w:hAnsi="Bookman Old Style"/>
                <w:bCs/>
                <w:sz w:val="20"/>
                <w:szCs w:val="20"/>
              </w:rPr>
            </w:pPr>
            <w:r>
              <w:rPr>
                <w:rFonts w:ascii="Bookman Old Style" w:hAnsi="Bookman Old Style"/>
                <w:bCs/>
                <w:sz w:val="20"/>
                <w:szCs w:val="20"/>
              </w:rPr>
              <w:t>Declaración al CND de la ENFICC y EDA</w:t>
            </w:r>
            <w:r w:rsidR="00016600">
              <w:rPr>
                <w:rFonts w:ascii="Bookman Old Style" w:hAnsi="Bookman Old Style"/>
                <w:bCs/>
                <w:sz w:val="20"/>
                <w:szCs w:val="20"/>
              </w:rPr>
              <w:t xml:space="preserve"> de las plantas que no hicieron declaración en el marco de la Res. CREG 127 de 2020</w:t>
            </w:r>
          </w:p>
        </w:tc>
        <w:tc>
          <w:tcPr>
            <w:tcW w:w="1559" w:type="dxa"/>
          </w:tcPr>
          <w:p w14:paraId="02162BE1" w14:textId="126289FB" w:rsidR="0047700C" w:rsidRDefault="0047700C"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279E1754" w14:textId="7950A720" w:rsidR="0047700C" w:rsidRDefault="00776F78" w:rsidP="0022717B">
            <w:pPr>
              <w:ind w:left="0"/>
              <w:rPr>
                <w:rFonts w:ascii="Bookman Old Style" w:hAnsi="Bookman Old Style"/>
                <w:bCs/>
                <w:sz w:val="20"/>
                <w:szCs w:val="20"/>
              </w:rPr>
            </w:pPr>
            <w:r>
              <w:rPr>
                <w:rFonts w:ascii="Bookman Old Style" w:hAnsi="Bookman Old Style"/>
                <w:bCs/>
                <w:sz w:val="20"/>
                <w:szCs w:val="20"/>
              </w:rPr>
              <w:t>Dentro de los 2 días hábiles siguientes al item 3</w:t>
            </w:r>
          </w:p>
        </w:tc>
      </w:tr>
      <w:tr w:rsidR="00C70FF1" w14:paraId="651E18DC" w14:textId="77777777" w:rsidTr="00ED48C7">
        <w:tc>
          <w:tcPr>
            <w:tcW w:w="704" w:type="dxa"/>
          </w:tcPr>
          <w:p w14:paraId="6479906D" w14:textId="325B2819" w:rsidR="00C70FF1" w:rsidRDefault="00C70FF1" w:rsidP="00C70FF1">
            <w:pPr>
              <w:ind w:left="0"/>
              <w:jc w:val="center"/>
              <w:rPr>
                <w:rFonts w:ascii="Bookman Old Style" w:hAnsi="Bookman Old Style"/>
                <w:bCs/>
                <w:sz w:val="20"/>
                <w:szCs w:val="20"/>
              </w:rPr>
            </w:pPr>
            <w:r w:rsidRPr="007E332A">
              <w:rPr>
                <w:rFonts w:ascii="Bookman Old Style" w:hAnsi="Bookman Old Style"/>
                <w:bCs/>
                <w:sz w:val="20"/>
                <w:szCs w:val="20"/>
              </w:rPr>
              <w:t>6</w:t>
            </w:r>
          </w:p>
        </w:tc>
        <w:tc>
          <w:tcPr>
            <w:tcW w:w="2410" w:type="dxa"/>
          </w:tcPr>
          <w:p w14:paraId="26A69278" w14:textId="52235D42" w:rsidR="00C70FF1" w:rsidRDefault="00C70FF1" w:rsidP="00C70FF1">
            <w:pPr>
              <w:ind w:left="0"/>
              <w:rPr>
                <w:rFonts w:ascii="Bookman Old Style" w:hAnsi="Bookman Old Style"/>
                <w:bCs/>
                <w:sz w:val="20"/>
                <w:szCs w:val="20"/>
              </w:rPr>
            </w:pPr>
            <w:r>
              <w:rPr>
                <w:rFonts w:ascii="Bookman Old Style" w:hAnsi="Bookman Old Style"/>
                <w:bCs/>
                <w:sz w:val="20"/>
                <w:szCs w:val="20"/>
              </w:rPr>
              <w:t>Ajuste de</w:t>
            </w:r>
            <w:r w:rsidR="008338AD">
              <w:rPr>
                <w:rFonts w:ascii="Bookman Old Style" w:hAnsi="Bookman Old Style"/>
                <w:bCs/>
                <w:sz w:val="20"/>
                <w:szCs w:val="20"/>
              </w:rPr>
              <w:t xml:space="preserve"> </w:t>
            </w:r>
            <w:r>
              <w:rPr>
                <w:rFonts w:ascii="Bookman Old Style" w:hAnsi="Bookman Old Style"/>
                <w:bCs/>
                <w:sz w:val="20"/>
                <w:szCs w:val="20"/>
              </w:rPr>
              <w:t>l</w:t>
            </w:r>
            <w:r w:rsidR="008338AD">
              <w:rPr>
                <w:rFonts w:ascii="Bookman Old Style" w:hAnsi="Bookman Old Style"/>
                <w:bCs/>
                <w:sz w:val="20"/>
                <w:szCs w:val="20"/>
              </w:rPr>
              <w:t>os</w:t>
            </w:r>
            <w:r>
              <w:rPr>
                <w:rFonts w:ascii="Bookman Old Style" w:hAnsi="Bookman Old Style"/>
                <w:bCs/>
                <w:sz w:val="20"/>
                <w:szCs w:val="20"/>
              </w:rPr>
              <w:t xml:space="preserve"> parámetro</w:t>
            </w:r>
            <w:r w:rsidR="008338AD">
              <w:rPr>
                <w:rFonts w:ascii="Bookman Old Style" w:hAnsi="Bookman Old Style"/>
                <w:bCs/>
                <w:sz w:val="20"/>
                <w:szCs w:val="20"/>
              </w:rPr>
              <w:t>s</w:t>
            </w:r>
            <w:r>
              <w:rPr>
                <w:rFonts w:ascii="Bookman Old Style" w:hAnsi="Bookman Old Style"/>
                <w:bCs/>
                <w:sz w:val="20"/>
                <w:szCs w:val="20"/>
              </w:rPr>
              <w:t xml:space="preserve"> </w:t>
            </w:r>
            <w:r w:rsidR="008338AD">
              <w:rPr>
                <w:rFonts w:ascii="Bookman Old Style" w:hAnsi="Bookman Old Style"/>
                <w:bCs/>
                <w:sz w:val="20"/>
                <w:szCs w:val="20"/>
              </w:rPr>
              <w:t xml:space="preserve">de </w:t>
            </w:r>
            <w:r>
              <w:rPr>
                <w:rFonts w:ascii="Bookman Old Style" w:hAnsi="Bookman Old Style"/>
                <w:bCs/>
                <w:sz w:val="20"/>
                <w:szCs w:val="20"/>
              </w:rPr>
              <w:t xml:space="preserve">acueducto </w:t>
            </w:r>
            <w:r w:rsidR="00822EF6">
              <w:rPr>
                <w:rFonts w:ascii="Bookman Old Style" w:hAnsi="Bookman Old Style"/>
                <w:bCs/>
                <w:sz w:val="20"/>
                <w:szCs w:val="20"/>
              </w:rPr>
              <w:t xml:space="preserve">&amp; </w:t>
            </w:r>
            <w:r>
              <w:rPr>
                <w:rFonts w:ascii="Bookman Old Style" w:hAnsi="Bookman Old Style"/>
                <w:bCs/>
                <w:sz w:val="20"/>
                <w:szCs w:val="20"/>
              </w:rPr>
              <w:t>riego</w:t>
            </w:r>
            <w:r w:rsidR="00822EF6">
              <w:rPr>
                <w:rFonts w:ascii="Bookman Old Style" w:hAnsi="Bookman Old Style"/>
                <w:bCs/>
                <w:sz w:val="20"/>
                <w:szCs w:val="20"/>
              </w:rPr>
              <w:t xml:space="preserve"> y </w:t>
            </w:r>
            <w:r w:rsidR="008338AD">
              <w:rPr>
                <w:rFonts w:ascii="Bookman Old Style" w:hAnsi="Bookman Old Style"/>
                <w:bCs/>
                <w:sz w:val="20"/>
                <w:szCs w:val="20"/>
              </w:rPr>
              <w:lastRenderedPageBreak/>
              <w:t xml:space="preserve">de </w:t>
            </w:r>
            <w:r w:rsidR="00822EF6">
              <w:rPr>
                <w:rFonts w:ascii="Bookman Old Style" w:hAnsi="Bookman Old Style"/>
                <w:bCs/>
                <w:sz w:val="20"/>
                <w:szCs w:val="20"/>
              </w:rPr>
              <w:t>suministro y transporte de combustibles</w:t>
            </w:r>
            <w:r>
              <w:rPr>
                <w:rFonts w:ascii="Bookman Old Style" w:hAnsi="Bookman Old Style"/>
                <w:bCs/>
                <w:sz w:val="20"/>
                <w:szCs w:val="20"/>
              </w:rPr>
              <w:t xml:space="preserve"> para plantas que hicieron declaración en el marco de la Res. CREG 127 de 2020</w:t>
            </w:r>
          </w:p>
        </w:tc>
        <w:tc>
          <w:tcPr>
            <w:tcW w:w="2977" w:type="dxa"/>
          </w:tcPr>
          <w:p w14:paraId="0392A749" w14:textId="76D2D20C" w:rsidR="00C70FF1" w:rsidRDefault="00C70FF1" w:rsidP="00C70FF1">
            <w:pPr>
              <w:ind w:left="0"/>
              <w:rPr>
                <w:rFonts w:ascii="Bookman Old Style" w:hAnsi="Bookman Old Style"/>
                <w:bCs/>
                <w:sz w:val="20"/>
                <w:szCs w:val="20"/>
              </w:rPr>
            </w:pPr>
            <w:r>
              <w:rPr>
                <w:rFonts w:ascii="Bookman Old Style" w:hAnsi="Bookman Old Style"/>
                <w:bCs/>
                <w:sz w:val="20"/>
                <w:szCs w:val="20"/>
              </w:rPr>
              <w:lastRenderedPageBreak/>
              <w:t xml:space="preserve">Para las plantas que hicieron la declaración el 1 de diciembre de 2021 en el </w:t>
            </w:r>
            <w:r>
              <w:rPr>
                <w:rFonts w:ascii="Bookman Old Style" w:hAnsi="Bookman Old Style"/>
                <w:bCs/>
                <w:sz w:val="20"/>
                <w:szCs w:val="20"/>
              </w:rPr>
              <w:lastRenderedPageBreak/>
              <w:t xml:space="preserve">marco de la Resolución CREG 127 de 2020, el CND les permitirá ajustar </w:t>
            </w:r>
            <w:r w:rsidR="00822EF6">
              <w:rPr>
                <w:rFonts w:ascii="Bookman Old Style" w:hAnsi="Bookman Old Style"/>
                <w:bCs/>
                <w:sz w:val="20"/>
                <w:szCs w:val="20"/>
              </w:rPr>
              <w:t xml:space="preserve">los </w:t>
            </w:r>
            <w:r>
              <w:rPr>
                <w:rFonts w:ascii="Bookman Old Style" w:hAnsi="Bookman Old Style"/>
                <w:bCs/>
                <w:sz w:val="20"/>
                <w:szCs w:val="20"/>
              </w:rPr>
              <w:t>parámetro</w:t>
            </w:r>
            <w:r w:rsidR="00822EF6">
              <w:rPr>
                <w:rFonts w:ascii="Bookman Old Style" w:hAnsi="Bookman Old Style"/>
                <w:bCs/>
                <w:sz w:val="20"/>
                <w:szCs w:val="20"/>
              </w:rPr>
              <w:t>s</w:t>
            </w:r>
            <w:r>
              <w:rPr>
                <w:rFonts w:ascii="Bookman Old Style" w:hAnsi="Bookman Old Style"/>
                <w:bCs/>
                <w:sz w:val="20"/>
                <w:szCs w:val="20"/>
              </w:rPr>
              <w:t xml:space="preserve"> </w:t>
            </w:r>
            <w:r w:rsidR="008338AD">
              <w:rPr>
                <w:rFonts w:ascii="Bookman Old Style" w:hAnsi="Bookman Old Style"/>
                <w:bCs/>
                <w:sz w:val="20"/>
                <w:szCs w:val="20"/>
              </w:rPr>
              <w:t xml:space="preserve">de </w:t>
            </w:r>
            <w:r>
              <w:rPr>
                <w:rFonts w:ascii="Bookman Old Style" w:hAnsi="Bookman Old Style"/>
                <w:bCs/>
                <w:sz w:val="20"/>
                <w:szCs w:val="20"/>
              </w:rPr>
              <w:t xml:space="preserve">acueducto </w:t>
            </w:r>
            <w:r w:rsidR="00822EF6">
              <w:rPr>
                <w:rFonts w:ascii="Bookman Old Style" w:hAnsi="Bookman Old Style"/>
                <w:bCs/>
                <w:sz w:val="20"/>
                <w:szCs w:val="20"/>
              </w:rPr>
              <w:t>&amp;</w:t>
            </w:r>
            <w:r>
              <w:rPr>
                <w:rFonts w:ascii="Bookman Old Style" w:hAnsi="Bookman Old Style"/>
                <w:bCs/>
                <w:sz w:val="20"/>
                <w:szCs w:val="20"/>
              </w:rPr>
              <w:t xml:space="preserve"> riego</w:t>
            </w:r>
            <w:r w:rsidR="00AF69CB">
              <w:rPr>
                <w:rFonts w:ascii="Bookman Old Style" w:hAnsi="Bookman Old Style"/>
                <w:bCs/>
                <w:sz w:val="20"/>
                <w:szCs w:val="20"/>
              </w:rPr>
              <w:t>,</w:t>
            </w:r>
            <w:r>
              <w:rPr>
                <w:rFonts w:ascii="Bookman Old Style" w:hAnsi="Bookman Old Style"/>
                <w:bCs/>
                <w:sz w:val="20"/>
                <w:szCs w:val="20"/>
              </w:rPr>
              <w:t xml:space="preserve"> </w:t>
            </w:r>
            <w:r w:rsidR="00822EF6">
              <w:rPr>
                <w:rFonts w:ascii="Bookman Old Style" w:hAnsi="Bookman Old Style"/>
                <w:bCs/>
                <w:sz w:val="20"/>
                <w:szCs w:val="20"/>
              </w:rPr>
              <w:t xml:space="preserve">y </w:t>
            </w:r>
            <w:r w:rsidR="008338AD">
              <w:rPr>
                <w:rFonts w:ascii="Bookman Old Style" w:hAnsi="Bookman Old Style"/>
                <w:bCs/>
                <w:sz w:val="20"/>
                <w:szCs w:val="20"/>
              </w:rPr>
              <w:t xml:space="preserve">de </w:t>
            </w:r>
            <w:r w:rsidR="00822EF6">
              <w:rPr>
                <w:rFonts w:ascii="Bookman Old Style" w:hAnsi="Bookman Old Style"/>
                <w:bCs/>
                <w:sz w:val="20"/>
                <w:szCs w:val="20"/>
              </w:rPr>
              <w:t xml:space="preserve">suministro y transporte de combustible </w:t>
            </w:r>
            <w:r>
              <w:rPr>
                <w:rFonts w:ascii="Bookman Old Style" w:hAnsi="Bookman Old Style"/>
                <w:bCs/>
                <w:sz w:val="20"/>
                <w:szCs w:val="20"/>
              </w:rPr>
              <w:t>reportado</w:t>
            </w:r>
            <w:r w:rsidR="008338AD">
              <w:rPr>
                <w:rFonts w:ascii="Bookman Old Style" w:hAnsi="Bookman Old Style"/>
                <w:bCs/>
                <w:sz w:val="20"/>
                <w:szCs w:val="20"/>
              </w:rPr>
              <w:t>s,</w:t>
            </w:r>
            <w:r>
              <w:rPr>
                <w:rFonts w:ascii="Bookman Old Style" w:hAnsi="Bookman Old Style"/>
                <w:bCs/>
                <w:sz w:val="20"/>
                <w:szCs w:val="20"/>
              </w:rPr>
              <w:t xml:space="preserve"> para que refleje los períodos a asignar en la presente resolución.</w:t>
            </w:r>
          </w:p>
          <w:p w14:paraId="5F4DDC82" w14:textId="52E057BC" w:rsidR="00CB151C" w:rsidRDefault="00CB151C" w:rsidP="00C70FF1">
            <w:pPr>
              <w:ind w:left="0"/>
              <w:rPr>
                <w:rFonts w:ascii="Bookman Old Style" w:hAnsi="Bookman Old Style"/>
                <w:bCs/>
                <w:sz w:val="20"/>
                <w:szCs w:val="20"/>
              </w:rPr>
            </w:pPr>
          </w:p>
        </w:tc>
        <w:tc>
          <w:tcPr>
            <w:tcW w:w="1559" w:type="dxa"/>
          </w:tcPr>
          <w:p w14:paraId="49115C0A" w14:textId="0DAACAEB" w:rsidR="00C70FF1" w:rsidRDefault="00C70FF1" w:rsidP="00ED48C7">
            <w:pPr>
              <w:ind w:left="175"/>
              <w:rPr>
                <w:rFonts w:ascii="Bookman Old Style" w:hAnsi="Bookman Old Style"/>
                <w:bCs/>
                <w:sz w:val="20"/>
                <w:szCs w:val="20"/>
              </w:rPr>
            </w:pPr>
            <w:r>
              <w:rPr>
                <w:rFonts w:ascii="Bookman Old Style" w:hAnsi="Bookman Old Style"/>
                <w:bCs/>
                <w:sz w:val="20"/>
                <w:szCs w:val="20"/>
              </w:rPr>
              <w:lastRenderedPageBreak/>
              <w:t>Agentes</w:t>
            </w:r>
          </w:p>
        </w:tc>
        <w:tc>
          <w:tcPr>
            <w:tcW w:w="1843" w:type="dxa"/>
          </w:tcPr>
          <w:p w14:paraId="3A04CC4A" w14:textId="0CA06806" w:rsidR="00C70FF1" w:rsidRDefault="00C70FF1" w:rsidP="00C70FF1">
            <w:pPr>
              <w:ind w:left="0"/>
              <w:rPr>
                <w:rFonts w:ascii="Bookman Old Style" w:hAnsi="Bookman Old Style"/>
                <w:bCs/>
                <w:sz w:val="20"/>
                <w:szCs w:val="20"/>
              </w:rPr>
            </w:pPr>
            <w:r>
              <w:rPr>
                <w:rFonts w:ascii="Bookman Old Style" w:hAnsi="Bookman Old Style"/>
                <w:bCs/>
                <w:sz w:val="20"/>
                <w:szCs w:val="20"/>
              </w:rPr>
              <w:t xml:space="preserve">Dentro de los 2 días hábiles </w:t>
            </w:r>
            <w:r>
              <w:rPr>
                <w:rFonts w:ascii="Bookman Old Style" w:hAnsi="Bookman Old Style"/>
                <w:bCs/>
                <w:sz w:val="20"/>
                <w:szCs w:val="20"/>
              </w:rPr>
              <w:lastRenderedPageBreak/>
              <w:t>siguientes al item 3</w:t>
            </w:r>
          </w:p>
        </w:tc>
      </w:tr>
      <w:tr w:rsidR="00E45B2C" w14:paraId="7EC94CA7" w14:textId="77777777" w:rsidTr="00ED48C7">
        <w:tc>
          <w:tcPr>
            <w:tcW w:w="704" w:type="dxa"/>
          </w:tcPr>
          <w:p w14:paraId="509BBA26" w14:textId="0B8EAD10" w:rsidR="00E45B2C" w:rsidRDefault="00E45B2C" w:rsidP="00C70FF1">
            <w:pPr>
              <w:ind w:left="0"/>
              <w:jc w:val="center"/>
              <w:rPr>
                <w:rFonts w:ascii="Bookman Old Style" w:hAnsi="Bookman Old Style"/>
                <w:bCs/>
                <w:sz w:val="20"/>
                <w:szCs w:val="20"/>
              </w:rPr>
            </w:pPr>
            <w:r>
              <w:rPr>
                <w:rFonts w:ascii="Bookman Old Style" w:hAnsi="Bookman Old Style"/>
                <w:bCs/>
                <w:sz w:val="20"/>
                <w:szCs w:val="20"/>
              </w:rPr>
              <w:lastRenderedPageBreak/>
              <w:t>7</w:t>
            </w:r>
          </w:p>
        </w:tc>
        <w:tc>
          <w:tcPr>
            <w:tcW w:w="2410" w:type="dxa"/>
          </w:tcPr>
          <w:p w14:paraId="014129A3" w14:textId="3C293676" w:rsidR="00E45B2C" w:rsidRDefault="00E45B2C" w:rsidP="00C70FF1">
            <w:pPr>
              <w:ind w:left="0"/>
              <w:rPr>
                <w:rFonts w:ascii="Bookman Old Style" w:hAnsi="Bookman Old Style"/>
                <w:bCs/>
                <w:sz w:val="20"/>
                <w:szCs w:val="20"/>
              </w:rPr>
            </w:pPr>
            <w:r>
              <w:rPr>
                <w:rFonts w:ascii="Bookman Old Style" w:hAnsi="Bookman Old Style"/>
                <w:bCs/>
                <w:sz w:val="20"/>
                <w:szCs w:val="20"/>
              </w:rPr>
              <w:t>Declaración de cronograma de mejora de IHF</w:t>
            </w:r>
            <w:r w:rsidR="00044385">
              <w:rPr>
                <w:rFonts w:ascii="Bookman Old Style" w:hAnsi="Bookman Old Style"/>
                <w:bCs/>
                <w:sz w:val="20"/>
                <w:szCs w:val="20"/>
              </w:rPr>
              <w:t xml:space="preserve"> y el diferencial de</w:t>
            </w:r>
            <w:r w:rsidR="00D15814">
              <w:rPr>
                <w:rFonts w:ascii="Bookman Old Style" w:hAnsi="Bookman Old Style"/>
                <w:bCs/>
                <w:sz w:val="20"/>
                <w:szCs w:val="20"/>
              </w:rPr>
              <w:t xml:space="preserve"> </w:t>
            </w:r>
            <w:r w:rsidR="000F6BCF">
              <w:rPr>
                <w:rFonts w:ascii="Bookman Old Style" w:hAnsi="Bookman Old Style"/>
                <w:bCs/>
                <w:sz w:val="20"/>
                <w:szCs w:val="20"/>
              </w:rPr>
              <w:t xml:space="preserve">ENFICC </w:t>
            </w:r>
            <w:r w:rsidR="00D15814">
              <w:rPr>
                <w:rFonts w:ascii="Bookman Old Style" w:hAnsi="Bookman Old Style"/>
                <w:bCs/>
                <w:sz w:val="20"/>
                <w:szCs w:val="20"/>
              </w:rPr>
              <w:t>asociados a la mejora de IHF</w:t>
            </w:r>
          </w:p>
        </w:tc>
        <w:tc>
          <w:tcPr>
            <w:tcW w:w="2977" w:type="dxa"/>
          </w:tcPr>
          <w:p w14:paraId="1072C261" w14:textId="16818B4B" w:rsidR="00E45B2C" w:rsidRDefault="00044385" w:rsidP="00C70FF1">
            <w:pPr>
              <w:ind w:left="0"/>
              <w:rPr>
                <w:rFonts w:ascii="Bookman Old Style" w:hAnsi="Bookman Old Style"/>
                <w:bCs/>
                <w:sz w:val="20"/>
                <w:szCs w:val="20"/>
              </w:rPr>
            </w:pPr>
            <w:r>
              <w:rPr>
                <w:rFonts w:ascii="Bookman Old Style" w:hAnsi="Bookman Old Style"/>
                <w:bCs/>
                <w:sz w:val="20"/>
                <w:szCs w:val="20"/>
              </w:rPr>
              <w:t>Para las plantas existentes que declararon en el marco de la Res. 127 de 2020 y según la presente resolución, que quieran hacer uso de la alternativa prevista en el numeral 3.4.2 del anexo 3 de la Res. 071 de 2006</w:t>
            </w:r>
            <w:r w:rsidR="00AF69CB">
              <w:rPr>
                <w:rFonts w:ascii="Bookman Old Style" w:hAnsi="Bookman Old Style"/>
                <w:bCs/>
                <w:sz w:val="20"/>
                <w:szCs w:val="20"/>
              </w:rPr>
              <w:t>,</w:t>
            </w:r>
            <w:r>
              <w:rPr>
                <w:rFonts w:ascii="Bookman Old Style" w:hAnsi="Bookman Old Style"/>
                <w:bCs/>
                <w:sz w:val="20"/>
                <w:szCs w:val="20"/>
              </w:rPr>
              <w:t xml:space="preserve"> y el cumplimiento del artículo 27 del Reglamento de Garantías, podrán entregar al CND el cronograma de mejora</w:t>
            </w:r>
            <w:r w:rsidR="000F6BCF">
              <w:rPr>
                <w:rFonts w:ascii="Bookman Old Style" w:hAnsi="Bookman Old Style"/>
                <w:bCs/>
                <w:sz w:val="20"/>
                <w:szCs w:val="20"/>
              </w:rPr>
              <w:t xml:space="preserve"> de IHF.</w:t>
            </w:r>
          </w:p>
          <w:p w14:paraId="3BE6FFEC" w14:textId="23A873E4" w:rsidR="00CB151C" w:rsidRDefault="00CB151C" w:rsidP="00C70FF1">
            <w:pPr>
              <w:ind w:left="0"/>
              <w:rPr>
                <w:rFonts w:ascii="Bookman Old Style" w:hAnsi="Bookman Old Style"/>
                <w:bCs/>
                <w:sz w:val="20"/>
                <w:szCs w:val="20"/>
              </w:rPr>
            </w:pPr>
          </w:p>
        </w:tc>
        <w:tc>
          <w:tcPr>
            <w:tcW w:w="1559" w:type="dxa"/>
          </w:tcPr>
          <w:p w14:paraId="27F4D2EF" w14:textId="792498A6" w:rsidR="00E45B2C" w:rsidRDefault="00044385"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764CE3BA" w14:textId="76E494AC" w:rsidR="00E45B2C" w:rsidRDefault="00D15814" w:rsidP="00C70FF1">
            <w:pPr>
              <w:ind w:left="0"/>
              <w:rPr>
                <w:rFonts w:ascii="Bookman Old Style" w:hAnsi="Bookman Old Style"/>
                <w:bCs/>
                <w:sz w:val="20"/>
                <w:szCs w:val="20"/>
              </w:rPr>
            </w:pPr>
            <w:r>
              <w:rPr>
                <w:rFonts w:ascii="Bookman Old Style" w:hAnsi="Bookman Old Style"/>
                <w:bCs/>
                <w:sz w:val="20"/>
                <w:szCs w:val="20"/>
              </w:rPr>
              <w:t>Dentro de los 2 días hábiles siguientes al item 3</w:t>
            </w:r>
          </w:p>
        </w:tc>
      </w:tr>
      <w:tr w:rsidR="000E0362" w14:paraId="5071A1DB" w14:textId="77777777" w:rsidTr="00ED48C7">
        <w:tc>
          <w:tcPr>
            <w:tcW w:w="704" w:type="dxa"/>
          </w:tcPr>
          <w:p w14:paraId="61572F55" w14:textId="2E361892" w:rsidR="000E0362" w:rsidRDefault="000E0362" w:rsidP="000E0362">
            <w:pPr>
              <w:ind w:left="0"/>
              <w:jc w:val="center"/>
              <w:rPr>
                <w:rFonts w:ascii="Bookman Old Style" w:hAnsi="Bookman Old Style"/>
                <w:bCs/>
                <w:sz w:val="20"/>
                <w:szCs w:val="20"/>
              </w:rPr>
            </w:pPr>
            <w:r w:rsidRPr="007E332A">
              <w:rPr>
                <w:rFonts w:ascii="Bookman Old Style" w:hAnsi="Bookman Old Style"/>
                <w:bCs/>
                <w:sz w:val="20"/>
                <w:szCs w:val="20"/>
              </w:rPr>
              <w:t>8</w:t>
            </w:r>
          </w:p>
        </w:tc>
        <w:tc>
          <w:tcPr>
            <w:tcW w:w="2410" w:type="dxa"/>
          </w:tcPr>
          <w:p w14:paraId="6A7CC8E8" w14:textId="31BD8060" w:rsidR="000E0362" w:rsidRDefault="000E0362" w:rsidP="000E0362">
            <w:pPr>
              <w:ind w:left="0"/>
              <w:rPr>
                <w:rFonts w:ascii="Bookman Old Style" w:hAnsi="Bookman Old Style"/>
                <w:bCs/>
                <w:sz w:val="20"/>
                <w:szCs w:val="20"/>
              </w:rPr>
            </w:pPr>
            <w:r>
              <w:rPr>
                <w:rFonts w:ascii="Bookman Old Style" w:hAnsi="Bookman Old Style"/>
                <w:bCs/>
                <w:sz w:val="20"/>
                <w:szCs w:val="20"/>
              </w:rPr>
              <w:t>Declaración de ENFICC y EDA de plantas con ajuste</w:t>
            </w:r>
            <w:r w:rsidR="00EA53C6">
              <w:rPr>
                <w:rFonts w:ascii="Bookman Old Style" w:hAnsi="Bookman Old Style"/>
                <w:bCs/>
                <w:sz w:val="20"/>
                <w:szCs w:val="20"/>
              </w:rPr>
              <w:t>s</w:t>
            </w:r>
            <w:r>
              <w:rPr>
                <w:rFonts w:ascii="Bookman Old Style" w:hAnsi="Bookman Old Style"/>
                <w:bCs/>
                <w:sz w:val="20"/>
                <w:szCs w:val="20"/>
              </w:rPr>
              <w:t xml:space="preserve"> de </w:t>
            </w:r>
            <w:r w:rsidR="00EA53C6">
              <w:rPr>
                <w:rFonts w:ascii="Bookman Old Style" w:hAnsi="Bookman Old Style"/>
                <w:bCs/>
                <w:sz w:val="20"/>
                <w:szCs w:val="20"/>
              </w:rPr>
              <w:t xml:space="preserve">parámetros de </w:t>
            </w:r>
            <w:r>
              <w:rPr>
                <w:rFonts w:ascii="Bookman Old Style" w:hAnsi="Bookman Old Style"/>
                <w:bCs/>
                <w:sz w:val="20"/>
                <w:szCs w:val="20"/>
              </w:rPr>
              <w:t xml:space="preserve">acueducto </w:t>
            </w:r>
            <w:r w:rsidR="00822EF6">
              <w:rPr>
                <w:rFonts w:ascii="Bookman Old Style" w:hAnsi="Bookman Old Style"/>
                <w:bCs/>
                <w:sz w:val="20"/>
                <w:szCs w:val="20"/>
              </w:rPr>
              <w:t>&amp;</w:t>
            </w:r>
            <w:r>
              <w:rPr>
                <w:rFonts w:ascii="Bookman Old Style" w:hAnsi="Bookman Old Style"/>
                <w:bCs/>
                <w:sz w:val="20"/>
                <w:szCs w:val="20"/>
              </w:rPr>
              <w:t xml:space="preserve"> riego</w:t>
            </w:r>
            <w:r w:rsidR="00822EF6">
              <w:rPr>
                <w:rFonts w:ascii="Bookman Old Style" w:hAnsi="Bookman Old Style"/>
                <w:bCs/>
                <w:sz w:val="20"/>
                <w:szCs w:val="20"/>
              </w:rPr>
              <w:t xml:space="preserve"> y </w:t>
            </w:r>
            <w:r w:rsidR="008338AD">
              <w:rPr>
                <w:rFonts w:ascii="Bookman Old Style" w:hAnsi="Bookman Old Style"/>
                <w:bCs/>
                <w:sz w:val="20"/>
                <w:szCs w:val="20"/>
              </w:rPr>
              <w:t xml:space="preserve">de </w:t>
            </w:r>
            <w:r w:rsidR="00822EF6">
              <w:rPr>
                <w:rFonts w:ascii="Bookman Old Style" w:hAnsi="Bookman Old Style"/>
                <w:bCs/>
                <w:sz w:val="20"/>
                <w:szCs w:val="20"/>
              </w:rPr>
              <w:t>suministro y transporte de combustible</w:t>
            </w:r>
            <w:r w:rsidR="00724D69">
              <w:rPr>
                <w:rFonts w:ascii="Bookman Old Style" w:hAnsi="Bookman Old Style"/>
                <w:bCs/>
                <w:sz w:val="20"/>
                <w:szCs w:val="20"/>
              </w:rPr>
              <w:t>,</w:t>
            </w:r>
            <w:r w:rsidR="00822EF6">
              <w:rPr>
                <w:rFonts w:ascii="Bookman Old Style" w:hAnsi="Bookman Old Style"/>
                <w:bCs/>
                <w:sz w:val="20"/>
                <w:szCs w:val="20"/>
              </w:rPr>
              <w:t xml:space="preserve"> </w:t>
            </w:r>
            <w:r>
              <w:rPr>
                <w:rFonts w:ascii="Bookman Old Style" w:hAnsi="Bookman Old Style"/>
                <w:bCs/>
                <w:sz w:val="20"/>
                <w:szCs w:val="20"/>
              </w:rPr>
              <w:t>que hicieron declaración en el marco de la Res. CREG 127 de 2020</w:t>
            </w:r>
          </w:p>
          <w:p w14:paraId="68BFBD32" w14:textId="5A28CE3C" w:rsidR="00CB151C" w:rsidRDefault="00CB151C" w:rsidP="000E0362">
            <w:pPr>
              <w:ind w:left="0"/>
              <w:rPr>
                <w:rFonts w:ascii="Bookman Old Style" w:hAnsi="Bookman Old Style"/>
                <w:bCs/>
                <w:sz w:val="20"/>
                <w:szCs w:val="20"/>
              </w:rPr>
            </w:pPr>
          </w:p>
        </w:tc>
        <w:tc>
          <w:tcPr>
            <w:tcW w:w="2977" w:type="dxa"/>
          </w:tcPr>
          <w:p w14:paraId="1ECA27E5" w14:textId="79ED3DA4" w:rsidR="000E0362" w:rsidRDefault="000E0362" w:rsidP="000E0362">
            <w:pPr>
              <w:ind w:left="0"/>
              <w:rPr>
                <w:rFonts w:ascii="Bookman Old Style" w:hAnsi="Bookman Old Style"/>
                <w:bCs/>
                <w:sz w:val="20"/>
                <w:szCs w:val="20"/>
              </w:rPr>
            </w:pPr>
            <w:r>
              <w:rPr>
                <w:rFonts w:ascii="Bookman Old Style" w:hAnsi="Bookman Old Style"/>
                <w:bCs/>
                <w:sz w:val="20"/>
                <w:szCs w:val="20"/>
              </w:rPr>
              <w:t>Declaración al CND de la ENFICC y EDA</w:t>
            </w:r>
            <w:r w:rsidR="00016600">
              <w:rPr>
                <w:rFonts w:ascii="Bookman Old Style" w:hAnsi="Bookman Old Style"/>
                <w:bCs/>
                <w:sz w:val="20"/>
                <w:szCs w:val="20"/>
              </w:rPr>
              <w:t xml:space="preserve"> de las plantas con ajuste</w:t>
            </w:r>
            <w:r w:rsidR="00EA53C6">
              <w:rPr>
                <w:rFonts w:ascii="Bookman Old Style" w:hAnsi="Bookman Old Style"/>
                <w:bCs/>
                <w:sz w:val="20"/>
                <w:szCs w:val="20"/>
              </w:rPr>
              <w:t>s</w:t>
            </w:r>
            <w:r w:rsidR="00016600">
              <w:rPr>
                <w:rFonts w:ascii="Bookman Old Style" w:hAnsi="Bookman Old Style"/>
                <w:bCs/>
                <w:sz w:val="20"/>
                <w:szCs w:val="20"/>
              </w:rPr>
              <w:t xml:space="preserve"> de </w:t>
            </w:r>
            <w:r w:rsidR="00EA53C6">
              <w:rPr>
                <w:rFonts w:ascii="Bookman Old Style" w:hAnsi="Bookman Old Style"/>
                <w:bCs/>
                <w:sz w:val="20"/>
                <w:szCs w:val="20"/>
              </w:rPr>
              <w:t xml:space="preserve">parámetros de </w:t>
            </w:r>
            <w:r w:rsidR="00016600">
              <w:rPr>
                <w:rFonts w:ascii="Bookman Old Style" w:hAnsi="Bookman Old Style"/>
                <w:bCs/>
                <w:sz w:val="20"/>
                <w:szCs w:val="20"/>
              </w:rPr>
              <w:t>acueducto &amp; riego y</w:t>
            </w:r>
            <w:r w:rsidR="00EA53C6">
              <w:rPr>
                <w:rFonts w:ascii="Bookman Old Style" w:hAnsi="Bookman Old Style"/>
                <w:bCs/>
                <w:sz w:val="20"/>
                <w:szCs w:val="20"/>
              </w:rPr>
              <w:t xml:space="preserve"> de</w:t>
            </w:r>
            <w:r w:rsidR="00016600">
              <w:rPr>
                <w:rFonts w:ascii="Bookman Old Style" w:hAnsi="Bookman Old Style"/>
                <w:bCs/>
                <w:sz w:val="20"/>
                <w:szCs w:val="20"/>
              </w:rPr>
              <w:t xml:space="preserve"> suministro y transporte de combustible, que hicieron declaración en el marco de la Res. CREG 127 de 2020</w:t>
            </w:r>
          </w:p>
        </w:tc>
        <w:tc>
          <w:tcPr>
            <w:tcW w:w="1559" w:type="dxa"/>
          </w:tcPr>
          <w:p w14:paraId="4C6931EA" w14:textId="1A4E60FB" w:rsidR="000E0362" w:rsidRDefault="000E0362"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7AACC0E9" w14:textId="33D74C3E" w:rsidR="000E0362" w:rsidRDefault="000E0362" w:rsidP="000E0362">
            <w:pPr>
              <w:ind w:left="0"/>
              <w:rPr>
                <w:rFonts w:ascii="Bookman Old Style" w:hAnsi="Bookman Old Style"/>
                <w:bCs/>
                <w:sz w:val="20"/>
                <w:szCs w:val="20"/>
              </w:rPr>
            </w:pPr>
            <w:r>
              <w:rPr>
                <w:rFonts w:ascii="Bookman Old Style" w:hAnsi="Bookman Old Style"/>
                <w:bCs/>
                <w:sz w:val="20"/>
                <w:szCs w:val="20"/>
              </w:rPr>
              <w:t>Dentro de los 2 días hábiles siguientes al item 3</w:t>
            </w:r>
          </w:p>
        </w:tc>
      </w:tr>
      <w:tr w:rsidR="00066084" w14:paraId="39689EB7" w14:textId="77777777" w:rsidTr="00ED48C7">
        <w:tc>
          <w:tcPr>
            <w:tcW w:w="704" w:type="dxa"/>
          </w:tcPr>
          <w:p w14:paraId="6897C4F7" w14:textId="7D9DA4E6" w:rsidR="00066084" w:rsidRDefault="00066084" w:rsidP="000E0362">
            <w:pPr>
              <w:ind w:left="0"/>
              <w:jc w:val="center"/>
              <w:rPr>
                <w:rFonts w:ascii="Bookman Old Style" w:hAnsi="Bookman Old Style"/>
                <w:bCs/>
                <w:sz w:val="20"/>
                <w:szCs w:val="20"/>
              </w:rPr>
            </w:pPr>
            <w:r>
              <w:rPr>
                <w:rFonts w:ascii="Bookman Old Style" w:hAnsi="Bookman Old Style"/>
                <w:bCs/>
                <w:sz w:val="20"/>
                <w:szCs w:val="20"/>
              </w:rPr>
              <w:t>9</w:t>
            </w:r>
          </w:p>
        </w:tc>
        <w:tc>
          <w:tcPr>
            <w:tcW w:w="2410" w:type="dxa"/>
          </w:tcPr>
          <w:p w14:paraId="216C2368" w14:textId="2D5755EC" w:rsidR="00066084" w:rsidRDefault="00066084" w:rsidP="000E0362">
            <w:pPr>
              <w:ind w:left="0"/>
              <w:rPr>
                <w:rFonts w:ascii="Bookman Old Style" w:hAnsi="Bookman Old Style"/>
                <w:bCs/>
                <w:sz w:val="20"/>
                <w:szCs w:val="20"/>
              </w:rPr>
            </w:pPr>
            <w:r>
              <w:rPr>
                <w:rFonts w:ascii="Bookman Old Style" w:hAnsi="Bookman Old Style"/>
                <w:bCs/>
                <w:sz w:val="20"/>
                <w:szCs w:val="20"/>
              </w:rPr>
              <w:t xml:space="preserve">Declaración de ENFICC </w:t>
            </w:r>
            <w:r w:rsidR="00016600">
              <w:rPr>
                <w:rFonts w:ascii="Bookman Old Style" w:hAnsi="Bookman Old Style"/>
                <w:bCs/>
                <w:sz w:val="20"/>
                <w:szCs w:val="20"/>
              </w:rPr>
              <w:t xml:space="preserve">inferior </w:t>
            </w:r>
            <w:r>
              <w:rPr>
                <w:rFonts w:ascii="Bookman Old Style" w:hAnsi="Bookman Old Style"/>
                <w:bCs/>
                <w:sz w:val="20"/>
                <w:szCs w:val="20"/>
              </w:rPr>
              <w:t>a la verificada en el marco de la Res. 127 de 2020 o declaración de no interés de participar en la asignación</w:t>
            </w:r>
          </w:p>
        </w:tc>
        <w:tc>
          <w:tcPr>
            <w:tcW w:w="2977" w:type="dxa"/>
          </w:tcPr>
          <w:p w14:paraId="08A3AEE7" w14:textId="6D4530AD" w:rsidR="00066084" w:rsidRDefault="00066084" w:rsidP="0002488C">
            <w:pPr>
              <w:ind w:left="0"/>
              <w:rPr>
                <w:rFonts w:ascii="Bookman Old Style" w:hAnsi="Bookman Old Style"/>
                <w:bCs/>
                <w:sz w:val="20"/>
                <w:szCs w:val="20"/>
              </w:rPr>
            </w:pPr>
            <w:r>
              <w:rPr>
                <w:rFonts w:ascii="Bookman Old Style" w:hAnsi="Bookman Old Style"/>
                <w:bCs/>
                <w:sz w:val="20"/>
                <w:szCs w:val="20"/>
              </w:rPr>
              <w:t xml:space="preserve">El agente informará mediante comunicación escrita suscrita por el representante legal al CND, en el medio y formatos que éste defina, informando el nombre de la(s) planta(s) </w:t>
            </w:r>
            <w:r w:rsidR="00612100">
              <w:rPr>
                <w:rFonts w:ascii="Bookman Old Style" w:hAnsi="Bookman Old Style"/>
                <w:bCs/>
                <w:sz w:val="20"/>
                <w:szCs w:val="20"/>
              </w:rPr>
              <w:t xml:space="preserve">con </w:t>
            </w:r>
            <w:r>
              <w:rPr>
                <w:rFonts w:ascii="Bookman Old Style" w:hAnsi="Bookman Old Style"/>
                <w:bCs/>
                <w:sz w:val="20"/>
                <w:szCs w:val="20"/>
              </w:rPr>
              <w:t xml:space="preserve">declaración de ENFICC inferior a la verificada </w:t>
            </w:r>
            <w:r w:rsidR="0002488C">
              <w:rPr>
                <w:rFonts w:ascii="Bookman Old Style" w:hAnsi="Bookman Old Style"/>
                <w:bCs/>
                <w:sz w:val="20"/>
                <w:szCs w:val="20"/>
              </w:rPr>
              <w:t>en el marco de la Res. 127 de 2020</w:t>
            </w:r>
            <w:r w:rsidR="00AF69CB">
              <w:rPr>
                <w:rFonts w:ascii="Bookman Old Style" w:hAnsi="Bookman Old Style"/>
                <w:bCs/>
                <w:sz w:val="20"/>
                <w:szCs w:val="20"/>
              </w:rPr>
              <w:t>,</w:t>
            </w:r>
            <w:r w:rsidR="0002488C">
              <w:rPr>
                <w:rFonts w:ascii="Bookman Old Style" w:hAnsi="Bookman Old Style"/>
                <w:bCs/>
                <w:sz w:val="20"/>
                <w:szCs w:val="20"/>
              </w:rPr>
              <w:t xml:space="preserve"> o</w:t>
            </w:r>
            <w:r>
              <w:rPr>
                <w:rFonts w:ascii="Bookman Old Style" w:hAnsi="Bookman Old Style"/>
                <w:bCs/>
                <w:sz w:val="20"/>
                <w:szCs w:val="20"/>
              </w:rPr>
              <w:t xml:space="preserve"> que no participar</w:t>
            </w:r>
            <w:r w:rsidR="00564E9F">
              <w:rPr>
                <w:rFonts w:ascii="Bookman Old Style" w:hAnsi="Bookman Old Style"/>
                <w:bCs/>
                <w:sz w:val="20"/>
                <w:szCs w:val="20"/>
              </w:rPr>
              <w:t>á</w:t>
            </w:r>
            <w:r>
              <w:rPr>
                <w:rFonts w:ascii="Bookman Old Style" w:hAnsi="Bookman Old Style"/>
                <w:bCs/>
                <w:sz w:val="20"/>
                <w:szCs w:val="20"/>
              </w:rPr>
              <w:t>n en el mecanismo de asignación. En caso de no hacer</w:t>
            </w:r>
            <w:r w:rsidR="0002488C">
              <w:rPr>
                <w:rFonts w:ascii="Bookman Old Style" w:hAnsi="Bookman Old Style"/>
                <w:bCs/>
                <w:sz w:val="20"/>
                <w:szCs w:val="20"/>
              </w:rPr>
              <w:t xml:space="preserve"> ninguna </w:t>
            </w:r>
            <w:r>
              <w:rPr>
                <w:rFonts w:ascii="Bookman Old Style" w:hAnsi="Bookman Old Style"/>
                <w:bCs/>
                <w:sz w:val="20"/>
                <w:szCs w:val="20"/>
              </w:rPr>
              <w:t>declaración</w:t>
            </w:r>
            <w:r w:rsidR="00AF69CB">
              <w:rPr>
                <w:rFonts w:ascii="Bookman Old Style" w:hAnsi="Bookman Old Style"/>
                <w:bCs/>
                <w:sz w:val="20"/>
                <w:szCs w:val="20"/>
              </w:rPr>
              <w:t>,</w:t>
            </w:r>
            <w:r>
              <w:rPr>
                <w:rFonts w:ascii="Bookman Old Style" w:hAnsi="Bookman Old Style"/>
                <w:bCs/>
                <w:sz w:val="20"/>
                <w:szCs w:val="20"/>
              </w:rPr>
              <w:t xml:space="preserve"> se </w:t>
            </w:r>
            <w:r w:rsidR="0002488C">
              <w:rPr>
                <w:rFonts w:ascii="Bookman Old Style" w:hAnsi="Bookman Old Style"/>
                <w:bCs/>
                <w:sz w:val="20"/>
                <w:szCs w:val="20"/>
              </w:rPr>
              <w:t xml:space="preserve">mantiene la ENFICC verificada en el marco de la Res. 127 de 2020 o </w:t>
            </w:r>
            <w:r>
              <w:rPr>
                <w:rFonts w:ascii="Bookman Old Style" w:hAnsi="Bookman Old Style"/>
                <w:bCs/>
                <w:sz w:val="20"/>
                <w:szCs w:val="20"/>
              </w:rPr>
              <w:t>que participa</w:t>
            </w:r>
            <w:r w:rsidR="0002488C">
              <w:rPr>
                <w:rFonts w:ascii="Bookman Old Style" w:hAnsi="Bookman Old Style"/>
                <w:bCs/>
                <w:sz w:val="20"/>
                <w:szCs w:val="20"/>
              </w:rPr>
              <w:t xml:space="preserve"> en la asignación</w:t>
            </w:r>
            <w:r>
              <w:rPr>
                <w:rFonts w:ascii="Bookman Old Style" w:hAnsi="Bookman Old Style"/>
                <w:bCs/>
                <w:sz w:val="20"/>
                <w:szCs w:val="20"/>
              </w:rPr>
              <w:t>.</w:t>
            </w:r>
          </w:p>
          <w:p w14:paraId="4C9700EE" w14:textId="47487DE8" w:rsidR="00CB151C" w:rsidRDefault="00CB151C" w:rsidP="0002488C">
            <w:pPr>
              <w:ind w:left="0"/>
              <w:rPr>
                <w:rFonts w:ascii="Bookman Old Style" w:hAnsi="Bookman Old Style"/>
                <w:bCs/>
                <w:sz w:val="20"/>
                <w:szCs w:val="20"/>
              </w:rPr>
            </w:pPr>
          </w:p>
        </w:tc>
        <w:tc>
          <w:tcPr>
            <w:tcW w:w="1559" w:type="dxa"/>
          </w:tcPr>
          <w:p w14:paraId="580B947C" w14:textId="73DF274C" w:rsidR="00066084" w:rsidRDefault="00066084"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4F4C33B6" w14:textId="6580EA4F" w:rsidR="00066084" w:rsidRDefault="00066084" w:rsidP="000E0362">
            <w:pPr>
              <w:ind w:left="0"/>
              <w:rPr>
                <w:rFonts w:ascii="Bookman Old Style" w:hAnsi="Bookman Old Style"/>
                <w:bCs/>
                <w:sz w:val="20"/>
                <w:szCs w:val="20"/>
              </w:rPr>
            </w:pPr>
            <w:r>
              <w:rPr>
                <w:rFonts w:ascii="Bookman Old Style" w:hAnsi="Bookman Old Style"/>
                <w:bCs/>
                <w:sz w:val="20"/>
                <w:szCs w:val="20"/>
              </w:rPr>
              <w:t>Dentro de los 2 días hábiles siguientes al item 3</w:t>
            </w:r>
          </w:p>
        </w:tc>
      </w:tr>
      <w:tr w:rsidR="000E0362" w14:paraId="5540B394" w14:textId="77777777" w:rsidTr="00ED48C7">
        <w:tc>
          <w:tcPr>
            <w:tcW w:w="704" w:type="dxa"/>
            <w:vMerge w:val="restart"/>
          </w:tcPr>
          <w:p w14:paraId="3F79F310" w14:textId="11F78500" w:rsidR="000E0362" w:rsidRDefault="00066084" w:rsidP="000E0362">
            <w:pPr>
              <w:ind w:left="0"/>
              <w:jc w:val="center"/>
              <w:rPr>
                <w:rFonts w:ascii="Bookman Old Style" w:hAnsi="Bookman Old Style"/>
                <w:bCs/>
                <w:sz w:val="20"/>
                <w:szCs w:val="20"/>
              </w:rPr>
            </w:pPr>
            <w:r>
              <w:rPr>
                <w:rFonts w:ascii="Bookman Old Style" w:hAnsi="Bookman Old Style"/>
                <w:bCs/>
                <w:sz w:val="20"/>
                <w:szCs w:val="20"/>
              </w:rPr>
              <w:t>10</w:t>
            </w:r>
          </w:p>
        </w:tc>
        <w:tc>
          <w:tcPr>
            <w:tcW w:w="2410" w:type="dxa"/>
            <w:vMerge w:val="restart"/>
          </w:tcPr>
          <w:p w14:paraId="24EACBEC" w14:textId="77777777" w:rsidR="000E0362" w:rsidRDefault="000E0362" w:rsidP="000E0362">
            <w:pPr>
              <w:ind w:left="0"/>
              <w:rPr>
                <w:rFonts w:ascii="Bookman Old Style" w:hAnsi="Bookman Old Style"/>
                <w:bCs/>
                <w:sz w:val="20"/>
                <w:szCs w:val="20"/>
              </w:rPr>
            </w:pPr>
            <w:r>
              <w:rPr>
                <w:rFonts w:ascii="Bookman Old Style" w:hAnsi="Bookman Old Style"/>
                <w:bCs/>
                <w:sz w:val="20"/>
                <w:szCs w:val="20"/>
              </w:rPr>
              <w:t xml:space="preserve">Verificación </w:t>
            </w:r>
            <w:r w:rsidR="0029157C">
              <w:rPr>
                <w:rFonts w:ascii="Bookman Old Style" w:hAnsi="Bookman Old Style"/>
                <w:bCs/>
                <w:sz w:val="20"/>
                <w:szCs w:val="20"/>
              </w:rPr>
              <w:t xml:space="preserve">y solicitud de </w:t>
            </w:r>
            <w:r w:rsidR="0029157C">
              <w:rPr>
                <w:rFonts w:ascii="Bookman Old Style" w:hAnsi="Bookman Old Style"/>
                <w:bCs/>
                <w:sz w:val="20"/>
                <w:szCs w:val="20"/>
              </w:rPr>
              <w:lastRenderedPageBreak/>
              <w:t>aclaraciones de la ENFICC y EDA de las plantas que no hicieron declaración en el marco de la Res. CREG 127 de 2020</w:t>
            </w:r>
          </w:p>
          <w:p w14:paraId="446E8F7E" w14:textId="0F936733" w:rsidR="00CB151C" w:rsidRDefault="00CB151C" w:rsidP="000E0362">
            <w:pPr>
              <w:ind w:left="0"/>
              <w:rPr>
                <w:rFonts w:ascii="Bookman Old Style" w:hAnsi="Bookman Old Style"/>
                <w:bCs/>
                <w:sz w:val="20"/>
                <w:szCs w:val="20"/>
              </w:rPr>
            </w:pPr>
          </w:p>
        </w:tc>
        <w:tc>
          <w:tcPr>
            <w:tcW w:w="2977" w:type="dxa"/>
          </w:tcPr>
          <w:p w14:paraId="53FF1579" w14:textId="79C4F601" w:rsidR="000E0362" w:rsidRDefault="0029157C" w:rsidP="000E0362">
            <w:pPr>
              <w:ind w:left="0"/>
              <w:rPr>
                <w:rFonts w:ascii="Bookman Old Style" w:hAnsi="Bookman Old Style"/>
                <w:bCs/>
                <w:sz w:val="20"/>
                <w:szCs w:val="20"/>
              </w:rPr>
            </w:pPr>
            <w:r>
              <w:rPr>
                <w:rFonts w:ascii="Bookman Old Style" w:hAnsi="Bookman Old Style"/>
                <w:bCs/>
                <w:sz w:val="20"/>
                <w:szCs w:val="20"/>
              </w:rPr>
              <w:lastRenderedPageBreak/>
              <w:t xml:space="preserve">Verificación del cálculo de la ENFICC y EDA, según </w:t>
            </w:r>
            <w:r>
              <w:rPr>
                <w:rFonts w:ascii="Bookman Old Style" w:hAnsi="Bookman Old Style"/>
                <w:bCs/>
                <w:sz w:val="20"/>
                <w:szCs w:val="20"/>
              </w:rPr>
              <w:lastRenderedPageBreak/>
              <w:t>tecnología</w:t>
            </w:r>
            <w:r w:rsidR="00564E9F">
              <w:rPr>
                <w:rFonts w:ascii="Bookman Old Style" w:hAnsi="Bookman Old Style"/>
                <w:bCs/>
                <w:sz w:val="20"/>
                <w:szCs w:val="20"/>
              </w:rPr>
              <w:t xml:space="preserve"> de la planta</w:t>
            </w:r>
            <w:r>
              <w:rPr>
                <w:rFonts w:ascii="Bookman Old Style" w:hAnsi="Bookman Old Style"/>
                <w:bCs/>
                <w:sz w:val="20"/>
                <w:szCs w:val="20"/>
              </w:rPr>
              <w:t>, de acuerdo con la regulación.</w:t>
            </w:r>
          </w:p>
          <w:p w14:paraId="6083B714" w14:textId="7BE7A26A" w:rsidR="0029157C" w:rsidRDefault="0029157C" w:rsidP="000E0362">
            <w:pPr>
              <w:ind w:left="0"/>
              <w:rPr>
                <w:rFonts w:ascii="Bookman Old Style" w:hAnsi="Bookman Old Style"/>
                <w:bCs/>
                <w:sz w:val="20"/>
                <w:szCs w:val="20"/>
              </w:rPr>
            </w:pPr>
          </w:p>
        </w:tc>
        <w:tc>
          <w:tcPr>
            <w:tcW w:w="1559" w:type="dxa"/>
          </w:tcPr>
          <w:p w14:paraId="38136018" w14:textId="63DE0BE0" w:rsidR="000E0362" w:rsidRDefault="0029157C" w:rsidP="00ED48C7">
            <w:pPr>
              <w:ind w:left="175"/>
              <w:rPr>
                <w:rFonts w:ascii="Bookman Old Style" w:hAnsi="Bookman Old Style"/>
                <w:bCs/>
                <w:sz w:val="20"/>
                <w:szCs w:val="20"/>
              </w:rPr>
            </w:pPr>
            <w:r>
              <w:rPr>
                <w:rFonts w:ascii="Bookman Old Style" w:hAnsi="Bookman Old Style"/>
                <w:bCs/>
                <w:sz w:val="20"/>
                <w:szCs w:val="20"/>
              </w:rPr>
              <w:lastRenderedPageBreak/>
              <w:t>CND</w:t>
            </w:r>
          </w:p>
        </w:tc>
        <w:tc>
          <w:tcPr>
            <w:tcW w:w="1843" w:type="dxa"/>
          </w:tcPr>
          <w:p w14:paraId="5A5A4CC9" w14:textId="432B4ABA" w:rsidR="000E0362" w:rsidRDefault="0029157C" w:rsidP="000E0362">
            <w:pPr>
              <w:ind w:left="0"/>
              <w:rPr>
                <w:rFonts w:ascii="Bookman Old Style" w:hAnsi="Bookman Old Style"/>
                <w:bCs/>
                <w:sz w:val="20"/>
                <w:szCs w:val="20"/>
              </w:rPr>
            </w:pPr>
            <w:r>
              <w:rPr>
                <w:rFonts w:ascii="Bookman Old Style" w:hAnsi="Bookman Old Style"/>
                <w:bCs/>
                <w:sz w:val="20"/>
                <w:szCs w:val="20"/>
              </w:rPr>
              <w:t xml:space="preserve">Dentro de los 2 días hábiles </w:t>
            </w:r>
            <w:r>
              <w:rPr>
                <w:rFonts w:ascii="Bookman Old Style" w:hAnsi="Bookman Old Style"/>
                <w:bCs/>
                <w:sz w:val="20"/>
                <w:szCs w:val="20"/>
              </w:rPr>
              <w:lastRenderedPageBreak/>
              <w:t xml:space="preserve">siguientes al item </w:t>
            </w:r>
            <w:r w:rsidR="00746626">
              <w:rPr>
                <w:rFonts w:ascii="Bookman Old Style" w:hAnsi="Bookman Old Style"/>
                <w:bCs/>
                <w:sz w:val="20"/>
                <w:szCs w:val="20"/>
              </w:rPr>
              <w:t>5</w:t>
            </w:r>
          </w:p>
        </w:tc>
      </w:tr>
      <w:tr w:rsidR="000E0362" w14:paraId="3CCE6BC7" w14:textId="77777777" w:rsidTr="00ED48C7">
        <w:tc>
          <w:tcPr>
            <w:tcW w:w="704" w:type="dxa"/>
            <w:vMerge/>
          </w:tcPr>
          <w:p w14:paraId="34F7490F" w14:textId="77777777" w:rsidR="000E0362" w:rsidRDefault="000E0362" w:rsidP="000E0362">
            <w:pPr>
              <w:ind w:left="0"/>
              <w:jc w:val="center"/>
              <w:rPr>
                <w:rFonts w:ascii="Bookman Old Style" w:hAnsi="Bookman Old Style"/>
                <w:bCs/>
                <w:sz w:val="20"/>
                <w:szCs w:val="20"/>
              </w:rPr>
            </w:pPr>
          </w:p>
        </w:tc>
        <w:tc>
          <w:tcPr>
            <w:tcW w:w="2410" w:type="dxa"/>
            <w:vMerge/>
          </w:tcPr>
          <w:p w14:paraId="0DBAA27D" w14:textId="77777777" w:rsidR="000E0362" w:rsidRDefault="000E0362" w:rsidP="000E0362">
            <w:pPr>
              <w:ind w:left="0"/>
              <w:rPr>
                <w:rFonts w:ascii="Bookman Old Style" w:hAnsi="Bookman Old Style"/>
                <w:bCs/>
                <w:sz w:val="20"/>
                <w:szCs w:val="20"/>
              </w:rPr>
            </w:pPr>
          </w:p>
        </w:tc>
        <w:tc>
          <w:tcPr>
            <w:tcW w:w="2977" w:type="dxa"/>
          </w:tcPr>
          <w:p w14:paraId="4BF84750" w14:textId="06DA349C" w:rsidR="000E0362" w:rsidRDefault="0029157C" w:rsidP="000E0362">
            <w:pPr>
              <w:ind w:left="0"/>
              <w:rPr>
                <w:rFonts w:ascii="Bookman Old Style" w:hAnsi="Bookman Old Style"/>
                <w:bCs/>
                <w:sz w:val="20"/>
                <w:szCs w:val="20"/>
              </w:rPr>
            </w:pPr>
            <w:r>
              <w:rPr>
                <w:rFonts w:ascii="Bookman Old Style" w:hAnsi="Bookman Old Style"/>
                <w:bCs/>
                <w:sz w:val="20"/>
                <w:szCs w:val="20"/>
              </w:rPr>
              <w:t>Solicitud de aclaraciones a la ENFICC y EDA</w:t>
            </w:r>
            <w:r w:rsidR="00564E9F">
              <w:rPr>
                <w:rFonts w:ascii="Bookman Old Style" w:hAnsi="Bookman Old Style"/>
                <w:bCs/>
                <w:sz w:val="20"/>
                <w:szCs w:val="20"/>
              </w:rPr>
              <w:t xml:space="preserve"> declaradas</w:t>
            </w:r>
            <w:r>
              <w:rPr>
                <w:rFonts w:ascii="Bookman Old Style" w:hAnsi="Bookman Old Style"/>
                <w:bCs/>
                <w:sz w:val="20"/>
                <w:szCs w:val="20"/>
              </w:rPr>
              <w:t>.</w:t>
            </w:r>
          </w:p>
        </w:tc>
        <w:tc>
          <w:tcPr>
            <w:tcW w:w="1559" w:type="dxa"/>
          </w:tcPr>
          <w:p w14:paraId="0ED4A0DB" w14:textId="0BCE1B77" w:rsidR="000E0362" w:rsidRDefault="0029157C" w:rsidP="00ED48C7">
            <w:pPr>
              <w:ind w:left="175"/>
              <w:rPr>
                <w:rFonts w:ascii="Bookman Old Style" w:hAnsi="Bookman Old Style"/>
                <w:bCs/>
                <w:sz w:val="20"/>
                <w:szCs w:val="20"/>
              </w:rPr>
            </w:pPr>
            <w:r>
              <w:rPr>
                <w:rFonts w:ascii="Bookman Old Style" w:hAnsi="Bookman Old Style"/>
                <w:bCs/>
                <w:sz w:val="20"/>
                <w:szCs w:val="20"/>
              </w:rPr>
              <w:t>CND</w:t>
            </w:r>
          </w:p>
        </w:tc>
        <w:tc>
          <w:tcPr>
            <w:tcW w:w="1843" w:type="dxa"/>
          </w:tcPr>
          <w:p w14:paraId="0E2BAE67" w14:textId="65EBFDC1" w:rsidR="000E0362" w:rsidRDefault="00746626" w:rsidP="000E0362">
            <w:pPr>
              <w:ind w:left="0"/>
              <w:rPr>
                <w:rFonts w:ascii="Bookman Old Style" w:hAnsi="Bookman Old Style"/>
                <w:bCs/>
                <w:sz w:val="20"/>
                <w:szCs w:val="20"/>
              </w:rPr>
            </w:pPr>
            <w:r>
              <w:rPr>
                <w:rFonts w:ascii="Bookman Old Style" w:hAnsi="Bookman Old Style"/>
                <w:bCs/>
                <w:sz w:val="20"/>
                <w:szCs w:val="20"/>
              </w:rPr>
              <w:t xml:space="preserve">Dentro </w:t>
            </w:r>
            <w:r w:rsidR="000039B1">
              <w:rPr>
                <w:rFonts w:ascii="Bookman Old Style" w:hAnsi="Bookman Old Style"/>
                <w:bCs/>
                <w:sz w:val="20"/>
                <w:szCs w:val="20"/>
              </w:rPr>
              <w:t xml:space="preserve">del día </w:t>
            </w:r>
            <w:r>
              <w:rPr>
                <w:rFonts w:ascii="Bookman Old Style" w:hAnsi="Bookman Old Style"/>
                <w:bCs/>
                <w:sz w:val="20"/>
                <w:szCs w:val="20"/>
              </w:rPr>
              <w:t>hábil siguiente a</w:t>
            </w:r>
            <w:r w:rsidR="005922E1">
              <w:rPr>
                <w:rFonts w:ascii="Bookman Old Style" w:hAnsi="Bookman Old Style"/>
                <w:bCs/>
                <w:sz w:val="20"/>
                <w:szCs w:val="20"/>
              </w:rPr>
              <w:t xml:space="preserve"> </w:t>
            </w:r>
            <w:r>
              <w:rPr>
                <w:rFonts w:ascii="Bookman Old Style" w:hAnsi="Bookman Old Style"/>
                <w:bCs/>
                <w:sz w:val="20"/>
                <w:szCs w:val="20"/>
              </w:rPr>
              <w:t>l</w:t>
            </w:r>
            <w:r w:rsidR="005922E1">
              <w:rPr>
                <w:rFonts w:ascii="Bookman Old Style" w:hAnsi="Bookman Old Style"/>
                <w:bCs/>
                <w:sz w:val="20"/>
                <w:szCs w:val="20"/>
              </w:rPr>
              <w:t>a verificación.</w:t>
            </w:r>
          </w:p>
        </w:tc>
      </w:tr>
      <w:tr w:rsidR="00746626" w14:paraId="7E952E8D" w14:textId="77777777" w:rsidTr="00ED48C7">
        <w:tc>
          <w:tcPr>
            <w:tcW w:w="704" w:type="dxa"/>
            <w:vMerge w:val="restart"/>
          </w:tcPr>
          <w:p w14:paraId="3FA8399D" w14:textId="685D2562" w:rsidR="00746626" w:rsidRDefault="00746626" w:rsidP="000E0362">
            <w:pPr>
              <w:ind w:left="0"/>
              <w:jc w:val="center"/>
              <w:rPr>
                <w:rFonts w:ascii="Bookman Old Style" w:hAnsi="Bookman Old Style"/>
                <w:bCs/>
                <w:sz w:val="20"/>
                <w:szCs w:val="20"/>
              </w:rPr>
            </w:pPr>
            <w:r w:rsidRPr="007E332A">
              <w:rPr>
                <w:rFonts w:ascii="Bookman Old Style" w:hAnsi="Bookman Old Style"/>
                <w:bCs/>
                <w:sz w:val="20"/>
                <w:szCs w:val="20"/>
              </w:rPr>
              <w:t>1</w:t>
            </w:r>
            <w:r w:rsidR="00066084" w:rsidRPr="007E332A">
              <w:rPr>
                <w:rFonts w:ascii="Bookman Old Style" w:hAnsi="Bookman Old Style"/>
                <w:bCs/>
                <w:sz w:val="20"/>
                <w:szCs w:val="20"/>
              </w:rPr>
              <w:t>1</w:t>
            </w:r>
          </w:p>
        </w:tc>
        <w:tc>
          <w:tcPr>
            <w:tcW w:w="2410" w:type="dxa"/>
            <w:vMerge w:val="restart"/>
          </w:tcPr>
          <w:p w14:paraId="07456CB2" w14:textId="12694AEC" w:rsidR="00746626" w:rsidRDefault="00746626" w:rsidP="000E0362">
            <w:pPr>
              <w:ind w:left="0"/>
              <w:rPr>
                <w:rFonts w:ascii="Bookman Old Style" w:hAnsi="Bookman Old Style"/>
                <w:bCs/>
                <w:sz w:val="20"/>
                <w:szCs w:val="20"/>
              </w:rPr>
            </w:pPr>
            <w:r>
              <w:rPr>
                <w:rFonts w:ascii="Bookman Old Style" w:hAnsi="Bookman Old Style"/>
                <w:bCs/>
                <w:sz w:val="20"/>
                <w:szCs w:val="20"/>
              </w:rPr>
              <w:t>Verificación y solicitud de aclaraciones de</w:t>
            </w:r>
            <w:r w:rsidR="00582F27">
              <w:rPr>
                <w:rFonts w:ascii="Bookman Old Style" w:hAnsi="Bookman Old Style"/>
                <w:bCs/>
                <w:sz w:val="20"/>
                <w:szCs w:val="20"/>
              </w:rPr>
              <w:t xml:space="preserve"> parámetros,</w:t>
            </w:r>
            <w:r>
              <w:rPr>
                <w:rFonts w:ascii="Bookman Old Style" w:hAnsi="Bookman Old Style"/>
                <w:bCs/>
                <w:sz w:val="20"/>
                <w:szCs w:val="20"/>
              </w:rPr>
              <w:t xml:space="preserve"> ENFICC y EDA de las plantas con ajuste</w:t>
            </w:r>
            <w:r w:rsidR="00564E9F">
              <w:rPr>
                <w:rFonts w:ascii="Bookman Old Style" w:hAnsi="Bookman Old Style"/>
                <w:bCs/>
                <w:sz w:val="20"/>
                <w:szCs w:val="20"/>
              </w:rPr>
              <w:t>s</w:t>
            </w:r>
            <w:r>
              <w:rPr>
                <w:rFonts w:ascii="Bookman Old Style" w:hAnsi="Bookman Old Style"/>
                <w:bCs/>
                <w:sz w:val="20"/>
                <w:szCs w:val="20"/>
              </w:rPr>
              <w:t xml:space="preserve"> de </w:t>
            </w:r>
            <w:r w:rsidR="00564E9F">
              <w:rPr>
                <w:rFonts w:ascii="Bookman Old Style" w:hAnsi="Bookman Old Style"/>
                <w:bCs/>
                <w:sz w:val="20"/>
                <w:szCs w:val="20"/>
              </w:rPr>
              <w:t xml:space="preserve">parámetros de </w:t>
            </w:r>
            <w:r>
              <w:rPr>
                <w:rFonts w:ascii="Bookman Old Style" w:hAnsi="Bookman Old Style"/>
                <w:bCs/>
                <w:sz w:val="20"/>
                <w:szCs w:val="20"/>
              </w:rPr>
              <w:t xml:space="preserve">acueducto </w:t>
            </w:r>
            <w:r w:rsidR="00B64B66">
              <w:rPr>
                <w:rFonts w:ascii="Bookman Old Style" w:hAnsi="Bookman Old Style"/>
                <w:bCs/>
                <w:sz w:val="20"/>
                <w:szCs w:val="20"/>
              </w:rPr>
              <w:t>&amp;</w:t>
            </w:r>
            <w:r>
              <w:rPr>
                <w:rFonts w:ascii="Bookman Old Style" w:hAnsi="Bookman Old Style"/>
                <w:bCs/>
                <w:sz w:val="20"/>
                <w:szCs w:val="20"/>
              </w:rPr>
              <w:t xml:space="preserve"> riego</w:t>
            </w:r>
            <w:r w:rsidR="00B64B66">
              <w:rPr>
                <w:rFonts w:ascii="Bookman Old Style" w:hAnsi="Bookman Old Style"/>
                <w:bCs/>
                <w:sz w:val="20"/>
                <w:szCs w:val="20"/>
              </w:rPr>
              <w:t xml:space="preserve"> y </w:t>
            </w:r>
            <w:r w:rsidR="00564E9F">
              <w:rPr>
                <w:rFonts w:ascii="Bookman Old Style" w:hAnsi="Bookman Old Style"/>
                <w:bCs/>
                <w:sz w:val="20"/>
                <w:szCs w:val="20"/>
              </w:rPr>
              <w:t xml:space="preserve">de </w:t>
            </w:r>
            <w:r w:rsidR="00B64B66">
              <w:rPr>
                <w:rFonts w:ascii="Bookman Old Style" w:hAnsi="Bookman Old Style"/>
                <w:bCs/>
                <w:sz w:val="20"/>
                <w:szCs w:val="20"/>
              </w:rPr>
              <w:t>suministro y transporte de combustible</w:t>
            </w:r>
            <w:r w:rsidR="00724D69">
              <w:rPr>
                <w:rFonts w:ascii="Bookman Old Style" w:hAnsi="Bookman Old Style"/>
                <w:bCs/>
                <w:sz w:val="20"/>
                <w:szCs w:val="20"/>
              </w:rPr>
              <w:t>,</w:t>
            </w:r>
            <w:r>
              <w:rPr>
                <w:rFonts w:ascii="Bookman Old Style" w:hAnsi="Bookman Old Style"/>
                <w:bCs/>
                <w:sz w:val="20"/>
                <w:szCs w:val="20"/>
              </w:rPr>
              <w:t xml:space="preserve"> que hicieron declaración en el marco de la Res. CREG 127 de 2020</w:t>
            </w:r>
          </w:p>
          <w:p w14:paraId="33B71B1F" w14:textId="4B689C6A" w:rsidR="00CB151C" w:rsidRDefault="00CB151C" w:rsidP="000E0362">
            <w:pPr>
              <w:ind w:left="0"/>
              <w:rPr>
                <w:rFonts w:ascii="Bookman Old Style" w:hAnsi="Bookman Old Style"/>
                <w:bCs/>
                <w:sz w:val="20"/>
                <w:szCs w:val="20"/>
              </w:rPr>
            </w:pPr>
          </w:p>
        </w:tc>
        <w:tc>
          <w:tcPr>
            <w:tcW w:w="2977" w:type="dxa"/>
          </w:tcPr>
          <w:p w14:paraId="53840B91" w14:textId="75E8D580" w:rsidR="00746626" w:rsidRDefault="00746626" w:rsidP="00746626">
            <w:pPr>
              <w:ind w:left="0"/>
              <w:rPr>
                <w:rFonts w:ascii="Bookman Old Style" w:hAnsi="Bookman Old Style"/>
                <w:bCs/>
                <w:sz w:val="20"/>
                <w:szCs w:val="20"/>
              </w:rPr>
            </w:pPr>
            <w:r>
              <w:rPr>
                <w:rFonts w:ascii="Bookman Old Style" w:hAnsi="Bookman Old Style"/>
                <w:bCs/>
                <w:sz w:val="20"/>
                <w:szCs w:val="20"/>
              </w:rPr>
              <w:t>Verificación de</w:t>
            </w:r>
            <w:r w:rsidR="00582F27">
              <w:rPr>
                <w:rFonts w:ascii="Bookman Old Style" w:hAnsi="Bookman Old Style"/>
                <w:bCs/>
                <w:sz w:val="20"/>
                <w:szCs w:val="20"/>
              </w:rPr>
              <w:t xml:space="preserve"> parámetros y de</w:t>
            </w:r>
            <w:r>
              <w:rPr>
                <w:rFonts w:ascii="Bookman Old Style" w:hAnsi="Bookman Old Style"/>
                <w:bCs/>
                <w:sz w:val="20"/>
                <w:szCs w:val="20"/>
              </w:rPr>
              <w:t xml:space="preserve">l cálculo de la ENFICC y EDA, </w:t>
            </w:r>
            <w:r w:rsidR="00016600">
              <w:rPr>
                <w:rFonts w:ascii="Bookman Old Style" w:hAnsi="Bookman Old Style"/>
                <w:bCs/>
                <w:sz w:val="20"/>
                <w:szCs w:val="20"/>
              </w:rPr>
              <w:t>según tecnología</w:t>
            </w:r>
            <w:r w:rsidR="00564E9F">
              <w:rPr>
                <w:rFonts w:ascii="Bookman Old Style" w:hAnsi="Bookman Old Style"/>
                <w:bCs/>
                <w:sz w:val="20"/>
                <w:szCs w:val="20"/>
              </w:rPr>
              <w:t xml:space="preserve"> de la planta</w:t>
            </w:r>
            <w:r>
              <w:rPr>
                <w:rFonts w:ascii="Bookman Old Style" w:hAnsi="Bookman Old Style"/>
                <w:bCs/>
                <w:sz w:val="20"/>
                <w:szCs w:val="20"/>
              </w:rPr>
              <w:t>, de acuerdo con la regulación.</w:t>
            </w:r>
          </w:p>
          <w:p w14:paraId="3EC316F7" w14:textId="77777777" w:rsidR="00746626" w:rsidRDefault="00746626" w:rsidP="000E0362">
            <w:pPr>
              <w:ind w:left="0"/>
              <w:rPr>
                <w:rFonts w:ascii="Bookman Old Style" w:hAnsi="Bookman Old Style"/>
                <w:bCs/>
                <w:sz w:val="20"/>
                <w:szCs w:val="20"/>
              </w:rPr>
            </w:pPr>
          </w:p>
          <w:p w14:paraId="3A3840FD" w14:textId="77777777" w:rsidR="00746626" w:rsidRDefault="00746626" w:rsidP="000E0362">
            <w:pPr>
              <w:ind w:left="0"/>
              <w:rPr>
                <w:rFonts w:ascii="Bookman Old Style" w:hAnsi="Bookman Old Style"/>
                <w:bCs/>
                <w:sz w:val="20"/>
                <w:szCs w:val="20"/>
              </w:rPr>
            </w:pPr>
          </w:p>
          <w:p w14:paraId="12983AFF" w14:textId="1FA93A8F" w:rsidR="00CB151C" w:rsidRDefault="00CB151C" w:rsidP="000E0362">
            <w:pPr>
              <w:ind w:left="0"/>
              <w:rPr>
                <w:rFonts w:ascii="Bookman Old Style" w:hAnsi="Bookman Old Style"/>
                <w:bCs/>
                <w:sz w:val="20"/>
                <w:szCs w:val="20"/>
              </w:rPr>
            </w:pPr>
          </w:p>
        </w:tc>
        <w:tc>
          <w:tcPr>
            <w:tcW w:w="1559" w:type="dxa"/>
          </w:tcPr>
          <w:p w14:paraId="751C0E18" w14:textId="41C8F7CF" w:rsidR="00746626" w:rsidRDefault="00746626" w:rsidP="00ED48C7">
            <w:pPr>
              <w:ind w:left="175"/>
              <w:rPr>
                <w:rFonts w:ascii="Bookman Old Style" w:hAnsi="Bookman Old Style"/>
                <w:bCs/>
                <w:sz w:val="20"/>
                <w:szCs w:val="20"/>
              </w:rPr>
            </w:pPr>
            <w:r>
              <w:rPr>
                <w:rFonts w:ascii="Bookman Old Style" w:hAnsi="Bookman Old Style"/>
                <w:bCs/>
                <w:sz w:val="20"/>
                <w:szCs w:val="20"/>
              </w:rPr>
              <w:t>CND</w:t>
            </w:r>
          </w:p>
        </w:tc>
        <w:tc>
          <w:tcPr>
            <w:tcW w:w="1843" w:type="dxa"/>
          </w:tcPr>
          <w:p w14:paraId="5055972B" w14:textId="02CE0311" w:rsidR="00746626" w:rsidRDefault="00746626" w:rsidP="000E0362">
            <w:pPr>
              <w:ind w:left="0"/>
              <w:rPr>
                <w:rFonts w:ascii="Bookman Old Style" w:hAnsi="Bookman Old Style"/>
                <w:bCs/>
                <w:sz w:val="20"/>
                <w:szCs w:val="20"/>
              </w:rPr>
            </w:pPr>
            <w:r>
              <w:rPr>
                <w:rFonts w:ascii="Bookman Old Style" w:hAnsi="Bookman Old Style"/>
                <w:bCs/>
                <w:sz w:val="20"/>
                <w:szCs w:val="20"/>
              </w:rPr>
              <w:t>Dentro de los 2 días hábiles siguientes al item 8</w:t>
            </w:r>
          </w:p>
        </w:tc>
      </w:tr>
      <w:tr w:rsidR="00746626" w14:paraId="01F4CEFF" w14:textId="77777777" w:rsidTr="00ED48C7">
        <w:tc>
          <w:tcPr>
            <w:tcW w:w="704" w:type="dxa"/>
            <w:vMerge/>
          </w:tcPr>
          <w:p w14:paraId="4897F371" w14:textId="77777777" w:rsidR="00746626" w:rsidRDefault="00746626" w:rsidP="00746626">
            <w:pPr>
              <w:ind w:left="0"/>
              <w:jc w:val="center"/>
              <w:rPr>
                <w:rFonts w:ascii="Bookman Old Style" w:hAnsi="Bookman Old Style"/>
                <w:bCs/>
                <w:sz w:val="20"/>
                <w:szCs w:val="20"/>
              </w:rPr>
            </w:pPr>
          </w:p>
        </w:tc>
        <w:tc>
          <w:tcPr>
            <w:tcW w:w="2410" w:type="dxa"/>
            <w:vMerge/>
          </w:tcPr>
          <w:p w14:paraId="08630F85" w14:textId="77777777" w:rsidR="00746626" w:rsidRDefault="00746626" w:rsidP="00746626">
            <w:pPr>
              <w:ind w:left="0"/>
              <w:rPr>
                <w:rFonts w:ascii="Bookman Old Style" w:hAnsi="Bookman Old Style"/>
                <w:bCs/>
                <w:sz w:val="20"/>
                <w:szCs w:val="20"/>
              </w:rPr>
            </w:pPr>
          </w:p>
        </w:tc>
        <w:tc>
          <w:tcPr>
            <w:tcW w:w="2977" w:type="dxa"/>
          </w:tcPr>
          <w:p w14:paraId="5B571025" w14:textId="49F2F1DF" w:rsidR="00746626" w:rsidRDefault="00746626" w:rsidP="00746626">
            <w:pPr>
              <w:ind w:left="0"/>
              <w:rPr>
                <w:rFonts w:ascii="Bookman Old Style" w:hAnsi="Bookman Old Style"/>
                <w:bCs/>
                <w:sz w:val="20"/>
                <w:szCs w:val="20"/>
              </w:rPr>
            </w:pPr>
            <w:r>
              <w:rPr>
                <w:rFonts w:ascii="Bookman Old Style" w:hAnsi="Bookman Old Style"/>
                <w:bCs/>
                <w:sz w:val="20"/>
                <w:szCs w:val="20"/>
              </w:rPr>
              <w:t xml:space="preserve">Solicitud de aclaraciones a </w:t>
            </w:r>
            <w:r w:rsidR="00582F27">
              <w:rPr>
                <w:rFonts w:ascii="Bookman Old Style" w:hAnsi="Bookman Old Style"/>
                <w:bCs/>
                <w:sz w:val="20"/>
                <w:szCs w:val="20"/>
              </w:rPr>
              <w:t xml:space="preserve">parámetros y a </w:t>
            </w:r>
            <w:r>
              <w:rPr>
                <w:rFonts w:ascii="Bookman Old Style" w:hAnsi="Bookman Old Style"/>
                <w:bCs/>
                <w:sz w:val="20"/>
                <w:szCs w:val="20"/>
              </w:rPr>
              <w:t>la ENFICC y EDA</w:t>
            </w:r>
            <w:r w:rsidR="00564E9F">
              <w:rPr>
                <w:rFonts w:ascii="Bookman Old Style" w:hAnsi="Bookman Old Style"/>
                <w:bCs/>
                <w:sz w:val="20"/>
                <w:szCs w:val="20"/>
              </w:rPr>
              <w:t xml:space="preserve"> declarados</w:t>
            </w:r>
            <w:r>
              <w:rPr>
                <w:rFonts w:ascii="Bookman Old Style" w:hAnsi="Bookman Old Style"/>
                <w:bCs/>
                <w:sz w:val="20"/>
                <w:szCs w:val="20"/>
              </w:rPr>
              <w:t>.</w:t>
            </w:r>
          </w:p>
        </w:tc>
        <w:tc>
          <w:tcPr>
            <w:tcW w:w="1559" w:type="dxa"/>
          </w:tcPr>
          <w:p w14:paraId="36134970" w14:textId="55D78894" w:rsidR="00746626" w:rsidRDefault="00746626" w:rsidP="00ED48C7">
            <w:pPr>
              <w:ind w:left="175"/>
              <w:rPr>
                <w:rFonts w:ascii="Bookman Old Style" w:hAnsi="Bookman Old Style"/>
                <w:bCs/>
                <w:sz w:val="20"/>
                <w:szCs w:val="20"/>
              </w:rPr>
            </w:pPr>
            <w:r>
              <w:rPr>
                <w:rFonts w:ascii="Bookman Old Style" w:hAnsi="Bookman Old Style"/>
                <w:bCs/>
                <w:sz w:val="20"/>
                <w:szCs w:val="20"/>
              </w:rPr>
              <w:t>CND</w:t>
            </w:r>
          </w:p>
        </w:tc>
        <w:tc>
          <w:tcPr>
            <w:tcW w:w="1843" w:type="dxa"/>
          </w:tcPr>
          <w:p w14:paraId="1CF51A0B" w14:textId="140084B3" w:rsidR="00746626" w:rsidRDefault="00746626" w:rsidP="00746626">
            <w:pPr>
              <w:ind w:left="0"/>
              <w:rPr>
                <w:rFonts w:ascii="Bookman Old Style" w:hAnsi="Bookman Old Style"/>
                <w:bCs/>
                <w:sz w:val="20"/>
                <w:szCs w:val="20"/>
              </w:rPr>
            </w:pPr>
            <w:r>
              <w:rPr>
                <w:rFonts w:ascii="Bookman Old Style" w:hAnsi="Bookman Old Style"/>
                <w:bCs/>
                <w:sz w:val="20"/>
                <w:szCs w:val="20"/>
              </w:rPr>
              <w:t>Dentro de</w:t>
            </w:r>
            <w:r w:rsidR="000039B1">
              <w:rPr>
                <w:rFonts w:ascii="Bookman Old Style" w:hAnsi="Bookman Old Style"/>
                <w:bCs/>
                <w:sz w:val="20"/>
                <w:szCs w:val="20"/>
              </w:rPr>
              <w:t xml:space="preserve">l día </w:t>
            </w:r>
            <w:r>
              <w:rPr>
                <w:rFonts w:ascii="Bookman Old Style" w:hAnsi="Bookman Old Style"/>
                <w:bCs/>
                <w:sz w:val="20"/>
                <w:szCs w:val="20"/>
              </w:rPr>
              <w:t>hábil siguiente a</w:t>
            </w:r>
            <w:r w:rsidR="005922E1">
              <w:rPr>
                <w:rFonts w:ascii="Bookman Old Style" w:hAnsi="Bookman Old Style"/>
                <w:bCs/>
                <w:sz w:val="20"/>
                <w:szCs w:val="20"/>
              </w:rPr>
              <w:t xml:space="preserve"> </w:t>
            </w:r>
            <w:r>
              <w:rPr>
                <w:rFonts w:ascii="Bookman Old Style" w:hAnsi="Bookman Old Style"/>
                <w:bCs/>
                <w:sz w:val="20"/>
                <w:szCs w:val="20"/>
              </w:rPr>
              <w:t>l</w:t>
            </w:r>
            <w:r w:rsidR="005922E1">
              <w:rPr>
                <w:rFonts w:ascii="Bookman Old Style" w:hAnsi="Bookman Old Style"/>
                <w:bCs/>
                <w:sz w:val="20"/>
                <w:szCs w:val="20"/>
              </w:rPr>
              <w:t>a</w:t>
            </w:r>
            <w:r>
              <w:rPr>
                <w:rFonts w:ascii="Bookman Old Style" w:hAnsi="Bookman Old Style"/>
                <w:bCs/>
                <w:sz w:val="20"/>
                <w:szCs w:val="20"/>
              </w:rPr>
              <w:t xml:space="preserve"> </w:t>
            </w:r>
            <w:r w:rsidR="005922E1">
              <w:rPr>
                <w:rFonts w:ascii="Bookman Old Style" w:hAnsi="Bookman Old Style"/>
                <w:bCs/>
                <w:sz w:val="20"/>
                <w:szCs w:val="20"/>
              </w:rPr>
              <w:t>verificación.</w:t>
            </w:r>
          </w:p>
        </w:tc>
      </w:tr>
      <w:tr w:rsidR="00746626" w14:paraId="165E27FD" w14:textId="77777777" w:rsidTr="00ED48C7">
        <w:tc>
          <w:tcPr>
            <w:tcW w:w="704" w:type="dxa"/>
          </w:tcPr>
          <w:p w14:paraId="713DAC91" w14:textId="5C6301A6" w:rsidR="00746626" w:rsidRDefault="0088613C" w:rsidP="00746626">
            <w:pPr>
              <w:ind w:left="0"/>
              <w:jc w:val="center"/>
              <w:rPr>
                <w:rFonts w:ascii="Bookman Old Style" w:hAnsi="Bookman Old Style"/>
                <w:bCs/>
                <w:sz w:val="20"/>
                <w:szCs w:val="20"/>
              </w:rPr>
            </w:pPr>
            <w:r>
              <w:rPr>
                <w:rFonts w:ascii="Bookman Old Style" w:hAnsi="Bookman Old Style"/>
                <w:bCs/>
                <w:sz w:val="20"/>
                <w:szCs w:val="20"/>
              </w:rPr>
              <w:t>1</w:t>
            </w:r>
            <w:r w:rsidR="00066084">
              <w:rPr>
                <w:rFonts w:ascii="Bookman Old Style" w:hAnsi="Bookman Old Style"/>
                <w:bCs/>
                <w:sz w:val="20"/>
                <w:szCs w:val="20"/>
              </w:rPr>
              <w:t>2</w:t>
            </w:r>
          </w:p>
        </w:tc>
        <w:tc>
          <w:tcPr>
            <w:tcW w:w="2410" w:type="dxa"/>
          </w:tcPr>
          <w:p w14:paraId="6204231C" w14:textId="77777777" w:rsidR="00746626" w:rsidRDefault="0088613C" w:rsidP="00746626">
            <w:pPr>
              <w:ind w:left="0"/>
              <w:rPr>
                <w:rFonts w:ascii="Bookman Old Style" w:hAnsi="Bookman Old Style"/>
                <w:bCs/>
                <w:sz w:val="20"/>
                <w:szCs w:val="20"/>
              </w:rPr>
            </w:pPr>
            <w:r>
              <w:rPr>
                <w:rFonts w:ascii="Bookman Old Style" w:hAnsi="Bookman Old Style"/>
                <w:bCs/>
                <w:sz w:val="20"/>
                <w:szCs w:val="20"/>
              </w:rPr>
              <w:t xml:space="preserve">Entrega de aclaraciones de la ENFICC y EDA de las plantas que no hicieron declaración en el marco de la Res. CREG 127 de 2020 </w:t>
            </w:r>
          </w:p>
          <w:p w14:paraId="66123B00" w14:textId="4F3FEA16" w:rsidR="00CB151C" w:rsidRDefault="00CB151C" w:rsidP="00746626">
            <w:pPr>
              <w:ind w:left="0"/>
              <w:rPr>
                <w:rFonts w:ascii="Bookman Old Style" w:hAnsi="Bookman Old Style"/>
                <w:bCs/>
                <w:sz w:val="20"/>
                <w:szCs w:val="20"/>
              </w:rPr>
            </w:pPr>
          </w:p>
        </w:tc>
        <w:tc>
          <w:tcPr>
            <w:tcW w:w="2977" w:type="dxa"/>
          </w:tcPr>
          <w:p w14:paraId="646E4BD6" w14:textId="61B9141F" w:rsidR="00746626" w:rsidRDefault="000039B1" w:rsidP="00746626">
            <w:pPr>
              <w:ind w:left="0"/>
              <w:rPr>
                <w:rFonts w:ascii="Bookman Old Style" w:hAnsi="Bookman Old Style"/>
                <w:bCs/>
                <w:sz w:val="20"/>
                <w:szCs w:val="20"/>
              </w:rPr>
            </w:pPr>
            <w:r>
              <w:rPr>
                <w:rFonts w:ascii="Bookman Old Style" w:hAnsi="Bookman Old Style"/>
                <w:bCs/>
                <w:sz w:val="20"/>
                <w:szCs w:val="20"/>
              </w:rPr>
              <w:t>Entrega de las aclaraciones solicitadas por el CND.</w:t>
            </w:r>
          </w:p>
        </w:tc>
        <w:tc>
          <w:tcPr>
            <w:tcW w:w="1559" w:type="dxa"/>
          </w:tcPr>
          <w:p w14:paraId="76602C9A" w14:textId="02E4CF92" w:rsidR="00746626" w:rsidRDefault="000039B1"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629C044F" w14:textId="69A9419D" w:rsidR="00746626" w:rsidRDefault="000039B1" w:rsidP="00746626">
            <w:pPr>
              <w:ind w:left="0"/>
              <w:rPr>
                <w:rFonts w:ascii="Bookman Old Style" w:hAnsi="Bookman Old Style"/>
                <w:bCs/>
                <w:sz w:val="20"/>
                <w:szCs w:val="20"/>
              </w:rPr>
            </w:pPr>
            <w:r>
              <w:rPr>
                <w:rFonts w:ascii="Bookman Old Style" w:hAnsi="Bookman Old Style"/>
                <w:bCs/>
                <w:sz w:val="20"/>
                <w:szCs w:val="20"/>
              </w:rPr>
              <w:t xml:space="preserve">Dentro de los 2 días hábiles siguientes al item </w:t>
            </w:r>
            <w:r w:rsidR="00066084">
              <w:rPr>
                <w:rFonts w:ascii="Bookman Old Style" w:hAnsi="Bookman Old Style"/>
                <w:bCs/>
                <w:sz w:val="20"/>
                <w:szCs w:val="20"/>
              </w:rPr>
              <w:t>10</w:t>
            </w:r>
          </w:p>
        </w:tc>
      </w:tr>
      <w:tr w:rsidR="000039B1" w14:paraId="1A51AE25" w14:textId="77777777" w:rsidTr="00ED48C7">
        <w:tc>
          <w:tcPr>
            <w:tcW w:w="704" w:type="dxa"/>
          </w:tcPr>
          <w:p w14:paraId="530017DB" w14:textId="7681C292" w:rsidR="000039B1" w:rsidRDefault="000039B1" w:rsidP="000039B1">
            <w:pPr>
              <w:ind w:left="0"/>
              <w:jc w:val="center"/>
              <w:rPr>
                <w:rFonts w:ascii="Bookman Old Style" w:hAnsi="Bookman Old Style"/>
                <w:bCs/>
                <w:sz w:val="20"/>
                <w:szCs w:val="20"/>
              </w:rPr>
            </w:pPr>
            <w:r w:rsidRPr="007E332A">
              <w:rPr>
                <w:rFonts w:ascii="Bookman Old Style" w:hAnsi="Bookman Old Style"/>
                <w:bCs/>
                <w:sz w:val="20"/>
                <w:szCs w:val="20"/>
              </w:rPr>
              <w:t>1</w:t>
            </w:r>
            <w:r w:rsidR="00066084" w:rsidRPr="007E332A">
              <w:rPr>
                <w:rFonts w:ascii="Bookman Old Style" w:hAnsi="Bookman Old Style"/>
                <w:bCs/>
                <w:sz w:val="20"/>
                <w:szCs w:val="20"/>
              </w:rPr>
              <w:t>3</w:t>
            </w:r>
          </w:p>
        </w:tc>
        <w:tc>
          <w:tcPr>
            <w:tcW w:w="2410" w:type="dxa"/>
          </w:tcPr>
          <w:p w14:paraId="7F2CF18B" w14:textId="6C6BECC4" w:rsidR="000039B1" w:rsidRDefault="000039B1" w:rsidP="000039B1">
            <w:pPr>
              <w:ind w:left="0"/>
              <w:rPr>
                <w:rFonts w:ascii="Bookman Old Style" w:hAnsi="Bookman Old Style"/>
                <w:bCs/>
                <w:sz w:val="20"/>
                <w:szCs w:val="20"/>
              </w:rPr>
            </w:pPr>
            <w:r>
              <w:rPr>
                <w:rFonts w:ascii="Bookman Old Style" w:hAnsi="Bookman Old Style"/>
                <w:bCs/>
                <w:sz w:val="20"/>
                <w:szCs w:val="20"/>
              </w:rPr>
              <w:t>Entrega de aclaraciones de</w:t>
            </w:r>
            <w:r w:rsidR="0067652E">
              <w:rPr>
                <w:rFonts w:ascii="Bookman Old Style" w:hAnsi="Bookman Old Style"/>
                <w:bCs/>
                <w:sz w:val="20"/>
                <w:szCs w:val="20"/>
              </w:rPr>
              <w:t xml:space="preserve"> parámetros,</w:t>
            </w:r>
            <w:r>
              <w:rPr>
                <w:rFonts w:ascii="Bookman Old Style" w:hAnsi="Bookman Old Style"/>
                <w:bCs/>
                <w:sz w:val="20"/>
                <w:szCs w:val="20"/>
              </w:rPr>
              <w:t xml:space="preserve"> ENFICC y EDA de las plantas con ajuste</w:t>
            </w:r>
            <w:r w:rsidR="0067652E">
              <w:rPr>
                <w:rFonts w:ascii="Bookman Old Style" w:hAnsi="Bookman Old Style"/>
                <w:bCs/>
                <w:sz w:val="20"/>
                <w:szCs w:val="20"/>
              </w:rPr>
              <w:t>s</w:t>
            </w:r>
            <w:r>
              <w:rPr>
                <w:rFonts w:ascii="Bookman Old Style" w:hAnsi="Bookman Old Style"/>
                <w:bCs/>
                <w:sz w:val="20"/>
                <w:szCs w:val="20"/>
              </w:rPr>
              <w:t xml:space="preserve"> </w:t>
            </w:r>
            <w:r w:rsidR="0067652E">
              <w:rPr>
                <w:rFonts w:ascii="Bookman Old Style" w:hAnsi="Bookman Old Style"/>
                <w:bCs/>
                <w:sz w:val="20"/>
                <w:szCs w:val="20"/>
              </w:rPr>
              <w:t xml:space="preserve">parámetros </w:t>
            </w:r>
            <w:r>
              <w:rPr>
                <w:rFonts w:ascii="Bookman Old Style" w:hAnsi="Bookman Old Style"/>
                <w:bCs/>
                <w:sz w:val="20"/>
                <w:szCs w:val="20"/>
              </w:rPr>
              <w:t xml:space="preserve">de acueducto </w:t>
            </w:r>
            <w:r w:rsidR="00B64B66">
              <w:rPr>
                <w:rFonts w:ascii="Bookman Old Style" w:hAnsi="Bookman Old Style"/>
                <w:bCs/>
                <w:sz w:val="20"/>
                <w:szCs w:val="20"/>
              </w:rPr>
              <w:t>&amp;</w:t>
            </w:r>
            <w:r>
              <w:rPr>
                <w:rFonts w:ascii="Bookman Old Style" w:hAnsi="Bookman Old Style"/>
                <w:bCs/>
                <w:sz w:val="20"/>
                <w:szCs w:val="20"/>
              </w:rPr>
              <w:t xml:space="preserve"> riego</w:t>
            </w:r>
            <w:r w:rsidR="00B64B66">
              <w:rPr>
                <w:rFonts w:ascii="Bookman Old Style" w:hAnsi="Bookman Old Style"/>
                <w:bCs/>
                <w:sz w:val="20"/>
                <w:szCs w:val="20"/>
              </w:rPr>
              <w:t xml:space="preserve"> y </w:t>
            </w:r>
            <w:r w:rsidR="0067652E">
              <w:rPr>
                <w:rFonts w:ascii="Bookman Old Style" w:hAnsi="Bookman Old Style"/>
                <w:bCs/>
                <w:sz w:val="20"/>
                <w:szCs w:val="20"/>
              </w:rPr>
              <w:t xml:space="preserve">de </w:t>
            </w:r>
            <w:r w:rsidR="00B64B66">
              <w:rPr>
                <w:rFonts w:ascii="Bookman Old Style" w:hAnsi="Bookman Old Style"/>
                <w:bCs/>
                <w:sz w:val="20"/>
                <w:szCs w:val="20"/>
              </w:rPr>
              <w:t>suministro y transporte de combustible</w:t>
            </w:r>
            <w:r w:rsidR="00724D69">
              <w:rPr>
                <w:rFonts w:ascii="Bookman Old Style" w:hAnsi="Bookman Old Style"/>
                <w:bCs/>
                <w:sz w:val="20"/>
                <w:szCs w:val="20"/>
              </w:rPr>
              <w:t>,</w:t>
            </w:r>
            <w:r>
              <w:rPr>
                <w:rFonts w:ascii="Bookman Old Style" w:hAnsi="Bookman Old Style"/>
                <w:bCs/>
                <w:sz w:val="20"/>
                <w:szCs w:val="20"/>
              </w:rPr>
              <w:t xml:space="preserve"> que hicieron declaración en el marco de la Res. CREG 127 de 2020</w:t>
            </w:r>
          </w:p>
          <w:p w14:paraId="45A00127" w14:textId="6777EF87" w:rsidR="00CB151C" w:rsidRDefault="00CB151C" w:rsidP="000039B1">
            <w:pPr>
              <w:ind w:left="0"/>
              <w:rPr>
                <w:rFonts w:ascii="Bookman Old Style" w:hAnsi="Bookman Old Style"/>
                <w:bCs/>
                <w:sz w:val="20"/>
                <w:szCs w:val="20"/>
              </w:rPr>
            </w:pPr>
          </w:p>
        </w:tc>
        <w:tc>
          <w:tcPr>
            <w:tcW w:w="2977" w:type="dxa"/>
          </w:tcPr>
          <w:p w14:paraId="265911C8" w14:textId="362D5128" w:rsidR="000039B1" w:rsidRDefault="000039B1" w:rsidP="000039B1">
            <w:pPr>
              <w:ind w:left="0"/>
              <w:rPr>
                <w:rFonts w:ascii="Bookman Old Style" w:hAnsi="Bookman Old Style"/>
                <w:bCs/>
                <w:sz w:val="20"/>
                <w:szCs w:val="20"/>
              </w:rPr>
            </w:pPr>
            <w:r>
              <w:rPr>
                <w:rFonts w:ascii="Bookman Old Style" w:hAnsi="Bookman Old Style"/>
                <w:bCs/>
                <w:sz w:val="20"/>
                <w:szCs w:val="20"/>
              </w:rPr>
              <w:t>Entrega de las aclaraciones solicitadas por el CND.</w:t>
            </w:r>
          </w:p>
        </w:tc>
        <w:tc>
          <w:tcPr>
            <w:tcW w:w="1559" w:type="dxa"/>
          </w:tcPr>
          <w:p w14:paraId="420BEC9D" w14:textId="299043E5" w:rsidR="000039B1" w:rsidRDefault="000039B1"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5E811D66" w14:textId="4988D4E6" w:rsidR="000039B1" w:rsidRDefault="000039B1" w:rsidP="000039B1">
            <w:pPr>
              <w:ind w:left="0"/>
              <w:rPr>
                <w:rFonts w:ascii="Bookman Old Style" w:hAnsi="Bookman Old Style"/>
                <w:bCs/>
                <w:sz w:val="20"/>
                <w:szCs w:val="20"/>
              </w:rPr>
            </w:pPr>
            <w:r>
              <w:rPr>
                <w:rFonts w:ascii="Bookman Old Style" w:hAnsi="Bookman Old Style"/>
                <w:bCs/>
                <w:sz w:val="20"/>
                <w:szCs w:val="20"/>
              </w:rPr>
              <w:t>Dentro de los 2 días hábiles siguientes al item 1</w:t>
            </w:r>
            <w:r w:rsidR="00066084">
              <w:rPr>
                <w:rFonts w:ascii="Bookman Old Style" w:hAnsi="Bookman Old Style"/>
                <w:bCs/>
                <w:sz w:val="20"/>
                <w:szCs w:val="20"/>
              </w:rPr>
              <w:t>1</w:t>
            </w:r>
          </w:p>
        </w:tc>
      </w:tr>
      <w:tr w:rsidR="000039B1" w14:paraId="1135526F" w14:textId="77777777" w:rsidTr="00ED48C7">
        <w:tc>
          <w:tcPr>
            <w:tcW w:w="704" w:type="dxa"/>
          </w:tcPr>
          <w:p w14:paraId="0E2CF26E" w14:textId="3A2AA191" w:rsidR="000039B1" w:rsidRDefault="00BD2D0A" w:rsidP="000039B1">
            <w:pPr>
              <w:ind w:left="0"/>
              <w:jc w:val="center"/>
              <w:rPr>
                <w:rFonts w:ascii="Bookman Old Style" w:hAnsi="Bookman Old Style"/>
                <w:bCs/>
                <w:sz w:val="20"/>
                <w:szCs w:val="20"/>
              </w:rPr>
            </w:pPr>
            <w:r>
              <w:rPr>
                <w:rFonts w:ascii="Bookman Old Style" w:hAnsi="Bookman Old Style"/>
                <w:bCs/>
                <w:sz w:val="20"/>
                <w:szCs w:val="20"/>
              </w:rPr>
              <w:t>14</w:t>
            </w:r>
          </w:p>
        </w:tc>
        <w:tc>
          <w:tcPr>
            <w:tcW w:w="2410" w:type="dxa"/>
          </w:tcPr>
          <w:p w14:paraId="6D5D2DAA" w14:textId="77777777" w:rsidR="000039B1" w:rsidRDefault="000039B1" w:rsidP="000039B1">
            <w:pPr>
              <w:ind w:left="0"/>
              <w:rPr>
                <w:rFonts w:ascii="Bookman Old Style" w:hAnsi="Bookman Old Style"/>
                <w:bCs/>
                <w:sz w:val="20"/>
                <w:szCs w:val="20"/>
              </w:rPr>
            </w:pPr>
            <w:r>
              <w:rPr>
                <w:rFonts w:ascii="Bookman Old Style" w:hAnsi="Bookman Old Style"/>
                <w:bCs/>
                <w:sz w:val="20"/>
                <w:szCs w:val="20"/>
              </w:rPr>
              <w:t>Declaración de contratos de plantas no despachadas centralmente</w:t>
            </w:r>
          </w:p>
        </w:tc>
        <w:tc>
          <w:tcPr>
            <w:tcW w:w="2977" w:type="dxa"/>
          </w:tcPr>
          <w:p w14:paraId="7A618DE4" w14:textId="77777777" w:rsidR="000039B1" w:rsidRDefault="000039B1" w:rsidP="000039B1">
            <w:pPr>
              <w:ind w:left="0"/>
              <w:rPr>
                <w:rFonts w:ascii="Bookman Old Style" w:hAnsi="Bookman Old Style"/>
                <w:bCs/>
                <w:sz w:val="20"/>
                <w:szCs w:val="20"/>
              </w:rPr>
            </w:pPr>
            <w:r w:rsidRPr="00C46D18">
              <w:rPr>
                <w:rFonts w:ascii="Bookman Old Style" w:hAnsi="Bookman Old Style"/>
                <w:bCs/>
                <w:sz w:val="20"/>
                <w:szCs w:val="20"/>
              </w:rPr>
              <w:t xml:space="preserve">Declaración </w:t>
            </w:r>
            <w:r>
              <w:rPr>
                <w:rFonts w:ascii="Bookman Old Style" w:hAnsi="Bookman Old Style"/>
                <w:bCs/>
                <w:sz w:val="20"/>
                <w:szCs w:val="20"/>
              </w:rPr>
              <w:t xml:space="preserve">al CND, en el medio y formatos que éste defina, </w:t>
            </w:r>
            <w:r w:rsidRPr="00C46D18">
              <w:rPr>
                <w:rFonts w:ascii="Bookman Old Style" w:hAnsi="Bookman Old Style"/>
                <w:bCs/>
                <w:sz w:val="20"/>
                <w:szCs w:val="20"/>
              </w:rPr>
              <w:t xml:space="preserve">en la que los agentes generadores que representan Plantas No Despachadas Centralmente informan si tienen contratos en los que suministren energía para cubrir demanda del período de vigencia a </w:t>
            </w:r>
            <w:r>
              <w:rPr>
                <w:rFonts w:ascii="Bookman Old Style" w:hAnsi="Bookman Old Style"/>
                <w:bCs/>
                <w:sz w:val="20"/>
                <w:szCs w:val="20"/>
              </w:rPr>
              <w:t>asignar.</w:t>
            </w:r>
          </w:p>
          <w:p w14:paraId="2AADCC71" w14:textId="325ED015" w:rsidR="000039B1" w:rsidRDefault="000039B1" w:rsidP="000039B1">
            <w:pPr>
              <w:ind w:left="0"/>
              <w:rPr>
                <w:rFonts w:ascii="Bookman Old Style" w:hAnsi="Bookman Old Style"/>
                <w:bCs/>
                <w:sz w:val="20"/>
                <w:szCs w:val="20"/>
              </w:rPr>
            </w:pPr>
          </w:p>
        </w:tc>
        <w:tc>
          <w:tcPr>
            <w:tcW w:w="1559" w:type="dxa"/>
          </w:tcPr>
          <w:p w14:paraId="6888E44A" w14:textId="77777777" w:rsidR="000039B1" w:rsidRDefault="000039B1" w:rsidP="00ED48C7">
            <w:pPr>
              <w:ind w:left="175"/>
              <w:rPr>
                <w:rFonts w:ascii="Bookman Old Style" w:hAnsi="Bookman Old Style"/>
                <w:bCs/>
                <w:sz w:val="20"/>
                <w:szCs w:val="20"/>
              </w:rPr>
            </w:pPr>
            <w:r>
              <w:rPr>
                <w:rFonts w:ascii="Bookman Old Style" w:hAnsi="Bookman Old Style"/>
                <w:bCs/>
                <w:sz w:val="20"/>
                <w:szCs w:val="20"/>
              </w:rPr>
              <w:t>Agentes</w:t>
            </w:r>
          </w:p>
          <w:p w14:paraId="66AAD188" w14:textId="77777777" w:rsidR="000039B1" w:rsidRDefault="000039B1" w:rsidP="00ED48C7">
            <w:pPr>
              <w:ind w:left="175"/>
              <w:rPr>
                <w:rFonts w:ascii="Bookman Old Style" w:hAnsi="Bookman Old Style"/>
                <w:bCs/>
                <w:sz w:val="20"/>
                <w:szCs w:val="20"/>
              </w:rPr>
            </w:pPr>
          </w:p>
        </w:tc>
        <w:tc>
          <w:tcPr>
            <w:tcW w:w="1843" w:type="dxa"/>
          </w:tcPr>
          <w:p w14:paraId="423548C4" w14:textId="276DBCE9"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Dentro de los </w:t>
            </w:r>
            <w:r w:rsidR="00BD2D0A">
              <w:rPr>
                <w:rFonts w:ascii="Bookman Old Style" w:hAnsi="Bookman Old Style"/>
                <w:bCs/>
                <w:sz w:val="20"/>
                <w:szCs w:val="20"/>
              </w:rPr>
              <w:t>4</w:t>
            </w:r>
            <w:r>
              <w:rPr>
                <w:rFonts w:ascii="Bookman Old Style" w:hAnsi="Bookman Old Style"/>
                <w:bCs/>
                <w:sz w:val="20"/>
                <w:szCs w:val="20"/>
              </w:rPr>
              <w:t xml:space="preserve"> días hábiles siguientes al item 1</w:t>
            </w:r>
            <w:r w:rsidR="00BD2D0A">
              <w:rPr>
                <w:rFonts w:ascii="Bookman Old Style" w:hAnsi="Bookman Old Style"/>
                <w:bCs/>
                <w:sz w:val="20"/>
                <w:szCs w:val="20"/>
              </w:rPr>
              <w:t>3</w:t>
            </w:r>
          </w:p>
        </w:tc>
      </w:tr>
      <w:tr w:rsidR="000039B1" w14:paraId="1B6DCE4E" w14:textId="77777777" w:rsidTr="00ED48C7">
        <w:tc>
          <w:tcPr>
            <w:tcW w:w="704" w:type="dxa"/>
          </w:tcPr>
          <w:p w14:paraId="19A1D0A9" w14:textId="1FC1F132" w:rsidR="000039B1" w:rsidRDefault="00BD2D0A" w:rsidP="000039B1">
            <w:pPr>
              <w:ind w:left="0"/>
              <w:jc w:val="center"/>
              <w:rPr>
                <w:rFonts w:ascii="Bookman Old Style" w:hAnsi="Bookman Old Style"/>
                <w:bCs/>
                <w:sz w:val="20"/>
                <w:szCs w:val="20"/>
              </w:rPr>
            </w:pPr>
            <w:r>
              <w:rPr>
                <w:rFonts w:ascii="Bookman Old Style" w:hAnsi="Bookman Old Style"/>
                <w:bCs/>
                <w:sz w:val="20"/>
                <w:szCs w:val="20"/>
              </w:rPr>
              <w:t>15</w:t>
            </w:r>
          </w:p>
        </w:tc>
        <w:tc>
          <w:tcPr>
            <w:tcW w:w="2410" w:type="dxa"/>
          </w:tcPr>
          <w:p w14:paraId="6FCE996A" w14:textId="46DCA9E4"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Declaración de la energía comprometida </w:t>
            </w:r>
            <w:r>
              <w:rPr>
                <w:rFonts w:ascii="Bookman Old Style" w:hAnsi="Bookman Old Style"/>
                <w:bCs/>
                <w:sz w:val="20"/>
                <w:szCs w:val="20"/>
              </w:rPr>
              <w:lastRenderedPageBreak/>
              <w:t xml:space="preserve">en anillos de seguridad </w:t>
            </w:r>
          </w:p>
        </w:tc>
        <w:tc>
          <w:tcPr>
            <w:tcW w:w="2977" w:type="dxa"/>
          </w:tcPr>
          <w:p w14:paraId="2C658F1B" w14:textId="33DA3AF1" w:rsidR="000039B1" w:rsidRDefault="000039B1" w:rsidP="000039B1">
            <w:pPr>
              <w:ind w:left="0"/>
              <w:rPr>
                <w:rFonts w:ascii="Bookman Old Style" w:hAnsi="Bookman Old Style"/>
                <w:bCs/>
                <w:sz w:val="20"/>
                <w:szCs w:val="20"/>
              </w:rPr>
            </w:pPr>
            <w:r>
              <w:rPr>
                <w:rFonts w:ascii="Bookman Old Style" w:hAnsi="Bookman Old Style"/>
                <w:bCs/>
                <w:sz w:val="20"/>
                <w:szCs w:val="20"/>
              </w:rPr>
              <w:lastRenderedPageBreak/>
              <w:t xml:space="preserve">Declaración al CND, en el medio que éste defina, de la energía comprometida en </w:t>
            </w:r>
            <w:r>
              <w:rPr>
                <w:rFonts w:ascii="Bookman Old Style" w:hAnsi="Bookman Old Style"/>
                <w:bCs/>
                <w:sz w:val="20"/>
                <w:szCs w:val="20"/>
              </w:rPr>
              <w:lastRenderedPageBreak/>
              <w:t>anillos de seguridad que comprometen E</w:t>
            </w:r>
            <w:r w:rsidR="00F52ED7">
              <w:rPr>
                <w:rFonts w:ascii="Bookman Old Style" w:hAnsi="Bookman Old Style"/>
                <w:bCs/>
                <w:sz w:val="20"/>
                <w:szCs w:val="20"/>
              </w:rPr>
              <w:t>NFICC</w:t>
            </w:r>
            <w:r>
              <w:rPr>
                <w:rFonts w:ascii="Bookman Old Style" w:hAnsi="Bookman Old Style"/>
                <w:bCs/>
                <w:sz w:val="20"/>
                <w:szCs w:val="20"/>
              </w:rPr>
              <w:t xml:space="preserve"> y/o EDA para el período a asignar conforme lo establece el artículo 1 de la Resolución CREG 002 de 2019 o las que la modifiquen, haciendo uso del formato publicado mediante la Circular CREG 091 de 2019.</w:t>
            </w:r>
          </w:p>
          <w:p w14:paraId="63E07649" w14:textId="01336991" w:rsidR="000039B1" w:rsidRDefault="000039B1" w:rsidP="000039B1">
            <w:pPr>
              <w:ind w:left="0"/>
              <w:rPr>
                <w:rFonts w:ascii="Bookman Old Style" w:hAnsi="Bookman Old Style"/>
                <w:bCs/>
                <w:sz w:val="20"/>
                <w:szCs w:val="20"/>
              </w:rPr>
            </w:pPr>
          </w:p>
        </w:tc>
        <w:tc>
          <w:tcPr>
            <w:tcW w:w="1559" w:type="dxa"/>
          </w:tcPr>
          <w:p w14:paraId="3526B53F" w14:textId="0D97EEB5" w:rsidR="000039B1" w:rsidRDefault="000039B1" w:rsidP="00ED48C7">
            <w:pPr>
              <w:ind w:left="175"/>
              <w:rPr>
                <w:rFonts w:ascii="Bookman Old Style" w:hAnsi="Bookman Old Style"/>
                <w:bCs/>
                <w:sz w:val="20"/>
                <w:szCs w:val="20"/>
              </w:rPr>
            </w:pPr>
            <w:r>
              <w:rPr>
                <w:rFonts w:ascii="Bookman Old Style" w:hAnsi="Bookman Old Style"/>
                <w:bCs/>
                <w:sz w:val="20"/>
                <w:szCs w:val="20"/>
              </w:rPr>
              <w:lastRenderedPageBreak/>
              <w:t>Agentes</w:t>
            </w:r>
          </w:p>
        </w:tc>
        <w:tc>
          <w:tcPr>
            <w:tcW w:w="1843" w:type="dxa"/>
          </w:tcPr>
          <w:p w14:paraId="29040CDA" w14:textId="5976591A"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Dentro de los </w:t>
            </w:r>
            <w:r w:rsidR="00BD2D0A">
              <w:rPr>
                <w:rFonts w:ascii="Bookman Old Style" w:hAnsi="Bookman Old Style"/>
                <w:bCs/>
                <w:sz w:val="20"/>
                <w:szCs w:val="20"/>
              </w:rPr>
              <w:t>4</w:t>
            </w:r>
            <w:r>
              <w:rPr>
                <w:rFonts w:ascii="Bookman Old Style" w:hAnsi="Bookman Old Style"/>
                <w:bCs/>
                <w:sz w:val="20"/>
                <w:szCs w:val="20"/>
              </w:rPr>
              <w:t xml:space="preserve"> días hábiles </w:t>
            </w:r>
            <w:r>
              <w:rPr>
                <w:rFonts w:ascii="Bookman Old Style" w:hAnsi="Bookman Old Style"/>
                <w:bCs/>
                <w:sz w:val="20"/>
                <w:szCs w:val="20"/>
              </w:rPr>
              <w:lastRenderedPageBreak/>
              <w:t>siguientes al item 1</w:t>
            </w:r>
            <w:r w:rsidR="00BD2D0A">
              <w:rPr>
                <w:rFonts w:ascii="Bookman Old Style" w:hAnsi="Bookman Old Style"/>
                <w:bCs/>
                <w:sz w:val="20"/>
                <w:szCs w:val="20"/>
              </w:rPr>
              <w:t>3</w:t>
            </w:r>
          </w:p>
        </w:tc>
      </w:tr>
      <w:tr w:rsidR="000039B1" w14:paraId="26CB1434" w14:textId="77777777" w:rsidTr="00ED48C7">
        <w:tc>
          <w:tcPr>
            <w:tcW w:w="704" w:type="dxa"/>
          </w:tcPr>
          <w:p w14:paraId="45A82DE3" w14:textId="2988605D" w:rsidR="000039B1" w:rsidRDefault="00BD2D0A" w:rsidP="000039B1">
            <w:pPr>
              <w:ind w:left="0"/>
              <w:jc w:val="center"/>
              <w:rPr>
                <w:rFonts w:ascii="Bookman Old Style" w:hAnsi="Bookman Old Style"/>
                <w:bCs/>
                <w:sz w:val="20"/>
                <w:szCs w:val="20"/>
              </w:rPr>
            </w:pPr>
            <w:r>
              <w:rPr>
                <w:rFonts w:ascii="Bookman Old Style" w:hAnsi="Bookman Old Style"/>
                <w:bCs/>
                <w:sz w:val="20"/>
                <w:szCs w:val="20"/>
              </w:rPr>
              <w:lastRenderedPageBreak/>
              <w:t>16</w:t>
            </w:r>
          </w:p>
        </w:tc>
        <w:tc>
          <w:tcPr>
            <w:tcW w:w="2410" w:type="dxa"/>
          </w:tcPr>
          <w:p w14:paraId="5FF534D4" w14:textId="77777777" w:rsidR="000039B1" w:rsidRDefault="000039B1" w:rsidP="000039B1">
            <w:pPr>
              <w:ind w:left="0"/>
              <w:rPr>
                <w:rFonts w:ascii="Bookman Old Style" w:hAnsi="Bookman Old Style"/>
                <w:bCs/>
                <w:sz w:val="20"/>
                <w:szCs w:val="20"/>
              </w:rPr>
            </w:pPr>
            <w:r>
              <w:rPr>
                <w:rFonts w:ascii="Bookman Old Style" w:hAnsi="Bookman Old Style"/>
                <w:bCs/>
                <w:sz w:val="20"/>
                <w:szCs w:val="20"/>
              </w:rPr>
              <w:t>Verificación ENFICC no comprometida</w:t>
            </w:r>
          </w:p>
        </w:tc>
        <w:tc>
          <w:tcPr>
            <w:tcW w:w="2977" w:type="dxa"/>
          </w:tcPr>
          <w:p w14:paraId="1663567F" w14:textId="77777777" w:rsidR="000039B1" w:rsidRDefault="000039B1" w:rsidP="000039B1">
            <w:pPr>
              <w:ind w:left="0"/>
              <w:rPr>
                <w:rFonts w:ascii="Bookman Old Style" w:hAnsi="Bookman Old Style"/>
                <w:bCs/>
                <w:sz w:val="20"/>
                <w:szCs w:val="20"/>
              </w:rPr>
            </w:pPr>
            <w:r>
              <w:rPr>
                <w:rFonts w:ascii="Bookman Old Style" w:hAnsi="Bookman Old Style"/>
                <w:bCs/>
                <w:sz w:val="20"/>
                <w:szCs w:val="20"/>
              </w:rPr>
              <w:t>El CND adelanta la verificación de la ENFICC no comprometida de acuerdo con el artículo 1 de la Resolución CREG 002 de 2019</w:t>
            </w:r>
          </w:p>
          <w:p w14:paraId="5CF8A146" w14:textId="65B61C2A" w:rsidR="00CB151C" w:rsidRDefault="00CB151C" w:rsidP="000039B1">
            <w:pPr>
              <w:ind w:left="0"/>
              <w:rPr>
                <w:rFonts w:ascii="Bookman Old Style" w:hAnsi="Bookman Old Style"/>
                <w:bCs/>
                <w:sz w:val="20"/>
                <w:szCs w:val="20"/>
              </w:rPr>
            </w:pPr>
          </w:p>
        </w:tc>
        <w:tc>
          <w:tcPr>
            <w:tcW w:w="1559" w:type="dxa"/>
          </w:tcPr>
          <w:p w14:paraId="494FE8B9" w14:textId="77777777" w:rsidR="000039B1" w:rsidRDefault="000039B1" w:rsidP="00ED48C7">
            <w:pPr>
              <w:ind w:left="175"/>
              <w:rPr>
                <w:rFonts w:ascii="Bookman Old Style" w:hAnsi="Bookman Old Style"/>
                <w:bCs/>
                <w:sz w:val="20"/>
                <w:szCs w:val="20"/>
              </w:rPr>
            </w:pPr>
            <w:r>
              <w:rPr>
                <w:rFonts w:ascii="Bookman Old Style" w:hAnsi="Bookman Old Style"/>
                <w:bCs/>
                <w:sz w:val="20"/>
                <w:szCs w:val="20"/>
              </w:rPr>
              <w:t>CND</w:t>
            </w:r>
          </w:p>
        </w:tc>
        <w:tc>
          <w:tcPr>
            <w:tcW w:w="1843" w:type="dxa"/>
          </w:tcPr>
          <w:p w14:paraId="617366BF" w14:textId="333DC473"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Dentro de los 3 días hábiles siguientes al item </w:t>
            </w:r>
            <w:r w:rsidR="00BD2D0A">
              <w:rPr>
                <w:rFonts w:ascii="Bookman Old Style" w:hAnsi="Bookman Old Style"/>
                <w:bCs/>
                <w:sz w:val="20"/>
                <w:szCs w:val="20"/>
              </w:rPr>
              <w:t>15</w:t>
            </w:r>
          </w:p>
          <w:p w14:paraId="199FE96F" w14:textId="369A8880" w:rsidR="000039B1" w:rsidRDefault="000039B1" w:rsidP="000039B1">
            <w:pPr>
              <w:ind w:left="0"/>
              <w:rPr>
                <w:rFonts w:ascii="Bookman Old Style" w:hAnsi="Bookman Old Style"/>
                <w:bCs/>
                <w:sz w:val="20"/>
                <w:szCs w:val="20"/>
              </w:rPr>
            </w:pPr>
          </w:p>
        </w:tc>
      </w:tr>
      <w:tr w:rsidR="000039B1" w14:paraId="3B8F99F3" w14:textId="77777777" w:rsidTr="00ED48C7">
        <w:tc>
          <w:tcPr>
            <w:tcW w:w="704" w:type="dxa"/>
          </w:tcPr>
          <w:p w14:paraId="4D3E0027" w14:textId="370DB69B" w:rsidR="000039B1" w:rsidRDefault="00BD2D0A" w:rsidP="000039B1">
            <w:pPr>
              <w:ind w:left="0"/>
              <w:jc w:val="center"/>
              <w:rPr>
                <w:rFonts w:ascii="Bookman Old Style" w:hAnsi="Bookman Old Style"/>
                <w:bCs/>
                <w:sz w:val="20"/>
                <w:szCs w:val="20"/>
              </w:rPr>
            </w:pPr>
            <w:r>
              <w:rPr>
                <w:rFonts w:ascii="Bookman Old Style" w:hAnsi="Bookman Old Style"/>
                <w:bCs/>
                <w:sz w:val="20"/>
                <w:szCs w:val="20"/>
              </w:rPr>
              <w:t>17</w:t>
            </w:r>
          </w:p>
        </w:tc>
        <w:tc>
          <w:tcPr>
            <w:tcW w:w="2410" w:type="dxa"/>
          </w:tcPr>
          <w:p w14:paraId="5E98C4D0" w14:textId="17916596" w:rsidR="000039B1" w:rsidRDefault="000039B1" w:rsidP="000039B1">
            <w:pPr>
              <w:ind w:left="0"/>
              <w:rPr>
                <w:rFonts w:ascii="Bookman Old Style" w:hAnsi="Bookman Old Style"/>
                <w:bCs/>
                <w:sz w:val="20"/>
                <w:szCs w:val="20"/>
              </w:rPr>
            </w:pPr>
            <w:r>
              <w:rPr>
                <w:rFonts w:ascii="Bookman Old Style" w:hAnsi="Bookman Old Style"/>
                <w:bCs/>
                <w:sz w:val="20"/>
                <w:szCs w:val="20"/>
              </w:rPr>
              <w:t>Asignación y p</w:t>
            </w:r>
            <w:r w:rsidRPr="00E37DDE">
              <w:rPr>
                <w:rFonts w:ascii="Bookman Old Style" w:hAnsi="Bookman Old Style"/>
                <w:bCs/>
                <w:sz w:val="20"/>
                <w:szCs w:val="20"/>
              </w:rPr>
              <w:t>ublicación de resultados</w:t>
            </w:r>
          </w:p>
        </w:tc>
        <w:tc>
          <w:tcPr>
            <w:tcW w:w="2977" w:type="dxa"/>
          </w:tcPr>
          <w:p w14:paraId="7DAED5B0" w14:textId="32C537B1"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Publicación de la asignación de OEF </w:t>
            </w:r>
            <w:r w:rsidRPr="00E37DDE">
              <w:rPr>
                <w:rFonts w:ascii="Bookman Old Style" w:hAnsi="Bookman Old Style"/>
                <w:bCs/>
                <w:sz w:val="20"/>
                <w:szCs w:val="20"/>
              </w:rPr>
              <w:t>a cada uno de los generadores a prorrata de su E</w:t>
            </w:r>
            <w:r w:rsidR="00F52ED7">
              <w:rPr>
                <w:rFonts w:ascii="Bookman Old Style" w:hAnsi="Bookman Old Style"/>
                <w:bCs/>
                <w:sz w:val="20"/>
                <w:szCs w:val="20"/>
              </w:rPr>
              <w:t xml:space="preserve">NFICC </w:t>
            </w:r>
            <w:r>
              <w:rPr>
                <w:rFonts w:ascii="Bookman Old Style" w:hAnsi="Bookman Old Style"/>
                <w:bCs/>
                <w:sz w:val="20"/>
                <w:szCs w:val="20"/>
              </w:rPr>
              <w:t xml:space="preserve">no comprometida, considerando OEF </w:t>
            </w:r>
            <w:r w:rsidR="0067652E">
              <w:rPr>
                <w:rFonts w:ascii="Bookman Old Style" w:hAnsi="Bookman Old Style"/>
                <w:bCs/>
                <w:sz w:val="20"/>
                <w:szCs w:val="20"/>
              </w:rPr>
              <w:t xml:space="preserve">ya </w:t>
            </w:r>
            <w:r>
              <w:rPr>
                <w:rFonts w:ascii="Bookman Old Style" w:hAnsi="Bookman Old Style"/>
                <w:bCs/>
                <w:sz w:val="20"/>
                <w:szCs w:val="20"/>
              </w:rPr>
              <w:t>asignadas y la PNDC con contratos de acuerdo con lo definido en el Artículo 25 de la Resolución CREG 071 de 2006.</w:t>
            </w:r>
          </w:p>
          <w:p w14:paraId="25C347F1" w14:textId="209B378D" w:rsidR="000039B1" w:rsidRDefault="000039B1" w:rsidP="000039B1">
            <w:pPr>
              <w:ind w:left="0"/>
              <w:rPr>
                <w:rFonts w:ascii="Bookman Old Style" w:hAnsi="Bookman Old Style"/>
                <w:bCs/>
                <w:sz w:val="20"/>
                <w:szCs w:val="20"/>
              </w:rPr>
            </w:pPr>
          </w:p>
        </w:tc>
        <w:tc>
          <w:tcPr>
            <w:tcW w:w="1559" w:type="dxa"/>
          </w:tcPr>
          <w:p w14:paraId="4FAB9D00" w14:textId="5A835BFC" w:rsidR="000039B1" w:rsidRDefault="000039B1" w:rsidP="00ED48C7">
            <w:pPr>
              <w:ind w:left="175"/>
              <w:rPr>
                <w:rFonts w:ascii="Bookman Old Style" w:hAnsi="Bookman Old Style"/>
                <w:bCs/>
                <w:sz w:val="20"/>
                <w:szCs w:val="20"/>
              </w:rPr>
            </w:pPr>
            <w:r>
              <w:rPr>
                <w:rFonts w:ascii="Bookman Old Style" w:hAnsi="Bookman Old Style"/>
                <w:bCs/>
                <w:sz w:val="20"/>
                <w:szCs w:val="20"/>
              </w:rPr>
              <w:t>ASIC</w:t>
            </w:r>
          </w:p>
        </w:tc>
        <w:tc>
          <w:tcPr>
            <w:tcW w:w="1843" w:type="dxa"/>
          </w:tcPr>
          <w:p w14:paraId="05B2E88A" w14:textId="5685A702"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Dentro de los 3 días hábiles siguientes al item </w:t>
            </w:r>
            <w:r w:rsidR="00BD2D0A">
              <w:rPr>
                <w:rFonts w:ascii="Bookman Old Style" w:hAnsi="Bookman Old Style"/>
                <w:bCs/>
                <w:sz w:val="20"/>
                <w:szCs w:val="20"/>
              </w:rPr>
              <w:t>16</w:t>
            </w:r>
          </w:p>
        </w:tc>
      </w:tr>
      <w:tr w:rsidR="000039B1" w14:paraId="7B4BFBF3" w14:textId="77777777" w:rsidTr="00ED48C7">
        <w:tc>
          <w:tcPr>
            <w:tcW w:w="704" w:type="dxa"/>
          </w:tcPr>
          <w:p w14:paraId="3361C682" w14:textId="7040EF22" w:rsidR="000039B1" w:rsidRDefault="00BD2D0A" w:rsidP="000039B1">
            <w:pPr>
              <w:ind w:left="0"/>
              <w:jc w:val="center"/>
              <w:rPr>
                <w:rFonts w:ascii="Bookman Old Style" w:hAnsi="Bookman Old Style"/>
                <w:bCs/>
                <w:sz w:val="20"/>
                <w:szCs w:val="20"/>
              </w:rPr>
            </w:pPr>
            <w:r>
              <w:rPr>
                <w:rFonts w:ascii="Bookman Old Style" w:hAnsi="Bookman Old Style"/>
                <w:bCs/>
                <w:sz w:val="20"/>
                <w:szCs w:val="20"/>
              </w:rPr>
              <w:t>18</w:t>
            </w:r>
          </w:p>
        </w:tc>
        <w:tc>
          <w:tcPr>
            <w:tcW w:w="2410" w:type="dxa"/>
          </w:tcPr>
          <w:p w14:paraId="49092D56" w14:textId="3958AFCA" w:rsidR="000039B1" w:rsidRDefault="000039B1" w:rsidP="000039B1">
            <w:pPr>
              <w:ind w:left="0"/>
              <w:rPr>
                <w:rFonts w:ascii="Bookman Old Style" w:hAnsi="Bookman Old Style"/>
                <w:bCs/>
                <w:sz w:val="20"/>
                <w:szCs w:val="20"/>
              </w:rPr>
            </w:pPr>
            <w:r w:rsidRPr="00AC56E3">
              <w:rPr>
                <w:rFonts w:ascii="Bookman Old Style" w:hAnsi="Bookman Old Style"/>
                <w:bCs/>
                <w:sz w:val="20"/>
                <w:szCs w:val="20"/>
              </w:rPr>
              <w:t>Entrega de contratos o garantías y certificación actividades de operación y mantenimiento</w:t>
            </w:r>
            <w:r>
              <w:rPr>
                <w:rFonts w:ascii="Bookman Old Style" w:hAnsi="Bookman Old Style"/>
                <w:bCs/>
                <w:sz w:val="20"/>
                <w:szCs w:val="20"/>
              </w:rPr>
              <w:t xml:space="preserve"> al ASIC</w:t>
            </w:r>
          </w:p>
        </w:tc>
        <w:tc>
          <w:tcPr>
            <w:tcW w:w="2977" w:type="dxa"/>
          </w:tcPr>
          <w:p w14:paraId="55229C87" w14:textId="01F9DA25" w:rsidR="000039B1" w:rsidRPr="00AC56E3" w:rsidRDefault="000039B1" w:rsidP="000039B1">
            <w:pPr>
              <w:ind w:left="0"/>
              <w:rPr>
                <w:rFonts w:ascii="Bookman Old Style" w:hAnsi="Bookman Old Style"/>
                <w:bCs/>
                <w:sz w:val="20"/>
                <w:szCs w:val="20"/>
              </w:rPr>
            </w:pPr>
            <w:r w:rsidRPr="00AC56E3">
              <w:rPr>
                <w:rFonts w:ascii="Bookman Old Style" w:hAnsi="Bookman Old Style"/>
                <w:bCs/>
                <w:sz w:val="20"/>
                <w:szCs w:val="20"/>
              </w:rPr>
              <w:t>Entrega de contratos de combustible o garantías</w:t>
            </w:r>
            <w:r>
              <w:rPr>
                <w:rFonts w:ascii="Bookman Old Style" w:hAnsi="Bookman Old Style"/>
                <w:bCs/>
                <w:sz w:val="20"/>
                <w:szCs w:val="20"/>
              </w:rPr>
              <w:t xml:space="preserve"> al ASIC</w:t>
            </w:r>
          </w:p>
          <w:p w14:paraId="2BDBC72D" w14:textId="77777777" w:rsidR="000039B1" w:rsidRPr="00AC56E3" w:rsidRDefault="000039B1" w:rsidP="000039B1">
            <w:pPr>
              <w:ind w:left="0"/>
              <w:rPr>
                <w:rFonts w:ascii="Bookman Old Style" w:hAnsi="Bookman Old Style"/>
                <w:bCs/>
                <w:sz w:val="20"/>
                <w:szCs w:val="20"/>
              </w:rPr>
            </w:pPr>
          </w:p>
          <w:p w14:paraId="2974E4E9" w14:textId="77777777" w:rsidR="000039B1" w:rsidRPr="00AC56E3" w:rsidRDefault="000039B1" w:rsidP="000039B1">
            <w:pPr>
              <w:ind w:left="0"/>
              <w:rPr>
                <w:rFonts w:ascii="Bookman Old Style" w:hAnsi="Bookman Old Style"/>
                <w:bCs/>
                <w:sz w:val="20"/>
                <w:szCs w:val="20"/>
              </w:rPr>
            </w:pPr>
            <w:r w:rsidRPr="00AC56E3">
              <w:rPr>
                <w:rFonts w:ascii="Bookman Old Style" w:hAnsi="Bookman Old Style"/>
                <w:bCs/>
                <w:sz w:val="20"/>
                <w:szCs w:val="20"/>
              </w:rPr>
              <w:t>Para plantas térmicas a carbón las garantías, durante el período de planeación, pueden ser el certificado del Plan de Trabajo y Obras y la carta de intención presentada según el artículo 46 de la Resolución CREG 071 de 2006.</w:t>
            </w:r>
          </w:p>
          <w:p w14:paraId="047E9724" w14:textId="77777777" w:rsidR="000039B1" w:rsidRPr="00AC56E3" w:rsidRDefault="000039B1" w:rsidP="000039B1">
            <w:pPr>
              <w:ind w:left="0"/>
              <w:rPr>
                <w:rFonts w:ascii="Bookman Old Style" w:hAnsi="Bookman Old Style"/>
                <w:bCs/>
                <w:sz w:val="20"/>
                <w:szCs w:val="20"/>
              </w:rPr>
            </w:pPr>
          </w:p>
          <w:p w14:paraId="0778E10D" w14:textId="77777777" w:rsidR="000039B1" w:rsidRPr="00AC56E3" w:rsidRDefault="000039B1" w:rsidP="000039B1">
            <w:pPr>
              <w:ind w:left="0"/>
              <w:rPr>
                <w:rFonts w:ascii="Bookman Old Style" w:hAnsi="Bookman Old Style"/>
                <w:bCs/>
                <w:sz w:val="20"/>
                <w:szCs w:val="20"/>
              </w:rPr>
            </w:pPr>
            <w:r w:rsidRPr="00AC56E3">
              <w:rPr>
                <w:rFonts w:ascii="Bookman Old Style" w:hAnsi="Bookman Old Style"/>
                <w:bCs/>
                <w:sz w:val="20"/>
                <w:szCs w:val="20"/>
              </w:rPr>
              <w:t>Para plantas o unidades que respalden la obligación con combustible líquido pueden aplicar lo definido en el artículo 13 de la Resolución CREG 085 de 2007.</w:t>
            </w:r>
          </w:p>
          <w:p w14:paraId="435E6034" w14:textId="77777777" w:rsidR="000039B1" w:rsidRPr="00AC56E3" w:rsidRDefault="000039B1" w:rsidP="000039B1">
            <w:pPr>
              <w:ind w:left="0"/>
              <w:rPr>
                <w:rFonts w:ascii="Bookman Old Style" w:hAnsi="Bookman Old Style"/>
                <w:bCs/>
                <w:sz w:val="20"/>
                <w:szCs w:val="20"/>
              </w:rPr>
            </w:pPr>
          </w:p>
          <w:p w14:paraId="169D7260" w14:textId="77777777" w:rsidR="000039B1" w:rsidRPr="00AC56E3" w:rsidRDefault="000039B1" w:rsidP="000039B1">
            <w:pPr>
              <w:ind w:left="0"/>
              <w:rPr>
                <w:rFonts w:ascii="Bookman Old Style" w:hAnsi="Bookman Old Style"/>
                <w:bCs/>
                <w:sz w:val="20"/>
                <w:szCs w:val="20"/>
              </w:rPr>
            </w:pPr>
            <w:r w:rsidRPr="00AC56E3">
              <w:rPr>
                <w:rFonts w:ascii="Bookman Old Style" w:hAnsi="Bookman Old Style"/>
                <w:bCs/>
                <w:sz w:val="20"/>
                <w:szCs w:val="20"/>
              </w:rPr>
              <w:t>Para plantas térmicas con gas natural importado aplicarán lo definido en la Resolución CREG 106 de 2011.</w:t>
            </w:r>
          </w:p>
          <w:p w14:paraId="31398B4B" w14:textId="77777777" w:rsidR="000039B1" w:rsidRPr="00AC56E3" w:rsidRDefault="000039B1" w:rsidP="000039B1">
            <w:pPr>
              <w:ind w:left="0"/>
              <w:rPr>
                <w:rFonts w:ascii="Bookman Old Style" w:hAnsi="Bookman Old Style"/>
                <w:bCs/>
                <w:sz w:val="20"/>
                <w:szCs w:val="20"/>
              </w:rPr>
            </w:pPr>
          </w:p>
          <w:p w14:paraId="3219E71C" w14:textId="77777777" w:rsidR="000039B1" w:rsidRDefault="000039B1" w:rsidP="000039B1">
            <w:pPr>
              <w:ind w:left="0"/>
              <w:rPr>
                <w:rFonts w:ascii="Bookman Old Style" w:hAnsi="Bookman Old Style"/>
                <w:bCs/>
                <w:sz w:val="20"/>
                <w:szCs w:val="20"/>
              </w:rPr>
            </w:pPr>
            <w:r w:rsidRPr="00AC56E3">
              <w:rPr>
                <w:rFonts w:ascii="Bookman Old Style" w:hAnsi="Bookman Old Style"/>
                <w:bCs/>
                <w:sz w:val="20"/>
                <w:szCs w:val="20"/>
              </w:rPr>
              <w:t>La certificación de operación y mantenimiento será la definida en la Resolución CREG 005 de 2009.</w:t>
            </w:r>
          </w:p>
          <w:p w14:paraId="001D1A5B" w14:textId="3829AE8B" w:rsidR="000039B1" w:rsidRDefault="000039B1" w:rsidP="000039B1">
            <w:pPr>
              <w:ind w:left="0"/>
              <w:rPr>
                <w:rFonts w:ascii="Bookman Old Style" w:hAnsi="Bookman Old Style"/>
                <w:bCs/>
                <w:sz w:val="20"/>
                <w:szCs w:val="20"/>
              </w:rPr>
            </w:pPr>
          </w:p>
        </w:tc>
        <w:tc>
          <w:tcPr>
            <w:tcW w:w="1559" w:type="dxa"/>
          </w:tcPr>
          <w:p w14:paraId="7788CDED" w14:textId="51C57B82" w:rsidR="000039B1" w:rsidRDefault="000039B1" w:rsidP="00ED48C7">
            <w:pPr>
              <w:ind w:left="175"/>
              <w:rPr>
                <w:rFonts w:ascii="Bookman Old Style" w:hAnsi="Bookman Old Style"/>
                <w:bCs/>
                <w:sz w:val="20"/>
                <w:szCs w:val="20"/>
              </w:rPr>
            </w:pPr>
            <w:r>
              <w:rPr>
                <w:rFonts w:ascii="Bookman Old Style" w:hAnsi="Bookman Old Style"/>
                <w:bCs/>
                <w:sz w:val="20"/>
                <w:szCs w:val="20"/>
              </w:rPr>
              <w:lastRenderedPageBreak/>
              <w:t>Agentes</w:t>
            </w:r>
          </w:p>
        </w:tc>
        <w:tc>
          <w:tcPr>
            <w:tcW w:w="1843" w:type="dxa"/>
          </w:tcPr>
          <w:p w14:paraId="5650F821" w14:textId="10563796"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Dentro de los 20 días hábiles siguientes al item </w:t>
            </w:r>
            <w:r w:rsidR="000A4197">
              <w:rPr>
                <w:rFonts w:ascii="Bookman Old Style" w:hAnsi="Bookman Old Style"/>
                <w:bCs/>
                <w:sz w:val="20"/>
                <w:szCs w:val="20"/>
              </w:rPr>
              <w:t>1</w:t>
            </w:r>
            <w:r>
              <w:rPr>
                <w:rFonts w:ascii="Bookman Old Style" w:hAnsi="Bookman Old Style"/>
                <w:bCs/>
                <w:sz w:val="20"/>
                <w:szCs w:val="20"/>
              </w:rPr>
              <w:t>6</w:t>
            </w:r>
          </w:p>
        </w:tc>
      </w:tr>
      <w:tr w:rsidR="00BD2D0A" w14:paraId="35D71989" w14:textId="77777777" w:rsidTr="00ED48C7">
        <w:trPr>
          <w:trHeight w:val="618"/>
        </w:trPr>
        <w:tc>
          <w:tcPr>
            <w:tcW w:w="704" w:type="dxa"/>
            <w:vMerge w:val="restart"/>
          </w:tcPr>
          <w:p w14:paraId="7909BA47" w14:textId="13A55C18" w:rsidR="00BD2D0A" w:rsidRDefault="00BD2D0A" w:rsidP="000039B1">
            <w:pPr>
              <w:ind w:left="0"/>
              <w:jc w:val="center"/>
              <w:rPr>
                <w:rFonts w:ascii="Bookman Old Style" w:hAnsi="Bookman Old Style"/>
                <w:bCs/>
                <w:sz w:val="20"/>
                <w:szCs w:val="20"/>
              </w:rPr>
            </w:pPr>
            <w:r>
              <w:rPr>
                <w:rFonts w:ascii="Bookman Old Style" w:hAnsi="Bookman Old Style"/>
                <w:bCs/>
                <w:sz w:val="20"/>
                <w:szCs w:val="20"/>
              </w:rPr>
              <w:t>19</w:t>
            </w:r>
          </w:p>
        </w:tc>
        <w:tc>
          <w:tcPr>
            <w:tcW w:w="2410" w:type="dxa"/>
            <w:vMerge w:val="restart"/>
          </w:tcPr>
          <w:p w14:paraId="053C3FE4" w14:textId="4F6D436B" w:rsidR="00BD2D0A" w:rsidRPr="00AC56E3" w:rsidRDefault="00BD2D0A" w:rsidP="000039B1">
            <w:pPr>
              <w:ind w:left="0"/>
              <w:rPr>
                <w:rFonts w:ascii="Bookman Old Style" w:hAnsi="Bookman Old Style"/>
                <w:bCs/>
                <w:sz w:val="20"/>
                <w:szCs w:val="20"/>
              </w:rPr>
            </w:pPr>
            <w:r>
              <w:rPr>
                <w:rFonts w:ascii="Bookman Old Style" w:hAnsi="Bookman Old Style"/>
                <w:bCs/>
                <w:sz w:val="20"/>
                <w:szCs w:val="20"/>
              </w:rPr>
              <w:t>Verificación y s</w:t>
            </w:r>
            <w:r w:rsidRPr="00AE5EEC">
              <w:rPr>
                <w:rFonts w:ascii="Bookman Old Style" w:hAnsi="Bookman Old Style"/>
                <w:bCs/>
                <w:sz w:val="20"/>
                <w:szCs w:val="20"/>
              </w:rPr>
              <w:t>olicitud de aclaración de garantías que respaldan OEF</w:t>
            </w:r>
          </w:p>
        </w:tc>
        <w:tc>
          <w:tcPr>
            <w:tcW w:w="2977" w:type="dxa"/>
          </w:tcPr>
          <w:p w14:paraId="2694FEB7" w14:textId="77777777" w:rsidR="00800227" w:rsidRDefault="00800227" w:rsidP="000039B1">
            <w:pPr>
              <w:ind w:left="0"/>
              <w:rPr>
                <w:rFonts w:ascii="Bookman Old Style" w:hAnsi="Bookman Old Style"/>
                <w:bCs/>
                <w:sz w:val="20"/>
                <w:szCs w:val="20"/>
              </w:rPr>
            </w:pPr>
            <w:r>
              <w:rPr>
                <w:rFonts w:ascii="Bookman Old Style" w:hAnsi="Bookman Old Style"/>
                <w:bCs/>
                <w:sz w:val="20"/>
                <w:szCs w:val="20"/>
              </w:rPr>
              <w:t>Verificación de las garantías remitidas.</w:t>
            </w:r>
          </w:p>
          <w:p w14:paraId="46967112" w14:textId="77777777" w:rsidR="00CB151C" w:rsidRDefault="00CB151C" w:rsidP="000039B1">
            <w:pPr>
              <w:ind w:left="0"/>
              <w:rPr>
                <w:rFonts w:ascii="Bookman Old Style" w:hAnsi="Bookman Old Style"/>
                <w:bCs/>
                <w:sz w:val="20"/>
                <w:szCs w:val="20"/>
              </w:rPr>
            </w:pPr>
          </w:p>
          <w:p w14:paraId="736BB84F" w14:textId="419D3210" w:rsidR="00CB151C" w:rsidRPr="00AC56E3" w:rsidRDefault="00CB151C" w:rsidP="000039B1">
            <w:pPr>
              <w:ind w:left="0"/>
              <w:rPr>
                <w:rFonts w:ascii="Bookman Old Style" w:hAnsi="Bookman Old Style"/>
                <w:bCs/>
                <w:sz w:val="20"/>
                <w:szCs w:val="20"/>
              </w:rPr>
            </w:pPr>
          </w:p>
        </w:tc>
        <w:tc>
          <w:tcPr>
            <w:tcW w:w="1559" w:type="dxa"/>
          </w:tcPr>
          <w:p w14:paraId="068AAE88" w14:textId="7EC38080" w:rsidR="00BD2D0A" w:rsidRDefault="00BD2D0A" w:rsidP="00ED48C7">
            <w:pPr>
              <w:ind w:left="175"/>
              <w:rPr>
                <w:rFonts w:ascii="Bookman Old Style" w:hAnsi="Bookman Old Style"/>
                <w:bCs/>
                <w:sz w:val="20"/>
                <w:szCs w:val="20"/>
              </w:rPr>
            </w:pPr>
            <w:r>
              <w:rPr>
                <w:rFonts w:ascii="Bookman Old Style" w:hAnsi="Bookman Old Style"/>
                <w:bCs/>
                <w:sz w:val="20"/>
                <w:szCs w:val="20"/>
              </w:rPr>
              <w:t>ASIC</w:t>
            </w:r>
          </w:p>
        </w:tc>
        <w:tc>
          <w:tcPr>
            <w:tcW w:w="1843" w:type="dxa"/>
          </w:tcPr>
          <w:p w14:paraId="11564664" w14:textId="34612F55" w:rsidR="00BD2D0A" w:rsidRDefault="00BD2D0A" w:rsidP="000039B1">
            <w:pPr>
              <w:ind w:left="0"/>
              <w:rPr>
                <w:rFonts w:ascii="Bookman Old Style" w:hAnsi="Bookman Old Style"/>
                <w:bCs/>
                <w:sz w:val="20"/>
                <w:szCs w:val="20"/>
              </w:rPr>
            </w:pPr>
            <w:r>
              <w:rPr>
                <w:rFonts w:ascii="Bookman Old Style" w:hAnsi="Bookman Old Style"/>
                <w:bCs/>
                <w:sz w:val="20"/>
                <w:szCs w:val="20"/>
              </w:rPr>
              <w:t xml:space="preserve">Dentro de los </w:t>
            </w:r>
            <w:r w:rsidR="00800227">
              <w:rPr>
                <w:rFonts w:ascii="Bookman Old Style" w:hAnsi="Bookman Old Style"/>
                <w:bCs/>
                <w:sz w:val="20"/>
                <w:szCs w:val="20"/>
              </w:rPr>
              <w:t>3</w:t>
            </w:r>
            <w:r>
              <w:rPr>
                <w:rFonts w:ascii="Bookman Old Style" w:hAnsi="Bookman Old Style"/>
                <w:bCs/>
                <w:sz w:val="20"/>
                <w:szCs w:val="20"/>
              </w:rPr>
              <w:t xml:space="preserve"> días hábiles siguientes al item </w:t>
            </w:r>
            <w:r w:rsidR="00800227">
              <w:rPr>
                <w:rFonts w:ascii="Bookman Old Style" w:hAnsi="Bookman Old Style"/>
                <w:bCs/>
                <w:sz w:val="20"/>
                <w:szCs w:val="20"/>
              </w:rPr>
              <w:t>18</w:t>
            </w:r>
          </w:p>
        </w:tc>
      </w:tr>
      <w:tr w:rsidR="00BD2D0A" w14:paraId="0DBF6C78" w14:textId="77777777" w:rsidTr="00ED48C7">
        <w:tc>
          <w:tcPr>
            <w:tcW w:w="704" w:type="dxa"/>
            <w:vMerge/>
          </w:tcPr>
          <w:p w14:paraId="525DE2B3" w14:textId="77777777" w:rsidR="00BD2D0A" w:rsidRDefault="00BD2D0A" w:rsidP="000039B1">
            <w:pPr>
              <w:ind w:left="0"/>
              <w:jc w:val="center"/>
              <w:rPr>
                <w:rFonts w:ascii="Bookman Old Style" w:hAnsi="Bookman Old Style"/>
                <w:bCs/>
                <w:sz w:val="20"/>
                <w:szCs w:val="20"/>
              </w:rPr>
            </w:pPr>
          </w:p>
        </w:tc>
        <w:tc>
          <w:tcPr>
            <w:tcW w:w="2410" w:type="dxa"/>
            <w:vMerge/>
          </w:tcPr>
          <w:p w14:paraId="76CED327" w14:textId="77777777" w:rsidR="00BD2D0A" w:rsidRPr="00AE5EEC" w:rsidRDefault="00BD2D0A" w:rsidP="000039B1">
            <w:pPr>
              <w:ind w:left="0"/>
              <w:rPr>
                <w:rFonts w:ascii="Bookman Old Style" w:hAnsi="Bookman Old Style"/>
                <w:bCs/>
                <w:sz w:val="20"/>
                <w:szCs w:val="20"/>
              </w:rPr>
            </w:pPr>
          </w:p>
        </w:tc>
        <w:tc>
          <w:tcPr>
            <w:tcW w:w="2977" w:type="dxa"/>
          </w:tcPr>
          <w:p w14:paraId="7787861C" w14:textId="738967AC" w:rsidR="00BD2D0A" w:rsidRPr="00AE5EEC" w:rsidRDefault="00800227" w:rsidP="000039B1">
            <w:pPr>
              <w:ind w:left="0"/>
              <w:rPr>
                <w:rFonts w:ascii="Bookman Old Style" w:hAnsi="Bookman Old Style"/>
                <w:bCs/>
                <w:sz w:val="20"/>
                <w:szCs w:val="20"/>
              </w:rPr>
            </w:pPr>
            <w:r w:rsidRPr="00AE5EEC">
              <w:rPr>
                <w:rFonts w:ascii="Bookman Old Style" w:hAnsi="Bookman Old Style"/>
                <w:bCs/>
                <w:sz w:val="20"/>
                <w:szCs w:val="20"/>
              </w:rPr>
              <w:t>Solicitud de aclaración a la</w:t>
            </w:r>
            <w:r>
              <w:rPr>
                <w:rFonts w:ascii="Bookman Old Style" w:hAnsi="Bookman Old Style"/>
                <w:bCs/>
                <w:sz w:val="20"/>
                <w:szCs w:val="20"/>
              </w:rPr>
              <w:t>s</w:t>
            </w:r>
            <w:r w:rsidRPr="00AE5EEC">
              <w:rPr>
                <w:rFonts w:ascii="Bookman Old Style" w:hAnsi="Bookman Old Style"/>
                <w:bCs/>
                <w:sz w:val="20"/>
                <w:szCs w:val="20"/>
              </w:rPr>
              <w:t xml:space="preserve"> garantías remitidas</w:t>
            </w:r>
            <w:r>
              <w:rPr>
                <w:rFonts w:ascii="Bookman Old Style" w:hAnsi="Bookman Old Style"/>
                <w:bCs/>
                <w:sz w:val="20"/>
                <w:szCs w:val="20"/>
              </w:rPr>
              <w:t>.</w:t>
            </w:r>
          </w:p>
        </w:tc>
        <w:tc>
          <w:tcPr>
            <w:tcW w:w="1559" w:type="dxa"/>
          </w:tcPr>
          <w:p w14:paraId="2530E59F" w14:textId="7952CDD9" w:rsidR="00BD2D0A" w:rsidRDefault="00800227" w:rsidP="00ED48C7">
            <w:pPr>
              <w:ind w:left="175"/>
              <w:rPr>
                <w:rFonts w:ascii="Bookman Old Style" w:hAnsi="Bookman Old Style"/>
                <w:bCs/>
                <w:sz w:val="20"/>
                <w:szCs w:val="20"/>
              </w:rPr>
            </w:pPr>
            <w:r>
              <w:rPr>
                <w:rFonts w:ascii="Bookman Old Style" w:hAnsi="Bookman Old Style"/>
                <w:bCs/>
                <w:sz w:val="20"/>
                <w:szCs w:val="20"/>
              </w:rPr>
              <w:t>ASIC</w:t>
            </w:r>
          </w:p>
        </w:tc>
        <w:tc>
          <w:tcPr>
            <w:tcW w:w="1843" w:type="dxa"/>
          </w:tcPr>
          <w:p w14:paraId="5B77F6AD" w14:textId="77777777" w:rsidR="00BD2D0A" w:rsidRDefault="00800227" w:rsidP="000039B1">
            <w:pPr>
              <w:ind w:left="0"/>
              <w:rPr>
                <w:rFonts w:ascii="Bookman Old Style" w:hAnsi="Bookman Old Style"/>
                <w:bCs/>
                <w:sz w:val="20"/>
                <w:szCs w:val="20"/>
              </w:rPr>
            </w:pPr>
            <w:r>
              <w:rPr>
                <w:rFonts w:ascii="Bookman Old Style" w:hAnsi="Bookman Old Style"/>
                <w:bCs/>
                <w:sz w:val="20"/>
                <w:szCs w:val="20"/>
              </w:rPr>
              <w:t>Dentro de los 2 días hábiles siguientes a la verificación.</w:t>
            </w:r>
          </w:p>
          <w:p w14:paraId="5FE5CB91" w14:textId="52B3EC2A" w:rsidR="00CB151C" w:rsidRDefault="00CB151C" w:rsidP="000039B1">
            <w:pPr>
              <w:ind w:left="0"/>
              <w:rPr>
                <w:rFonts w:ascii="Bookman Old Style" w:hAnsi="Bookman Old Style"/>
                <w:bCs/>
                <w:sz w:val="20"/>
                <w:szCs w:val="20"/>
              </w:rPr>
            </w:pPr>
          </w:p>
        </w:tc>
      </w:tr>
      <w:tr w:rsidR="00BD2D0A" w14:paraId="4345F7FC" w14:textId="77777777" w:rsidTr="00ED48C7">
        <w:tc>
          <w:tcPr>
            <w:tcW w:w="704" w:type="dxa"/>
          </w:tcPr>
          <w:p w14:paraId="44BC6B8D" w14:textId="655B7400" w:rsidR="00BD2D0A" w:rsidRDefault="00800227" w:rsidP="000039B1">
            <w:pPr>
              <w:ind w:left="0"/>
              <w:jc w:val="center"/>
              <w:rPr>
                <w:rFonts w:ascii="Bookman Old Style" w:hAnsi="Bookman Old Style"/>
                <w:bCs/>
                <w:sz w:val="20"/>
                <w:szCs w:val="20"/>
              </w:rPr>
            </w:pPr>
            <w:r>
              <w:rPr>
                <w:rFonts w:ascii="Bookman Old Style" w:hAnsi="Bookman Old Style"/>
                <w:bCs/>
                <w:sz w:val="20"/>
                <w:szCs w:val="20"/>
              </w:rPr>
              <w:t>20</w:t>
            </w:r>
          </w:p>
        </w:tc>
        <w:tc>
          <w:tcPr>
            <w:tcW w:w="2410" w:type="dxa"/>
          </w:tcPr>
          <w:p w14:paraId="0B76E621" w14:textId="1E343940" w:rsidR="00BD2D0A" w:rsidRPr="00AE5EEC" w:rsidRDefault="00800227" w:rsidP="000039B1">
            <w:pPr>
              <w:ind w:left="0"/>
              <w:rPr>
                <w:rFonts w:ascii="Bookman Old Style" w:hAnsi="Bookman Old Style"/>
                <w:bCs/>
                <w:sz w:val="20"/>
                <w:szCs w:val="20"/>
              </w:rPr>
            </w:pPr>
            <w:r>
              <w:rPr>
                <w:rFonts w:ascii="Bookman Old Style" w:hAnsi="Bookman Old Style"/>
                <w:bCs/>
                <w:sz w:val="20"/>
                <w:szCs w:val="20"/>
              </w:rPr>
              <w:t>Entrega de aclaraciones de las garantías</w:t>
            </w:r>
          </w:p>
        </w:tc>
        <w:tc>
          <w:tcPr>
            <w:tcW w:w="2977" w:type="dxa"/>
          </w:tcPr>
          <w:p w14:paraId="6B6734A9" w14:textId="795B3175" w:rsidR="00BD2D0A" w:rsidRPr="00AE5EEC" w:rsidRDefault="00800227" w:rsidP="000039B1">
            <w:pPr>
              <w:ind w:left="0"/>
              <w:rPr>
                <w:rFonts w:ascii="Bookman Old Style" w:hAnsi="Bookman Old Style"/>
                <w:bCs/>
                <w:sz w:val="20"/>
                <w:szCs w:val="20"/>
              </w:rPr>
            </w:pPr>
            <w:r>
              <w:rPr>
                <w:rFonts w:ascii="Bookman Old Style" w:hAnsi="Bookman Old Style"/>
                <w:bCs/>
                <w:sz w:val="20"/>
                <w:szCs w:val="20"/>
              </w:rPr>
              <w:t>Entrega de las aclaraciones solicitadas por el ASIC.</w:t>
            </w:r>
          </w:p>
        </w:tc>
        <w:tc>
          <w:tcPr>
            <w:tcW w:w="1559" w:type="dxa"/>
          </w:tcPr>
          <w:p w14:paraId="715C2BD5" w14:textId="4A6C1627" w:rsidR="00BD2D0A" w:rsidRDefault="00800227" w:rsidP="00ED48C7">
            <w:pPr>
              <w:ind w:left="175"/>
              <w:rPr>
                <w:rFonts w:ascii="Bookman Old Style" w:hAnsi="Bookman Old Style"/>
                <w:bCs/>
                <w:sz w:val="20"/>
                <w:szCs w:val="20"/>
              </w:rPr>
            </w:pPr>
            <w:r>
              <w:rPr>
                <w:rFonts w:ascii="Bookman Old Style" w:hAnsi="Bookman Old Style"/>
                <w:bCs/>
                <w:sz w:val="20"/>
                <w:szCs w:val="20"/>
              </w:rPr>
              <w:t>Agentes</w:t>
            </w:r>
          </w:p>
        </w:tc>
        <w:tc>
          <w:tcPr>
            <w:tcW w:w="1843" w:type="dxa"/>
          </w:tcPr>
          <w:p w14:paraId="0ABAE512" w14:textId="77777777" w:rsidR="00BD2D0A" w:rsidRDefault="00800227" w:rsidP="000039B1">
            <w:pPr>
              <w:ind w:left="0"/>
              <w:rPr>
                <w:rFonts w:ascii="Bookman Old Style" w:hAnsi="Bookman Old Style"/>
                <w:bCs/>
                <w:sz w:val="20"/>
                <w:szCs w:val="20"/>
              </w:rPr>
            </w:pPr>
            <w:r>
              <w:rPr>
                <w:rFonts w:ascii="Bookman Old Style" w:hAnsi="Bookman Old Style"/>
                <w:bCs/>
                <w:sz w:val="20"/>
                <w:szCs w:val="20"/>
              </w:rPr>
              <w:t>Dentro de los 3 días hábiles siguientes al item 19</w:t>
            </w:r>
          </w:p>
          <w:p w14:paraId="780A6EB4" w14:textId="2574BE72" w:rsidR="00CB151C" w:rsidRDefault="00CB151C" w:rsidP="000039B1">
            <w:pPr>
              <w:ind w:left="0"/>
              <w:rPr>
                <w:rFonts w:ascii="Bookman Old Style" w:hAnsi="Bookman Old Style"/>
                <w:bCs/>
                <w:sz w:val="20"/>
                <w:szCs w:val="20"/>
              </w:rPr>
            </w:pPr>
          </w:p>
        </w:tc>
      </w:tr>
      <w:tr w:rsidR="000039B1" w14:paraId="421A4A15" w14:textId="77777777" w:rsidTr="00ED48C7">
        <w:tc>
          <w:tcPr>
            <w:tcW w:w="704" w:type="dxa"/>
          </w:tcPr>
          <w:p w14:paraId="0EE8E296" w14:textId="1DF4A34D" w:rsidR="000039B1" w:rsidRDefault="00800227" w:rsidP="000039B1">
            <w:pPr>
              <w:ind w:left="0"/>
              <w:jc w:val="center"/>
              <w:rPr>
                <w:rFonts w:ascii="Bookman Old Style" w:hAnsi="Bookman Old Style"/>
                <w:bCs/>
                <w:sz w:val="20"/>
                <w:szCs w:val="20"/>
              </w:rPr>
            </w:pPr>
            <w:r>
              <w:rPr>
                <w:rFonts w:ascii="Bookman Old Style" w:hAnsi="Bookman Old Style"/>
                <w:bCs/>
                <w:sz w:val="20"/>
                <w:szCs w:val="20"/>
              </w:rPr>
              <w:t>21</w:t>
            </w:r>
          </w:p>
        </w:tc>
        <w:tc>
          <w:tcPr>
            <w:tcW w:w="2410" w:type="dxa"/>
          </w:tcPr>
          <w:p w14:paraId="7102CB12" w14:textId="77777777" w:rsidR="000039B1" w:rsidRDefault="000039B1" w:rsidP="000039B1">
            <w:pPr>
              <w:ind w:left="0"/>
              <w:rPr>
                <w:rFonts w:ascii="Bookman Old Style" w:hAnsi="Bookman Old Style"/>
                <w:bCs/>
                <w:sz w:val="20"/>
                <w:szCs w:val="20"/>
              </w:rPr>
            </w:pPr>
            <w:r w:rsidRPr="00AE5EEC">
              <w:rPr>
                <w:rFonts w:ascii="Bookman Old Style" w:hAnsi="Bookman Old Style"/>
                <w:bCs/>
                <w:sz w:val="20"/>
                <w:szCs w:val="20"/>
              </w:rPr>
              <w:t>Expedición de certificado de asignación de Obligaciones de Energía Firme</w:t>
            </w:r>
          </w:p>
          <w:p w14:paraId="17494A98" w14:textId="79208E5F" w:rsidR="00CB151C" w:rsidRPr="00AE5EEC" w:rsidRDefault="00CB151C" w:rsidP="000039B1">
            <w:pPr>
              <w:ind w:left="0"/>
              <w:rPr>
                <w:rFonts w:ascii="Bookman Old Style" w:hAnsi="Bookman Old Style"/>
                <w:bCs/>
                <w:sz w:val="20"/>
                <w:szCs w:val="20"/>
              </w:rPr>
            </w:pPr>
          </w:p>
        </w:tc>
        <w:tc>
          <w:tcPr>
            <w:tcW w:w="2977" w:type="dxa"/>
          </w:tcPr>
          <w:p w14:paraId="71BF623D" w14:textId="531E6518" w:rsidR="000039B1" w:rsidRPr="00AE5EEC" w:rsidRDefault="000039B1" w:rsidP="000039B1">
            <w:pPr>
              <w:ind w:left="0"/>
              <w:rPr>
                <w:rFonts w:ascii="Bookman Old Style" w:hAnsi="Bookman Old Style"/>
                <w:bCs/>
                <w:sz w:val="20"/>
                <w:szCs w:val="20"/>
              </w:rPr>
            </w:pPr>
            <w:r w:rsidRPr="00AE5EEC">
              <w:rPr>
                <w:rFonts w:ascii="Bookman Old Style" w:hAnsi="Bookman Old Style"/>
                <w:bCs/>
                <w:sz w:val="20"/>
                <w:szCs w:val="20"/>
              </w:rPr>
              <w:t>Certificado expedido por el ASIC de conformidad con la regulación vigente</w:t>
            </w:r>
            <w:r w:rsidR="00800227">
              <w:rPr>
                <w:rFonts w:ascii="Bookman Old Style" w:hAnsi="Bookman Old Style"/>
                <w:bCs/>
                <w:sz w:val="20"/>
                <w:szCs w:val="20"/>
              </w:rPr>
              <w:t>.</w:t>
            </w:r>
          </w:p>
        </w:tc>
        <w:tc>
          <w:tcPr>
            <w:tcW w:w="1559" w:type="dxa"/>
          </w:tcPr>
          <w:p w14:paraId="5628A0C4" w14:textId="672801EC" w:rsidR="000039B1" w:rsidRDefault="000039B1" w:rsidP="00ED48C7">
            <w:pPr>
              <w:ind w:left="175"/>
              <w:rPr>
                <w:rFonts w:ascii="Bookman Old Style" w:hAnsi="Bookman Old Style"/>
                <w:bCs/>
                <w:sz w:val="20"/>
                <w:szCs w:val="20"/>
              </w:rPr>
            </w:pPr>
            <w:r>
              <w:rPr>
                <w:rFonts w:ascii="Bookman Old Style" w:hAnsi="Bookman Old Style"/>
                <w:bCs/>
                <w:sz w:val="20"/>
                <w:szCs w:val="20"/>
              </w:rPr>
              <w:t>ASIC</w:t>
            </w:r>
          </w:p>
        </w:tc>
        <w:tc>
          <w:tcPr>
            <w:tcW w:w="1843" w:type="dxa"/>
          </w:tcPr>
          <w:p w14:paraId="0135E61F" w14:textId="1A769AD4" w:rsidR="000039B1" w:rsidRDefault="000039B1" w:rsidP="000039B1">
            <w:pPr>
              <w:ind w:left="0"/>
              <w:rPr>
                <w:rFonts w:ascii="Bookman Old Style" w:hAnsi="Bookman Old Style"/>
                <w:bCs/>
                <w:sz w:val="20"/>
                <w:szCs w:val="20"/>
              </w:rPr>
            </w:pPr>
            <w:r>
              <w:rPr>
                <w:rFonts w:ascii="Bookman Old Style" w:hAnsi="Bookman Old Style"/>
                <w:bCs/>
                <w:sz w:val="20"/>
                <w:szCs w:val="20"/>
              </w:rPr>
              <w:t xml:space="preserve">Dentro de los 2 días hábiles siguientes al item </w:t>
            </w:r>
            <w:r w:rsidR="00800227">
              <w:rPr>
                <w:rFonts w:ascii="Bookman Old Style" w:hAnsi="Bookman Old Style"/>
                <w:bCs/>
                <w:sz w:val="20"/>
                <w:szCs w:val="20"/>
              </w:rPr>
              <w:t>20</w:t>
            </w:r>
          </w:p>
          <w:p w14:paraId="6FAC5A8A" w14:textId="13D58401" w:rsidR="000039B1" w:rsidRDefault="000039B1" w:rsidP="000039B1">
            <w:pPr>
              <w:ind w:left="0"/>
              <w:rPr>
                <w:rFonts w:ascii="Bookman Old Style" w:hAnsi="Bookman Old Style"/>
                <w:bCs/>
                <w:sz w:val="20"/>
                <w:szCs w:val="20"/>
              </w:rPr>
            </w:pPr>
          </w:p>
        </w:tc>
      </w:tr>
    </w:tbl>
    <w:p w14:paraId="785B3B25" w14:textId="5018A6CC" w:rsidR="0072764D" w:rsidRDefault="0072764D" w:rsidP="009868DB">
      <w:pPr>
        <w:ind w:left="0"/>
        <w:rPr>
          <w:rFonts w:ascii="Bookman Old Style" w:hAnsi="Bookman Old Style"/>
          <w:b/>
        </w:rPr>
      </w:pPr>
    </w:p>
    <w:p w14:paraId="5CC3AE42" w14:textId="5A01051F" w:rsidR="004138E6" w:rsidRDefault="004138E6" w:rsidP="009868DB">
      <w:pPr>
        <w:ind w:left="0"/>
        <w:rPr>
          <w:rFonts w:ascii="Bookman Old Style" w:hAnsi="Bookman Old Style"/>
          <w:b/>
        </w:rPr>
      </w:pPr>
    </w:p>
    <w:p w14:paraId="742E6CB8" w14:textId="340DD5B7" w:rsidR="004138E6" w:rsidRDefault="004138E6" w:rsidP="009868DB">
      <w:pPr>
        <w:ind w:left="0"/>
        <w:rPr>
          <w:rFonts w:ascii="Bookman Old Style" w:hAnsi="Bookman Old Style"/>
          <w:b/>
        </w:rPr>
      </w:pPr>
    </w:p>
    <w:p w14:paraId="11CCA586" w14:textId="72F6C990" w:rsidR="004138E6" w:rsidRDefault="004138E6" w:rsidP="009868DB">
      <w:pPr>
        <w:ind w:left="0"/>
        <w:rPr>
          <w:rFonts w:ascii="Bookman Old Style" w:hAnsi="Bookman Old Style"/>
          <w:b/>
        </w:rPr>
      </w:pPr>
    </w:p>
    <w:p w14:paraId="009F88E3" w14:textId="77777777" w:rsidR="004138E6" w:rsidRDefault="004138E6" w:rsidP="009868DB">
      <w:pPr>
        <w:ind w:left="0"/>
        <w:rPr>
          <w:rFonts w:ascii="Bookman Old Style" w:hAnsi="Bookman Old Style"/>
          <w:b/>
        </w:rPr>
      </w:pPr>
    </w:p>
    <w:p w14:paraId="10558209" w14:textId="3B6A42C6" w:rsidR="0072764D" w:rsidRDefault="0072764D" w:rsidP="009868DB">
      <w:pPr>
        <w:ind w:left="0"/>
        <w:rPr>
          <w:rFonts w:ascii="Bookman Old Style" w:hAnsi="Bookman Old Style"/>
          <w:b/>
        </w:rPr>
      </w:pPr>
    </w:p>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4678"/>
        <w:gridCol w:w="4678"/>
      </w:tblGrid>
      <w:tr w:rsidR="004138E6" w:rsidRPr="00B64D62" w14:paraId="1B215201" w14:textId="77777777" w:rsidTr="0022717B">
        <w:trPr>
          <w:tblCellSpacing w:w="0" w:type="dxa"/>
        </w:trPr>
        <w:tc>
          <w:tcPr>
            <w:tcW w:w="4678" w:type="dxa"/>
            <w:shd w:val="clear" w:color="auto" w:fill="FFFFFF" w:themeFill="background1"/>
            <w:hideMark/>
          </w:tcPr>
          <w:p w14:paraId="5CE51421" w14:textId="77777777" w:rsidR="004138E6" w:rsidRDefault="004138E6" w:rsidP="0022717B">
            <w:pPr>
              <w:ind w:left="0"/>
              <w:jc w:val="center"/>
              <w:rPr>
                <w:rFonts w:ascii="Bookman Old Style" w:hAnsi="Bookman Old Style"/>
                <w:b/>
              </w:rPr>
            </w:pPr>
            <w:r>
              <w:rPr>
                <w:rFonts w:ascii="Bookman Old Style" w:hAnsi="Bookman Old Style"/>
                <w:b/>
              </w:rPr>
              <w:t>DIEGO MESA PUYO</w:t>
            </w:r>
          </w:p>
          <w:p w14:paraId="5B4230F2" w14:textId="77777777" w:rsidR="004138E6" w:rsidRPr="009B72C4" w:rsidRDefault="004138E6" w:rsidP="0022717B">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155C9087" w14:textId="77777777" w:rsidR="004138E6" w:rsidRPr="00B64D62" w:rsidRDefault="004138E6" w:rsidP="0022717B">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4138E6" w:rsidRPr="00B64D62" w14:paraId="73CBD0EA" w14:textId="77777777" w:rsidTr="0022717B">
        <w:trPr>
          <w:tblCellSpacing w:w="0" w:type="dxa"/>
        </w:trPr>
        <w:tc>
          <w:tcPr>
            <w:tcW w:w="4678" w:type="dxa"/>
            <w:shd w:val="clear" w:color="auto" w:fill="FFFFFF" w:themeFill="background1"/>
            <w:hideMark/>
          </w:tcPr>
          <w:p w14:paraId="6853A45D" w14:textId="77777777" w:rsidR="004138E6" w:rsidRPr="00B64D62" w:rsidRDefault="004138E6" w:rsidP="0022717B">
            <w:pPr>
              <w:ind w:left="0"/>
              <w:jc w:val="center"/>
              <w:rPr>
                <w:rFonts w:ascii="Bookman Old Style" w:hAnsi="Bookman Old Style" w:cs="Arial"/>
                <w:lang w:val="es-CO" w:eastAsia="es-CO"/>
              </w:rPr>
            </w:pPr>
            <w:r w:rsidRPr="00B64D62">
              <w:rPr>
                <w:rFonts w:ascii="Bookman Old Style" w:hAnsi="Bookman Old Style"/>
              </w:rPr>
              <w:t>Ministr</w:t>
            </w:r>
            <w:r>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6BD55FDF" w14:textId="77777777" w:rsidR="004138E6" w:rsidRPr="00B64D62" w:rsidRDefault="004138E6" w:rsidP="0022717B">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4138E6" w:rsidRPr="00B64D62" w14:paraId="4D0D3B56" w14:textId="77777777" w:rsidTr="0022717B">
        <w:trPr>
          <w:tblCellSpacing w:w="0" w:type="dxa"/>
        </w:trPr>
        <w:tc>
          <w:tcPr>
            <w:tcW w:w="4678" w:type="dxa"/>
            <w:shd w:val="clear" w:color="auto" w:fill="FFFFFF" w:themeFill="background1"/>
            <w:hideMark/>
          </w:tcPr>
          <w:p w14:paraId="6D1A9837" w14:textId="77777777" w:rsidR="004138E6" w:rsidRPr="00B64D62" w:rsidRDefault="004138E6" w:rsidP="0022717B">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304E75E2" w14:textId="77777777" w:rsidR="004138E6" w:rsidRPr="00B64D62" w:rsidRDefault="004138E6" w:rsidP="0022717B">
            <w:pPr>
              <w:ind w:left="142"/>
              <w:rPr>
                <w:rFonts w:ascii="Bookman Old Style" w:hAnsi="Bookman Old Style" w:cs="Arial"/>
                <w:lang w:val="es-CO" w:eastAsia="es-CO"/>
              </w:rPr>
            </w:pPr>
            <w:r>
              <w:rPr>
                <w:noProof/>
              </w:rPr>
              <w:drawing>
                <wp:inline distT="0" distB="0" distL="0" distR="0" wp14:anchorId="0FAA4316" wp14:editId="11DC6B9A">
                  <wp:extent cx="9525" cy="9525"/>
                  <wp:effectExtent l="0" t="0" r="0" b="0"/>
                  <wp:docPr id="5"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026A6B1E" w14:textId="479C0B28" w:rsidR="0072764D" w:rsidRDefault="0072764D" w:rsidP="009868DB">
      <w:pPr>
        <w:ind w:left="0"/>
        <w:rPr>
          <w:rFonts w:ascii="Bookman Old Style" w:hAnsi="Bookman Old Style"/>
          <w:b/>
        </w:rPr>
      </w:pPr>
    </w:p>
    <w:sectPr w:rsidR="0072764D" w:rsidSect="008A254E">
      <w:headerReference w:type="default" r:id="rId15"/>
      <w:headerReference w:type="first" r:id="rId16"/>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9E7B" w14:textId="77777777" w:rsidR="0016187F" w:rsidRDefault="0016187F">
      <w:r>
        <w:separator/>
      </w:r>
    </w:p>
  </w:endnote>
  <w:endnote w:type="continuationSeparator" w:id="0">
    <w:p w14:paraId="15D3F613" w14:textId="77777777" w:rsidR="0016187F" w:rsidRDefault="0016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2B0F" w14:textId="77777777" w:rsidR="0016187F" w:rsidRDefault="0016187F">
      <w:r>
        <w:separator/>
      </w:r>
    </w:p>
  </w:footnote>
  <w:footnote w:type="continuationSeparator" w:id="0">
    <w:p w14:paraId="28906D90" w14:textId="77777777" w:rsidR="0016187F" w:rsidRDefault="0016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9C9" w14:textId="77777777" w:rsidR="00CC51D4" w:rsidRDefault="00CC51D4" w:rsidP="00951F79">
    <w:pPr>
      <w:pStyle w:val="Ttulo1"/>
      <w:ind w:right="6"/>
      <w:jc w:val="left"/>
      <w:rPr>
        <w:rFonts w:ascii="Bookman Old Style" w:hAnsi="Bookman Old Style" w:cs="Arial"/>
        <w:b w:val="0"/>
        <w:sz w:val="22"/>
        <w:szCs w:val="22"/>
      </w:rPr>
    </w:pPr>
  </w:p>
  <w:p w14:paraId="0D8D6D0A" w14:textId="0A42B771"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425C47" w:rsidRPr="00654384">
      <w:rPr>
        <w:rFonts w:ascii="Bookman Old Style" w:hAnsi="Bookman Old Style" w:cs="Arial"/>
        <w:b w:val="0"/>
        <w:sz w:val="22"/>
        <w:szCs w:val="22"/>
      </w:rPr>
      <w:t>No.</w:t>
    </w:r>
    <w:r w:rsidR="00425C47">
      <w:rPr>
        <w:rFonts w:ascii="Bookman Old Style" w:hAnsi="Bookman Old Style" w:cs="Arial"/>
        <w:b w:val="0"/>
        <w:sz w:val="22"/>
        <w:szCs w:val="22"/>
      </w:rPr>
      <w:t xml:space="preserve"> </w:t>
    </w:r>
    <w:r w:rsidR="00425C47" w:rsidRPr="00ED48C7">
      <w:rPr>
        <w:rFonts w:ascii="Bookman Old Style" w:hAnsi="Bookman Old Style" w:cs="Arial"/>
        <w:bCs/>
        <w:szCs w:val="24"/>
        <w:u w:val="single"/>
      </w:rPr>
      <w:t>101</w:t>
    </w:r>
    <w:r w:rsidR="00ED48C7" w:rsidRPr="00ED48C7">
      <w:rPr>
        <w:rFonts w:ascii="Bookman Old Style" w:hAnsi="Bookman Old Style" w:cs="Arial"/>
        <w:bCs/>
        <w:szCs w:val="24"/>
        <w:u w:val="single"/>
      </w:rPr>
      <w:t xml:space="preserve"> 004</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ED48C7">
      <w:rPr>
        <w:rFonts w:ascii="Bookman Old Style" w:hAnsi="Bookman Old Style" w:cs="Arial"/>
        <w:bCs/>
        <w:szCs w:val="24"/>
        <w:u w:val="single"/>
      </w:rPr>
      <w:t>01</w:t>
    </w:r>
    <w:r w:rsidR="009D1367" w:rsidRPr="009D1367">
      <w:rPr>
        <w:rFonts w:ascii="Bookman Old Style" w:hAnsi="Bookman Old Style" w:cs="Arial"/>
        <w:bCs/>
        <w:szCs w:val="24"/>
        <w:u w:val="single"/>
      </w:rPr>
      <w:t xml:space="preserve"> </w:t>
    </w:r>
    <w:r w:rsidR="00907521">
      <w:rPr>
        <w:rFonts w:ascii="Bookman Old Style" w:hAnsi="Bookman Old Style" w:cs="Arial"/>
        <w:bCs/>
        <w:szCs w:val="24"/>
        <w:u w:val="single"/>
      </w:rPr>
      <w:t>FEB</w:t>
    </w:r>
    <w:r w:rsidR="009D1367" w:rsidRPr="009D1367">
      <w:rPr>
        <w:rFonts w:ascii="Bookman Old Style" w:hAnsi="Bookman Old Style" w:cs="Arial"/>
        <w:bCs/>
        <w:szCs w:val="24"/>
        <w:u w:val="single"/>
      </w:rPr>
      <w:t>. 202</w:t>
    </w:r>
    <w:r w:rsidR="00907521">
      <w:rPr>
        <w:rFonts w:ascii="Bookman Old Style" w:hAnsi="Bookman Old Style" w:cs="Arial"/>
        <w:bCs/>
        <w:szCs w:val="24"/>
        <w:u w:val="single"/>
      </w:rPr>
      <w:t>2</w:t>
    </w:r>
    <w:r w:rsidR="009D1367">
      <w:rPr>
        <w:rFonts w:ascii="Bookman Old Style" w:hAnsi="Bookman Old Style" w:cs="Arial"/>
        <w:b w:val="0"/>
        <w:sz w:val="22"/>
        <w:szCs w:val="22"/>
      </w:rPr>
      <w:t xml:space="preserve">        H</w:t>
    </w:r>
    <w:r w:rsidRPr="00654384">
      <w:rPr>
        <w:rFonts w:ascii="Bookman Old Style" w:hAnsi="Bookman Old Style" w:cs="Arial"/>
        <w:b w:val="0"/>
        <w:sz w:val="22"/>
        <w:szCs w:val="22"/>
      </w:rPr>
      <w:t>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F651F7" w:rsidRPr="00F651F7">
        <w:rPr>
          <w:rFonts w:ascii="Bookman Old Style" w:hAnsi="Bookman Old Style" w:cs="Arial"/>
          <w:b w:val="0"/>
          <w:noProof/>
          <w:sz w:val="22"/>
          <w:szCs w:val="22"/>
        </w:rPr>
        <w:t>11</w:t>
      </w:r>
    </w:fldSimple>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F1F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7FDEBE3" w14:textId="3D4CAA41" w:rsidR="009D1367" w:rsidRPr="00ED48C7" w:rsidRDefault="00ED48C7" w:rsidP="00ED48C7">
    <w:pPr>
      <w:pBdr>
        <w:bottom w:val="single" w:sz="4" w:space="6" w:color="auto"/>
      </w:pBdr>
      <w:spacing w:after="240"/>
      <w:ind w:left="0"/>
      <w:jc w:val="both"/>
      <w:rPr>
        <w:rFonts w:ascii="Bookman Old Style" w:hAnsi="Bookman Old Style"/>
        <w:sz w:val="22"/>
        <w:szCs w:val="22"/>
      </w:rPr>
    </w:pPr>
    <w:r w:rsidRPr="00ED48C7">
      <w:rPr>
        <w:rFonts w:ascii="Bookman Old Style" w:hAnsi="Bookman Old Style" w:cs="Arial"/>
        <w:sz w:val="22"/>
        <w:szCs w:val="22"/>
      </w:rPr>
      <w:t xml:space="preserve">Por la cual se establece la oportunidad en que se asignarán las Obligaciones </w:t>
    </w:r>
    <w:r w:rsidRPr="00ED48C7">
      <w:rPr>
        <w:rFonts w:ascii="Bookman Old Style" w:hAnsi="Bookman Old Style" w:cs="Arial"/>
        <w:sz w:val="22"/>
        <w:szCs w:val="22"/>
      </w:rPr>
      <w:br/>
      <w:t>de Energía Firme del Cargo por Confiabilidad a quienes representen plantas existentes para los períodos comprendidos entre diciembre 1 de 2023 a noviembre 30 de 2024, y diciembre 1 de 2024 a noviembre 30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658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CCD4F9B"/>
    <w:multiLevelType w:val="hybridMultilevel"/>
    <w:tmpl w:val="DF6E0096"/>
    <w:lvl w:ilvl="0" w:tplc="D1FEA552">
      <w:numFmt w:val="bullet"/>
      <w:lvlText w:val="-"/>
      <w:lvlJc w:val="left"/>
      <w:pPr>
        <w:ind w:left="360" w:hanging="360"/>
      </w:pPr>
      <w:rPr>
        <w:rFonts w:ascii="Bookman Old Style" w:eastAsia="Times New Roman" w:hAnsi="Bookman Old Style"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54A3391"/>
    <w:multiLevelType w:val="hybridMultilevel"/>
    <w:tmpl w:val="3D22B9EA"/>
    <w:lvl w:ilvl="0" w:tplc="240A001B">
      <w:start w:val="1"/>
      <w:numFmt w:val="lowerRoman"/>
      <w:lvlText w:val="%1."/>
      <w:lvlJc w:val="right"/>
      <w:pPr>
        <w:ind w:left="720" w:hanging="360"/>
      </w:pPr>
      <w:rPr>
        <w:rFonts w:ascii="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654E2D"/>
    <w:multiLevelType w:val="hybridMultilevel"/>
    <w:tmpl w:val="D69A80EE"/>
    <w:lvl w:ilvl="0" w:tplc="240A001B">
      <w:start w:val="1"/>
      <w:numFmt w:val="lowerRoman"/>
      <w:lvlText w:val="%1."/>
      <w:lvlJc w:val="right"/>
      <w:pPr>
        <w:ind w:left="1004" w:hanging="360"/>
      </w:p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 w15:restartNumberingAfterBreak="0">
    <w:nsid w:val="52030B68"/>
    <w:multiLevelType w:val="hybridMultilevel"/>
    <w:tmpl w:val="8EC46BC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CD10FAF"/>
    <w:multiLevelType w:val="hybridMultilevel"/>
    <w:tmpl w:val="AA6EE24C"/>
    <w:lvl w:ilvl="0" w:tplc="240A001B">
      <w:start w:val="1"/>
      <w:numFmt w:val="lowerRoman"/>
      <w:lvlText w:val="%1."/>
      <w:lvlJc w:val="right"/>
      <w:pPr>
        <w:ind w:left="792" w:hanging="360"/>
      </w:pPr>
    </w:lvl>
    <w:lvl w:ilvl="1" w:tplc="240A0019" w:tentative="1">
      <w:start w:val="1"/>
      <w:numFmt w:val="lowerLetter"/>
      <w:lvlText w:val="%2."/>
      <w:lvlJc w:val="left"/>
      <w:pPr>
        <w:ind w:left="1512" w:hanging="360"/>
      </w:pPr>
    </w:lvl>
    <w:lvl w:ilvl="2" w:tplc="240A001B" w:tentative="1">
      <w:start w:val="1"/>
      <w:numFmt w:val="lowerRoman"/>
      <w:lvlText w:val="%3."/>
      <w:lvlJc w:val="right"/>
      <w:pPr>
        <w:ind w:left="2232" w:hanging="180"/>
      </w:pPr>
    </w:lvl>
    <w:lvl w:ilvl="3" w:tplc="240A000F" w:tentative="1">
      <w:start w:val="1"/>
      <w:numFmt w:val="decimal"/>
      <w:lvlText w:val="%4."/>
      <w:lvlJc w:val="left"/>
      <w:pPr>
        <w:ind w:left="2952" w:hanging="360"/>
      </w:pPr>
    </w:lvl>
    <w:lvl w:ilvl="4" w:tplc="240A0019" w:tentative="1">
      <w:start w:val="1"/>
      <w:numFmt w:val="lowerLetter"/>
      <w:lvlText w:val="%5."/>
      <w:lvlJc w:val="left"/>
      <w:pPr>
        <w:ind w:left="3672" w:hanging="360"/>
      </w:pPr>
    </w:lvl>
    <w:lvl w:ilvl="5" w:tplc="240A001B" w:tentative="1">
      <w:start w:val="1"/>
      <w:numFmt w:val="lowerRoman"/>
      <w:lvlText w:val="%6."/>
      <w:lvlJc w:val="right"/>
      <w:pPr>
        <w:ind w:left="4392" w:hanging="180"/>
      </w:pPr>
    </w:lvl>
    <w:lvl w:ilvl="6" w:tplc="240A000F" w:tentative="1">
      <w:start w:val="1"/>
      <w:numFmt w:val="decimal"/>
      <w:lvlText w:val="%7."/>
      <w:lvlJc w:val="left"/>
      <w:pPr>
        <w:ind w:left="5112" w:hanging="360"/>
      </w:pPr>
    </w:lvl>
    <w:lvl w:ilvl="7" w:tplc="240A0019" w:tentative="1">
      <w:start w:val="1"/>
      <w:numFmt w:val="lowerLetter"/>
      <w:lvlText w:val="%8."/>
      <w:lvlJc w:val="left"/>
      <w:pPr>
        <w:ind w:left="5832" w:hanging="360"/>
      </w:pPr>
    </w:lvl>
    <w:lvl w:ilvl="8" w:tplc="240A001B" w:tentative="1">
      <w:start w:val="1"/>
      <w:numFmt w:val="lowerRoman"/>
      <w:lvlText w:val="%9."/>
      <w:lvlJc w:val="right"/>
      <w:pPr>
        <w:ind w:left="6552" w:hanging="180"/>
      </w:pPr>
    </w:lvl>
  </w:abstractNum>
  <w:abstractNum w:abstractNumId="7" w15:restartNumberingAfterBreak="0">
    <w:nsid w:val="628255D3"/>
    <w:multiLevelType w:val="hybridMultilevel"/>
    <w:tmpl w:val="6E820256"/>
    <w:lvl w:ilvl="0" w:tplc="BEE02D6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93A282A"/>
    <w:multiLevelType w:val="hybridMultilevel"/>
    <w:tmpl w:val="0F860804"/>
    <w:lvl w:ilvl="0" w:tplc="240A001B">
      <w:start w:val="1"/>
      <w:numFmt w:val="lowerRoman"/>
      <w:lvlText w:val="%1."/>
      <w:lvlJc w:val="right"/>
      <w:pPr>
        <w:ind w:left="720" w:hanging="360"/>
      </w:pPr>
      <w:rPr>
        <w:rFonts w:ascii="Times New Roman" w:hAnsi="Times New Roman" w:cs="Times New Roman"/>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8"/>
  </w:num>
  <w:num w:numId="6">
    <w:abstractNumId w:val="6"/>
  </w:num>
  <w:num w:numId="7">
    <w:abstractNumId w:val="2"/>
  </w:num>
  <w:num w:numId="8">
    <w:abstractNumId w:val="5"/>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86"/>
    <w:rsid w:val="0000172A"/>
    <w:rsid w:val="00002C80"/>
    <w:rsid w:val="000039B1"/>
    <w:rsid w:val="00003B8F"/>
    <w:rsid w:val="000044C4"/>
    <w:rsid w:val="00006AE2"/>
    <w:rsid w:val="00006B49"/>
    <w:rsid w:val="000076A1"/>
    <w:rsid w:val="00011FEC"/>
    <w:rsid w:val="000121F8"/>
    <w:rsid w:val="00012259"/>
    <w:rsid w:val="00012456"/>
    <w:rsid w:val="00013173"/>
    <w:rsid w:val="00013BFC"/>
    <w:rsid w:val="000141C4"/>
    <w:rsid w:val="0001431B"/>
    <w:rsid w:val="00015AB4"/>
    <w:rsid w:val="00016600"/>
    <w:rsid w:val="00016A41"/>
    <w:rsid w:val="00022439"/>
    <w:rsid w:val="00022857"/>
    <w:rsid w:val="00022E88"/>
    <w:rsid w:val="0002448D"/>
    <w:rsid w:val="0002488C"/>
    <w:rsid w:val="00024B09"/>
    <w:rsid w:val="00025383"/>
    <w:rsid w:val="00025F99"/>
    <w:rsid w:val="00026B28"/>
    <w:rsid w:val="000319C0"/>
    <w:rsid w:val="00031FBB"/>
    <w:rsid w:val="00034876"/>
    <w:rsid w:val="00034EF2"/>
    <w:rsid w:val="000356FD"/>
    <w:rsid w:val="00036B92"/>
    <w:rsid w:val="000371EF"/>
    <w:rsid w:val="0004274D"/>
    <w:rsid w:val="00044385"/>
    <w:rsid w:val="00045633"/>
    <w:rsid w:val="00045D3D"/>
    <w:rsid w:val="00046141"/>
    <w:rsid w:val="00046290"/>
    <w:rsid w:val="0005470D"/>
    <w:rsid w:val="0005559C"/>
    <w:rsid w:val="00055E67"/>
    <w:rsid w:val="0005675C"/>
    <w:rsid w:val="00056DB9"/>
    <w:rsid w:val="00060BD0"/>
    <w:rsid w:val="00063657"/>
    <w:rsid w:val="00066084"/>
    <w:rsid w:val="0006683F"/>
    <w:rsid w:val="00066F05"/>
    <w:rsid w:val="000674A0"/>
    <w:rsid w:val="0006770B"/>
    <w:rsid w:val="00067F34"/>
    <w:rsid w:val="00071869"/>
    <w:rsid w:val="0007285D"/>
    <w:rsid w:val="00073ABB"/>
    <w:rsid w:val="00075212"/>
    <w:rsid w:val="000754AB"/>
    <w:rsid w:val="00076680"/>
    <w:rsid w:val="00076A1D"/>
    <w:rsid w:val="0007759C"/>
    <w:rsid w:val="00077A35"/>
    <w:rsid w:val="00077B41"/>
    <w:rsid w:val="0008073E"/>
    <w:rsid w:val="0008143E"/>
    <w:rsid w:val="000818B6"/>
    <w:rsid w:val="00081AA4"/>
    <w:rsid w:val="00085126"/>
    <w:rsid w:val="00086642"/>
    <w:rsid w:val="00087362"/>
    <w:rsid w:val="00091CDB"/>
    <w:rsid w:val="00091F1F"/>
    <w:rsid w:val="0009230E"/>
    <w:rsid w:val="00093247"/>
    <w:rsid w:val="000933DE"/>
    <w:rsid w:val="000934D2"/>
    <w:rsid w:val="00094573"/>
    <w:rsid w:val="00094B06"/>
    <w:rsid w:val="000953E3"/>
    <w:rsid w:val="000956D8"/>
    <w:rsid w:val="00097978"/>
    <w:rsid w:val="000A156F"/>
    <w:rsid w:val="000A19AC"/>
    <w:rsid w:val="000A403F"/>
    <w:rsid w:val="000A4197"/>
    <w:rsid w:val="000B09E0"/>
    <w:rsid w:val="000B1B7A"/>
    <w:rsid w:val="000B2D30"/>
    <w:rsid w:val="000B2EC9"/>
    <w:rsid w:val="000B3969"/>
    <w:rsid w:val="000B4071"/>
    <w:rsid w:val="000B77D0"/>
    <w:rsid w:val="000B7A3C"/>
    <w:rsid w:val="000C0700"/>
    <w:rsid w:val="000C1911"/>
    <w:rsid w:val="000C1D3E"/>
    <w:rsid w:val="000C28FB"/>
    <w:rsid w:val="000C4B83"/>
    <w:rsid w:val="000C687E"/>
    <w:rsid w:val="000C74C2"/>
    <w:rsid w:val="000C79C4"/>
    <w:rsid w:val="000D0F0F"/>
    <w:rsid w:val="000D113F"/>
    <w:rsid w:val="000D13D1"/>
    <w:rsid w:val="000D26F8"/>
    <w:rsid w:val="000D3E20"/>
    <w:rsid w:val="000D42DF"/>
    <w:rsid w:val="000D5294"/>
    <w:rsid w:val="000D52EF"/>
    <w:rsid w:val="000D55C2"/>
    <w:rsid w:val="000D6838"/>
    <w:rsid w:val="000D7EAE"/>
    <w:rsid w:val="000E0362"/>
    <w:rsid w:val="000E24BB"/>
    <w:rsid w:val="000E2D07"/>
    <w:rsid w:val="000E3EDE"/>
    <w:rsid w:val="000E4B55"/>
    <w:rsid w:val="000E4CF3"/>
    <w:rsid w:val="000E654E"/>
    <w:rsid w:val="000E7111"/>
    <w:rsid w:val="000F020D"/>
    <w:rsid w:val="000F6462"/>
    <w:rsid w:val="000F6BCF"/>
    <w:rsid w:val="000F7651"/>
    <w:rsid w:val="001000B6"/>
    <w:rsid w:val="0010022B"/>
    <w:rsid w:val="0010057F"/>
    <w:rsid w:val="001011C0"/>
    <w:rsid w:val="001023D1"/>
    <w:rsid w:val="00106654"/>
    <w:rsid w:val="00106BBA"/>
    <w:rsid w:val="0011048E"/>
    <w:rsid w:val="00110C12"/>
    <w:rsid w:val="00111333"/>
    <w:rsid w:val="00111F20"/>
    <w:rsid w:val="001128D9"/>
    <w:rsid w:val="00112D48"/>
    <w:rsid w:val="001144A0"/>
    <w:rsid w:val="001153AB"/>
    <w:rsid w:val="001173F5"/>
    <w:rsid w:val="00123185"/>
    <w:rsid w:val="00123AD6"/>
    <w:rsid w:val="00124331"/>
    <w:rsid w:val="00124336"/>
    <w:rsid w:val="00125978"/>
    <w:rsid w:val="0012717F"/>
    <w:rsid w:val="001273A6"/>
    <w:rsid w:val="00131E94"/>
    <w:rsid w:val="00132F8E"/>
    <w:rsid w:val="00133BDF"/>
    <w:rsid w:val="0013526C"/>
    <w:rsid w:val="00136B9E"/>
    <w:rsid w:val="001405C6"/>
    <w:rsid w:val="00141013"/>
    <w:rsid w:val="00141770"/>
    <w:rsid w:val="001425B5"/>
    <w:rsid w:val="0014398D"/>
    <w:rsid w:val="00143F78"/>
    <w:rsid w:val="00144D4B"/>
    <w:rsid w:val="00145EF6"/>
    <w:rsid w:val="00147F08"/>
    <w:rsid w:val="001503FE"/>
    <w:rsid w:val="00153D37"/>
    <w:rsid w:val="00154248"/>
    <w:rsid w:val="00155496"/>
    <w:rsid w:val="0016187F"/>
    <w:rsid w:val="00162D1E"/>
    <w:rsid w:val="00162EB7"/>
    <w:rsid w:val="001635F1"/>
    <w:rsid w:val="00166341"/>
    <w:rsid w:val="00166E86"/>
    <w:rsid w:val="00166F2A"/>
    <w:rsid w:val="001678F4"/>
    <w:rsid w:val="00170016"/>
    <w:rsid w:val="0017352D"/>
    <w:rsid w:val="00176803"/>
    <w:rsid w:val="00177CF6"/>
    <w:rsid w:val="00177F18"/>
    <w:rsid w:val="0018041F"/>
    <w:rsid w:val="00181CEE"/>
    <w:rsid w:val="00181D04"/>
    <w:rsid w:val="00181F3E"/>
    <w:rsid w:val="00192CBF"/>
    <w:rsid w:val="00192FF1"/>
    <w:rsid w:val="00195C81"/>
    <w:rsid w:val="001961AD"/>
    <w:rsid w:val="00196296"/>
    <w:rsid w:val="001A0397"/>
    <w:rsid w:val="001A5F1B"/>
    <w:rsid w:val="001A6184"/>
    <w:rsid w:val="001B09CE"/>
    <w:rsid w:val="001B0B64"/>
    <w:rsid w:val="001B1C22"/>
    <w:rsid w:val="001B34C6"/>
    <w:rsid w:val="001B3E43"/>
    <w:rsid w:val="001B40D1"/>
    <w:rsid w:val="001B43EF"/>
    <w:rsid w:val="001B480F"/>
    <w:rsid w:val="001C118A"/>
    <w:rsid w:val="001C5C2F"/>
    <w:rsid w:val="001D14B6"/>
    <w:rsid w:val="001D57D4"/>
    <w:rsid w:val="001D5C41"/>
    <w:rsid w:val="001D5EF1"/>
    <w:rsid w:val="001D638E"/>
    <w:rsid w:val="001D6F9E"/>
    <w:rsid w:val="001D7275"/>
    <w:rsid w:val="001D7832"/>
    <w:rsid w:val="001E13E4"/>
    <w:rsid w:val="001E144B"/>
    <w:rsid w:val="001E2402"/>
    <w:rsid w:val="001E37EA"/>
    <w:rsid w:val="001E39E7"/>
    <w:rsid w:val="001E720F"/>
    <w:rsid w:val="001E739B"/>
    <w:rsid w:val="001E7914"/>
    <w:rsid w:val="001F2F5A"/>
    <w:rsid w:val="001F4D7B"/>
    <w:rsid w:val="001F5874"/>
    <w:rsid w:val="001F6573"/>
    <w:rsid w:val="001F6A2F"/>
    <w:rsid w:val="001F7653"/>
    <w:rsid w:val="001F793B"/>
    <w:rsid w:val="002000C0"/>
    <w:rsid w:val="00201DE3"/>
    <w:rsid w:val="002020E7"/>
    <w:rsid w:val="002024C0"/>
    <w:rsid w:val="00204A7D"/>
    <w:rsid w:val="00206E63"/>
    <w:rsid w:val="00207001"/>
    <w:rsid w:val="00210DC1"/>
    <w:rsid w:val="00211D34"/>
    <w:rsid w:val="002140BA"/>
    <w:rsid w:val="002140EB"/>
    <w:rsid w:val="00214F04"/>
    <w:rsid w:val="00222FA7"/>
    <w:rsid w:val="00224582"/>
    <w:rsid w:val="00224C8B"/>
    <w:rsid w:val="00224D40"/>
    <w:rsid w:val="0022650F"/>
    <w:rsid w:val="00226BDB"/>
    <w:rsid w:val="00226C08"/>
    <w:rsid w:val="002302E1"/>
    <w:rsid w:val="002324EF"/>
    <w:rsid w:val="002331D5"/>
    <w:rsid w:val="00233299"/>
    <w:rsid w:val="002347A7"/>
    <w:rsid w:val="00234C27"/>
    <w:rsid w:val="002352B9"/>
    <w:rsid w:val="00237DF1"/>
    <w:rsid w:val="0024018F"/>
    <w:rsid w:val="00244689"/>
    <w:rsid w:val="00244C93"/>
    <w:rsid w:val="0024545A"/>
    <w:rsid w:val="00245A62"/>
    <w:rsid w:val="002475BA"/>
    <w:rsid w:val="00251017"/>
    <w:rsid w:val="00251F98"/>
    <w:rsid w:val="00253D8E"/>
    <w:rsid w:val="002540AE"/>
    <w:rsid w:val="00256229"/>
    <w:rsid w:val="00257699"/>
    <w:rsid w:val="002605E7"/>
    <w:rsid w:val="00262216"/>
    <w:rsid w:val="0026363F"/>
    <w:rsid w:val="00263E54"/>
    <w:rsid w:val="00263FE7"/>
    <w:rsid w:val="00266CD6"/>
    <w:rsid w:val="002673AC"/>
    <w:rsid w:val="00267D67"/>
    <w:rsid w:val="00267FB0"/>
    <w:rsid w:val="002722F3"/>
    <w:rsid w:val="00275DAB"/>
    <w:rsid w:val="0028035B"/>
    <w:rsid w:val="002810E5"/>
    <w:rsid w:val="00283662"/>
    <w:rsid w:val="00283E29"/>
    <w:rsid w:val="002845D2"/>
    <w:rsid w:val="0028757D"/>
    <w:rsid w:val="00287D25"/>
    <w:rsid w:val="002903C0"/>
    <w:rsid w:val="00290AB4"/>
    <w:rsid w:val="00290F1C"/>
    <w:rsid w:val="0029157C"/>
    <w:rsid w:val="00291B13"/>
    <w:rsid w:val="00293289"/>
    <w:rsid w:val="002959A2"/>
    <w:rsid w:val="00295B89"/>
    <w:rsid w:val="002975C5"/>
    <w:rsid w:val="002A0CE4"/>
    <w:rsid w:val="002A2999"/>
    <w:rsid w:val="002A3539"/>
    <w:rsid w:val="002A4999"/>
    <w:rsid w:val="002A782A"/>
    <w:rsid w:val="002B11E2"/>
    <w:rsid w:val="002B24B8"/>
    <w:rsid w:val="002B3197"/>
    <w:rsid w:val="002B4952"/>
    <w:rsid w:val="002B573C"/>
    <w:rsid w:val="002B6148"/>
    <w:rsid w:val="002B7927"/>
    <w:rsid w:val="002C05C1"/>
    <w:rsid w:val="002C133D"/>
    <w:rsid w:val="002C1D7A"/>
    <w:rsid w:val="002C2293"/>
    <w:rsid w:val="002C2578"/>
    <w:rsid w:val="002C5BB2"/>
    <w:rsid w:val="002D0DC9"/>
    <w:rsid w:val="002D1C38"/>
    <w:rsid w:val="002D27C3"/>
    <w:rsid w:val="002D3AE9"/>
    <w:rsid w:val="002D441B"/>
    <w:rsid w:val="002D4510"/>
    <w:rsid w:val="002D64CE"/>
    <w:rsid w:val="002E24A5"/>
    <w:rsid w:val="002E2D24"/>
    <w:rsid w:val="002E2D9E"/>
    <w:rsid w:val="002E3A4C"/>
    <w:rsid w:val="002E519B"/>
    <w:rsid w:val="002E61BC"/>
    <w:rsid w:val="002E627B"/>
    <w:rsid w:val="002E6509"/>
    <w:rsid w:val="002E70FB"/>
    <w:rsid w:val="002E73EA"/>
    <w:rsid w:val="002E77F0"/>
    <w:rsid w:val="002F0331"/>
    <w:rsid w:val="002F0734"/>
    <w:rsid w:val="002F2EF2"/>
    <w:rsid w:val="002F4127"/>
    <w:rsid w:val="002F46E7"/>
    <w:rsid w:val="002F56A8"/>
    <w:rsid w:val="002F5772"/>
    <w:rsid w:val="002F6860"/>
    <w:rsid w:val="002F7DF6"/>
    <w:rsid w:val="003007AC"/>
    <w:rsid w:val="003011BC"/>
    <w:rsid w:val="00303C43"/>
    <w:rsid w:val="00305310"/>
    <w:rsid w:val="003067F4"/>
    <w:rsid w:val="003101DA"/>
    <w:rsid w:val="003106D8"/>
    <w:rsid w:val="003111C3"/>
    <w:rsid w:val="00311F98"/>
    <w:rsid w:val="00312FFA"/>
    <w:rsid w:val="00314431"/>
    <w:rsid w:val="00314638"/>
    <w:rsid w:val="00314647"/>
    <w:rsid w:val="00314757"/>
    <w:rsid w:val="00314925"/>
    <w:rsid w:val="003163BC"/>
    <w:rsid w:val="003165A2"/>
    <w:rsid w:val="00316A7A"/>
    <w:rsid w:val="00316BAA"/>
    <w:rsid w:val="00320422"/>
    <w:rsid w:val="003211CE"/>
    <w:rsid w:val="003224DA"/>
    <w:rsid w:val="00322556"/>
    <w:rsid w:val="0032360E"/>
    <w:rsid w:val="00324007"/>
    <w:rsid w:val="00324214"/>
    <w:rsid w:val="003258AE"/>
    <w:rsid w:val="003267B9"/>
    <w:rsid w:val="003279C7"/>
    <w:rsid w:val="00330E41"/>
    <w:rsid w:val="00330EC1"/>
    <w:rsid w:val="00331096"/>
    <w:rsid w:val="0033527A"/>
    <w:rsid w:val="00336063"/>
    <w:rsid w:val="00336287"/>
    <w:rsid w:val="00340D16"/>
    <w:rsid w:val="0034122F"/>
    <w:rsid w:val="00341287"/>
    <w:rsid w:val="00350029"/>
    <w:rsid w:val="0035054F"/>
    <w:rsid w:val="00351490"/>
    <w:rsid w:val="00353DB1"/>
    <w:rsid w:val="0035403A"/>
    <w:rsid w:val="0035568E"/>
    <w:rsid w:val="00356469"/>
    <w:rsid w:val="003606D0"/>
    <w:rsid w:val="00360FE6"/>
    <w:rsid w:val="00361FD9"/>
    <w:rsid w:val="0036394B"/>
    <w:rsid w:val="00364278"/>
    <w:rsid w:val="003663EF"/>
    <w:rsid w:val="00366DB6"/>
    <w:rsid w:val="00367599"/>
    <w:rsid w:val="003709B5"/>
    <w:rsid w:val="00370CF2"/>
    <w:rsid w:val="003750BC"/>
    <w:rsid w:val="003753BF"/>
    <w:rsid w:val="003759C2"/>
    <w:rsid w:val="00375C86"/>
    <w:rsid w:val="00377239"/>
    <w:rsid w:val="0037788D"/>
    <w:rsid w:val="003805BA"/>
    <w:rsid w:val="003809AB"/>
    <w:rsid w:val="00381302"/>
    <w:rsid w:val="00382B89"/>
    <w:rsid w:val="00382D2B"/>
    <w:rsid w:val="00386051"/>
    <w:rsid w:val="003864A6"/>
    <w:rsid w:val="00386E3F"/>
    <w:rsid w:val="0038704A"/>
    <w:rsid w:val="003879A0"/>
    <w:rsid w:val="00390069"/>
    <w:rsid w:val="00392029"/>
    <w:rsid w:val="00395245"/>
    <w:rsid w:val="00397365"/>
    <w:rsid w:val="00397380"/>
    <w:rsid w:val="00397792"/>
    <w:rsid w:val="003A1DAD"/>
    <w:rsid w:val="003A31F6"/>
    <w:rsid w:val="003A3CC8"/>
    <w:rsid w:val="003A62FA"/>
    <w:rsid w:val="003B2D68"/>
    <w:rsid w:val="003B4968"/>
    <w:rsid w:val="003B59E3"/>
    <w:rsid w:val="003B69B5"/>
    <w:rsid w:val="003B6EEC"/>
    <w:rsid w:val="003C19CA"/>
    <w:rsid w:val="003C3282"/>
    <w:rsid w:val="003C3447"/>
    <w:rsid w:val="003C7890"/>
    <w:rsid w:val="003C79A2"/>
    <w:rsid w:val="003D076C"/>
    <w:rsid w:val="003D1212"/>
    <w:rsid w:val="003D3233"/>
    <w:rsid w:val="003D3461"/>
    <w:rsid w:val="003D3506"/>
    <w:rsid w:val="003D3580"/>
    <w:rsid w:val="003D5736"/>
    <w:rsid w:val="003D582C"/>
    <w:rsid w:val="003D630F"/>
    <w:rsid w:val="003E0B1B"/>
    <w:rsid w:val="003E1663"/>
    <w:rsid w:val="003E2034"/>
    <w:rsid w:val="003E4017"/>
    <w:rsid w:val="003E41FA"/>
    <w:rsid w:val="003E56A1"/>
    <w:rsid w:val="003E6769"/>
    <w:rsid w:val="003E71DD"/>
    <w:rsid w:val="003E78B5"/>
    <w:rsid w:val="003F07CD"/>
    <w:rsid w:val="003F0DC5"/>
    <w:rsid w:val="003F136D"/>
    <w:rsid w:val="003F18FE"/>
    <w:rsid w:val="003F2BD5"/>
    <w:rsid w:val="003F2FCE"/>
    <w:rsid w:val="003F373E"/>
    <w:rsid w:val="0040163C"/>
    <w:rsid w:val="00404982"/>
    <w:rsid w:val="00406E1B"/>
    <w:rsid w:val="00410671"/>
    <w:rsid w:val="004138E6"/>
    <w:rsid w:val="00413AA3"/>
    <w:rsid w:val="00414F51"/>
    <w:rsid w:val="00415A18"/>
    <w:rsid w:val="00415BAB"/>
    <w:rsid w:val="00415ED2"/>
    <w:rsid w:val="00417BE2"/>
    <w:rsid w:val="00417E8B"/>
    <w:rsid w:val="0042068C"/>
    <w:rsid w:val="0042202C"/>
    <w:rsid w:val="00422AF4"/>
    <w:rsid w:val="004235AF"/>
    <w:rsid w:val="004237FD"/>
    <w:rsid w:val="00425C47"/>
    <w:rsid w:val="00431E45"/>
    <w:rsid w:val="00434056"/>
    <w:rsid w:val="00435339"/>
    <w:rsid w:val="00435B04"/>
    <w:rsid w:val="00436B32"/>
    <w:rsid w:val="0043744F"/>
    <w:rsid w:val="00440118"/>
    <w:rsid w:val="00441D45"/>
    <w:rsid w:val="00442BCF"/>
    <w:rsid w:val="00442BF8"/>
    <w:rsid w:val="0044318E"/>
    <w:rsid w:val="004437B0"/>
    <w:rsid w:val="00443AE9"/>
    <w:rsid w:val="00443B35"/>
    <w:rsid w:val="00444649"/>
    <w:rsid w:val="0044494C"/>
    <w:rsid w:val="00445558"/>
    <w:rsid w:val="0044614F"/>
    <w:rsid w:val="004462AA"/>
    <w:rsid w:val="004478DE"/>
    <w:rsid w:val="004522CC"/>
    <w:rsid w:val="004533F0"/>
    <w:rsid w:val="0045486F"/>
    <w:rsid w:val="004549C1"/>
    <w:rsid w:val="0045503A"/>
    <w:rsid w:val="004567CA"/>
    <w:rsid w:val="004600F7"/>
    <w:rsid w:val="004601C0"/>
    <w:rsid w:val="00461757"/>
    <w:rsid w:val="00462DA8"/>
    <w:rsid w:val="00464630"/>
    <w:rsid w:val="00464D1F"/>
    <w:rsid w:val="00466486"/>
    <w:rsid w:val="00466B37"/>
    <w:rsid w:val="00466C07"/>
    <w:rsid w:val="00467965"/>
    <w:rsid w:val="0047027A"/>
    <w:rsid w:val="0047122B"/>
    <w:rsid w:val="0047127F"/>
    <w:rsid w:val="00471C1B"/>
    <w:rsid w:val="004736F4"/>
    <w:rsid w:val="00473B7A"/>
    <w:rsid w:val="00473BA3"/>
    <w:rsid w:val="00473E47"/>
    <w:rsid w:val="00474210"/>
    <w:rsid w:val="00474309"/>
    <w:rsid w:val="0047700C"/>
    <w:rsid w:val="0047772F"/>
    <w:rsid w:val="0048056C"/>
    <w:rsid w:val="00480848"/>
    <w:rsid w:val="004811A7"/>
    <w:rsid w:val="00482861"/>
    <w:rsid w:val="004851C6"/>
    <w:rsid w:val="0048542A"/>
    <w:rsid w:val="00485519"/>
    <w:rsid w:val="00487358"/>
    <w:rsid w:val="00487FB8"/>
    <w:rsid w:val="004910D0"/>
    <w:rsid w:val="0049165F"/>
    <w:rsid w:val="00491C02"/>
    <w:rsid w:val="0049455F"/>
    <w:rsid w:val="004960E9"/>
    <w:rsid w:val="004A1517"/>
    <w:rsid w:val="004A16FA"/>
    <w:rsid w:val="004A1A38"/>
    <w:rsid w:val="004A2377"/>
    <w:rsid w:val="004A2E88"/>
    <w:rsid w:val="004A32CA"/>
    <w:rsid w:val="004A5305"/>
    <w:rsid w:val="004A6867"/>
    <w:rsid w:val="004A7B89"/>
    <w:rsid w:val="004B043E"/>
    <w:rsid w:val="004B3331"/>
    <w:rsid w:val="004B35F1"/>
    <w:rsid w:val="004B5875"/>
    <w:rsid w:val="004B724B"/>
    <w:rsid w:val="004C2334"/>
    <w:rsid w:val="004C3874"/>
    <w:rsid w:val="004C42DB"/>
    <w:rsid w:val="004C6E7B"/>
    <w:rsid w:val="004C770B"/>
    <w:rsid w:val="004C7E5C"/>
    <w:rsid w:val="004D01EE"/>
    <w:rsid w:val="004D037D"/>
    <w:rsid w:val="004D0880"/>
    <w:rsid w:val="004D1A82"/>
    <w:rsid w:val="004D1D07"/>
    <w:rsid w:val="004D2BA4"/>
    <w:rsid w:val="004D44AA"/>
    <w:rsid w:val="004D471F"/>
    <w:rsid w:val="004D51E3"/>
    <w:rsid w:val="004D7634"/>
    <w:rsid w:val="004D7F1D"/>
    <w:rsid w:val="004E0517"/>
    <w:rsid w:val="004E0731"/>
    <w:rsid w:val="004E18E1"/>
    <w:rsid w:val="004E3642"/>
    <w:rsid w:val="004E3C9F"/>
    <w:rsid w:val="004E4ED7"/>
    <w:rsid w:val="004E4FF4"/>
    <w:rsid w:val="004E511B"/>
    <w:rsid w:val="004E52D0"/>
    <w:rsid w:val="004E58D5"/>
    <w:rsid w:val="004E611A"/>
    <w:rsid w:val="004F018B"/>
    <w:rsid w:val="004F1374"/>
    <w:rsid w:val="004F1A06"/>
    <w:rsid w:val="004F2A28"/>
    <w:rsid w:val="004F32E5"/>
    <w:rsid w:val="004F3B28"/>
    <w:rsid w:val="004F6460"/>
    <w:rsid w:val="004F64E6"/>
    <w:rsid w:val="004F788F"/>
    <w:rsid w:val="00500D21"/>
    <w:rsid w:val="0050199B"/>
    <w:rsid w:val="00501F1D"/>
    <w:rsid w:val="00503A68"/>
    <w:rsid w:val="00504627"/>
    <w:rsid w:val="005054C8"/>
    <w:rsid w:val="00506775"/>
    <w:rsid w:val="00510A5A"/>
    <w:rsid w:val="00511813"/>
    <w:rsid w:val="00512DEC"/>
    <w:rsid w:val="00514534"/>
    <w:rsid w:val="005146C6"/>
    <w:rsid w:val="005213D1"/>
    <w:rsid w:val="0052183B"/>
    <w:rsid w:val="00525F79"/>
    <w:rsid w:val="00526415"/>
    <w:rsid w:val="005300D3"/>
    <w:rsid w:val="00532BE8"/>
    <w:rsid w:val="00533034"/>
    <w:rsid w:val="00534406"/>
    <w:rsid w:val="00535C84"/>
    <w:rsid w:val="00535E6C"/>
    <w:rsid w:val="005363BC"/>
    <w:rsid w:val="005364CA"/>
    <w:rsid w:val="0054066E"/>
    <w:rsid w:val="00540D79"/>
    <w:rsid w:val="0054144C"/>
    <w:rsid w:val="00541530"/>
    <w:rsid w:val="00542A10"/>
    <w:rsid w:val="00543861"/>
    <w:rsid w:val="00544F82"/>
    <w:rsid w:val="0054501B"/>
    <w:rsid w:val="005462C0"/>
    <w:rsid w:val="005509D2"/>
    <w:rsid w:val="00551497"/>
    <w:rsid w:val="00551597"/>
    <w:rsid w:val="00552663"/>
    <w:rsid w:val="005529AB"/>
    <w:rsid w:val="00553895"/>
    <w:rsid w:val="00553A17"/>
    <w:rsid w:val="005559D0"/>
    <w:rsid w:val="00556352"/>
    <w:rsid w:val="00557412"/>
    <w:rsid w:val="005577B2"/>
    <w:rsid w:val="00561138"/>
    <w:rsid w:val="00564E9F"/>
    <w:rsid w:val="00565190"/>
    <w:rsid w:val="0056692A"/>
    <w:rsid w:val="005672A5"/>
    <w:rsid w:val="00567D5D"/>
    <w:rsid w:val="00570F3C"/>
    <w:rsid w:val="00571C2F"/>
    <w:rsid w:val="005742C4"/>
    <w:rsid w:val="00574A05"/>
    <w:rsid w:val="00580326"/>
    <w:rsid w:val="0058205F"/>
    <w:rsid w:val="005824E2"/>
    <w:rsid w:val="005827E9"/>
    <w:rsid w:val="00582F27"/>
    <w:rsid w:val="00584945"/>
    <w:rsid w:val="00584AE2"/>
    <w:rsid w:val="00584DC1"/>
    <w:rsid w:val="005922E1"/>
    <w:rsid w:val="005932B2"/>
    <w:rsid w:val="005933FB"/>
    <w:rsid w:val="00593C4F"/>
    <w:rsid w:val="00594482"/>
    <w:rsid w:val="005946A8"/>
    <w:rsid w:val="00594B85"/>
    <w:rsid w:val="00596C59"/>
    <w:rsid w:val="005A067A"/>
    <w:rsid w:val="005A10D9"/>
    <w:rsid w:val="005A3544"/>
    <w:rsid w:val="005A3761"/>
    <w:rsid w:val="005A37D6"/>
    <w:rsid w:val="005A418A"/>
    <w:rsid w:val="005A4407"/>
    <w:rsid w:val="005A4C0C"/>
    <w:rsid w:val="005A59EF"/>
    <w:rsid w:val="005A7896"/>
    <w:rsid w:val="005B17FB"/>
    <w:rsid w:val="005B1C7E"/>
    <w:rsid w:val="005B26C0"/>
    <w:rsid w:val="005B27C6"/>
    <w:rsid w:val="005B298C"/>
    <w:rsid w:val="005B470D"/>
    <w:rsid w:val="005B47C8"/>
    <w:rsid w:val="005C31F7"/>
    <w:rsid w:val="005C4C4B"/>
    <w:rsid w:val="005C570E"/>
    <w:rsid w:val="005C6976"/>
    <w:rsid w:val="005C6A0C"/>
    <w:rsid w:val="005E0A23"/>
    <w:rsid w:val="005E185D"/>
    <w:rsid w:val="005E225B"/>
    <w:rsid w:val="005E49B4"/>
    <w:rsid w:val="005E594E"/>
    <w:rsid w:val="005E6CA3"/>
    <w:rsid w:val="005E7237"/>
    <w:rsid w:val="005E7740"/>
    <w:rsid w:val="005F2518"/>
    <w:rsid w:val="005F2591"/>
    <w:rsid w:val="005F6973"/>
    <w:rsid w:val="005F6F41"/>
    <w:rsid w:val="005F777E"/>
    <w:rsid w:val="00602147"/>
    <w:rsid w:val="00606C48"/>
    <w:rsid w:val="00612100"/>
    <w:rsid w:val="00613386"/>
    <w:rsid w:val="0061545E"/>
    <w:rsid w:val="00623867"/>
    <w:rsid w:val="00624061"/>
    <w:rsid w:val="00625466"/>
    <w:rsid w:val="00625642"/>
    <w:rsid w:val="00625D0A"/>
    <w:rsid w:val="00625D1A"/>
    <w:rsid w:val="00625DC6"/>
    <w:rsid w:val="00626F4F"/>
    <w:rsid w:val="006279A9"/>
    <w:rsid w:val="006327AC"/>
    <w:rsid w:val="00632887"/>
    <w:rsid w:val="0063551D"/>
    <w:rsid w:val="0063674D"/>
    <w:rsid w:val="006368B3"/>
    <w:rsid w:val="006368FD"/>
    <w:rsid w:val="00636BD7"/>
    <w:rsid w:val="00640689"/>
    <w:rsid w:val="00640BBC"/>
    <w:rsid w:val="00641863"/>
    <w:rsid w:val="00641CF1"/>
    <w:rsid w:val="00641E46"/>
    <w:rsid w:val="00642ECC"/>
    <w:rsid w:val="0064304C"/>
    <w:rsid w:val="0064391D"/>
    <w:rsid w:val="0064537D"/>
    <w:rsid w:val="00647497"/>
    <w:rsid w:val="0065142A"/>
    <w:rsid w:val="00651821"/>
    <w:rsid w:val="006524FA"/>
    <w:rsid w:val="00654384"/>
    <w:rsid w:val="00656042"/>
    <w:rsid w:val="0065645C"/>
    <w:rsid w:val="006571DD"/>
    <w:rsid w:val="00657A23"/>
    <w:rsid w:val="00661950"/>
    <w:rsid w:val="0066283E"/>
    <w:rsid w:val="006641CB"/>
    <w:rsid w:val="006675CD"/>
    <w:rsid w:val="00672971"/>
    <w:rsid w:val="006740BA"/>
    <w:rsid w:val="0067652E"/>
    <w:rsid w:val="00676752"/>
    <w:rsid w:val="00677327"/>
    <w:rsid w:val="00681C5A"/>
    <w:rsid w:val="00682862"/>
    <w:rsid w:val="00684D9B"/>
    <w:rsid w:val="0068510A"/>
    <w:rsid w:val="006864B4"/>
    <w:rsid w:val="00687C78"/>
    <w:rsid w:val="00687FD2"/>
    <w:rsid w:val="00691658"/>
    <w:rsid w:val="00693F25"/>
    <w:rsid w:val="006952C3"/>
    <w:rsid w:val="00695CA6"/>
    <w:rsid w:val="00695E81"/>
    <w:rsid w:val="00697556"/>
    <w:rsid w:val="006A0B2C"/>
    <w:rsid w:val="006A76E1"/>
    <w:rsid w:val="006A7D96"/>
    <w:rsid w:val="006B0958"/>
    <w:rsid w:val="006B0E2F"/>
    <w:rsid w:val="006B26E5"/>
    <w:rsid w:val="006B3A3E"/>
    <w:rsid w:val="006B45BA"/>
    <w:rsid w:val="006B4647"/>
    <w:rsid w:val="006B4C2B"/>
    <w:rsid w:val="006B5B0A"/>
    <w:rsid w:val="006B6194"/>
    <w:rsid w:val="006B6D47"/>
    <w:rsid w:val="006B6D4E"/>
    <w:rsid w:val="006B6F87"/>
    <w:rsid w:val="006C0B6A"/>
    <w:rsid w:val="006C0DEC"/>
    <w:rsid w:val="006C2E78"/>
    <w:rsid w:val="006C3D07"/>
    <w:rsid w:val="006C3FDE"/>
    <w:rsid w:val="006C5AFE"/>
    <w:rsid w:val="006D0BBB"/>
    <w:rsid w:val="006D0BC5"/>
    <w:rsid w:val="006D1304"/>
    <w:rsid w:val="006D16F6"/>
    <w:rsid w:val="006D3473"/>
    <w:rsid w:val="006D3E12"/>
    <w:rsid w:val="006D5348"/>
    <w:rsid w:val="006D567C"/>
    <w:rsid w:val="006E040A"/>
    <w:rsid w:val="006E2283"/>
    <w:rsid w:val="006F0F67"/>
    <w:rsid w:val="006F27AC"/>
    <w:rsid w:val="006F2EC8"/>
    <w:rsid w:val="006F396C"/>
    <w:rsid w:val="006F5528"/>
    <w:rsid w:val="006F68C2"/>
    <w:rsid w:val="006F6D95"/>
    <w:rsid w:val="0070197A"/>
    <w:rsid w:val="00701E1C"/>
    <w:rsid w:val="00701FAA"/>
    <w:rsid w:val="00703213"/>
    <w:rsid w:val="007048F1"/>
    <w:rsid w:val="00705C82"/>
    <w:rsid w:val="00706EA3"/>
    <w:rsid w:val="00706F13"/>
    <w:rsid w:val="0070721D"/>
    <w:rsid w:val="007072E8"/>
    <w:rsid w:val="00711886"/>
    <w:rsid w:val="00712D2C"/>
    <w:rsid w:val="00712FD8"/>
    <w:rsid w:val="0071618D"/>
    <w:rsid w:val="00717ED1"/>
    <w:rsid w:val="007231E1"/>
    <w:rsid w:val="00723ED7"/>
    <w:rsid w:val="007243D4"/>
    <w:rsid w:val="00724D69"/>
    <w:rsid w:val="007255F1"/>
    <w:rsid w:val="00725FA4"/>
    <w:rsid w:val="00726540"/>
    <w:rsid w:val="007268C4"/>
    <w:rsid w:val="00726ACC"/>
    <w:rsid w:val="00726C7B"/>
    <w:rsid w:val="0072718C"/>
    <w:rsid w:val="0072764D"/>
    <w:rsid w:val="00732FED"/>
    <w:rsid w:val="00733CD4"/>
    <w:rsid w:val="00733DEF"/>
    <w:rsid w:val="00734174"/>
    <w:rsid w:val="007344AC"/>
    <w:rsid w:val="00734D5D"/>
    <w:rsid w:val="00735F98"/>
    <w:rsid w:val="00736C9D"/>
    <w:rsid w:val="00740446"/>
    <w:rsid w:val="0074238B"/>
    <w:rsid w:val="00743760"/>
    <w:rsid w:val="007438A9"/>
    <w:rsid w:val="00744505"/>
    <w:rsid w:val="0074491E"/>
    <w:rsid w:val="00746626"/>
    <w:rsid w:val="0074708D"/>
    <w:rsid w:val="00747E02"/>
    <w:rsid w:val="00750328"/>
    <w:rsid w:val="0075068F"/>
    <w:rsid w:val="00750AA2"/>
    <w:rsid w:val="0075162D"/>
    <w:rsid w:val="007526CB"/>
    <w:rsid w:val="00752CB3"/>
    <w:rsid w:val="007535E5"/>
    <w:rsid w:val="00754623"/>
    <w:rsid w:val="00754A3A"/>
    <w:rsid w:val="007554BB"/>
    <w:rsid w:val="0075617C"/>
    <w:rsid w:val="007577BA"/>
    <w:rsid w:val="007601FD"/>
    <w:rsid w:val="00760595"/>
    <w:rsid w:val="0076247A"/>
    <w:rsid w:val="00762B4E"/>
    <w:rsid w:val="00763970"/>
    <w:rsid w:val="007649B6"/>
    <w:rsid w:val="00765A05"/>
    <w:rsid w:val="00766870"/>
    <w:rsid w:val="00771029"/>
    <w:rsid w:val="00771974"/>
    <w:rsid w:val="00771A6B"/>
    <w:rsid w:val="00771C02"/>
    <w:rsid w:val="00771DB0"/>
    <w:rsid w:val="007728E7"/>
    <w:rsid w:val="00772E78"/>
    <w:rsid w:val="00773E76"/>
    <w:rsid w:val="007744C1"/>
    <w:rsid w:val="00775964"/>
    <w:rsid w:val="007765FE"/>
    <w:rsid w:val="00776EA6"/>
    <w:rsid w:val="00776F78"/>
    <w:rsid w:val="0078081D"/>
    <w:rsid w:val="0078307F"/>
    <w:rsid w:val="007843D2"/>
    <w:rsid w:val="0078457B"/>
    <w:rsid w:val="007853C9"/>
    <w:rsid w:val="00787008"/>
    <w:rsid w:val="00787EDB"/>
    <w:rsid w:val="007942FD"/>
    <w:rsid w:val="00794E2E"/>
    <w:rsid w:val="00795BFB"/>
    <w:rsid w:val="007964C6"/>
    <w:rsid w:val="00796A64"/>
    <w:rsid w:val="007A0C21"/>
    <w:rsid w:val="007A1231"/>
    <w:rsid w:val="007A440E"/>
    <w:rsid w:val="007A4F22"/>
    <w:rsid w:val="007A6B3C"/>
    <w:rsid w:val="007B18EA"/>
    <w:rsid w:val="007B1D17"/>
    <w:rsid w:val="007B2760"/>
    <w:rsid w:val="007B3207"/>
    <w:rsid w:val="007B45A5"/>
    <w:rsid w:val="007B6AD0"/>
    <w:rsid w:val="007C1069"/>
    <w:rsid w:val="007C10BA"/>
    <w:rsid w:val="007C1E93"/>
    <w:rsid w:val="007C6291"/>
    <w:rsid w:val="007C7759"/>
    <w:rsid w:val="007D3F94"/>
    <w:rsid w:val="007D4E7E"/>
    <w:rsid w:val="007E332A"/>
    <w:rsid w:val="007E344C"/>
    <w:rsid w:val="007E4D9F"/>
    <w:rsid w:val="007E60FF"/>
    <w:rsid w:val="007E6428"/>
    <w:rsid w:val="007E7290"/>
    <w:rsid w:val="007E7E38"/>
    <w:rsid w:val="007F1427"/>
    <w:rsid w:val="007F14A0"/>
    <w:rsid w:val="007F2913"/>
    <w:rsid w:val="007F2952"/>
    <w:rsid w:val="007F34E6"/>
    <w:rsid w:val="007F504F"/>
    <w:rsid w:val="007F53DC"/>
    <w:rsid w:val="007F64D1"/>
    <w:rsid w:val="007F74ED"/>
    <w:rsid w:val="007F782A"/>
    <w:rsid w:val="00800227"/>
    <w:rsid w:val="00801D2F"/>
    <w:rsid w:val="00804D08"/>
    <w:rsid w:val="00804E1C"/>
    <w:rsid w:val="008051D4"/>
    <w:rsid w:val="008056E6"/>
    <w:rsid w:val="00806C01"/>
    <w:rsid w:val="00806D26"/>
    <w:rsid w:val="00806D59"/>
    <w:rsid w:val="008074D3"/>
    <w:rsid w:val="00811769"/>
    <w:rsid w:val="00812CDF"/>
    <w:rsid w:val="008148CC"/>
    <w:rsid w:val="008160D6"/>
    <w:rsid w:val="00816632"/>
    <w:rsid w:val="008205C1"/>
    <w:rsid w:val="00820DCD"/>
    <w:rsid w:val="008211A4"/>
    <w:rsid w:val="00822EF6"/>
    <w:rsid w:val="0082634F"/>
    <w:rsid w:val="00833065"/>
    <w:rsid w:val="008338AD"/>
    <w:rsid w:val="0083787A"/>
    <w:rsid w:val="00840558"/>
    <w:rsid w:val="00840D7C"/>
    <w:rsid w:val="00840F76"/>
    <w:rsid w:val="00841EB0"/>
    <w:rsid w:val="00842ABB"/>
    <w:rsid w:val="00843BE2"/>
    <w:rsid w:val="0084469A"/>
    <w:rsid w:val="00846498"/>
    <w:rsid w:val="008465FF"/>
    <w:rsid w:val="0084693A"/>
    <w:rsid w:val="008477F7"/>
    <w:rsid w:val="008512C7"/>
    <w:rsid w:val="0085253E"/>
    <w:rsid w:val="008530ED"/>
    <w:rsid w:val="008543F1"/>
    <w:rsid w:val="008562C6"/>
    <w:rsid w:val="00857945"/>
    <w:rsid w:val="0086056C"/>
    <w:rsid w:val="00860AC7"/>
    <w:rsid w:val="00860C22"/>
    <w:rsid w:val="00862F0A"/>
    <w:rsid w:val="008658C6"/>
    <w:rsid w:val="0087184F"/>
    <w:rsid w:val="008718F7"/>
    <w:rsid w:val="00872A6C"/>
    <w:rsid w:val="00873150"/>
    <w:rsid w:val="00875166"/>
    <w:rsid w:val="0087657D"/>
    <w:rsid w:val="008769BE"/>
    <w:rsid w:val="00876A69"/>
    <w:rsid w:val="008807D5"/>
    <w:rsid w:val="00880832"/>
    <w:rsid w:val="0088101D"/>
    <w:rsid w:val="00881B58"/>
    <w:rsid w:val="00881E3E"/>
    <w:rsid w:val="00882273"/>
    <w:rsid w:val="008828AF"/>
    <w:rsid w:val="0088399C"/>
    <w:rsid w:val="0088613C"/>
    <w:rsid w:val="00886EE1"/>
    <w:rsid w:val="0088727D"/>
    <w:rsid w:val="00892360"/>
    <w:rsid w:val="00892629"/>
    <w:rsid w:val="0089483B"/>
    <w:rsid w:val="008977B8"/>
    <w:rsid w:val="00897C75"/>
    <w:rsid w:val="008A08EB"/>
    <w:rsid w:val="008A1FE7"/>
    <w:rsid w:val="008A21E1"/>
    <w:rsid w:val="008A254E"/>
    <w:rsid w:val="008A448B"/>
    <w:rsid w:val="008A4EFB"/>
    <w:rsid w:val="008A667F"/>
    <w:rsid w:val="008A73F9"/>
    <w:rsid w:val="008A7880"/>
    <w:rsid w:val="008B1754"/>
    <w:rsid w:val="008B17F8"/>
    <w:rsid w:val="008B42C6"/>
    <w:rsid w:val="008B5908"/>
    <w:rsid w:val="008B746C"/>
    <w:rsid w:val="008C1130"/>
    <w:rsid w:val="008C34B8"/>
    <w:rsid w:val="008C493C"/>
    <w:rsid w:val="008D079D"/>
    <w:rsid w:val="008D1744"/>
    <w:rsid w:val="008D18E6"/>
    <w:rsid w:val="008D1DA7"/>
    <w:rsid w:val="008D2774"/>
    <w:rsid w:val="008D28B1"/>
    <w:rsid w:val="008D2A19"/>
    <w:rsid w:val="008D30D1"/>
    <w:rsid w:val="008D3690"/>
    <w:rsid w:val="008D4BA7"/>
    <w:rsid w:val="008D4F36"/>
    <w:rsid w:val="008D6D5A"/>
    <w:rsid w:val="008D7A9B"/>
    <w:rsid w:val="008E0060"/>
    <w:rsid w:val="008E3DCE"/>
    <w:rsid w:val="008E5758"/>
    <w:rsid w:val="008E5778"/>
    <w:rsid w:val="008E6170"/>
    <w:rsid w:val="008E61E5"/>
    <w:rsid w:val="008E7050"/>
    <w:rsid w:val="008E7091"/>
    <w:rsid w:val="008E76AC"/>
    <w:rsid w:val="008F0CD4"/>
    <w:rsid w:val="008F1A29"/>
    <w:rsid w:val="008F21F6"/>
    <w:rsid w:val="008F27C1"/>
    <w:rsid w:val="008F2E10"/>
    <w:rsid w:val="008F45AC"/>
    <w:rsid w:val="008F6918"/>
    <w:rsid w:val="00902467"/>
    <w:rsid w:val="009028B5"/>
    <w:rsid w:val="00906746"/>
    <w:rsid w:val="00907521"/>
    <w:rsid w:val="00911647"/>
    <w:rsid w:val="009153DC"/>
    <w:rsid w:val="0091549D"/>
    <w:rsid w:val="00915AB2"/>
    <w:rsid w:val="00920787"/>
    <w:rsid w:val="009248E1"/>
    <w:rsid w:val="00925687"/>
    <w:rsid w:val="0092613A"/>
    <w:rsid w:val="00926675"/>
    <w:rsid w:val="0093028B"/>
    <w:rsid w:val="00930357"/>
    <w:rsid w:val="00930406"/>
    <w:rsid w:val="00930C89"/>
    <w:rsid w:val="00932165"/>
    <w:rsid w:val="00932A56"/>
    <w:rsid w:val="009331B2"/>
    <w:rsid w:val="0093366E"/>
    <w:rsid w:val="00934373"/>
    <w:rsid w:val="0093638C"/>
    <w:rsid w:val="00936830"/>
    <w:rsid w:val="00937097"/>
    <w:rsid w:val="0093735F"/>
    <w:rsid w:val="00942CC9"/>
    <w:rsid w:val="0094370D"/>
    <w:rsid w:val="0094467F"/>
    <w:rsid w:val="00946243"/>
    <w:rsid w:val="00946935"/>
    <w:rsid w:val="00947219"/>
    <w:rsid w:val="009504CD"/>
    <w:rsid w:val="00950994"/>
    <w:rsid w:val="00950C05"/>
    <w:rsid w:val="00951F79"/>
    <w:rsid w:val="0095230E"/>
    <w:rsid w:val="00953101"/>
    <w:rsid w:val="0095375D"/>
    <w:rsid w:val="009537CD"/>
    <w:rsid w:val="00953BD0"/>
    <w:rsid w:val="0095620A"/>
    <w:rsid w:val="00956C7A"/>
    <w:rsid w:val="0095705D"/>
    <w:rsid w:val="009574A3"/>
    <w:rsid w:val="00957E53"/>
    <w:rsid w:val="00960027"/>
    <w:rsid w:val="00961006"/>
    <w:rsid w:val="00962039"/>
    <w:rsid w:val="00962509"/>
    <w:rsid w:val="00965EAE"/>
    <w:rsid w:val="0097112D"/>
    <w:rsid w:val="00971750"/>
    <w:rsid w:val="00974AB5"/>
    <w:rsid w:val="00977BA4"/>
    <w:rsid w:val="0098229E"/>
    <w:rsid w:val="00983BC7"/>
    <w:rsid w:val="009868DB"/>
    <w:rsid w:val="0098706D"/>
    <w:rsid w:val="00987AC1"/>
    <w:rsid w:val="00990A80"/>
    <w:rsid w:val="009910E4"/>
    <w:rsid w:val="009935FB"/>
    <w:rsid w:val="00993E7F"/>
    <w:rsid w:val="009944DF"/>
    <w:rsid w:val="00996CD7"/>
    <w:rsid w:val="00997B26"/>
    <w:rsid w:val="00997BD5"/>
    <w:rsid w:val="009A154B"/>
    <w:rsid w:val="009A1ADB"/>
    <w:rsid w:val="009A25E2"/>
    <w:rsid w:val="009A3038"/>
    <w:rsid w:val="009A3CF6"/>
    <w:rsid w:val="009A4D2B"/>
    <w:rsid w:val="009A5E1E"/>
    <w:rsid w:val="009A6C35"/>
    <w:rsid w:val="009A7B77"/>
    <w:rsid w:val="009B10A5"/>
    <w:rsid w:val="009B210A"/>
    <w:rsid w:val="009B26AA"/>
    <w:rsid w:val="009B2DD6"/>
    <w:rsid w:val="009B39B2"/>
    <w:rsid w:val="009B3AC5"/>
    <w:rsid w:val="009B4900"/>
    <w:rsid w:val="009B5364"/>
    <w:rsid w:val="009B649C"/>
    <w:rsid w:val="009B72C4"/>
    <w:rsid w:val="009B792C"/>
    <w:rsid w:val="009C2630"/>
    <w:rsid w:val="009C42B5"/>
    <w:rsid w:val="009C5924"/>
    <w:rsid w:val="009C7678"/>
    <w:rsid w:val="009D0261"/>
    <w:rsid w:val="009D12C5"/>
    <w:rsid w:val="009D1367"/>
    <w:rsid w:val="009D294D"/>
    <w:rsid w:val="009D350A"/>
    <w:rsid w:val="009D55B9"/>
    <w:rsid w:val="009D6564"/>
    <w:rsid w:val="009E0BB8"/>
    <w:rsid w:val="009E0FAC"/>
    <w:rsid w:val="009E171B"/>
    <w:rsid w:val="009E3844"/>
    <w:rsid w:val="009E4124"/>
    <w:rsid w:val="009E42C7"/>
    <w:rsid w:val="009E42E3"/>
    <w:rsid w:val="009F1351"/>
    <w:rsid w:val="009F1A0D"/>
    <w:rsid w:val="009F3785"/>
    <w:rsid w:val="009F3BA3"/>
    <w:rsid w:val="009F4A54"/>
    <w:rsid w:val="009F4BEC"/>
    <w:rsid w:val="009F5874"/>
    <w:rsid w:val="009F746C"/>
    <w:rsid w:val="009F768E"/>
    <w:rsid w:val="00A0114D"/>
    <w:rsid w:val="00A0162B"/>
    <w:rsid w:val="00A01E6D"/>
    <w:rsid w:val="00A021EC"/>
    <w:rsid w:val="00A0332C"/>
    <w:rsid w:val="00A03496"/>
    <w:rsid w:val="00A03B73"/>
    <w:rsid w:val="00A05235"/>
    <w:rsid w:val="00A05CF0"/>
    <w:rsid w:val="00A06108"/>
    <w:rsid w:val="00A06E46"/>
    <w:rsid w:val="00A100AD"/>
    <w:rsid w:val="00A10170"/>
    <w:rsid w:val="00A11A7E"/>
    <w:rsid w:val="00A11FA6"/>
    <w:rsid w:val="00A213E3"/>
    <w:rsid w:val="00A22477"/>
    <w:rsid w:val="00A22C0A"/>
    <w:rsid w:val="00A2337A"/>
    <w:rsid w:val="00A23627"/>
    <w:rsid w:val="00A25C85"/>
    <w:rsid w:val="00A25F71"/>
    <w:rsid w:val="00A25FD7"/>
    <w:rsid w:val="00A272E5"/>
    <w:rsid w:val="00A32ACE"/>
    <w:rsid w:val="00A32D8C"/>
    <w:rsid w:val="00A330BB"/>
    <w:rsid w:val="00A336D6"/>
    <w:rsid w:val="00A33DAA"/>
    <w:rsid w:val="00A34C39"/>
    <w:rsid w:val="00A365F7"/>
    <w:rsid w:val="00A43AFF"/>
    <w:rsid w:val="00A43C62"/>
    <w:rsid w:val="00A450DD"/>
    <w:rsid w:val="00A51EE5"/>
    <w:rsid w:val="00A54F82"/>
    <w:rsid w:val="00A553EA"/>
    <w:rsid w:val="00A5574E"/>
    <w:rsid w:val="00A5778C"/>
    <w:rsid w:val="00A60B09"/>
    <w:rsid w:val="00A6188F"/>
    <w:rsid w:val="00A6271B"/>
    <w:rsid w:val="00A634A8"/>
    <w:rsid w:val="00A66A35"/>
    <w:rsid w:val="00A70632"/>
    <w:rsid w:val="00A70C4D"/>
    <w:rsid w:val="00A71939"/>
    <w:rsid w:val="00A720AC"/>
    <w:rsid w:val="00A73FFC"/>
    <w:rsid w:val="00A76152"/>
    <w:rsid w:val="00A77606"/>
    <w:rsid w:val="00A7793A"/>
    <w:rsid w:val="00A81053"/>
    <w:rsid w:val="00A82BA5"/>
    <w:rsid w:val="00A84443"/>
    <w:rsid w:val="00A862CD"/>
    <w:rsid w:val="00A93322"/>
    <w:rsid w:val="00A947DA"/>
    <w:rsid w:val="00A94C3A"/>
    <w:rsid w:val="00A95482"/>
    <w:rsid w:val="00A95ED3"/>
    <w:rsid w:val="00A97099"/>
    <w:rsid w:val="00A97B83"/>
    <w:rsid w:val="00A97B96"/>
    <w:rsid w:val="00AA196D"/>
    <w:rsid w:val="00AA1E1D"/>
    <w:rsid w:val="00AA2E76"/>
    <w:rsid w:val="00AA4CC7"/>
    <w:rsid w:val="00AA5E8E"/>
    <w:rsid w:val="00AA647B"/>
    <w:rsid w:val="00AB2BAD"/>
    <w:rsid w:val="00AB3304"/>
    <w:rsid w:val="00AB468F"/>
    <w:rsid w:val="00AB47E9"/>
    <w:rsid w:val="00AB6CA7"/>
    <w:rsid w:val="00AC0DBC"/>
    <w:rsid w:val="00AC38D1"/>
    <w:rsid w:val="00AC39E1"/>
    <w:rsid w:val="00AC40B8"/>
    <w:rsid w:val="00AC56E3"/>
    <w:rsid w:val="00AD01E4"/>
    <w:rsid w:val="00AD0858"/>
    <w:rsid w:val="00AD19D2"/>
    <w:rsid w:val="00AD396B"/>
    <w:rsid w:val="00AD482A"/>
    <w:rsid w:val="00AD4CA0"/>
    <w:rsid w:val="00AD67D5"/>
    <w:rsid w:val="00AD6CBF"/>
    <w:rsid w:val="00AE02E3"/>
    <w:rsid w:val="00AE0497"/>
    <w:rsid w:val="00AE04DB"/>
    <w:rsid w:val="00AE0827"/>
    <w:rsid w:val="00AE28FA"/>
    <w:rsid w:val="00AE34F1"/>
    <w:rsid w:val="00AE35FF"/>
    <w:rsid w:val="00AE56D6"/>
    <w:rsid w:val="00AE5839"/>
    <w:rsid w:val="00AE5EEC"/>
    <w:rsid w:val="00AE68F2"/>
    <w:rsid w:val="00AE6E03"/>
    <w:rsid w:val="00AE7340"/>
    <w:rsid w:val="00AE77B5"/>
    <w:rsid w:val="00AE77D8"/>
    <w:rsid w:val="00AF1BBD"/>
    <w:rsid w:val="00AF4CEA"/>
    <w:rsid w:val="00AF4F89"/>
    <w:rsid w:val="00AF501A"/>
    <w:rsid w:val="00AF69CB"/>
    <w:rsid w:val="00AF6BC0"/>
    <w:rsid w:val="00AF6D3C"/>
    <w:rsid w:val="00AF7C21"/>
    <w:rsid w:val="00B00410"/>
    <w:rsid w:val="00B05C07"/>
    <w:rsid w:val="00B07AD5"/>
    <w:rsid w:val="00B10207"/>
    <w:rsid w:val="00B1113C"/>
    <w:rsid w:val="00B11EEE"/>
    <w:rsid w:val="00B12600"/>
    <w:rsid w:val="00B129D9"/>
    <w:rsid w:val="00B13D6C"/>
    <w:rsid w:val="00B13F2F"/>
    <w:rsid w:val="00B141E7"/>
    <w:rsid w:val="00B142C5"/>
    <w:rsid w:val="00B150F3"/>
    <w:rsid w:val="00B152BB"/>
    <w:rsid w:val="00B25190"/>
    <w:rsid w:val="00B257DE"/>
    <w:rsid w:val="00B27555"/>
    <w:rsid w:val="00B31275"/>
    <w:rsid w:val="00B31834"/>
    <w:rsid w:val="00B3352A"/>
    <w:rsid w:val="00B351B4"/>
    <w:rsid w:val="00B35D62"/>
    <w:rsid w:val="00B379AE"/>
    <w:rsid w:val="00B41A05"/>
    <w:rsid w:val="00B42004"/>
    <w:rsid w:val="00B44B8C"/>
    <w:rsid w:val="00B44C9F"/>
    <w:rsid w:val="00B46047"/>
    <w:rsid w:val="00B46BCA"/>
    <w:rsid w:val="00B478AA"/>
    <w:rsid w:val="00B51D83"/>
    <w:rsid w:val="00B52504"/>
    <w:rsid w:val="00B5257A"/>
    <w:rsid w:val="00B52915"/>
    <w:rsid w:val="00B541F1"/>
    <w:rsid w:val="00B548D2"/>
    <w:rsid w:val="00B5522B"/>
    <w:rsid w:val="00B55AED"/>
    <w:rsid w:val="00B57390"/>
    <w:rsid w:val="00B57EA2"/>
    <w:rsid w:val="00B61266"/>
    <w:rsid w:val="00B61A59"/>
    <w:rsid w:val="00B61FDA"/>
    <w:rsid w:val="00B6337A"/>
    <w:rsid w:val="00B64B66"/>
    <w:rsid w:val="00B64D1D"/>
    <w:rsid w:val="00B66CE3"/>
    <w:rsid w:val="00B67B87"/>
    <w:rsid w:val="00B67D58"/>
    <w:rsid w:val="00B70782"/>
    <w:rsid w:val="00B73E29"/>
    <w:rsid w:val="00B73F74"/>
    <w:rsid w:val="00B755D4"/>
    <w:rsid w:val="00B7607F"/>
    <w:rsid w:val="00B766B9"/>
    <w:rsid w:val="00B77E41"/>
    <w:rsid w:val="00B80415"/>
    <w:rsid w:val="00B8140A"/>
    <w:rsid w:val="00B82A85"/>
    <w:rsid w:val="00B83B7B"/>
    <w:rsid w:val="00B844ED"/>
    <w:rsid w:val="00B87806"/>
    <w:rsid w:val="00B87DD6"/>
    <w:rsid w:val="00B87EC9"/>
    <w:rsid w:val="00B90647"/>
    <w:rsid w:val="00B92407"/>
    <w:rsid w:val="00B935B4"/>
    <w:rsid w:val="00B97048"/>
    <w:rsid w:val="00BA15F8"/>
    <w:rsid w:val="00BA1EA5"/>
    <w:rsid w:val="00BA2637"/>
    <w:rsid w:val="00BA31B8"/>
    <w:rsid w:val="00BA6439"/>
    <w:rsid w:val="00BA65BE"/>
    <w:rsid w:val="00BA75B3"/>
    <w:rsid w:val="00BB0655"/>
    <w:rsid w:val="00BB09CE"/>
    <w:rsid w:val="00BB15B5"/>
    <w:rsid w:val="00BB1657"/>
    <w:rsid w:val="00BB373B"/>
    <w:rsid w:val="00BB56A0"/>
    <w:rsid w:val="00BB6FD1"/>
    <w:rsid w:val="00BB745A"/>
    <w:rsid w:val="00BC1342"/>
    <w:rsid w:val="00BC2D4F"/>
    <w:rsid w:val="00BC382C"/>
    <w:rsid w:val="00BC38FD"/>
    <w:rsid w:val="00BC3CBF"/>
    <w:rsid w:val="00BC4387"/>
    <w:rsid w:val="00BC54CB"/>
    <w:rsid w:val="00BC6313"/>
    <w:rsid w:val="00BC6C44"/>
    <w:rsid w:val="00BC6F62"/>
    <w:rsid w:val="00BC6FE6"/>
    <w:rsid w:val="00BC73EE"/>
    <w:rsid w:val="00BD2D0A"/>
    <w:rsid w:val="00BD34BC"/>
    <w:rsid w:val="00BD397F"/>
    <w:rsid w:val="00BD3CEA"/>
    <w:rsid w:val="00BD639E"/>
    <w:rsid w:val="00BE0D04"/>
    <w:rsid w:val="00BE24DF"/>
    <w:rsid w:val="00BE2558"/>
    <w:rsid w:val="00BE25B1"/>
    <w:rsid w:val="00BE34DF"/>
    <w:rsid w:val="00BF32E3"/>
    <w:rsid w:val="00BF42E0"/>
    <w:rsid w:val="00BF7036"/>
    <w:rsid w:val="00C02CB9"/>
    <w:rsid w:val="00C02D52"/>
    <w:rsid w:val="00C034CB"/>
    <w:rsid w:val="00C03D04"/>
    <w:rsid w:val="00C04FB7"/>
    <w:rsid w:val="00C051A8"/>
    <w:rsid w:val="00C054BC"/>
    <w:rsid w:val="00C06058"/>
    <w:rsid w:val="00C0797B"/>
    <w:rsid w:val="00C161E4"/>
    <w:rsid w:val="00C17897"/>
    <w:rsid w:val="00C17990"/>
    <w:rsid w:val="00C2064D"/>
    <w:rsid w:val="00C20D63"/>
    <w:rsid w:val="00C2108E"/>
    <w:rsid w:val="00C214D9"/>
    <w:rsid w:val="00C21ACA"/>
    <w:rsid w:val="00C2270C"/>
    <w:rsid w:val="00C233F6"/>
    <w:rsid w:val="00C240CA"/>
    <w:rsid w:val="00C25019"/>
    <w:rsid w:val="00C2789A"/>
    <w:rsid w:val="00C30BF8"/>
    <w:rsid w:val="00C3188D"/>
    <w:rsid w:val="00C31C0A"/>
    <w:rsid w:val="00C32245"/>
    <w:rsid w:val="00C333A0"/>
    <w:rsid w:val="00C3362F"/>
    <w:rsid w:val="00C34C00"/>
    <w:rsid w:val="00C360B0"/>
    <w:rsid w:val="00C364E5"/>
    <w:rsid w:val="00C409D5"/>
    <w:rsid w:val="00C4113C"/>
    <w:rsid w:val="00C430D4"/>
    <w:rsid w:val="00C435C3"/>
    <w:rsid w:val="00C4493F"/>
    <w:rsid w:val="00C44E5F"/>
    <w:rsid w:val="00C45A00"/>
    <w:rsid w:val="00C46D18"/>
    <w:rsid w:val="00C471D7"/>
    <w:rsid w:val="00C51B7C"/>
    <w:rsid w:val="00C5271E"/>
    <w:rsid w:val="00C5431C"/>
    <w:rsid w:val="00C5607C"/>
    <w:rsid w:val="00C567E4"/>
    <w:rsid w:val="00C5797A"/>
    <w:rsid w:val="00C57B40"/>
    <w:rsid w:val="00C609E5"/>
    <w:rsid w:val="00C60FF0"/>
    <w:rsid w:val="00C6159A"/>
    <w:rsid w:val="00C6234B"/>
    <w:rsid w:val="00C62653"/>
    <w:rsid w:val="00C63532"/>
    <w:rsid w:val="00C639F9"/>
    <w:rsid w:val="00C63EAE"/>
    <w:rsid w:val="00C678D2"/>
    <w:rsid w:val="00C70FF1"/>
    <w:rsid w:val="00C715AB"/>
    <w:rsid w:val="00C717D4"/>
    <w:rsid w:val="00C71D42"/>
    <w:rsid w:val="00C73260"/>
    <w:rsid w:val="00C7629F"/>
    <w:rsid w:val="00C76F00"/>
    <w:rsid w:val="00C80926"/>
    <w:rsid w:val="00C823E7"/>
    <w:rsid w:val="00C82702"/>
    <w:rsid w:val="00C84C34"/>
    <w:rsid w:val="00C85076"/>
    <w:rsid w:val="00C85717"/>
    <w:rsid w:val="00C857EC"/>
    <w:rsid w:val="00C8661B"/>
    <w:rsid w:val="00C86A59"/>
    <w:rsid w:val="00C93B01"/>
    <w:rsid w:val="00C9429C"/>
    <w:rsid w:val="00C94BC8"/>
    <w:rsid w:val="00C9618D"/>
    <w:rsid w:val="00C96428"/>
    <w:rsid w:val="00C96946"/>
    <w:rsid w:val="00CA03C8"/>
    <w:rsid w:val="00CA0691"/>
    <w:rsid w:val="00CA06F3"/>
    <w:rsid w:val="00CA139A"/>
    <w:rsid w:val="00CA150C"/>
    <w:rsid w:val="00CA2899"/>
    <w:rsid w:val="00CA3692"/>
    <w:rsid w:val="00CA3A3D"/>
    <w:rsid w:val="00CA3AA6"/>
    <w:rsid w:val="00CA5344"/>
    <w:rsid w:val="00CA698A"/>
    <w:rsid w:val="00CA6E29"/>
    <w:rsid w:val="00CA77FB"/>
    <w:rsid w:val="00CB0650"/>
    <w:rsid w:val="00CB151C"/>
    <w:rsid w:val="00CB1AA7"/>
    <w:rsid w:val="00CB1B6F"/>
    <w:rsid w:val="00CB1DAD"/>
    <w:rsid w:val="00CB379B"/>
    <w:rsid w:val="00CB5DD0"/>
    <w:rsid w:val="00CB79A1"/>
    <w:rsid w:val="00CC09C8"/>
    <w:rsid w:val="00CC14FE"/>
    <w:rsid w:val="00CC282C"/>
    <w:rsid w:val="00CC349B"/>
    <w:rsid w:val="00CC3958"/>
    <w:rsid w:val="00CC4E54"/>
    <w:rsid w:val="00CC51D4"/>
    <w:rsid w:val="00CC532E"/>
    <w:rsid w:val="00CC5568"/>
    <w:rsid w:val="00CC5BA5"/>
    <w:rsid w:val="00CC65DA"/>
    <w:rsid w:val="00CC6E3B"/>
    <w:rsid w:val="00CC6FB9"/>
    <w:rsid w:val="00CD004A"/>
    <w:rsid w:val="00CD0626"/>
    <w:rsid w:val="00CD1B6D"/>
    <w:rsid w:val="00CD3222"/>
    <w:rsid w:val="00CD4D0A"/>
    <w:rsid w:val="00CD737B"/>
    <w:rsid w:val="00CD74F7"/>
    <w:rsid w:val="00CE6669"/>
    <w:rsid w:val="00CE6954"/>
    <w:rsid w:val="00CF0C6E"/>
    <w:rsid w:val="00CF1346"/>
    <w:rsid w:val="00CF21B9"/>
    <w:rsid w:val="00CF23DD"/>
    <w:rsid w:val="00CF3D66"/>
    <w:rsid w:val="00CF4645"/>
    <w:rsid w:val="00CF51EF"/>
    <w:rsid w:val="00CF6BF9"/>
    <w:rsid w:val="00CF6C71"/>
    <w:rsid w:val="00CF7735"/>
    <w:rsid w:val="00D00887"/>
    <w:rsid w:val="00D01527"/>
    <w:rsid w:val="00D01D84"/>
    <w:rsid w:val="00D031A2"/>
    <w:rsid w:val="00D03800"/>
    <w:rsid w:val="00D04E1E"/>
    <w:rsid w:val="00D065D3"/>
    <w:rsid w:val="00D06827"/>
    <w:rsid w:val="00D06B3B"/>
    <w:rsid w:val="00D06C02"/>
    <w:rsid w:val="00D14C94"/>
    <w:rsid w:val="00D15814"/>
    <w:rsid w:val="00D15CA3"/>
    <w:rsid w:val="00D167AF"/>
    <w:rsid w:val="00D1684E"/>
    <w:rsid w:val="00D178D4"/>
    <w:rsid w:val="00D216A5"/>
    <w:rsid w:val="00D21FBB"/>
    <w:rsid w:val="00D23A5F"/>
    <w:rsid w:val="00D26D7F"/>
    <w:rsid w:val="00D27538"/>
    <w:rsid w:val="00D27EE6"/>
    <w:rsid w:val="00D31795"/>
    <w:rsid w:val="00D33239"/>
    <w:rsid w:val="00D342A6"/>
    <w:rsid w:val="00D3468F"/>
    <w:rsid w:val="00D3596D"/>
    <w:rsid w:val="00D35A92"/>
    <w:rsid w:val="00D35ED4"/>
    <w:rsid w:val="00D36443"/>
    <w:rsid w:val="00D366D0"/>
    <w:rsid w:val="00D37D6C"/>
    <w:rsid w:val="00D37DEC"/>
    <w:rsid w:val="00D40ED0"/>
    <w:rsid w:val="00D41492"/>
    <w:rsid w:val="00D41AD8"/>
    <w:rsid w:val="00D45CA6"/>
    <w:rsid w:val="00D464BF"/>
    <w:rsid w:val="00D46A14"/>
    <w:rsid w:val="00D52369"/>
    <w:rsid w:val="00D5285A"/>
    <w:rsid w:val="00D52AE0"/>
    <w:rsid w:val="00D52CF7"/>
    <w:rsid w:val="00D5301B"/>
    <w:rsid w:val="00D539A1"/>
    <w:rsid w:val="00D53E26"/>
    <w:rsid w:val="00D563DA"/>
    <w:rsid w:val="00D57237"/>
    <w:rsid w:val="00D600AD"/>
    <w:rsid w:val="00D608BF"/>
    <w:rsid w:val="00D615C5"/>
    <w:rsid w:val="00D6236E"/>
    <w:rsid w:val="00D67CC4"/>
    <w:rsid w:val="00D70A48"/>
    <w:rsid w:val="00D71FC2"/>
    <w:rsid w:val="00D72E95"/>
    <w:rsid w:val="00D74DCF"/>
    <w:rsid w:val="00D754CF"/>
    <w:rsid w:val="00D775AB"/>
    <w:rsid w:val="00D80E57"/>
    <w:rsid w:val="00D80F4B"/>
    <w:rsid w:val="00D8177E"/>
    <w:rsid w:val="00D84372"/>
    <w:rsid w:val="00D867DB"/>
    <w:rsid w:val="00D876E2"/>
    <w:rsid w:val="00D924C6"/>
    <w:rsid w:val="00D92E55"/>
    <w:rsid w:val="00D95D73"/>
    <w:rsid w:val="00DA1840"/>
    <w:rsid w:val="00DA1B97"/>
    <w:rsid w:val="00DA1C98"/>
    <w:rsid w:val="00DA6B69"/>
    <w:rsid w:val="00DA7837"/>
    <w:rsid w:val="00DB03E3"/>
    <w:rsid w:val="00DB0B70"/>
    <w:rsid w:val="00DB13E6"/>
    <w:rsid w:val="00DB177D"/>
    <w:rsid w:val="00DB182C"/>
    <w:rsid w:val="00DB1B52"/>
    <w:rsid w:val="00DB225C"/>
    <w:rsid w:val="00DB41BD"/>
    <w:rsid w:val="00DB4419"/>
    <w:rsid w:val="00DB4DF2"/>
    <w:rsid w:val="00DB7D7A"/>
    <w:rsid w:val="00DC109A"/>
    <w:rsid w:val="00DC1ADD"/>
    <w:rsid w:val="00DC2D65"/>
    <w:rsid w:val="00DC5899"/>
    <w:rsid w:val="00DC64AA"/>
    <w:rsid w:val="00DC7155"/>
    <w:rsid w:val="00DD2504"/>
    <w:rsid w:val="00DD2597"/>
    <w:rsid w:val="00DD2E80"/>
    <w:rsid w:val="00DD438D"/>
    <w:rsid w:val="00DD4F0E"/>
    <w:rsid w:val="00DD58E1"/>
    <w:rsid w:val="00DE2D79"/>
    <w:rsid w:val="00DE4762"/>
    <w:rsid w:val="00DE59CC"/>
    <w:rsid w:val="00DE6730"/>
    <w:rsid w:val="00DE6EB0"/>
    <w:rsid w:val="00DE7E37"/>
    <w:rsid w:val="00DE7F64"/>
    <w:rsid w:val="00DF0BF0"/>
    <w:rsid w:val="00DF3CA2"/>
    <w:rsid w:val="00DF5C0B"/>
    <w:rsid w:val="00DF778B"/>
    <w:rsid w:val="00DF7954"/>
    <w:rsid w:val="00E00345"/>
    <w:rsid w:val="00E01463"/>
    <w:rsid w:val="00E01799"/>
    <w:rsid w:val="00E02FC2"/>
    <w:rsid w:val="00E047C9"/>
    <w:rsid w:val="00E05870"/>
    <w:rsid w:val="00E05C99"/>
    <w:rsid w:val="00E05E0A"/>
    <w:rsid w:val="00E060BE"/>
    <w:rsid w:val="00E06196"/>
    <w:rsid w:val="00E07F64"/>
    <w:rsid w:val="00E109EA"/>
    <w:rsid w:val="00E1190F"/>
    <w:rsid w:val="00E12F9C"/>
    <w:rsid w:val="00E13C61"/>
    <w:rsid w:val="00E1504F"/>
    <w:rsid w:val="00E169A9"/>
    <w:rsid w:val="00E17134"/>
    <w:rsid w:val="00E20584"/>
    <w:rsid w:val="00E2633F"/>
    <w:rsid w:val="00E33D65"/>
    <w:rsid w:val="00E3414B"/>
    <w:rsid w:val="00E3748D"/>
    <w:rsid w:val="00E37DDE"/>
    <w:rsid w:val="00E403CB"/>
    <w:rsid w:val="00E40432"/>
    <w:rsid w:val="00E41E23"/>
    <w:rsid w:val="00E42188"/>
    <w:rsid w:val="00E454A0"/>
    <w:rsid w:val="00E45B2C"/>
    <w:rsid w:val="00E50B3D"/>
    <w:rsid w:val="00E518D6"/>
    <w:rsid w:val="00E51A2D"/>
    <w:rsid w:val="00E534CF"/>
    <w:rsid w:val="00E545B8"/>
    <w:rsid w:val="00E56E67"/>
    <w:rsid w:val="00E605DA"/>
    <w:rsid w:val="00E6083C"/>
    <w:rsid w:val="00E610F6"/>
    <w:rsid w:val="00E615CA"/>
    <w:rsid w:val="00E62D87"/>
    <w:rsid w:val="00E6580B"/>
    <w:rsid w:val="00E6735F"/>
    <w:rsid w:val="00E67B1A"/>
    <w:rsid w:val="00E722BF"/>
    <w:rsid w:val="00E727DE"/>
    <w:rsid w:val="00E75F40"/>
    <w:rsid w:val="00E7657E"/>
    <w:rsid w:val="00E76C27"/>
    <w:rsid w:val="00E773F7"/>
    <w:rsid w:val="00E77684"/>
    <w:rsid w:val="00E77A2A"/>
    <w:rsid w:val="00E80488"/>
    <w:rsid w:val="00E80EE7"/>
    <w:rsid w:val="00E81532"/>
    <w:rsid w:val="00E81CB4"/>
    <w:rsid w:val="00E81E03"/>
    <w:rsid w:val="00E84028"/>
    <w:rsid w:val="00E8544C"/>
    <w:rsid w:val="00E85503"/>
    <w:rsid w:val="00E8585B"/>
    <w:rsid w:val="00E85E23"/>
    <w:rsid w:val="00E85F7E"/>
    <w:rsid w:val="00E87F41"/>
    <w:rsid w:val="00E905B5"/>
    <w:rsid w:val="00E91E9C"/>
    <w:rsid w:val="00E92DF5"/>
    <w:rsid w:val="00E936A5"/>
    <w:rsid w:val="00E93CC4"/>
    <w:rsid w:val="00E94ED0"/>
    <w:rsid w:val="00E9743B"/>
    <w:rsid w:val="00EA0973"/>
    <w:rsid w:val="00EA0D4A"/>
    <w:rsid w:val="00EA1502"/>
    <w:rsid w:val="00EA3B0F"/>
    <w:rsid w:val="00EA3F15"/>
    <w:rsid w:val="00EA45CE"/>
    <w:rsid w:val="00EA4964"/>
    <w:rsid w:val="00EA53C6"/>
    <w:rsid w:val="00EA694A"/>
    <w:rsid w:val="00EA6BF8"/>
    <w:rsid w:val="00EA7847"/>
    <w:rsid w:val="00EB095A"/>
    <w:rsid w:val="00EB1AAF"/>
    <w:rsid w:val="00EB322C"/>
    <w:rsid w:val="00EB410A"/>
    <w:rsid w:val="00EB4B0F"/>
    <w:rsid w:val="00EB4C2F"/>
    <w:rsid w:val="00EB7215"/>
    <w:rsid w:val="00EB7D70"/>
    <w:rsid w:val="00EC138F"/>
    <w:rsid w:val="00EC1503"/>
    <w:rsid w:val="00EC287C"/>
    <w:rsid w:val="00EC6015"/>
    <w:rsid w:val="00EC779A"/>
    <w:rsid w:val="00ED0FB3"/>
    <w:rsid w:val="00ED1568"/>
    <w:rsid w:val="00ED1F12"/>
    <w:rsid w:val="00ED2800"/>
    <w:rsid w:val="00ED3DB8"/>
    <w:rsid w:val="00ED48C7"/>
    <w:rsid w:val="00EE1187"/>
    <w:rsid w:val="00EE1BB2"/>
    <w:rsid w:val="00EE2E6E"/>
    <w:rsid w:val="00EE315E"/>
    <w:rsid w:val="00EE343E"/>
    <w:rsid w:val="00EE3E4E"/>
    <w:rsid w:val="00EE3E67"/>
    <w:rsid w:val="00EE47F6"/>
    <w:rsid w:val="00EE60FB"/>
    <w:rsid w:val="00EE7782"/>
    <w:rsid w:val="00EF25A4"/>
    <w:rsid w:val="00EF5A00"/>
    <w:rsid w:val="00EF5B01"/>
    <w:rsid w:val="00F00333"/>
    <w:rsid w:val="00F005B9"/>
    <w:rsid w:val="00F008FC"/>
    <w:rsid w:val="00F01759"/>
    <w:rsid w:val="00F018C6"/>
    <w:rsid w:val="00F02A72"/>
    <w:rsid w:val="00F0366C"/>
    <w:rsid w:val="00F045C6"/>
    <w:rsid w:val="00F04D8D"/>
    <w:rsid w:val="00F0759E"/>
    <w:rsid w:val="00F10412"/>
    <w:rsid w:val="00F113EF"/>
    <w:rsid w:val="00F121F9"/>
    <w:rsid w:val="00F12A51"/>
    <w:rsid w:val="00F1323D"/>
    <w:rsid w:val="00F14113"/>
    <w:rsid w:val="00F14FB2"/>
    <w:rsid w:val="00F16A43"/>
    <w:rsid w:val="00F16E8E"/>
    <w:rsid w:val="00F17D67"/>
    <w:rsid w:val="00F17DA2"/>
    <w:rsid w:val="00F22807"/>
    <w:rsid w:val="00F23026"/>
    <w:rsid w:val="00F255E4"/>
    <w:rsid w:val="00F25713"/>
    <w:rsid w:val="00F25787"/>
    <w:rsid w:val="00F27CD4"/>
    <w:rsid w:val="00F302FF"/>
    <w:rsid w:val="00F36275"/>
    <w:rsid w:val="00F3659C"/>
    <w:rsid w:val="00F4104B"/>
    <w:rsid w:val="00F41122"/>
    <w:rsid w:val="00F44117"/>
    <w:rsid w:val="00F44458"/>
    <w:rsid w:val="00F44ED7"/>
    <w:rsid w:val="00F45B01"/>
    <w:rsid w:val="00F46780"/>
    <w:rsid w:val="00F46A25"/>
    <w:rsid w:val="00F4782A"/>
    <w:rsid w:val="00F5013D"/>
    <w:rsid w:val="00F5031C"/>
    <w:rsid w:val="00F50BDD"/>
    <w:rsid w:val="00F52897"/>
    <w:rsid w:val="00F529E3"/>
    <w:rsid w:val="00F52ED7"/>
    <w:rsid w:val="00F53435"/>
    <w:rsid w:val="00F56374"/>
    <w:rsid w:val="00F600D4"/>
    <w:rsid w:val="00F64407"/>
    <w:rsid w:val="00F651E9"/>
    <w:rsid w:val="00F651F7"/>
    <w:rsid w:val="00F65C10"/>
    <w:rsid w:val="00F663B0"/>
    <w:rsid w:val="00F701F0"/>
    <w:rsid w:val="00F720E4"/>
    <w:rsid w:val="00F762DB"/>
    <w:rsid w:val="00F77D2D"/>
    <w:rsid w:val="00F77D4E"/>
    <w:rsid w:val="00F80689"/>
    <w:rsid w:val="00F80B58"/>
    <w:rsid w:val="00F821A3"/>
    <w:rsid w:val="00F8384B"/>
    <w:rsid w:val="00F907C0"/>
    <w:rsid w:val="00F90B93"/>
    <w:rsid w:val="00F922BE"/>
    <w:rsid w:val="00F9314A"/>
    <w:rsid w:val="00F940B2"/>
    <w:rsid w:val="00F948C1"/>
    <w:rsid w:val="00F9687C"/>
    <w:rsid w:val="00FA0477"/>
    <w:rsid w:val="00FA494C"/>
    <w:rsid w:val="00FA66B2"/>
    <w:rsid w:val="00FA66D4"/>
    <w:rsid w:val="00FA6D6E"/>
    <w:rsid w:val="00FB01D4"/>
    <w:rsid w:val="00FB0439"/>
    <w:rsid w:val="00FB22BA"/>
    <w:rsid w:val="00FB2444"/>
    <w:rsid w:val="00FB27F7"/>
    <w:rsid w:val="00FB3117"/>
    <w:rsid w:val="00FB613E"/>
    <w:rsid w:val="00FC0EBF"/>
    <w:rsid w:val="00FC3864"/>
    <w:rsid w:val="00FC3C88"/>
    <w:rsid w:val="00FC58EF"/>
    <w:rsid w:val="00FC5999"/>
    <w:rsid w:val="00FC5C4C"/>
    <w:rsid w:val="00FC734D"/>
    <w:rsid w:val="00FD252B"/>
    <w:rsid w:val="00FD2BFE"/>
    <w:rsid w:val="00FD2C66"/>
    <w:rsid w:val="00FD33DF"/>
    <w:rsid w:val="00FD3765"/>
    <w:rsid w:val="00FD428D"/>
    <w:rsid w:val="00FD6095"/>
    <w:rsid w:val="00FD666D"/>
    <w:rsid w:val="00FD7259"/>
    <w:rsid w:val="00FD796D"/>
    <w:rsid w:val="00FE055D"/>
    <w:rsid w:val="00FE2AD8"/>
    <w:rsid w:val="00FE39D7"/>
    <w:rsid w:val="00FE3DD5"/>
    <w:rsid w:val="00FE5555"/>
    <w:rsid w:val="00FE6273"/>
    <w:rsid w:val="00FF0919"/>
    <w:rsid w:val="00FF214F"/>
    <w:rsid w:val="00FF4EC2"/>
    <w:rsid w:val="00FF5EC1"/>
    <w:rsid w:val="02EACB5C"/>
    <w:rsid w:val="0425F03B"/>
    <w:rsid w:val="05D438F1"/>
    <w:rsid w:val="0A345B15"/>
    <w:rsid w:val="0A704445"/>
    <w:rsid w:val="0C50B4C7"/>
    <w:rsid w:val="0DB39563"/>
    <w:rsid w:val="0E2F8DD4"/>
    <w:rsid w:val="0E85493E"/>
    <w:rsid w:val="0F24F547"/>
    <w:rsid w:val="0F476764"/>
    <w:rsid w:val="126E44D8"/>
    <w:rsid w:val="12FC3428"/>
    <w:rsid w:val="1398B2D5"/>
    <w:rsid w:val="14111E4A"/>
    <w:rsid w:val="157444FD"/>
    <w:rsid w:val="16E265EF"/>
    <w:rsid w:val="1725A9F3"/>
    <w:rsid w:val="18C314E3"/>
    <w:rsid w:val="19327F39"/>
    <w:rsid w:val="1B690CD1"/>
    <w:rsid w:val="1D67D2D8"/>
    <w:rsid w:val="20F08B36"/>
    <w:rsid w:val="21714E99"/>
    <w:rsid w:val="239EC362"/>
    <w:rsid w:val="25016F37"/>
    <w:rsid w:val="29657FEF"/>
    <w:rsid w:val="2A9DD67F"/>
    <w:rsid w:val="2B66332C"/>
    <w:rsid w:val="2C9F0CDB"/>
    <w:rsid w:val="2D454984"/>
    <w:rsid w:val="2DDB713A"/>
    <w:rsid w:val="2E1CF911"/>
    <w:rsid w:val="2EE7A357"/>
    <w:rsid w:val="30751FFC"/>
    <w:rsid w:val="31176F32"/>
    <w:rsid w:val="31773516"/>
    <w:rsid w:val="32ACB3CE"/>
    <w:rsid w:val="34BD3EA7"/>
    <w:rsid w:val="351519D3"/>
    <w:rsid w:val="3745D89D"/>
    <w:rsid w:val="37C03300"/>
    <w:rsid w:val="39A35ED1"/>
    <w:rsid w:val="3AFCD8E8"/>
    <w:rsid w:val="3F26EBBD"/>
    <w:rsid w:val="3F7B6E8B"/>
    <w:rsid w:val="3F992738"/>
    <w:rsid w:val="3FCCA3C5"/>
    <w:rsid w:val="400FC257"/>
    <w:rsid w:val="405F8A51"/>
    <w:rsid w:val="4253BFFC"/>
    <w:rsid w:val="44C15B49"/>
    <w:rsid w:val="45567D4D"/>
    <w:rsid w:val="472E6A98"/>
    <w:rsid w:val="494150BC"/>
    <w:rsid w:val="4BFCB1D1"/>
    <w:rsid w:val="4CADB4AE"/>
    <w:rsid w:val="4D1388B7"/>
    <w:rsid w:val="4F008A99"/>
    <w:rsid w:val="4F631458"/>
    <w:rsid w:val="5153E78F"/>
    <w:rsid w:val="561579DD"/>
    <w:rsid w:val="582898FC"/>
    <w:rsid w:val="58B8EEF8"/>
    <w:rsid w:val="5B07FCC9"/>
    <w:rsid w:val="5C962D69"/>
    <w:rsid w:val="5E28C457"/>
    <w:rsid w:val="5E96ED0F"/>
    <w:rsid w:val="61F1F8ED"/>
    <w:rsid w:val="64B3584C"/>
    <w:rsid w:val="660AE599"/>
    <w:rsid w:val="6670ACAA"/>
    <w:rsid w:val="6B465682"/>
    <w:rsid w:val="6C194495"/>
    <w:rsid w:val="6C290AB1"/>
    <w:rsid w:val="6D65E069"/>
    <w:rsid w:val="6EA3530F"/>
    <w:rsid w:val="7198912A"/>
    <w:rsid w:val="724E8A64"/>
    <w:rsid w:val="738E1D91"/>
    <w:rsid w:val="74888CC9"/>
    <w:rsid w:val="74963B4A"/>
    <w:rsid w:val="7BA243F1"/>
    <w:rsid w:val="7D9453C0"/>
    <w:rsid w:val="7F0EB9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245A62"/>
    <w:rPr>
      <w:color w:val="605E5C"/>
      <w:shd w:val="clear" w:color="auto" w:fill="E1DFDD"/>
    </w:rPr>
  </w:style>
  <w:style w:type="paragraph" w:styleId="Revisin">
    <w:name w:val="Revision"/>
    <w:hidden/>
    <w:uiPriority w:val="99"/>
    <w:semiHidden/>
    <w:rsid w:val="00FD2C6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859010878">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me.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4" ma:contentTypeDescription="Crear nuevo documento." ma:contentTypeScope="" ma:versionID="1685e5b21b379e7546a9d40aa974ae90">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60abbc5b55a6ff46217fa93181a3a83f"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2630-7DFF-4534-927E-31D703BD135C}">
  <ds:schemaRefs>
    <ds:schemaRef ds:uri="http://schemas.microsoft.com/sharepoint/v3/contenttype/forms"/>
  </ds:schemaRefs>
</ds:datastoreItem>
</file>

<file path=customXml/itemProps2.xml><?xml version="1.0" encoding="utf-8"?>
<ds:datastoreItem xmlns:ds="http://schemas.openxmlformats.org/officeDocument/2006/customXml" ds:itemID="{7DE40AA3-C1FD-42F3-A210-B469F171E0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286BF-6730-46B4-BA77-506B7703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BB248-E4C9-4F4F-A4DA-F02B807B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10</Pages>
  <Words>2988</Words>
  <Characters>16436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2022-02-07T17:12:00Z</cp:lastPrinted>
  <dcterms:created xsi:type="dcterms:W3CDTF">2022-02-14T16:57:00Z</dcterms:created>
  <dcterms:modified xsi:type="dcterms:W3CDTF">2022-02-14T16:57:00Z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