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56E" w:rsidRPr="003C4D20" w:rsidRDefault="00D767D4" w:rsidP="000E3C98">
      <w:pPr>
        <w:pStyle w:val="Encabezado"/>
        <w:tabs>
          <w:tab w:val="clear" w:pos="8504"/>
          <w:tab w:val="left" w:pos="0"/>
          <w:tab w:val="right" w:pos="9356"/>
        </w:tabs>
        <w:ind w:left="0"/>
        <w:jc w:val="both"/>
        <w:rPr>
          <w:rFonts w:ascii="Bookman Old Style" w:hAnsi="Bookman Old Style"/>
          <w:b/>
          <w:bCs/>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8240" fillcolor="#0c9">
            <v:imagedata r:id="rId8" o:title=""/>
          </v:shape>
          <o:OLEObject Type="Embed" ProgID="PBrush" ShapeID="_x0000_s1026" DrawAspect="Content" ObjectID="_1637992895" r:id="rId9"/>
        </w:object>
      </w:r>
    </w:p>
    <w:p w:rsidR="0061656E" w:rsidRPr="003C4D20" w:rsidRDefault="0061656E" w:rsidP="0061656E">
      <w:pPr>
        <w:pStyle w:val="Ttulo4"/>
        <w:tabs>
          <w:tab w:val="left" w:pos="0"/>
          <w:tab w:val="right" w:pos="9356"/>
        </w:tabs>
        <w:ind w:left="0"/>
        <w:rPr>
          <w:rFonts w:ascii="Bookman Old Style" w:hAnsi="Bookman Old Style"/>
          <w:b w:val="0"/>
          <w:bCs/>
          <w:noProof/>
          <w:sz w:val="24"/>
          <w:szCs w:val="24"/>
          <w:lang w:val="es-ES"/>
        </w:rPr>
      </w:pPr>
      <w:r w:rsidRPr="003C4D20">
        <w:rPr>
          <w:rFonts w:ascii="Bookman Old Style" w:hAnsi="Bookman Old Style"/>
          <w:b w:val="0"/>
          <w:bCs/>
          <w:sz w:val="24"/>
          <w:szCs w:val="24"/>
        </w:rPr>
        <w:t>Ministerio de Minas y Energía</w:t>
      </w:r>
    </w:p>
    <w:p w:rsidR="0061656E" w:rsidRPr="003C4D20" w:rsidRDefault="0061656E" w:rsidP="0061656E">
      <w:pPr>
        <w:pStyle w:val="Ttulo4"/>
        <w:tabs>
          <w:tab w:val="left" w:pos="0"/>
          <w:tab w:val="right" w:pos="9356"/>
        </w:tabs>
        <w:ind w:left="0"/>
        <w:rPr>
          <w:rFonts w:ascii="Bookman Old Style" w:hAnsi="Bookman Old Style"/>
          <w:b w:val="0"/>
          <w:bCs/>
          <w:sz w:val="24"/>
          <w:szCs w:val="24"/>
        </w:rPr>
      </w:pPr>
    </w:p>
    <w:p w:rsidR="0061656E" w:rsidRPr="003C4D20" w:rsidRDefault="0061656E" w:rsidP="0061656E">
      <w:pPr>
        <w:pStyle w:val="Ttulo3"/>
        <w:tabs>
          <w:tab w:val="left" w:pos="0"/>
          <w:tab w:val="right" w:pos="9356"/>
        </w:tabs>
        <w:ind w:left="0"/>
        <w:rPr>
          <w:rFonts w:ascii="Bookman Old Style" w:hAnsi="Bookman Old Style" w:cs="Arial"/>
          <w:spacing w:val="20"/>
          <w:szCs w:val="24"/>
        </w:rPr>
      </w:pPr>
      <w:r w:rsidRPr="003C4D20">
        <w:rPr>
          <w:rFonts w:ascii="Bookman Old Style" w:hAnsi="Bookman Old Style" w:cs="Arial"/>
          <w:spacing w:val="20"/>
          <w:szCs w:val="24"/>
        </w:rPr>
        <w:t>COMISIÓN DE REGULACIÓN DE ENERGÍA Y GAS</w:t>
      </w:r>
    </w:p>
    <w:p w:rsidR="0061656E" w:rsidRPr="003C4D20" w:rsidRDefault="0061656E" w:rsidP="0061656E">
      <w:pPr>
        <w:pStyle w:val="Ttulo5"/>
        <w:tabs>
          <w:tab w:val="left" w:pos="0"/>
          <w:tab w:val="right" w:pos="9356"/>
        </w:tabs>
        <w:ind w:left="0"/>
        <w:rPr>
          <w:rFonts w:ascii="Bookman Old Style" w:hAnsi="Bookman Old Style"/>
          <w:sz w:val="24"/>
          <w:szCs w:val="24"/>
        </w:rPr>
      </w:pPr>
    </w:p>
    <w:p w:rsidR="0061656E" w:rsidRPr="003C4D20" w:rsidRDefault="0061656E" w:rsidP="0061656E">
      <w:pPr>
        <w:pStyle w:val="Ttulo5"/>
        <w:tabs>
          <w:tab w:val="left" w:pos="0"/>
          <w:tab w:val="right" w:pos="9356"/>
        </w:tabs>
        <w:ind w:left="0"/>
        <w:rPr>
          <w:rFonts w:ascii="Bookman Old Style" w:hAnsi="Bookman Old Style"/>
          <w:sz w:val="24"/>
          <w:szCs w:val="24"/>
        </w:rPr>
      </w:pPr>
      <w:r w:rsidRPr="003C4D20">
        <w:rPr>
          <w:rFonts w:ascii="Bookman Old Style" w:hAnsi="Bookman Old Style"/>
          <w:sz w:val="24"/>
          <w:szCs w:val="24"/>
        </w:rPr>
        <w:t xml:space="preserve">RESOLUCIÓN No.    </w:t>
      </w:r>
      <w:r w:rsidR="000E3C98">
        <w:rPr>
          <w:rFonts w:ascii="Bookman Old Style" w:hAnsi="Bookman Old Style"/>
          <w:sz w:val="24"/>
          <w:szCs w:val="24"/>
        </w:rPr>
        <w:t xml:space="preserve">    </w:t>
      </w:r>
      <w:r w:rsidRPr="003C4D20">
        <w:rPr>
          <w:rFonts w:ascii="Bookman Old Style" w:hAnsi="Bookman Old Style"/>
          <w:sz w:val="24"/>
          <w:szCs w:val="24"/>
        </w:rPr>
        <w:t xml:space="preserve">      DE 2019</w:t>
      </w:r>
    </w:p>
    <w:p w:rsidR="000E3C98" w:rsidRDefault="000E3C98" w:rsidP="0061656E">
      <w:pPr>
        <w:pStyle w:val="Ttulo3"/>
        <w:tabs>
          <w:tab w:val="left" w:pos="0"/>
          <w:tab w:val="right" w:pos="9356"/>
        </w:tabs>
        <w:ind w:left="0"/>
        <w:rPr>
          <w:rFonts w:ascii="Bookman Old Style" w:hAnsi="Bookman Old Style"/>
          <w:b w:val="0"/>
          <w:szCs w:val="24"/>
        </w:rPr>
      </w:pPr>
    </w:p>
    <w:p w:rsidR="0061656E" w:rsidRPr="003C4D20" w:rsidRDefault="0061656E" w:rsidP="0061656E">
      <w:pPr>
        <w:pStyle w:val="Ttulo3"/>
        <w:tabs>
          <w:tab w:val="left" w:pos="0"/>
          <w:tab w:val="right" w:pos="9356"/>
        </w:tabs>
        <w:ind w:left="0"/>
        <w:rPr>
          <w:rFonts w:ascii="Bookman Old Style" w:hAnsi="Bookman Old Style"/>
          <w:b w:val="0"/>
          <w:szCs w:val="24"/>
        </w:rPr>
      </w:pPr>
      <w:r w:rsidRPr="003C4D20">
        <w:rPr>
          <w:rFonts w:ascii="Bookman Old Style" w:hAnsi="Bookman Old Style"/>
          <w:b w:val="0"/>
          <w:szCs w:val="24"/>
        </w:rPr>
        <w:t xml:space="preserve">(       </w:t>
      </w:r>
      <w:r w:rsidR="000E3C98">
        <w:rPr>
          <w:rFonts w:ascii="Bookman Old Style" w:hAnsi="Bookman Old Style"/>
          <w:b w:val="0"/>
          <w:szCs w:val="24"/>
        </w:rPr>
        <w:t xml:space="preserve">         </w:t>
      </w:r>
      <w:r w:rsidRPr="003C4D20">
        <w:rPr>
          <w:rFonts w:ascii="Bookman Old Style" w:hAnsi="Bookman Old Style"/>
          <w:b w:val="0"/>
          <w:szCs w:val="24"/>
        </w:rPr>
        <w:t xml:space="preserve">          )</w:t>
      </w:r>
    </w:p>
    <w:p w:rsidR="0061656E" w:rsidRPr="003C4D20" w:rsidRDefault="0061656E" w:rsidP="0061656E">
      <w:pPr>
        <w:tabs>
          <w:tab w:val="left" w:pos="0"/>
          <w:tab w:val="right" w:pos="9356"/>
        </w:tabs>
        <w:jc w:val="center"/>
        <w:rPr>
          <w:rFonts w:ascii="Bookman Old Style" w:hAnsi="Bookman Old Style"/>
          <w:sz w:val="24"/>
          <w:szCs w:val="24"/>
          <w:lang w:val="es-ES_tradnl"/>
        </w:rPr>
      </w:pPr>
    </w:p>
    <w:p w:rsidR="0061656E" w:rsidRPr="003C4D20" w:rsidRDefault="0061656E" w:rsidP="0061656E">
      <w:pPr>
        <w:rPr>
          <w:rFonts w:ascii="Bookman Old Style" w:hAnsi="Bookman Old Style"/>
          <w:bCs/>
          <w:sz w:val="24"/>
          <w:szCs w:val="24"/>
          <w:lang w:val="es-ES_tradnl"/>
        </w:rPr>
      </w:pPr>
    </w:p>
    <w:p w:rsidR="0061656E" w:rsidRPr="003C4D20" w:rsidRDefault="0061656E" w:rsidP="0061656E">
      <w:pPr>
        <w:ind w:left="227" w:right="-142"/>
        <w:jc w:val="center"/>
        <w:rPr>
          <w:rFonts w:ascii="Bookman Old Style" w:hAnsi="Bookman Old Style"/>
          <w:sz w:val="24"/>
          <w:szCs w:val="24"/>
        </w:rPr>
      </w:pPr>
      <w:r w:rsidRPr="003C4D20">
        <w:rPr>
          <w:rFonts w:ascii="Bookman Old Style" w:hAnsi="Bookman Old Style"/>
          <w:sz w:val="24"/>
          <w:szCs w:val="24"/>
        </w:rPr>
        <w:t xml:space="preserve">Por medio de la cual se resuelve el recurso de reposición interpuesto por </w:t>
      </w:r>
      <w:r w:rsidR="00D3101E" w:rsidRPr="003C4D20">
        <w:rPr>
          <w:rFonts w:ascii="Bookman Old Style" w:hAnsi="Bookman Old Style" w:cs="Arial"/>
          <w:sz w:val="24"/>
          <w:szCs w:val="24"/>
        </w:rPr>
        <w:t>SHONA ENERGY COLOMBIA LIMITED</w:t>
      </w:r>
      <w:r w:rsidRPr="003C4D20">
        <w:rPr>
          <w:rFonts w:ascii="Bookman Old Style" w:hAnsi="Bookman Old Style"/>
          <w:sz w:val="24"/>
          <w:szCs w:val="24"/>
        </w:rPr>
        <w:t xml:space="preserve"> en contra de la Resolución CREG 139 de 2018</w:t>
      </w:r>
    </w:p>
    <w:p w:rsidR="0061656E" w:rsidRPr="003C4D20" w:rsidRDefault="0061656E" w:rsidP="0061656E">
      <w:pPr>
        <w:ind w:left="170" w:right="-454"/>
        <w:jc w:val="both"/>
        <w:rPr>
          <w:rFonts w:ascii="Bookman Old Style" w:hAnsi="Bookman Old Style"/>
          <w:sz w:val="24"/>
          <w:szCs w:val="24"/>
        </w:rPr>
      </w:pPr>
    </w:p>
    <w:p w:rsidR="0061656E" w:rsidRPr="003C4D20" w:rsidRDefault="0061656E" w:rsidP="0061656E">
      <w:pPr>
        <w:ind w:left="170" w:right="-454"/>
        <w:jc w:val="center"/>
        <w:rPr>
          <w:rFonts w:ascii="Bookman Old Style" w:hAnsi="Bookman Old Style"/>
          <w:b/>
          <w:sz w:val="24"/>
          <w:szCs w:val="24"/>
        </w:rPr>
      </w:pPr>
      <w:r w:rsidRPr="003C4D20">
        <w:rPr>
          <w:rFonts w:ascii="Bookman Old Style" w:hAnsi="Bookman Old Style"/>
          <w:b/>
          <w:sz w:val="24"/>
          <w:szCs w:val="24"/>
        </w:rPr>
        <w:t>LA COMISIÓN DE REGULACIÓN DE ENERGÍA Y GAS -CREG-</w:t>
      </w:r>
    </w:p>
    <w:p w:rsidR="0061656E" w:rsidRPr="003C4D20" w:rsidRDefault="0061656E" w:rsidP="0061656E">
      <w:pPr>
        <w:ind w:left="170" w:right="-454"/>
        <w:jc w:val="both"/>
        <w:rPr>
          <w:rFonts w:ascii="Bookman Old Style" w:hAnsi="Bookman Old Style"/>
          <w:sz w:val="24"/>
          <w:szCs w:val="24"/>
        </w:rPr>
      </w:pPr>
    </w:p>
    <w:p w:rsidR="0061656E" w:rsidRPr="003C4D20" w:rsidRDefault="0061656E" w:rsidP="0061656E">
      <w:pPr>
        <w:ind w:left="170"/>
        <w:jc w:val="both"/>
        <w:rPr>
          <w:rFonts w:ascii="Bookman Old Style" w:hAnsi="Bookman Old Style"/>
          <w:sz w:val="24"/>
          <w:szCs w:val="24"/>
        </w:rPr>
      </w:pPr>
      <w:r w:rsidRPr="003C4D20">
        <w:rPr>
          <w:rFonts w:ascii="Bookman Old Style" w:hAnsi="Bookman Old Style"/>
          <w:sz w:val="24"/>
          <w:szCs w:val="24"/>
        </w:rPr>
        <w:t xml:space="preserve">En uso de sus facultades legales, en especial las conferidas por las Leyes 142 de 1994 y 143 de 1994, y en desarrollo de los decretos 1524 y 2253 de 1994 y 1260 de 2013, </w:t>
      </w:r>
    </w:p>
    <w:p w:rsidR="0061656E" w:rsidRPr="003C4D20" w:rsidRDefault="0061656E" w:rsidP="0061656E">
      <w:pPr>
        <w:ind w:right="-454"/>
        <w:jc w:val="both"/>
        <w:rPr>
          <w:rFonts w:ascii="Bookman Old Style" w:hAnsi="Bookman Old Style"/>
          <w:sz w:val="24"/>
          <w:szCs w:val="24"/>
        </w:rPr>
      </w:pPr>
    </w:p>
    <w:p w:rsidR="0061656E" w:rsidRDefault="0061656E" w:rsidP="000E3C98">
      <w:pPr>
        <w:tabs>
          <w:tab w:val="center" w:pos="4512"/>
        </w:tabs>
        <w:suppressAutoHyphens/>
        <w:spacing w:after="0"/>
        <w:ind w:left="170" w:right="-454"/>
        <w:jc w:val="center"/>
        <w:rPr>
          <w:rFonts w:ascii="Bookman Old Style" w:hAnsi="Bookman Old Style"/>
          <w:b/>
          <w:spacing w:val="-3"/>
          <w:sz w:val="24"/>
          <w:szCs w:val="24"/>
        </w:rPr>
      </w:pPr>
      <w:r w:rsidRPr="003C4D20">
        <w:rPr>
          <w:rFonts w:ascii="Bookman Old Style" w:hAnsi="Bookman Old Style"/>
          <w:b/>
          <w:spacing w:val="-3"/>
          <w:sz w:val="24"/>
          <w:szCs w:val="24"/>
        </w:rPr>
        <w:t>C O N S I D E R A N D O:</w:t>
      </w:r>
    </w:p>
    <w:p w:rsidR="000E3C98" w:rsidRPr="003C4D20" w:rsidRDefault="000E3C98" w:rsidP="0061656E">
      <w:pPr>
        <w:tabs>
          <w:tab w:val="center" w:pos="4512"/>
        </w:tabs>
        <w:suppressAutoHyphens/>
        <w:ind w:left="170" w:right="-454"/>
        <w:jc w:val="center"/>
        <w:rPr>
          <w:rFonts w:ascii="Bookman Old Style" w:hAnsi="Bookman Old Style"/>
          <w:b/>
          <w:spacing w:val="-3"/>
          <w:sz w:val="24"/>
          <w:szCs w:val="24"/>
        </w:rPr>
      </w:pPr>
    </w:p>
    <w:p w:rsidR="0061656E" w:rsidRPr="003C4D20" w:rsidRDefault="0061656E" w:rsidP="0061656E">
      <w:pPr>
        <w:jc w:val="both"/>
        <w:rPr>
          <w:rFonts w:ascii="Bookman Old Style" w:hAnsi="Bookman Old Style" w:cs="Arial"/>
          <w:sz w:val="24"/>
          <w:szCs w:val="24"/>
        </w:rPr>
      </w:pPr>
      <w:r w:rsidRPr="003C4D20">
        <w:rPr>
          <w:rFonts w:ascii="Bookman Old Style" w:hAnsi="Bookman Old Style" w:cs="Arial"/>
          <w:sz w:val="24"/>
          <w:szCs w:val="24"/>
        </w:rPr>
        <w:t>Que de acuerdo con el artículo 85 de la Ley 142 de 1994, con el fin de recuperar los costos del servicio de regulación que preste cada comisión a las entidades sometidas a su regulación, estas estarán sujetas a una contribución que se liquidará y pagará cada año conforme a las reglas establecidas, en el numeral 2 y el parágrafo 2 de esta misma disposición;</w:t>
      </w:r>
    </w:p>
    <w:p w:rsidR="0061656E" w:rsidRPr="003C4D20" w:rsidRDefault="0061656E" w:rsidP="0061656E">
      <w:pPr>
        <w:jc w:val="both"/>
        <w:rPr>
          <w:rFonts w:ascii="Bookman Old Style" w:hAnsi="Bookman Old Style" w:cs="Arial"/>
          <w:sz w:val="24"/>
          <w:szCs w:val="24"/>
        </w:rPr>
      </w:pPr>
      <w:r w:rsidRPr="003C4D20">
        <w:rPr>
          <w:rFonts w:ascii="Bookman Old Style" w:hAnsi="Bookman Old Style" w:cs="Arial"/>
          <w:sz w:val="24"/>
          <w:szCs w:val="24"/>
        </w:rPr>
        <w:t>Que la Comisión de Regulación de Energía y Gas -CREG- tiene a su cargo la liquidación del monto de la contribución que se aplica a cada una de las entidades sujetas a su regulación, de acuerdo con lo señalado en el artículo 85 de la Ley 142 de 1994 y en los Artículos 20 y 21 del Decreto 2461 de 1999, para los subsectores de energía eléctrica y de gas combustible, cuya tarifa máxima no puede ser superior al uno por ciento (1%) del valor de los gastos de funcionamiento de la entidad contribuyente, con exclusión de los factores señalados en las Leyes 142 y 143 de 1994;</w:t>
      </w:r>
    </w:p>
    <w:p w:rsidR="0061656E" w:rsidRPr="003C4D20" w:rsidRDefault="0061656E" w:rsidP="0061656E">
      <w:pPr>
        <w:jc w:val="both"/>
        <w:rPr>
          <w:rFonts w:ascii="Bookman Old Style" w:hAnsi="Bookman Old Style" w:cs="Arial"/>
          <w:sz w:val="24"/>
          <w:szCs w:val="24"/>
        </w:rPr>
      </w:pPr>
      <w:r w:rsidRPr="003C4D20">
        <w:rPr>
          <w:rFonts w:ascii="Bookman Old Style" w:hAnsi="Bookman Old Style" w:cs="Arial"/>
          <w:sz w:val="24"/>
          <w:szCs w:val="24"/>
        </w:rPr>
        <w:t>Que mediante resolución CREG-139 de 2018 se señala la contribución que debe pagar a la Comisión de Regulación de Energía y Gas –CREG- cada una de las entidades reguladas por el año 2018.</w:t>
      </w:r>
    </w:p>
    <w:p w:rsidR="0061656E" w:rsidRPr="003C4D20" w:rsidRDefault="0061656E" w:rsidP="0061656E">
      <w:pPr>
        <w:jc w:val="both"/>
        <w:rPr>
          <w:rFonts w:ascii="Bookman Old Style" w:hAnsi="Bookman Old Style" w:cs="Arial"/>
          <w:sz w:val="24"/>
          <w:szCs w:val="24"/>
        </w:rPr>
      </w:pPr>
      <w:r w:rsidRPr="003C4D20">
        <w:rPr>
          <w:rFonts w:ascii="Bookman Old Style" w:hAnsi="Bookman Old Style" w:cs="Arial"/>
          <w:sz w:val="24"/>
          <w:szCs w:val="24"/>
        </w:rPr>
        <w:t xml:space="preserve">Que la SHONA ENERGY COLOMBIA LIMITED., fue notificada conforme a los mecanismos previstos en la ley del contenido de la resolución CREG-139 de 2018. </w:t>
      </w:r>
    </w:p>
    <w:p w:rsidR="0061656E" w:rsidRPr="003C4D20" w:rsidRDefault="0061656E" w:rsidP="0061656E">
      <w:pPr>
        <w:jc w:val="both"/>
        <w:rPr>
          <w:rFonts w:ascii="Bookman Old Style" w:hAnsi="Bookman Old Style" w:cs="Arial"/>
          <w:sz w:val="24"/>
          <w:szCs w:val="24"/>
          <w:highlight w:val="yellow"/>
        </w:rPr>
      </w:pPr>
      <w:r w:rsidRPr="003C4D20">
        <w:rPr>
          <w:rFonts w:ascii="Bookman Old Style" w:hAnsi="Bookman Old Style" w:cs="Arial"/>
          <w:sz w:val="24"/>
          <w:szCs w:val="24"/>
        </w:rPr>
        <w:lastRenderedPageBreak/>
        <w:t>Que, encontrándose dentro del término legal, mediante escrito presentado en la Comisión de Regulación de Energía y Gas -CREG- bajo radicado número E-2019-000221 del 10 de enero de 2019, el Señor JOSE JOAQUIN MAYUZA, obrando en el proceso de la referencia como Representante Legal la empresa SHONA ENERGY COLOMBIA LIMITED., presentó recurso de reposición contra la resolución CREG-139 de 2018.</w:t>
      </w:r>
    </w:p>
    <w:p w:rsidR="0061656E" w:rsidRPr="003C4D20" w:rsidRDefault="0061656E" w:rsidP="0061656E">
      <w:pPr>
        <w:jc w:val="both"/>
        <w:rPr>
          <w:rFonts w:ascii="Bookman Old Style" w:hAnsi="Bookman Old Style" w:cs="Arial"/>
          <w:sz w:val="24"/>
          <w:szCs w:val="24"/>
        </w:rPr>
      </w:pPr>
      <w:r w:rsidRPr="003C4D20">
        <w:rPr>
          <w:rFonts w:ascii="Bookman Old Style" w:hAnsi="Bookman Old Style" w:cs="Arial"/>
          <w:sz w:val="24"/>
          <w:szCs w:val="24"/>
        </w:rPr>
        <w:t>Que, mediante la presente resolución, se procede a resolver este recurso en contra de la Resolución CREG 139 de 2018, con base en las siguientes consideraciones:</w:t>
      </w:r>
    </w:p>
    <w:p w:rsidR="0061656E" w:rsidRPr="003C4D20" w:rsidRDefault="0061656E" w:rsidP="0061656E">
      <w:pPr>
        <w:pStyle w:val="Prrafodelista"/>
        <w:numPr>
          <w:ilvl w:val="0"/>
          <w:numId w:val="2"/>
        </w:numPr>
        <w:jc w:val="both"/>
        <w:rPr>
          <w:rFonts w:ascii="Bookman Old Style" w:hAnsi="Bookman Old Style" w:cs="Arial"/>
          <w:b/>
          <w:sz w:val="24"/>
          <w:szCs w:val="24"/>
        </w:rPr>
      </w:pPr>
      <w:r w:rsidRPr="003C4D20">
        <w:rPr>
          <w:rFonts w:ascii="Bookman Old Style" w:hAnsi="Bookman Old Style" w:cs="Arial"/>
          <w:b/>
          <w:sz w:val="24"/>
          <w:szCs w:val="24"/>
        </w:rPr>
        <w:t>EL RECURSO DE REPOSICIÓN</w:t>
      </w:r>
    </w:p>
    <w:p w:rsidR="0061656E" w:rsidRPr="003C4D20" w:rsidRDefault="0061656E" w:rsidP="0061656E">
      <w:pPr>
        <w:jc w:val="both"/>
        <w:rPr>
          <w:rFonts w:ascii="Bookman Old Style" w:hAnsi="Bookman Old Style" w:cs="Arial"/>
          <w:sz w:val="24"/>
          <w:szCs w:val="24"/>
        </w:rPr>
      </w:pPr>
    </w:p>
    <w:p w:rsidR="0061656E" w:rsidRPr="003C4D20" w:rsidRDefault="0061656E" w:rsidP="0061656E">
      <w:pPr>
        <w:pStyle w:val="Prrafodelista"/>
        <w:numPr>
          <w:ilvl w:val="0"/>
          <w:numId w:val="1"/>
        </w:numPr>
        <w:rPr>
          <w:rFonts w:ascii="Bookman Old Style" w:hAnsi="Bookman Old Style" w:cs="Arial"/>
          <w:b/>
          <w:sz w:val="24"/>
          <w:szCs w:val="24"/>
        </w:rPr>
      </w:pPr>
      <w:r w:rsidRPr="003C4D20">
        <w:rPr>
          <w:rFonts w:ascii="Bookman Old Style" w:hAnsi="Bookman Old Style" w:cs="Arial"/>
          <w:b/>
          <w:sz w:val="24"/>
          <w:szCs w:val="24"/>
        </w:rPr>
        <w:t>PROCEDENCIA DEL RECURSO</w:t>
      </w:r>
    </w:p>
    <w:p w:rsidR="0061656E" w:rsidRPr="003C4D20" w:rsidRDefault="0061656E" w:rsidP="0061656E">
      <w:pPr>
        <w:pStyle w:val="Prrafodelista"/>
        <w:ind w:left="720"/>
        <w:rPr>
          <w:rFonts w:ascii="Bookman Old Style" w:hAnsi="Bookman Old Style" w:cs="Arial"/>
          <w:b/>
          <w:sz w:val="24"/>
          <w:szCs w:val="24"/>
        </w:rPr>
      </w:pPr>
    </w:p>
    <w:p w:rsidR="0061656E" w:rsidRPr="003C4D20" w:rsidRDefault="0061656E" w:rsidP="0061656E">
      <w:pPr>
        <w:jc w:val="both"/>
        <w:rPr>
          <w:rFonts w:ascii="Bookman Old Style" w:hAnsi="Bookman Old Style" w:cs="Arial"/>
          <w:sz w:val="24"/>
          <w:szCs w:val="24"/>
        </w:rPr>
      </w:pPr>
      <w:r w:rsidRPr="003C4D20">
        <w:rPr>
          <w:rFonts w:ascii="Bookman Old Style" w:hAnsi="Bookman Old Style" w:cs="Arial"/>
          <w:sz w:val="24"/>
          <w:szCs w:val="24"/>
        </w:rPr>
        <w:t>El recurrente presentó el recurso de reposición contra la resolución CREG 139 de 2018, proferida por la Comisión de Regulación de Energía y Gas –CREG-, por medio de la cual se señala la contribución que debe pagar a la Comisión de Regulación de Energía y Gas –CREG- cada una de las entidades reguladas por el año 2018.</w:t>
      </w:r>
    </w:p>
    <w:p w:rsidR="0061656E" w:rsidRPr="003C4D20" w:rsidRDefault="0061656E" w:rsidP="0061656E">
      <w:pPr>
        <w:pStyle w:val="Prrafodelista"/>
        <w:ind w:left="0"/>
        <w:jc w:val="both"/>
        <w:rPr>
          <w:rFonts w:ascii="Bookman Old Style" w:hAnsi="Bookman Old Style" w:cs="Arial"/>
          <w:sz w:val="24"/>
          <w:szCs w:val="24"/>
        </w:rPr>
      </w:pPr>
    </w:p>
    <w:p w:rsidR="0061656E" w:rsidRPr="003C4D20" w:rsidRDefault="0061656E" w:rsidP="0061656E">
      <w:pPr>
        <w:pStyle w:val="Prrafodelista"/>
        <w:ind w:left="0"/>
        <w:jc w:val="both"/>
        <w:rPr>
          <w:rFonts w:ascii="Bookman Old Style" w:hAnsi="Bookman Old Style" w:cs="Arial"/>
          <w:sz w:val="24"/>
          <w:szCs w:val="24"/>
        </w:rPr>
      </w:pPr>
      <w:r w:rsidRPr="003C4D20">
        <w:rPr>
          <w:rFonts w:ascii="Bookman Old Style" w:hAnsi="Bookman Old Style" w:cs="Arial"/>
          <w:sz w:val="24"/>
          <w:szCs w:val="24"/>
        </w:rPr>
        <w:t>El recurso fue interpuesto dentro del término legal, esto es, dentro de los diez (10) días hábiles siguientes a la notificación, de acuerdo con el plazo establecido en el artículo 76 del Código de Procedimiento Administrativo y de lo Contencioso Administrativo.</w:t>
      </w:r>
    </w:p>
    <w:p w:rsidR="0061656E" w:rsidRPr="003C4D20" w:rsidRDefault="0061656E" w:rsidP="0061656E">
      <w:pPr>
        <w:pStyle w:val="Prrafodelista"/>
        <w:ind w:left="0"/>
        <w:jc w:val="both"/>
        <w:rPr>
          <w:rFonts w:ascii="Bookman Old Style" w:hAnsi="Bookman Old Style" w:cs="Arial"/>
          <w:sz w:val="24"/>
          <w:szCs w:val="24"/>
        </w:rPr>
      </w:pPr>
    </w:p>
    <w:p w:rsidR="0061656E" w:rsidRPr="003C4D20" w:rsidRDefault="0061656E" w:rsidP="0061656E">
      <w:pPr>
        <w:pStyle w:val="Prrafodelista"/>
        <w:ind w:left="0"/>
        <w:jc w:val="both"/>
        <w:rPr>
          <w:rFonts w:ascii="Bookman Old Style" w:hAnsi="Bookman Old Style" w:cs="Arial"/>
          <w:sz w:val="24"/>
          <w:szCs w:val="24"/>
        </w:rPr>
      </w:pPr>
      <w:r w:rsidRPr="003C4D20">
        <w:rPr>
          <w:rFonts w:ascii="Bookman Old Style" w:hAnsi="Bookman Old Style" w:cs="Arial"/>
          <w:sz w:val="24"/>
          <w:szCs w:val="24"/>
        </w:rPr>
        <w:t>Es así que, al dar cumplimiento a los requisitos previstos en el artículo 77 del Código de Procedimiento Administrativo y de lo Contencioso Administrativo, se admite este recurso, por lo que se procede a resolver de fondo y pronunciarse respecto de las inconformidades planteadas por el recurrente, motivando los aspectos de hecho y de derecho que la sustentan.</w:t>
      </w:r>
    </w:p>
    <w:p w:rsidR="0061656E" w:rsidRPr="003C4D20" w:rsidRDefault="0061656E" w:rsidP="0061656E">
      <w:pPr>
        <w:pStyle w:val="Prrafodelista"/>
        <w:ind w:left="0"/>
        <w:jc w:val="both"/>
        <w:rPr>
          <w:rFonts w:ascii="Bookman Old Style" w:hAnsi="Bookman Old Style" w:cs="Arial"/>
          <w:sz w:val="24"/>
          <w:szCs w:val="24"/>
        </w:rPr>
      </w:pPr>
    </w:p>
    <w:p w:rsidR="0061656E" w:rsidRPr="003C4D20" w:rsidRDefault="0061656E" w:rsidP="0061656E">
      <w:pPr>
        <w:pStyle w:val="Prrafodelista"/>
        <w:numPr>
          <w:ilvl w:val="0"/>
          <w:numId w:val="1"/>
        </w:numPr>
        <w:rPr>
          <w:rFonts w:ascii="Bookman Old Style" w:hAnsi="Bookman Old Style" w:cs="Arial"/>
          <w:b/>
          <w:sz w:val="24"/>
          <w:szCs w:val="24"/>
        </w:rPr>
      </w:pPr>
      <w:r w:rsidRPr="003C4D20">
        <w:rPr>
          <w:rFonts w:ascii="Bookman Old Style" w:hAnsi="Bookman Old Style" w:cs="Arial"/>
          <w:b/>
          <w:sz w:val="24"/>
          <w:szCs w:val="24"/>
        </w:rPr>
        <w:t>RAZONES Y FUNDAMENTOS DEL RECURSO DE REPOSICIÓN</w:t>
      </w:r>
    </w:p>
    <w:p w:rsidR="0061656E" w:rsidRPr="003C4D20" w:rsidRDefault="0061656E" w:rsidP="0061656E">
      <w:pPr>
        <w:jc w:val="both"/>
        <w:rPr>
          <w:rFonts w:ascii="Bookman Old Style" w:hAnsi="Bookman Old Style"/>
          <w:sz w:val="24"/>
          <w:szCs w:val="24"/>
        </w:rPr>
      </w:pPr>
    </w:p>
    <w:p w:rsidR="0061656E" w:rsidRPr="003C4D20" w:rsidRDefault="0061656E" w:rsidP="0061656E">
      <w:pPr>
        <w:jc w:val="both"/>
        <w:rPr>
          <w:rFonts w:ascii="Bookman Old Style" w:hAnsi="Bookman Old Style" w:cs="Arial"/>
          <w:sz w:val="24"/>
          <w:szCs w:val="24"/>
        </w:rPr>
      </w:pPr>
      <w:r w:rsidRPr="003C4D20">
        <w:rPr>
          <w:rFonts w:ascii="Bookman Old Style" w:hAnsi="Bookman Old Style" w:cs="Arial"/>
          <w:sz w:val="24"/>
          <w:szCs w:val="24"/>
        </w:rPr>
        <w:t>Los fundamentos del recurrente se exponen a continuación:</w:t>
      </w:r>
    </w:p>
    <w:p w:rsidR="0061656E" w:rsidRPr="003C4D20" w:rsidRDefault="0061656E" w:rsidP="0061656E">
      <w:pPr>
        <w:ind w:left="170"/>
        <w:jc w:val="both"/>
        <w:rPr>
          <w:rFonts w:ascii="Bookman Old Style" w:hAnsi="Bookman Old Style" w:cs="Arial"/>
          <w:sz w:val="24"/>
          <w:szCs w:val="24"/>
        </w:rPr>
      </w:pPr>
      <w:r w:rsidRPr="003C4D20">
        <w:rPr>
          <w:rFonts w:ascii="Bookman Old Style" w:hAnsi="Bookman Old Style" w:cs="Arial"/>
          <w:sz w:val="24"/>
          <w:szCs w:val="24"/>
        </w:rPr>
        <w:t>Argumenta el recurrente que:</w:t>
      </w:r>
    </w:p>
    <w:p w:rsidR="0061656E" w:rsidRPr="003C4D20" w:rsidRDefault="0061656E" w:rsidP="0061656E">
      <w:pPr>
        <w:jc w:val="both"/>
        <w:rPr>
          <w:rFonts w:ascii="Bookman Old Style" w:hAnsi="Bookman Old Style" w:cs="Arial"/>
          <w:i/>
          <w:sz w:val="24"/>
          <w:szCs w:val="24"/>
        </w:rPr>
      </w:pPr>
      <w:r w:rsidRPr="003C4D20">
        <w:rPr>
          <w:rFonts w:ascii="Bookman Old Style" w:hAnsi="Bookman Old Style" w:cs="Arial"/>
          <w:i/>
          <w:sz w:val="24"/>
          <w:szCs w:val="24"/>
        </w:rPr>
        <w:t xml:space="preserve">Con base en los Estados financieros año 2017 y de acuerdo con lo establecido en la Resolución CREG No. 138 de 2018, el monto que debe pagar SHONA ENERGY COLOMBIA LIMITED., como entidad regulada por concepto de contribución es de TRES MILLONES OCHOCIENTOS OCHO MIL CINCUENTA Y UN PESOS COLOMBIANOS (COP 3.808.051), que corresponde al 1% de COP 380.805.071, monto que corresponde a la base para realizar el cálculo del valor a pagar por concepto de contribución de conformidad con la regulación vigente </w:t>
      </w:r>
    </w:p>
    <w:p w:rsidR="000E3C98" w:rsidRDefault="000E3C98" w:rsidP="0061656E">
      <w:pPr>
        <w:jc w:val="center"/>
        <w:rPr>
          <w:rFonts w:ascii="Bookman Old Style" w:hAnsi="Bookman Old Style"/>
          <w:b/>
          <w:sz w:val="24"/>
          <w:szCs w:val="24"/>
        </w:rPr>
      </w:pPr>
    </w:p>
    <w:p w:rsidR="000E3C98" w:rsidRDefault="000E3C98" w:rsidP="0061656E">
      <w:pPr>
        <w:jc w:val="center"/>
        <w:rPr>
          <w:rFonts w:ascii="Bookman Old Style" w:hAnsi="Bookman Old Style"/>
          <w:b/>
          <w:sz w:val="24"/>
          <w:szCs w:val="24"/>
        </w:rPr>
      </w:pPr>
    </w:p>
    <w:p w:rsidR="0061656E" w:rsidRPr="003C4D20" w:rsidRDefault="0061656E" w:rsidP="0061656E">
      <w:pPr>
        <w:jc w:val="center"/>
        <w:rPr>
          <w:rFonts w:ascii="Bookman Old Style" w:hAnsi="Bookman Old Style"/>
          <w:b/>
          <w:sz w:val="24"/>
          <w:szCs w:val="24"/>
        </w:rPr>
      </w:pPr>
      <w:r w:rsidRPr="003C4D20">
        <w:rPr>
          <w:rFonts w:ascii="Bookman Old Style" w:hAnsi="Bookman Old Style"/>
          <w:b/>
          <w:sz w:val="24"/>
          <w:szCs w:val="24"/>
        </w:rPr>
        <w:lastRenderedPageBreak/>
        <w:t>CONSIDERACIONES DE LA CREG</w:t>
      </w:r>
    </w:p>
    <w:p w:rsidR="0061656E" w:rsidRPr="003C4D20" w:rsidRDefault="0061656E" w:rsidP="0061656E">
      <w:pPr>
        <w:pStyle w:val="Prrafodelista"/>
        <w:ind w:left="0"/>
        <w:jc w:val="both"/>
        <w:rPr>
          <w:rFonts w:ascii="Bookman Old Style" w:hAnsi="Bookman Old Style"/>
          <w:sz w:val="24"/>
          <w:szCs w:val="24"/>
          <w:lang w:val="es-ES"/>
        </w:rPr>
      </w:pPr>
      <w:r w:rsidRPr="003C4D20">
        <w:rPr>
          <w:rFonts w:ascii="Bookman Old Style" w:hAnsi="Bookman Old Style"/>
          <w:sz w:val="24"/>
          <w:szCs w:val="24"/>
          <w:lang w:val="es-ES"/>
        </w:rPr>
        <w:t>Los artículos 85 de la Ley 142 de 1994 y 22 de la Ley 143 de 1994, establecen una contribución de regulación para efectos de recuperar los costos del servicio de regulación atribuido a la Comisión de Regulación de Energía y Gas -CREG, cuya tarifa máxima no podrá ser superior al uno por ciento (1%) del valor de los gastos de funcionamiento de la entidad contribuyente, con exclusión de los factores señalados en las Leyes 142 y 143 de 1994.</w:t>
      </w:r>
    </w:p>
    <w:p w:rsidR="0061656E" w:rsidRPr="003C4D20" w:rsidRDefault="0061656E" w:rsidP="0061656E">
      <w:pPr>
        <w:pStyle w:val="Prrafodelista"/>
        <w:ind w:left="0"/>
        <w:jc w:val="both"/>
        <w:rPr>
          <w:rFonts w:ascii="Bookman Old Style" w:hAnsi="Bookman Old Style"/>
          <w:sz w:val="24"/>
          <w:szCs w:val="24"/>
          <w:lang w:val="es-ES"/>
        </w:rPr>
      </w:pPr>
    </w:p>
    <w:p w:rsidR="0061656E" w:rsidRPr="003C4D20" w:rsidRDefault="0061656E" w:rsidP="0061656E">
      <w:pPr>
        <w:pStyle w:val="Prrafodelista"/>
        <w:ind w:left="0"/>
        <w:jc w:val="both"/>
        <w:rPr>
          <w:rFonts w:ascii="Bookman Old Style" w:hAnsi="Bookman Old Style"/>
          <w:sz w:val="24"/>
          <w:szCs w:val="24"/>
          <w:lang w:val="es-ES"/>
        </w:rPr>
      </w:pPr>
      <w:r w:rsidRPr="003C4D20">
        <w:rPr>
          <w:rFonts w:ascii="Bookman Old Style" w:hAnsi="Bookman Old Style"/>
          <w:sz w:val="24"/>
          <w:szCs w:val="24"/>
          <w:lang w:val="es-ES"/>
        </w:rPr>
        <w:t>Los ingresos de la CREG, provienen de la contribución especial de que tratan los artículos antes mencionados, en lo que respecta a los recursos 16 - Sin situación de fondos.</w:t>
      </w:r>
    </w:p>
    <w:p w:rsidR="0061656E" w:rsidRPr="003C4D20" w:rsidRDefault="0061656E" w:rsidP="0061656E">
      <w:pPr>
        <w:pStyle w:val="Prrafodelista"/>
        <w:ind w:left="0"/>
        <w:jc w:val="both"/>
        <w:rPr>
          <w:rFonts w:ascii="Bookman Old Style" w:hAnsi="Bookman Old Style"/>
          <w:sz w:val="24"/>
          <w:szCs w:val="24"/>
          <w:lang w:val="es-ES"/>
        </w:rPr>
      </w:pPr>
    </w:p>
    <w:p w:rsidR="0061656E" w:rsidRPr="003C4D20" w:rsidRDefault="0061656E" w:rsidP="0061656E">
      <w:pPr>
        <w:pStyle w:val="Prrafodelista"/>
        <w:ind w:left="0"/>
        <w:jc w:val="both"/>
        <w:rPr>
          <w:rFonts w:ascii="Bookman Old Style" w:hAnsi="Bookman Old Style"/>
          <w:sz w:val="24"/>
          <w:szCs w:val="24"/>
          <w:lang w:val="es-ES"/>
        </w:rPr>
      </w:pPr>
      <w:r w:rsidRPr="003C4D20">
        <w:rPr>
          <w:rFonts w:ascii="Bookman Old Style" w:hAnsi="Bookman Old Style"/>
          <w:sz w:val="24"/>
          <w:szCs w:val="24"/>
          <w:lang w:val="es-ES"/>
        </w:rPr>
        <w:t>El cálculo de la suma de la contribución a cargo de cada contribuyente se hará teniendo en cuenta los gastos de funcionamiento de la Comisión en el periodo anual respectivo, que para el año gravable 2018 fue liquidado en el anexo del Decreto 2236 del 20 de diciembre de 2017.</w:t>
      </w:r>
    </w:p>
    <w:p w:rsidR="0061656E" w:rsidRPr="003C4D20" w:rsidRDefault="0061656E" w:rsidP="0061656E">
      <w:pPr>
        <w:pStyle w:val="Prrafodelista"/>
        <w:ind w:left="0"/>
        <w:jc w:val="both"/>
        <w:rPr>
          <w:rFonts w:ascii="Bookman Old Style" w:hAnsi="Bookman Old Style"/>
          <w:sz w:val="24"/>
          <w:szCs w:val="24"/>
          <w:lang w:val="es-ES"/>
        </w:rPr>
      </w:pPr>
    </w:p>
    <w:p w:rsidR="0061656E" w:rsidRPr="003C4D20" w:rsidRDefault="0061656E" w:rsidP="0061656E">
      <w:pPr>
        <w:pStyle w:val="Prrafodelista"/>
        <w:ind w:left="0"/>
        <w:jc w:val="both"/>
        <w:rPr>
          <w:rFonts w:ascii="Bookman Old Style" w:hAnsi="Bookman Old Style"/>
          <w:sz w:val="24"/>
          <w:szCs w:val="24"/>
          <w:lang w:val="es-ES"/>
        </w:rPr>
      </w:pPr>
      <w:r w:rsidRPr="003C4D20">
        <w:rPr>
          <w:rFonts w:ascii="Bookman Old Style" w:hAnsi="Bookman Old Style"/>
          <w:sz w:val="24"/>
          <w:szCs w:val="24"/>
          <w:lang w:val="es-ES"/>
        </w:rPr>
        <w:t>El porcentaje de la contribución que deben pagar las entidades sometidas a regulación por parte de la Comisión de Regulación de Energía y Gas, en el año gravable 2018, se determinó de la siguiente manera:</w:t>
      </w:r>
    </w:p>
    <w:p w:rsidR="0061656E" w:rsidRPr="003C4D20" w:rsidRDefault="0061656E" w:rsidP="0061656E">
      <w:pPr>
        <w:pStyle w:val="Prrafodelista"/>
        <w:ind w:left="0"/>
        <w:jc w:val="both"/>
        <w:rPr>
          <w:rFonts w:ascii="Bookman Old Style" w:hAnsi="Bookman Old Style"/>
          <w:sz w:val="24"/>
          <w:szCs w:val="24"/>
          <w:lang w:val="es-ES"/>
        </w:rPr>
      </w:pPr>
    </w:p>
    <w:tbl>
      <w:tblPr>
        <w:tblW w:w="0" w:type="auto"/>
        <w:jc w:val="center"/>
        <w:tblCellMar>
          <w:left w:w="70" w:type="dxa"/>
          <w:right w:w="70" w:type="dxa"/>
        </w:tblCellMar>
        <w:tblLook w:val="04A0" w:firstRow="1" w:lastRow="0" w:firstColumn="1" w:lastColumn="0" w:noHBand="0" w:noVBand="1"/>
      </w:tblPr>
      <w:tblGrid>
        <w:gridCol w:w="5375"/>
        <w:gridCol w:w="1631"/>
      </w:tblGrid>
      <w:tr w:rsidR="0061656E" w:rsidRPr="003C4D20" w:rsidTr="000C02B9">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1656E" w:rsidRPr="003C4D20" w:rsidRDefault="0061656E" w:rsidP="000C02B9">
            <w:pPr>
              <w:jc w:val="center"/>
              <w:rPr>
                <w:rFonts w:ascii="Bookman Old Style" w:hAnsi="Bookman Old Style"/>
                <w:b/>
                <w:sz w:val="18"/>
                <w:szCs w:val="18"/>
              </w:rPr>
            </w:pPr>
            <w:r w:rsidRPr="003C4D20">
              <w:rPr>
                <w:rFonts w:ascii="Bookman Old Style" w:hAnsi="Bookman Old Style"/>
                <w:b/>
                <w:sz w:val="18"/>
                <w:szCs w:val="18"/>
              </w:rPr>
              <w:t xml:space="preserve">CONCEPTOS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1656E" w:rsidRPr="003C4D20" w:rsidRDefault="0061656E" w:rsidP="000C02B9">
            <w:pPr>
              <w:jc w:val="center"/>
              <w:rPr>
                <w:rFonts w:ascii="Bookman Old Style" w:hAnsi="Bookman Old Style"/>
                <w:b/>
                <w:sz w:val="18"/>
                <w:szCs w:val="18"/>
              </w:rPr>
            </w:pPr>
            <w:r w:rsidRPr="003C4D20">
              <w:rPr>
                <w:rFonts w:ascii="Bookman Old Style" w:hAnsi="Bookman Old Style"/>
                <w:b/>
                <w:sz w:val="18"/>
                <w:szCs w:val="18"/>
              </w:rPr>
              <w:t xml:space="preserve">CALCULOS </w:t>
            </w:r>
          </w:p>
        </w:tc>
      </w:tr>
      <w:tr w:rsidR="0061656E" w:rsidRPr="003C4D20" w:rsidTr="000C02B9">
        <w:trPr>
          <w:trHeight w:val="9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1656E" w:rsidRPr="003C4D20" w:rsidRDefault="0061656E" w:rsidP="000C02B9">
            <w:pPr>
              <w:rPr>
                <w:rFonts w:ascii="Bookman Old Style" w:hAnsi="Bookman Old Style"/>
                <w:sz w:val="18"/>
                <w:szCs w:val="18"/>
              </w:rPr>
            </w:pPr>
            <w:r w:rsidRPr="003C4D20">
              <w:rPr>
                <w:rFonts w:ascii="Bookman Old Style" w:hAnsi="Bookman Old Style"/>
                <w:sz w:val="18"/>
                <w:szCs w:val="18"/>
              </w:rPr>
              <w:t>Presupuesto asignado Recurso 16 - Sin situación de fondos</w:t>
            </w:r>
          </w:p>
        </w:tc>
        <w:tc>
          <w:tcPr>
            <w:tcW w:w="0" w:type="auto"/>
            <w:tcBorders>
              <w:top w:val="nil"/>
              <w:left w:val="nil"/>
              <w:bottom w:val="single" w:sz="4" w:space="0" w:color="auto"/>
              <w:right w:val="single" w:sz="4" w:space="0" w:color="auto"/>
            </w:tcBorders>
            <w:shd w:val="clear" w:color="auto" w:fill="auto"/>
            <w:vAlign w:val="center"/>
            <w:hideMark/>
          </w:tcPr>
          <w:p w:rsidR="0061656E" w:rsidRPr="003C4D20" w:rsidRDefault="0061656E" w:rsidP="000C02B9">
            <w:pPr>
              <w:rPr>
                <w:rFonts w:ascii="Bookman Old Style" w:hAnsi="Bookman Old Style"/>
                <w:sz w:val="18"/>
                <w:szCs w:val="18"/>
              </w:rPr>
            </w:pPr>
            <w:r w:rsidRPr="003C4D20">
              <w:rPr>
                <w:rFonts w:ascii="Bookman Old Style" w:hAnsi="Bookman Old Style"/>
                <w:sz w:val="18"/>
                <w:szCs w:val="18"/>
              </w:rPr>
              <w:t>23.961.291.000</w:t>
            </w:r>
          </w:p>
        </w:tc>
      </w:tr>
      <w:tr w:rsidR="0061656E" w:rsidRPr="003C4D20" w:rsidTr="000C02B9">
        <w:trPr>
          <w:trHeight w:val="3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1656E" w:rsidRPr="003C4D20" w:rsidRDefault="0061656E" w:rsidP="000C02B9">
            <w:pPr>
              <w:rPr>
                <w:rFonts w:ascii="Bookman Old Style" w:hAnsi="Bookman Old Style"/>
                <w:sz w:val="18"/>
                <w:szCs w:val="18"/>
              </w:rPr>
            </w:pPr>
            <w:r w:rsidRPr="003C4D20">
              <w:rPr>
                <w:rFonts w:ascii="Bookman Old Style" w:hAnsi="Bookman Old Style"/>
                <w:sz w:val="18"/>
                <w:szCs w:val="18"/>
              </w:rPr>
              <w:t>(-) Aplazamientos</w:t>
            </w:r>
          </w:p>
        </w:tc>
        <w:tc>
          <w:tcPr>
            <w:tcW w:w="0" w:type="auto"/>
            <w:tcBorders>
              <w:top w:val="nil"/>
              <w:left w:val="nil"/>
              <w:bottom w:val="single" w:sz="4" w:space="0" w:color="auto"/>
              <w:right w:val="single" w:sz="4" w:space="0" w:color="auto"/>
            </w:tcBorders>
            <w:shd w:val="clear" w:color="auto" w:fill="auto"/>
            <w:vAlign w:val="bottom"/>
            <w:hideMark/>
          </w:tcPr>
          <w:p w:rsidR="0061656E" w:rsidRPr="003C4D20" w:rsidRDefault="0061656E" w:rsidP="000C02B9">
            <w:pPr>
              <w:rPr>
                <w:rFonts w:ascii="Bookman Old Style" w:hAnsi="Bookman Old Style"/>
                <w:sz w:val="18"/>
                <w:szCs w:val="18"/>
              </w:rPr>
            </w:pPr>
            <w:r w:rsidRPr="003C4D20">
              <w:rPr>
                <w:rFonts w:ascii="Bookman Old Style" w:hAnsi="Bookman Old Style"/>
                <w:sz w:val="18"/>
                <w:szCs w:val="18"/>
              </w:rPr>
              <w:t> </w:t>
            </w:r>
          </w:p>
        </w:tc>
      </w:tr>
      <w:tr w:rsidR="0061656E" w:rsidRPr="003C4D20" w:rsidTr="000C02B9">
        <w:trPr>
          <w:trHeight w:val="7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1656E" w:rsidRPr="003C4D20" w:rsidRDefault="0061656E" w:rsidP="000C02B9">
            <w:pPr>
              <w:rPr>
                <w:rFonts w:ascii="Bookman Old Style" w:hAnsi="Bookman Old Style"/>
                <w:sz w:val="18"/>
                <w:szCs w:val="18"/>
              </w:rPr>
            </w:pPr>
            <w:r w:rsidRPr="003C4D20">
              <w:rPr>
                <w:rFonts w:ascii="Bookman Old Style" w:hAnsi="Bookman Old Style"/>
                <w:sz w:val="18"/>
                <w:szCs w:val="18"/>
              </w:rPr>
              <w:t>(-) Transferencias - Ley 812 de 2003</w:t>
            </w:r>
          </w:p>
        </w:tc>
        <w:tc>
          <w:tcPr>
            <w:tcW w:w="0" w:type="auto"/>
            <w:tcBorders>
              <w:top w:val="nil"/>
              <w:left w:val="nil"/>
              <w:bottom w:val="single" w:sz="4" w:space="0" w:color="auto"/>
              <w:right w:val="single" w:sz="4" w:space="0" w:color="auto"/>
            </w:tcBorders>
            <w:shd w:val="clear" w:color="auto" w:fill="auto"/>
            <w:vAlign w:val="center"/>
            <w:hideMark/>
          </w:tcPr>
          <w:p w:rsidR="0061656E" w:rsidRPr="003C4D20" w:rsidRDefault="0061656E" w:rsidP="000C02B9">
            <w:pPr>
              <w:rPr>
                <w:rFonts w:ascii="Bookman Old Style" w:hAnsi="Bookman Old Style"/>
                <w:sz w:val="18"/>
                <w:szCs w:val="18"/>
              </w:rPr>
            </w:pPr>
            <w:r w:rsidRPr="003C4D20">
              <w:rPr>
                <w:rFonts w:ascii="Bookman Old Style" w:hAnsi="Bookman Old Style"/>
                <w:sz w:val="18"/>
                <w:szCs w:val="18"/>
              </w:rPr>
              <w:t>1.748.544.000</w:t>
            </w:r>
          </w:p>
        </w:tc>
      </w:tr>
      <w:tr w:rsidR="0061656E" w:rsidRPr="003C4D20" w:rsidTr="000C02B9">
        <w:trPr>
          <w:trHeight w:val="7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1656E" w:rsidRPr="003C4D20" w:rsidRDefault="0061656E" w:rsidP="000C02B9">
            <w:pPr>
              <w:rPr>
                <w:rFonts w:ascii="Bookman Old Style" w:hAnsi="Bookman Old Style"/>
                <w:b/>
                <w:sz w:val="18"/>
                <w:szCs w:val="18"/>
              </w:rPr>
            </w:pPr>
            <w:r w:rsidRPr="003C4D20">
              <w:rPr>
                <w:rFonts w:ascii="Bookman Old Style" w:hAnsi="Bookman Old Style"/>
                <w:b/>
                <w:sz w:val="18"/>
                <w:szCs w:val="18"/>
              </w:rPr>
              <w:t>TOTAL COSTOS DEL SERVICIO A RECUPERAR</w:t>
            </w:r>
          </w:p>
        </w:tc>
        <w:tc>
          <w:tcPr>
            <w:tcW w:w="0" w:type="auto"/>
            <w:tcBorders>
              <w:top w:val="nil"/>
              <w:left w:val="nil"/>
              <w:bottom w:val="single" w:sz="4" w:space="0" w:color="auto"/>
              <w:right w:val="single" w:sz="4" w:space="0" w:color="auto"/>
            </w:tcBorders>
            <w:shd w:val="clear" w:color="auto" w:fill="auto"/>
            <w:vAlign w:val="center"/>
            <w:hideMark/>
          </w:tcPr>
          <w:p w:rsidR="0061656E" w:rsidRPr="003C4D20" w:rsidRDefault="0061656E" w:rsidP="000C02B9">
            <w:pPr>
              <w:rPr>
                <w:rFonts w:ascii="Bookman Old Style" w:hAnsi="Bookman Old Style"/>
                <w:b/>
                <w:sz w:val="18"/>
                <w:szCs w:val="18"/>
              </w:rPr>
            </w:pPr>
            <w:r w:rsidRPr="003C4D20">
              <w:rPr>
                <w:rFonts w:ascii="Bookman Old Style" w:hAnsi="Bookman Old Style"/>
                <w:b/>
                <w:sz w:val="18"/>
                <w:szCs w:val="18"/>
              </w:rPr>
              <w:t>22.212.747.000</w:t>
            </w:r>
          </w:p>
        </w:tc>
      </w:tr>
    </w:tbl>
    <w:p w:rsidR="0061656E" w:rsidRPr="003C4D20" w:rsidRDefault="0061656E" w:rsidP="0061656E">
      <w:pPr>
        <w:pStyle w:val="Prrafodelista"/>
        <w:ind w:left="0"/>
        <w:jc w:val="both"/>
        <w:rPr>
          <w:rFonts w:ascii="Bookman Old Style" w:hAnsi="Bookman Old Style"/>
          <w:sz w:val="24"/>
          <w:szCs w:val="24"/>
          <w:lang w:val="es-ES"/>
        </w:rPr>
      </w:pPr>
    </w:p>
    <w:p w:rsidR="0061656E" w:rsidRPr="003C4D20" w:rsidRDefault="0061656E" w:rsidP="0061656E">
      <w:pPr>
        <w:pStyle w:val="Prrafodelista"/>
        <w:ind w:left="0"/>
        <w:jc w:val="both"/>
        <w:rPr>
          <w:rFonts w:ascii="Bookman Old Style" w:hAnsi="Bookman Old Style"/>
          <w:sz w:val="24"/>
          <w:szCs w:val="24"/>
          <w:lang w:val="es-ES"/>
        </w:rPr>
      </w:pPr>
      <w:r w:rsidRPr="003C4D20">
        <w:rPr>
          <w:rFonts w:ascii="Bookman Old Style" w:hAnsi="Bookman Old Style"/>
          <w:sz w:val="24"/>
          <w:szCs w:val="24"/>
          <w:lang w:val="es-ES"/>
        </w:rPr>
        <w:t>Tomando como base de datos la información financiera de las empresas prestadoras de los servicios públicos domiciliarios de energía eléctrica y gas combustible, reportada a través del Sistema de Único de Información -SUI-, administrado por la Superintendencia de Servicios Públicos Domiciliarios, y a la información reportada a través de correo electrónico la cual fue solicitada en Circular No.046 de Julio 3 de 2018; Se consolida y calcula el factor a aplicar a los gastos reportados por las empresas tomando como base el grupo 51 “Gastos de Administración”, menos impuestos, tasas y contribuciones:</w:t>
      </w:r>
    </w:p>
    <w:p w:rsidR="0061656E" w:rsidRPr="003C4D20" w:rsidRDefault="0061656E" w:rsidP="0061656E">
      <w:pPr>
        <w:pStyle w:val="Prrafodelista"/>
        <w:ind w:left="0"/>
        <w:jc w:val="both"/>
        <w:rPr>
          <w:rFonts w:ascii="Bookman Old Style" w:hAnsi="Bookman Old Style"/>
          <w:sz w:val="24"/>
          <w:szCs w:val="24"/>
          <w:lang w:val="es-ES"/>
        </w:rPr>
      </w:pPr>
    </w:p>
    <w:tbl>
      <w:tblPr>
        <w:tblW w:w="0" w:type="auto"/>
        <w:jc w:val="center"/>
        <w:tblCellMar>
          <w:left w:w="70" w:type="dxa"/>
          <w:right w:w="70" w:type="dxa"/>
        </w:tblCellMar>
        <w:tblLook w:val="04A0" w:firstRow="1" w:lastRow="0" w:firstColumn="1" w:lastColumn="0" w:noHBand="0" w:noVBand="1"/>
      </w:tblPr>
      <w:tblGrid>
        <w:gridCol w:w="4596"/>
        <w:gridCol w:w="1880"/>
      </w:tblGrid>
      <w:tr w:rsidR="0061656E" w:rsidRPr="003C4D20" w:rsidTr="000E3C98">
        <w:trPr>
          <w:trHeight w:val="30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656E" w:rsidRPr="003C4D20" w:rsidRDefault="0061656E" w:rsidP="000C02B9">
            <w:pPr>
              <w:jc w:val="center"/>
              <w:rPr>
                <w:rFonts w:ascii="Bookman Old Style" w:hAnsi="Bookman Old Style"/>
                <w:b/>
                <w:spacing w:val="-3"/>
                <w:sz w:val="18"/>
                <w:szCs w:val="18"/>
              </w:rPr>
            </w:pPr>
            <w:r w:rsidRPr="003C4D20">
              <w:rPr>
                <w:rFonts w:ascii="Bookman Old Style" w:hAnsi="Bookman Old Style"/>
                <w:b/>
                <w:spacing w:val="-3"/>
                <w:sz w:val="18"/>
                <w:szCs w:val="18"/>
              </w:rPr>
              <w:t>CONCEPTOS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61656E" w:rsidRPr="003C4D20" w:rsidRDefault="0061656E" w:rsidP="000C02B9">
            <w:pPr>
              <w:jc w:val="center"/>
              <w:rPr>
                <w:rFonts w:ascii="Bookman Old Style" w:hAnsi="Bookman Old Style"/>
                <w:b/>
                <w:spacing w:val="-3"/>
                <w:sz w:val="18"/>
                <w:szCs w:val="18"/>
              </w:rPr>
            </w:pPr>
            <w:r w:rsidRPr="003C4D20">
              <w:rPr>
                <w:rFonts w:ascii="Bookman Old Style" w:hAnsi="Bookman Old Style"/>
                <w:b/>
                <w:spacing w:val="-3"/>
                <w:sz w:val="18"/>
                <w:szCs w:val="18"/>
              </w:rPr>
              <w:t>CALCULOS</w:t>
            </w:r>
          </w:p>
        </w:tc>
      </w:tr>
      <w:tr w:rsidR="0061656E" w:rsidRPr="003C4D20" w:rsidTr="000C02B9">
        <w:trPr>
          <w:trHeight w:val="112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61656E" w:rsidRPr="003C4D20" w:rsidRDefault="0061656E" w:rsidP="000C02B9">
            <w:pPr>
              <w:jc w:val="center"/>
              <w:rPr>
                <w:rFonts w:ascii="Bookman Old Style" w:hAnsi="Bookman Old Style"/>
                <w:spacing w:val="-3"/>
                <w:sz w:val="18"/>
                <w:szCs w:val="18"/>
              </w:rPr>
            </w:pPr>
            <w:r w:rsidRPr="003C4D20">
              <w:rPr>
                <w:rFonts w:ascii="Bookman Old Style" w:hAnsi="Bookman Old Style"/>
                <w:spacing w:val="-3"/>
                <w:sz w:val="18"/>
                <w:szCs w:val="18"/>
              </w:rPr>
              <w:t>Total Gastos de administración Empresas reguladas</w:t>
            </w:r>
          </w:p>
        </w:tc>
        <w:tc>
          <w:tcPr>
            <w:tcW w:w="0" w:type="auto"/>
            <w:tcBorders>
              <w:top w:val="nil"/>
              <w:left w:val="nil"/>
              <w:bottom w:val="single" w:sz="4" w:space="0" w:color="auto"/>
              <w:right w:val="single" w:sz="4" w:space="0" w:color="auto"/>
            </w:tcBorders>
            <w:shd w:val="clear" w:color="000000" w:fill="FFFFFF"/>
            <w:vAlign w:val="center"/>
            <w:hideMark/>
          </w:tcPr>
          <w:p w:rsidR="0061656E" w:rsidRPr="003C4D20" w:rsidRDefault="0061656E" w:rsidP="000C02B9">
            <w:pPr>
              <w:jc w:val="center"/>
              <w:rPr>
                <w:rFonts w:ascii="Bookman Old Style" w:hAnsi="Bookman Old Style"/>
                <w:spacing w:val="-3"/>
                <w:sz w:val="18"/>
                <w:szCs w:val="18"/>
              </w:rPr>
            </w:pPr>
            <w:r w:rsidRPr="003C4D20">
              <w:rPr>
                <w:rFonts w:ascii="Bookman Old Style" w:hAnsi="Bookman Old Style"/>
                <w:spacing w:val="-3"/>
                <w:sz w:val="18"/>
                <w:szCs w:val="18"/>
              </w:rPr>
              <w:t>$2.099.732.143.185</w:t>
            </w:r>
          </w:p>
        </w:tc>
      </w:tr>
      <w:tr w:rsidR="0061656E" w:rsidRPr="003C4D20" w:rsidTr="000C02B9">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61656E" w:rsidRPr="003C4D20" w:rsidRDefault="0061656E" w:rsidP="000C02B9">
            <w:pPr>
              <w:jc w:val="center"/>
              <w:rPr>
                <w:rFonts w:ascii="Bookman Old Style" w:hAnsi="Bookman Old Style"/>
                <w:spacing w:val="-3"/>
                <w:sz w:val="18"/>
                <w:szCs w:val="18"/>
              </w:rPr>
            </w:pPr>
            <w:r w:rsidRPr="003C4D20">
              <w:rPr>
                <w:rFonts w:ascii="Bookman Old Style" w:hAnsi="Bookman Old Style"/>
                <w:spacing w:val="-3"/>
                <w:sz w:val="18"/>
                <w:szCs w:val="18"/>
              </w:rPr>
              <w:t>Tarifa 1%</w:t>
            </w:r>
          </w:p>
        </w:tc>
        <w:tc>
          <w:tcPr>
            <w:tcW w:w="0" w:type="auto"/>
            <w:tcBorders>
              <w:top w:val="nil"/>
              <w:left w:val="nil"/>
              <w:bottom w:val="single" w:sz="4" w:space="0" w:color="auto"/>
              <w:right w:val="single" w:sz="4" w:space="0" w:color="auto"/>
            </w:tcBorders>
            <w:shd w:val="clear" w:color="000000" w:fill="FFFFFF"/>
            <w:vAlign w:val="center"/>
            <w:hideMark/>
          </w:tcPr>
          <w:p w:rsidR="0061656E" w:rsidRPr="003C4D20" w:rsidRDefault="0061656E" w:rsidP="000C02B9">
            <w:pPr>
              <w:jc w:val="center"/>
              <w:rPr>
                <w:rFonts w:ascii="Bookman Old Style" w:hAnsi="Bookman Old Style"/>
                <w:spacing w:val="-3"/>
                <w:sz w:val="18"/>
                <w:szCs w:val="18"/>
              </w:rPr>
            </w:pPr>
            <w:r w:rsidRPr="003C4D20">
              <w:rPr>
                <w:rFonts w:ascii="Bookman Old Style" w:hAnsi="Bookman Old Style"/>
                <w:spacing w:val="-3"/>
                <w:sz w:val="18"/>
                <w:szCs w:val="18"/>
              </w:rPr>
              <w:t>$20.997.321.432</w:t>
            </w:r>
          </w:p>
        </w:tc>
      </w:tr>
      <w:tr w:rsidR="0061656E" w:rsidRPr="003C4D20" w:rsidTr="000C02B9">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61656E" w:rsidRPr="003C4D20" w:rsidRDefault="0061656E" w:rsidP="000C02B9">
            <w:pPr>
              <w:jc w:val="center"/>
              <w:rPr>
                <w:rFonts w:ascii="Bookman Old Style" w:hAnsi="Bookman Old Style"/>
                <w:spacing w:val="-3"/>
                <w:sz w:val="18"/>
                <w:szCs w:val="18"/>
              </w:rPr>
            </w:pPr>
            <w:r w:rsidRPr="003C4D20">
              <w:rPr>
                <w:rFonts w:ascii="Bookman Old Style" w:hAnsi="Bookman Old Style"/>
                <w:spacing w:val="-3"/>
                <w:sz w:val="18"/>
                <w:szCs w:val="18"/>
              </w:rPr>
              <w:lastRenderedPageBreak/>
              <w:t>FALTANTE COSTOS DEL SERVICIO A RECUPERAR</w:t>
            </w:r>
          </w:p>
        </w:tc>
        <w:tc>
          <w:tcPr>
            <w:tcW w:w="0" w:type="auto"/>
            <w:tcBorders>
              <w:top w:val="nil"/>
              <w:left w:val="nil"/>
              <w:bottom w:val="single" w:sz="4" w:space="0" w:color="auto"/>
              <w:right w:val="single" w:sz="4" w:space="0" w:color="auto"/>
            </w:tcBorders>
            <w:shd w:val="clear" w:color="auto" w:fill="auto"/>
            <w:noWrap/>
            <w:vAlign w:val="bottom"/>
            <w:hideMark/>
          </w:tcPr>
          <w:p w:rsidR="0061656E" w:rsidRPr="003C4D20" w:rsidRDefault="0061656E" w:rsidP="000C02B9">
            <w:pPr>
              <w:jc w:val="center"/>
              <w:rPr>
                <w:rFonts w:ascii="Bookman Old Style" w:hAnsi="Bookman Old Style"/>
                <w:spacing w:val="-3"/>
                <w:sz w:val="18"/>
                <w:szCs w:val="18"/>
              </w:rPr>
            </w:pPr>
            <w:r w:rsidRPr="003C4D20">
              <w:rPr>
                <w:rFonts w:ascii="Bookman Old Style" w:hAnsi="Bookman Old Style"/>
                <w:spacing w:val="-3"/>
                <w:sz w:val="18"/>
                <w:szCs w:val="18"/>
              </w:rPr>
              <w:t>$1.215.425.568</w:t>
            </w:r>
          </w:p>
        </w:tc>
      </w:tr>
    </w:tbl>
    <w:p w:rsidR="0061656E" w:rsidRPr="003C4D20" w:rsidRDefault="0061656E" w:rsidP="0061656E">
      <w:pPr>
        <w:pStyle w:val="Prrafodelista"/>
        <w:ind w:left="0"/>
        <w:jc w:val="both"/>
        <w:rPr>
          <w:rFonts w:ascii="Bookman Old Style" w:hAnsi="Bookman Old Style"/>
          <w:sz w:val="24"/>
          <w:szCs w:val="24"/>
          <w:lang w:val="es-ES"/>
        </w:rPr>
      </w:pPr>
    </w:p>
    <w:p w:rsidR="0061656E" w:rsidRPr="003C4D20" w:rsidRDefault="0061656E" w:rsidP="000E3C98">
      <w:pPr>
        <w:pStyle w:val="Style8"/>
        <w:shd w:val="clear" w:color="auto" w:fill="auto"/>
        <w:spacing w:before="0" w:after="236" w:line="274" w:lineRule="exact"/>
        <w:ind w:left="40" w:right="60"/>
        <w:jc w:val="both"/>
        <w:rPr>
          <w:rFonts w:ascii="Bookman Old Style" w:eastAsia="Times New Roman" w:hAnsi="Bookman Old Style" w:cs="Times New Roman"/>
          <w:sz w:val="24"/>
          <w:szCs w:val="24"/>
          <w:lang w:val="es-ES" w:eastAsia="es-ES"/>
        </w:rPr>
      </w:pPr>
      <w:r w:rsidRPr="003C4D20">
        <w:rPr>
          <w:rFonts w:ascii="Bookman Old Style" w:eastAsia="Times New Roman" w:hAnsi="Bookman Old Style" w:cs="Times New Roman"/>
          <w:sz w:val="24"/>
          <w:szCs w:val="24"/>
          <w:lang w:val="es-ES" w:eastAsia="es-ES"/>
        </w:rPr>
        <w:t>Que para cubrir los costos del servicio de regulación durante la vigencia 2018 fue necesario aplicar la Ley 142 de 1994, Articulo 85. PARÁGRAFO 2o, el cual establece que “Al fijar las contribuciones especiales estableció que se eliminarán, de los gastos de funcionamiento, los gastos operativos; en las empresas del sector eléctrico, las compras de electricidad, las compras de combustibles y los peajes, cuando hubiere lugar a ello; y en las empresas de otros sectores los gastos de naturaleza similar a éstos. Estos rubros podrán ser adicionados en la misma proporción en que sean indispensables para cubrir faltantes presupuéstales de las comisiones v la superintendencia”</w:t>
      </w:r>
    </w:p>
    <w:p w:rsidR="0061656E" w:rsidRPr="003C4D20" w:rsidRDefault="0061656E" w:rsidP="0061656E">
      <w:pPr>
        <w:pStyle w:val="Style8"/>
        <w:shd w:val="clear" w:color="auto" w:fill="auto"/>
        <w:spacing w:before="0" w:after="244" w:line="278" w:lineRule="exact"/>
        <w:ind w:left="40" w:right="60"/>
        <w:jc w:val="both"/>
        <w:rPr>
          <w:rFonts w:ascii="Bookman Old Style" w:eastAsia="Times New Roman" w:hAnsi="Bookman Old Style" w:cs="Times New Roman"/>
          <w:sz w:val="24"/>
          <w:szCs w:val="24"/>
          <w:lang w:val="es-ES" w:eastAsia="es-ES"/>
        </w:rPr>
      </w:pPr>
      <w:r w:rsidRPr="003C4D20">
        <w:rPr>
          <w:rFonts w:ascii="Bookman Old Style" w:eastAsia="Times New Roman" w:hAnsi="Bookman Old Style" w:cs="Times New Roman"/>
          <w:sz w:val="24"/>
          <w:szCs w:val="24"/>
          <w:lang w:val="es-ES" w:eastAsia="es-ES"/>
        </w:rPr>
        <w:t>Al respecto, el Consejo de Estado, Sala de lo Contencioso Administrativo, Sección Cuarta, en sentencia proferida dentro del proceso de Nulidad y Restablecimiento del Derecho 11001 -03-27-000-2017-00012-00 (22972) Gestión Energética S.A. E S P. "GENSA S.A. E S P. contra Superintendencia de Servicios Públicos Domiciliarios por la Contribución Especial SSPD 2016, manifestó:</w:t>
      </w:r>
    </w:p>
    <w:p w:rsidR="0061656E" w:rsidRPr="003C4D20" w:rsidRDefault="0061656E" w:rsidP="0061656E">
      <w:pPr>
        <w:pStyle w:val="Style40"/>
        <w:shd w:val="clear" w:color="auto" w:fill="auto"/>
        <w:spacing w:before="0"/>
        <w:ind w:left="40" w:right="60"/>
        <w:rPr>
          <w:rFonts w:ascii="Bookman Old Style" w:eastAsia="Times New Roman" w:hAnsi="Bookman Old Style" w:cs="Times New Roman"/>
          <w:iCs w:val="0"/>
          <w:sz w:val="24"/>
          <w:szCs w:val="24"/>
          <w:lang w:val="es-ES" w:eastAsia="es-ES"/>
        </w:rPr>
      </w:pPr>
      <w:r w:rsidRPr="003C4D20">
        <w:rPr>
          <w:rStyle w:val="CharStyle41"/>
          <w:color w:val="000000"/>
          <w:sz w:val="24"/>
          <w:szCs w:val="24"/>
          <w:lang w:eastAsia="es-ES_tradnl"/>
        </w:rPr>
        <w:t>“</w:t>
      </w:r>
      <w:r w:rsidRPr="003C4D20">
        <w:rPr>
          <w:rFonts w:ascii="Bookman Old Style" w:eastAsia="Times New Roman" w:hAnsi="Bookman Old Style" w:cs="Times New Roman"/>
          <w:sz w:val="24"/>
          <w:szCs w:val="24"/>
          <w:lang w:val="es-ES" w:eastAsia="es-ES"/>
        </w:rPr>
        <w:t>Entonces, cuando la SSPD necesita cubrir faltantes presupuéstales, la ley permite que los gastos operativos puedan ser adicionados a los gastos de funcionamiento, en la misma proporción en que sean indispensables para cubrir el faltante presupuestal de la superintendencia.</w:t>
      </w:r>
    </w:p>
    <w:p w:rsidR="0061656E" w:rsidRPr="003C4D20" w:rsidRDefault="0061656E" w:rsidP="0061656E">
      <w:pPr>
        <w:pStyle w:val="Style40"/>
        <w:shd w:val="clear" w:color="auto" w:fill="auto"/>
        <w:spacing w:before="0" w:after="0"/>
        <w:ind w:left="40" w:right="60"/>
        <w:rPr>
          <w:rFonts w:ascii="Bookman Old Style" w:eastAsia="Times New Roman" w:hAnsi="Bookman Old Style" w:cs="Times New Roman"/>
          <w:sz w:val="24"/>
          <w:szCs w:val="24"/>
          <w:lang w:val="es-ES" w:eastAsia="es-ES"/>
        </w:rPr>
      </w:pPr>
      <w:r w:rsidRPr="003C4D20">
        <w:rPr>
          <w:rFonts w:ascii="Bookman Old Style" w:eastAsia="Times New Roman" w:hAnsi="Bookman Old Style" w:cs="Times New Roman"/>
          <w:sz w:val="24"/>
          <w:szCs w:val="24"/>
          <w:lang w:val="es-ES" w:eastAsia="es-ES"/>
        </w:rPr>
        <w:t>Tratándose de empresas del sector eléctrico, la base gravable se conforma de la siguiente manera: (i) Según la regla general: De los gastos de funcionamiento, asociados al servicio sometido a regulación se excluyen los gastos operativos, las compras de electricidad, las compras de combustibles y los peajes, cuando hubiere lugar a ello, (ii) conforme a la regla exceptiva, configurado el supuesto de hecho - el faltante presupuestal- la ley permite adicionara esos rubros los gastos operativos en la misma proporción en que sean indispensables para cubrir el faltante presupuestal de la superintendencia. (Subrayado fuera del texto original).</w:t>
      </w:r>
    </w:p>
    <w:p w:rsidR="0061656E" w:rsidRPr="003C4D20" w:rsidRDefault="0061656E" w:rsidP="0061656E">
      <w:pPr>
        <w:pStyle w:val="Style40"/>
        <w:shd w:val="clear" w:color="auto" w:fill="auto"/>
        <w:spacing w:before="0" w:after="0"/>
        <w:ind w:left="40" w:right="60"/>
        <w:rPr>
          <w:rFonts w:ascii="Bookman Old Style" w:eastAsia="Times New Roman" w:hAnsi="Bookman Old Style" w:cs="Times New Roman"/>
          <w:iCs w:val="0"/>
          <w:sz w:val="24"/>
          <w:szCs w:val="24"/>
          <w:lang w:val="es-ES" w:eastAsia="es-ES"/>
        </w:rPr>
      </w:pPr>
    </w:p>
    <w:p w:rsidR="0061656E" w:rsidRPr="003C4D20" w:rsidRDefault="0061656E" w:rsidP="0061656E">
      <w:pPr>
        <w:pStyle w:val="Style40"/>
        <w:shd w:val="clear" w:color="auto" w:fill="auto"/>
        <w:spacing w:before="0"/>
        <w:ind w:left="20" w:right="20"/>
        <w:rPr>
          <w:sz w:val="24"/>
          <w:szCs w:val="24"/>
        </w:rPr>
      </w:pPr>
      <w:r w:rsidRPr="003C4D20">
        <w:rPr>
          <w:rFonts w:ascii="Bookman Old Style" w:eastAsia="Times New Roman" w:hAnsi="Bookman Old Style" w:cs="Times New Roman"/>
          <w:sz w:val="24"/>
          <w:szCs w:val="24"/>
          <w:lang w:val="es-ES" w:eastAsia="es-ES"/>
        </w:rPr>
        <w:t>La regla general y la excepción previstas por el legislador son concordantes con el fin mismo de la contribución especial, que es recuperar los costos de los servicios de control y vigilancia, y guarda armonía con el artículo 338 de la Constitución Política, que prevé que la tarifa es para la recuperación de costos de los servicios que presta la autoridad administrativa</w:t>
      </w:r>
      <w:r w:rsidRPr="003C4D20">
        <w:rPr>
          <w:rStyle w:val="CharStyle41"/>
          <w:color w:val="000000"/>
          <w:sz w:val="24"/>
          <w:szCs w:val="24"/>
          <w:lang w:eastAsia="es-ES_tradnl"/>
        </w:rPr>
        <w:t>.</w:t>
      </w:r>
    </w:p>
    <w:p w:rsidR="0061656E" w:rsidRPr="003C4D20" w:rsidRDefault="0061656E" w:rsidP="0061656E">
      <w:pPr>
        <w:pStyle w:val="Style8"/>
        <w:shd w:val="clear" w:color="auto" w:fill="auto"/>
        <w:spacing w:before="0" w:after="211" w:line="274" w:lineRule="exact"/>
        <w:ind w:left="20" w:right="20"/>
        <w:jc w:val="both"/>
        <w:rPr>
          <w:rFonts w:ascii="Bookman Old Style" w:eastAsia="Times New Roman" w:hAnsi="Bookman Old Style" w:cs="Times New Roman"/>
          <w:iCs/>
          <w:sz w:val="24"/>
          <w:szCs w:val="24"/>
          <w:lang w:val="es-ES" w:eastAsia="es-ES"/>
        </w:rPr>
      </w:pPr>
      <w:r w:rsidRPr="003C4D20">
        <w:rPr>
          <w:rFonts w:ascii="Bookman Old Style" w:eastAsia="Times New Roman" w:hAnsi="Bookman Old Style" w:cs="Times New Roman"/>
          <w:iCs/>
          <w:sz w:val="24"/>
          <w:szCs w:val="24"/>
          <w:lang w:val="es-ES" w:eastAsia="es-ES"/>
        </w:rPr>
        <w:t>La aplicación de la regla expuesta al cálculo de la contribución que deben pagar los sujetos regulados por la Comisión de Regulación de Energía y Gas, para la vigencia 2018, genera una liquidación sobre las cuentas de costo reportada por los regulados para extraer la base adicional aplicada a la contribución del 2018.</w:t>
      </w:r>
    </w:p>
    <w:tbl>
      <w:tblPr>
        <w:tblW w:w="6440" w:type="dxa"/>
        <w:jc w:val="center"/>
        <w:tblCellMar>
          <w:left w:w="70" w:type="dxa"/>
          <w:right w:w="70" w:type="dxa"/>
        </w:tblCellMar>
        <w:tblLook w:val="04A0" w:firstRow="1" w:lastRow="0" w:firstColumn="1" w:lastColumn="0" w:noHBand="0" w:noVBand="1"/>
      </w:tblPr>
      <w:tblGrid>
        <w:gridCol w:w="4180"/>
        <w:gridCol w:w="2260"/>
      </w:tblGrid>
      <w:tr w:rsidR="0061656E" w:rsidRPr="003C4D20" w:rsidTr="000E3C98">
        <w:trPr>
          <w:trHeight w:val="414"/>
          <w:tblHeader/>
          <w:jc w:val="center"/>
        </w:trPr>
        <w:tc>
          <w:tcPr>
            <w:tcW w:w="64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1656E" w:rsidRPr="003C4D20" w:rsidRDefault="0061656E" w:rsidP="000C02B9">
            <w:pPr>
              <w:jc w:val="center"/>
              <w:rPr>
                <w:rFonts w:ascii="Bookman Old Style" w:hAnsi="Bookman Old Style"/>
                <w:spacing w:val="-3"/>
                <w:sz w:val="18"/>
                <w:szCs w:val="18"/>
              </w:rPr>
            </w:pPr>
            <w:r w:rsidRPr="003C4D20">
              <w:rPr>
                <w:rFonts w:ascii="Bookman Old Style" w:hAnsi="Bookman Old Style"/>
                <w:spacing w:val="-3"/>
                <w:sz w:val="18"/>
                <w:szCs w:val="18"/>
              </w:rPr>
              <w:t>Reporte consolidado de cuentas del costo de las empresas vigiladas</w:t>
            </w:r>
          </w:p>
        </w:tc>
      </w:tr>
      <w:tr w:rsidR="0061656E" w:rsidRPr="003C4D20" w:rsidTr="000C02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61656E" w:rsidRPr="003C4D20" w:rsidRDefault="0061656E" w:rsidP="000C02B9">
            <w:pPr>
              <w:rPr>
                <w:rFonts w:ascii="Arial" w:hAnsi="Arial" w:cs="Arial"/>
                <w:color w:val="000000"/>
                <w:sz w:val="18"/>
                <w:szCs w:val="18"/>
                <w:lang w:eastAsia="es-CO"/>
              </w:rPr>
            </w:pPr>
            <w:r w:rsidRPr="003C4D20">
              <w:rPr>
                <w:rFonts w:ascii="Arial" w:hAnsi="Arial" w:cs="Arial"/>
                <w:color w:val="000000"/>
                <w:sz w:val="18"/>
                <w:szCs w:val="18"/>
                <w:lang w:eastAsia="es-ES_tradnl"/>
              </w:rPr>
              <w:t>Servicios Personales</w:t>
            </w:r>
          </w:p>
        </w:tc>
        <w:tc>
          <w:tcPr>
            <w:tcW w:w="2260" w:type="dxa"/>
            <w:tcBorders>
              <w:top w:val="nil"/>
              <w:left w:val="nil"/>
              <w:bottom w:val="single" w:sz="4" w:space="0" w:color="auto"/>
              <w:right w:val="single" w:sz="4" w:space="0" w:color="auto"/>
            </w:tcBorders>
            <w:shd w:val="clear" w:color="auto" w:fill="auto"/>
            <w:vAlign w:val="center"/>
            <w:hideMark/>
          </w:tcPr>
          <w:p w:rsidR="0061656E" w:rsidRPr="003C4D20" w:rsidRDefault="0061656E" w:rsidP="000C02B9">
            <w:pPr>
              <w:jc w:val="both"/>
              <w:rPr>
                <w:rFonts w:ascii="Bookman Old Style" w:hAnsi="Bookman Old Style"/>
                <w:spacing w:val="-3"/>
                <w:sz w:val="18"/>
                <w:szCs w:val="18"/>
              </w:rPr>
            </w:pPr>
            <w:r w:rsidRPr="003C4D20">
              <w:rPr>
                <w:rFonts w:ascii="Bookman Old Style" w:hAnsi="Bookman Old Style"/>
                <w:spacing w:val="-3"/>
                <w:sz w:val="18"/>
                <w:szCs w:val="18"/>
              </w:rPr>
              <w:t>1.844.258.978.315,81</w:t>
            </w:r>
          </w:p>
        </w:tc>
      </w:tr>
      <w:tr w:rsidR="0061656E" w:rsidRPr="003C4D20" w:rsidTr="000C02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61656E" w:rsidRPr="003C4D20" w:rsidRDefault="0061656E" w:rsidP="000C02B9">
            <w:pPr>
              <w:rPr>
                <w:rFonts w:ascii="Arial" w:hAnsi="Arial" w:cs="Arial"/>
                <w:color w:val="000000"/>
                <w:sz w:val="18"/>
                <w:szCs w:val="18"/>
                <w:lang w:eastAsia="es-CO"/>
              </w:rPr>
            </w:pPr>
            <w:r w:rsidRPr="003C4D20">
              <w:rPr>
                <w:rFonts w:ascii="Arial" w:hAnsi="Arial" w:cs="Arial"/>
                <w:color w:val="000000"/>
                <w:sz w:val="18"/>
                <w:szCs w:val="18"/>
                <w:lang w:eastAsia="es-ES_tradnl"/>
              </w:rPr>
              <w:t>Generales</w:t>
            </w:r>
          </w:p>
        </w:tc>
        <w:tc>
          <w:tcPr>
            <w:tcW w:w="2260" w:type="dxa"/>
            <w:tcBorders>
              <w:top w:val="nil"/>
              <w:left w:val="nil"/>
              <w:bottom w:val="single" w:sz="4" w:space="0" w:color="auto"/>
              <w:right w:val="single" w:sz="4" w:space="0" w:color="auto"/>
            </w:tcBorders>
            <w:shd w:val="clear" w:color="auto" w:fill="auto"/>
            <w:vAlign w:val="center"/>
            <w:hideMark/>
          </w:tcPr>
          <w:p w:rsidR="0061656E" w:rsidRPr="003C4D20" w:rsidRDefault="0061656E" w:rsidP="000C02B9">
            <w:pPr>
              <w:jc w:val="both"/>
              <w:rPr>
                <w:rFonts w:ascii="Bookman Old Style" w:hAnsi="Bookman Old Style"/>
                <w:spacing w:val="-3"/>
                <w:sz w:val="18"/>
                <w:szCs w:val="18"/>
              </w:rPr>
            </w:pPr>
            <w:r w:rsidRPr="003C4D20">
              <w:rPr>
                <w:rFonts w:ascii="Bookman Old Style" w:hAnsi="Bookman Old Style"/>
                <w:spacing w:val="-3"/>
                <w:sz w:val="18"/>
                <w:szCs w:val="18"/>
              </w:rPr>
              <w:t>2.566.144.897.216,00</w:t>
            </w:r>
          </w:p>
        </w:tc>
      </w:tr>
      <w:tr w:rsidR="0061656E" w:rsidRPr="003C4D20" w:rsidTr="000C02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61656E" w:rsidRPr="003C4D20" w:rsidRDefault="0061656E" w:rsidP="000C02B9">
            <w:pPr>
              <w:rPr>
                <w:rFonts w:ascii="Arial" w:hAnsi="Arial" w:cs="Arial"/>
                <w:color w:val="000000"/>
                <w:sz w:val="18"/>
                <w:szCs w:val="18"/>
                <w:lang w:eastAsia="es-CO"/>
              </w:rPr>
            </w:pPr>
            <w:r w:rsidRPr="003C4D20">
              <w:rPr>
                <w:rFonts w:ascii="Arial" w:hAnsi="Arial" w:cs="Arial"/>
                <w:color w:val="000000"/>
                <w:sz w:val="18"/>
                <w:szCs w:val="18"/>
                <w:lang w:eastAsia="es-ES_tradnl"/>
              </w:rPr>
              <w:lastRenderedPageBreak/>
              <w:t>Arrendamientos</w:t>
            </w:r>
          </w:p>
        </w:tc>
        <w:tc>
          <w:tcPr>
            <w:tcW w:w="2260" w:type="dxa"/>
            <w:tcBorders>
              <w:top w:val="nil"/>
              <w:left w:val="nil"/>
              <w:bottom w:val="single" w:sz="4" w:space="0" w:color="auto"/>
              <w:right w:val="single" w:sz="4" w:space="0" w:color="auto"/>
            </w:tcBorders>
            <w:shd w:val="clear" w:color="auto" w:fill="auto"/>
            <w:vAlign w:val="center"/>
            <w:hideMark/>
          </w:tcPr>
          <w:p w:rsidR="0061656E" w:rsidRPr="003C4D20" w:rsidRDefault="0061656E" w:rsidP="000C02B9">
            <w:pPr>
              <w:jc w:val="both"/>
              <w:rPr>
                <w:rFonts w:ascii="Bookman Old Style" w:hAnsi="Bookman Old Style"/>
                <w:spacing w:val="-3"/>
                <w:sz w:val="18"/>
                <w:szCs w:val="18"/>
              </w:rPr>
            </w:pPr>
            <w:r w:rsidRPr="003C4D20">
              <w:rPr>
                <w:rFonts w:ascii="Bookman Old Style" w:hAnsi="Bookman Old Style"/>
                <w:spacing w:val="-3"/>
                <w:sz w:val="18"/>
                <w:szCs w:val="18"/>
              </w:rPr>
              <w:t>180.954.387.122,00</w:t>
            </w:r>
          </w:p>
        </w:tc>
      </w:tr>
      <w:tr w:rsidR="0061656E" w:rsidRPr="003C4D20" w:rsidTr="000C02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61656E" w:rsidRPr="003C4D20" w:rsidRDefault="0061656E" w:rsidP="000C02B9">
            <w:pPr>
              <w:rPr>
                <w:rFonts w:ascii="Arial" w:hAnsi="Arial" w:cs="Arial"/>
                <w:color w:val="000000"/>
                <w:sz w:val="18"/>
                <w:szCs w:val="18"/>
                <w:lang w:eastAsia="es-CO"/>
              </w:rPr>
            </w:pPr>
            <w:r w:rsidRPr="003C4D20">
              <w:rPr>
                <w:rFonts w:ascii="Arial" w:hAnsi="Arial" w:cs="Arial"/>
                <w:color w:val="000000"/>
                <w:sz w:val="18"/>
                <w:szCs w:val="18"/>
                <w:lang w:eastAsia="es-ES_tradnl"/>
              </w:rPr>
              <w:t>Licencias, contribuciones y regalías</w:t>
            </w:r>
          </w:p>
        </w:tc>
        <w:tc>
          <w:tcPr>
            <w:tcW w:w="2260" w:type="dxa"/>
            <w:tcBorders>
              <w:top w:val="nil"/>
              <w:left w:val="nil"/>
              <w:bottom w:val="single" w:sz="4" w:space="0" w:color="auto"/>
              <w:right w:val="single" w:sz="4" w:space="0" w:color="auto"/>
            </w:tcBorders>
            <w:shd w:val="clear" w:color="auto" w:fill="auto"/>
            <w:vAlign w:val="center"/>
            <w:hideMark/>
          </w:tcPr>
          <w:p w:rsidR="0061656E" w:rsidRPr="003C4D20" w:rsidRDefault="0061656E" w:rsidP="000C02B9">
            <w:pPr>
              <w:jc w:val="both"/>
              <w:rPr>
                <w:rFonts w:ascii="Bookman Old Style" w:hAnsi="Bookman Old Style"/>
                <w:spacing w:val="-3"/>
                <w:sz w:val="18"/>
                <w:szCs w:val="18"/>
              </w:rPr>
            </w:pPr>
            <w:r w:rsidRPr="003C4D20">
              <w:rPr>
                <w:rFonts w:ascii="Bookman Old Style" w:hAnsi="Bookman Old Style"/>
                <w:spacing w:val="-3"/>
                <w:sz w:val="18"/>
                <w:szCs w:val="18"/>
              </w:rPr>
              <w:t>698.022.924.920,48</w:t>
            </w:r>
          </w:p>
        </w:tc>
      </w:tr>
      <w:tr w:rsidR="0061656E" w:rsidRPr="003C4D20" w:rsidTr="000C02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61656E" w:rsidRPr="003C4D20" w:rsidRDefault="0061656E" w:rsidP="000C02B9">
            <w:pPr>
              <w:rPr>
                <w:rFonts w:ascii="Arial" w:hAnsi="Arial" w:cs="Arial"/>
                <w:color w:val="000000"/>
                <w:sz w:val="18"/>
                <w:szCs w:val="18"/>
                <w:lang w:eastAsia="es-CO"/>
              </w:rPr>
            </w:pPr>
            <w:r w:rsidRPr="003C4D20">
              <w:rPr>
                <w:rFonts w:ascii="Arial" w:hAnsi="Arial" w:cs="Arial"/>
                <w:color w:val="000000"/>
                <w:sz w:val="18"/>
                <w:szCs w:val="18"/>
                <w:lang w:eastAsia="es-ES_tradnl"/>
              </w:rPr>
              <w:t>Órdenes y contratos de mantenimiento y reparaciones</w:t>
            </w:r>
          </w:p>
        </w:tc>
        <w:tc>
          <w:tcPr>
            <w:tcW w:w="2260" w:type="dxa"/>
            <w:tcBorders>
              <w:top w:val="nil"/>
              <w:left w:val="nil"/>
              <w:bottom w:val="single" w:sz="4" w:space="0" w:color="auto"/>
              <w:right w:val="single" w:sz="4" w:space="0" w:color="auto"/>
            </w:tcBorders>
            <w:shd w:val="clear" w:color="auto" w:fill="auto"/>
            <w:vAlign w:val="center"/>
            <w:hideMark/>
          </w:tcPr>
          <w:p w:rsidR="0061656E" w:rsidRPr="003C4D20" w:rsidRDefault="0061656E" w:rsidP="000C02B9">
            <w:pPr>
              <w:jc w:val="both"/>
              <w:rPr>
                <w:rFonts w:ascii="Bookman Old Style" w:hAnsi="Bookman Old Style"/>
                <w:spacing w:val="-3"/>
                <w:sz w:val="18"/>
                <w:szCs w:val="18"/>
              </w:rPr>
            </w:pPr>
            <w:r w:rsidRPr="003C4D20">
              <w:rPr>
                <w:rFonts w:ascii="Bookman Old Style" w:hAnsi="Bookman Old Style"/>
                <w:spacing w:val="-3"/>
                <w:sz w:val="18"/>
                <w:szCs w:val="18"/>
              </w:rPr>
              <w:t>1.182.472.571.058,00</w:t>
            </w:r>
          </w:p>
        </w:tc>
      </w:tr>
      <w:tr w:rsidR="0061656E" w:rsidRPr="003C4D20" w:rsidTr="000C02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61656E" w:rsidRPr="003C4D20" w:rsidRDefault="0061656E" w:rsidP="000C02B9">
            <w:pPr>
              <w:rPr>
                <w:rFonts w:ascii="Arial" w:hAnsi="Arial" w:cs="Arial"/>
                <w:color w:val="000000"/>
                <w:sz w:val="18"/>
                <w:szCs w:val="18"/>
                <w:lang w:eastAsia="es-CO"/>
              </w:rPr>
            </w:pPr>
            <w:r w:rsidRPr="003C4D20">
              <w:rPr>
                <w:rFonts w:ascii="Arial" w:hAnsi="Arial" w:cs="Arial"/>
                <w:color w:val="000000"/>
                <w:sz w:val="18"/>
                <w:szCs w:val="18"/>
                <w:lang w:eastAsia="es-ES_tradnl"/>
              </w:rPr>
              <w:t>Peajes terrestres</w:t>
            </w:r>
          </w:p>
        </w:tc>
        <w:tc>
          <w:tcPr>
            <w:tcW w:w="2260" w:type="dxa"/>
            <w:tcBorders>
              <w:top w:val="nil"/>
              <w:left w:val="nil"/>
              <w:bottom w:val="single" w:sz="4" w:space="0" w:color="auto"/>
              <w:right w:val="single" w:sz="4" w:space="0" w:color="auto"/>
            </w:tcBorders>
            <w:shd w:val="clear" w:color="auto" w:fill="auto"/>
            <w:vAlign w:val="center"/>
            <w:hideMark/>
          </w:tcPr>
          <w:p w:rsidR="0061656E" w:rsidRPr="003C4D20" w:rsidRDefault="0061656E" w:rsidP="000C02B9">
            <w:pPr>
              <w:jc w:val="both"/>
              <w:rPr>
                <w:rFonts w:ascii="Bookman Old Style" w:hAnsi="Bookman Old Style"/>
                <w:spacing w:val="-3"/>
                <w:sz w:val="18"/>
                <w:szCs w:val="18"/>
              </w:rPr>
            </w:pPr>
            <w:r w:rsidRPr="003C4D20">
              <w:rPr>
                <w:rFonts w:ascii="Bookman Old Style" w:hAnsi="Bookman Old Style"/>
                <w:spacing w:val="-3"/>
                <w:sz w:val="18"/>
                <w:szCs w:val="18"/>
              </w:rPr>
              <w:t>14.203.421.685,00</w:t>
            </w:r>
          </w:p>
        </w:tc>
      </w:tr>
      <w:tr w:rsidR="0061656E" w:rsidRPr="003C4D20" w:rsidTr="000C02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61656E" w:rsidRPr="003C4D20" w:rsidRDefault="0061656E" w:rsidP="000C02B9">
            <w:pPr>
              <w:rPr>
                <w:rFonts w:ascii="Arial" w:hAnsi="Arial" w:cs="Arial"/>
                <w:color w:val="000000"/>
                <w:sz w:val="18"/>
                <w:szCs w:val="18"/>
                <w:lang w:eastAsia="es-CO"/>
              </w:rPr>
            </w:pPr>
            <w:r w:rsidRPr="003C4D20">
              <w:rPr>
                <w:rFonts w:ascii="Arial" w:hAnsi="Arial" w:cs="Arial"/>
                <w:color w:val="000000"/>
                <w:sz w:val="18"/>
                <w:szCs w:val="18"/>
                <w:lang w:eastAsia="es-ES_tradnl"/>
              </w:rPr>
              <w:t>Honorarios</w:t>
            </w:r>
          </w:p>
        </w:tc>
        <w:tc>
          <w:tcPr>
            <w:tcW w:w="2260" w:type="dxa"/>
            <w:tcBorders>
              <w:top w:val="nil"/>
              <w:left w:val="nil"/>
              <w:bottom w:val="single" w:sz="4" w:space="0" w:color="auto"/>
              <w:right w:val="single" w:sz="4" w:space="0" w:color="auto"/>
            </w:tcBorders>
            <w:shd w:val="clear" w:color="auto" w:fill="auto"/>
            <w:vAlign w:val="center"/>
            <w:hideMark/>
          </w:tcPr>
          <w:p w:rsidR="0061656E" w:rsidRPr="003C4D20" w:rsidRDefault="0061656E" w:rsidP="000C02B9">
            <w:pPr>
              <w:jc w:val="both"/>
              <w:rPr>
                <w:rFonts w:ascii="Bookman Old Style" w:hAnsi="Bookman Old Style"/>
                <w:spacing w:val="-3"/>
                <w:sz w:val="18"/>
                <w:szCs w:val="18"/>
              </w:rPr>
            </w:pPr>
            <w:r w:rsidRPr="003C4D20">
              <w:rPr>
                <w:rFonts w:ascii="Bookman Old Style" w:hAnsi="Bookman Old Style"/>
                <w:spacing w:val="-3"/>
                <w:sz w:val="18"/>
                <w:szCs w:val="18"/>
              </w:rPr>
              <w:t>374.709.011.939,16</w:t>
            </w:r>
          </w:p>
        </w:tc>
      </w:tr>
      <w:tr w:rsidR="0061656E" w:rsidRPr="003C4D20" w:rsidTr="000C02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61656E" w:rsidRPr="003C4D20" w:rsidRDefault="0061656E" w:rsidP="000C02B9">
            <w:pPr>
              <w:rPr>
                <w:rFonts w:ascii="Arial" w:hAnsi="Arial" w:cs="Arial"/>
                <w:color w:val="000000"/>
                <w:sz w:val="18"/>
                <w:szCs w:val="18"/>
                <w:lang w:eastAsia="es-CO"/>
              </w:rPr>
            </w:pPr>
            <w:r w:rsidRPr="003C4D20">
              <w:rPr>
                <w:rFonts w:ascii="Arial" w:hAnsi="Arial" w:cs="Arial"/>
                <w:color w:val="000000"/>
                <w:sz w:val="18"/>
                <w:szCs w:val="18"/>
                <w:lang w:eastAsia="es-ES_tradnl"/>
              </w:rPr>
              <w:t>Servicios Públicos</w:t>
            </w:r>
          </w:p>
        </w:tc>
        <w:tc>
          <w:tcPr>
            <w:tcW w:w="2260" w:type="dxa"/>
            <w:tcBorders>
              <w:top w:val="nil"/>
              <w:left w:val="nil"/>
              <w:bottom w:val="single" w:sz="4" w:space="0" w:color="auto"/>
              <w:right w:val="single" w:sz="4" w:space="0" w:color="auto"/>
            </w:tcBorders>
            <w:shd w:val="clear" w:color="auto" w:fill="auto"/>
            <w:vAlign w:val="center"/>
            <w:hideMark/>
          </w:tcPr>
          <w:p w:rsidR="0061656E" w:rsidRPr="003C4D20" w:rsidRDefault="0061656E" w:rsidP="000C02B9">
            <w:pPr>
              <w:jc w:val="both"/>
              <w:rPr>
                <w:rFonts w:ascii="Bookman Old Style" w:hAnsi="Bookman Old Style"/>
                <w:spacing w:val="-3"/>
                <w:sz w:val="18"/>
                <w:szCs w:val="18"/>
              </w:rPr>
            </w:pPr>
            <w:r w:rsidRPr="003C4D20">
              <w:rPr>
                <w:rFonts w:ascii="Bookman Old Style" w:hAnsi="Bookman Old Style"/>
                <w:spacing w:val="-3"/>
                <w:sz w:val="18"/>
                <w:szCs w:val="18"/>
              </w:rPr>
              <w:t>106.617.672.407,29</w:t>
            </w:r>
          </w:p>
        </w:tc>
      </w:tr>
      <w:tr w:rsidR="0061656E" w:rsidRPr="003C4D20" w:rsidTr="000C02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61656E" w:rsidRPr="003C4D20" w:rsidRDefault="0061656E" w:rsidP="000C02B9">
            <w:pPr>
              <w:rPr>
                <w:rFonts w:ascii="Arial" w:hAnsi="Arial" w:cs="Arial"/>
                <w:color w:val="000000"/>
                <w:sz w:val="18"/>
                <w:szCs w:val="18"/>
                <w:lang w:eastAsia="es-CO"/>
              </w:rPr>
            </w:pPr>
            <w:r w:rsidRPr="003C4D20">
              <w:rPr>
                <w:rFonts w:ascii="Arial" w:hAnsi="Arial" w:cs="Arial"/>
                <w:color w:val="000000"/>
                <w:sz w:val="18"/>
                <w:szCs w:val="18"/>
                <w:lang w:eastAsia="es-ES_tradnl"/>
              </w:rPr>
              <w:t xml:space="preserve">Materiales Y Otros Costos De Operación </w:t>
            </w:r>
          </w:p>
        </w:tc>
        <w:tc>
          <w:tcPr>
            <w:tcW w:w="2260" w:type="dxa"/>
            <w:tcBorders>
              <w:top w:val="nil"/>
              <w:left w:val="nil"/>
              <w:bottom w:val="single" w:sz="4" w:space="0" w:color="auto"/>
              <w:right w:val="single" w:sz="4" w:space="0" w:color="auto"/>
            </w:tcBorders>
            <w:shd w:val="clear" w:color="auto" w:fill="auto"/>
            <w:vAlign w:val="center"/>
            <w:hideMark/>
          </w:tcPr>
          <w:p w:rsidR="0061656E" w:rsidRPr="003C4D20" w:rsidRDefault="0061656E" w:rsidP="000C02B9">
            <w:pPr>
              <w:jc w:val="both"/>
              <w:rPr>
                <w:rFonts w:ascii="Bookman Old Style" w:hAnsi="Bookman Old Style"/>
                <w:spacing w:val="-3"/>
                <w:sz w:val="18"/>
                <w:szCs w:val="18"/>
              </w:rPr>
            </w:pPr>
            <w:r w:rsidRPr="003C4D20">
              <w:rPr>
                <w:rFonts w:ascii="Bookman Old Style" w:hAnsi="Bookman Old Style"/>
                <w:spacing w:val="-3"/>
                <w:sz w:val="18"/>
                <w:szCs w:val="18"/>
              </w:rPr>
              <w:t>1.443.771.966.289,94</w:t>
            </w:r>
          </w:p>
        </w:tc>
      </w:tr>
      <w:tr w:rsidR="0061656E" w:rsidRPr="003C4D20" w:rsidTr="000C02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61656E" w:rsidRPr="003C4D20" w:rsidRDefault="0061656E" w:rsidP="000C02B9">
            <w:pPr>
              <w:rPr>
                <w:rFonts w:ascii="Arial" w:hAnsi="Arial" w:cs="Arial"/>
                <w:color w:val="000000"/>
                <w:sz w:val="18"/>
                <w:szCs w:val="18"/>
                <w:lang w:eastAsia="es-CO"/>
              </w:rPr>
            </w:pPr>
            <w:r w:rsidRPr="003C4D20">
              <w:rPr>
                <w:rFonts w:ascii="Arial" w:hAnsi="Arial" w:cs="Arial"/>
                <w:color w:val="000000"/>
                <w:sz w:val="18"/>
                <w:szCs w:val="18"/>
                <w:lang w:eastAsia="es-CO"/>
              </w:rPr>
              <w:t>Seguros</w:t>
            </w:r>
          </w:p>
        </w:tc>
        <w:tc>
          <w:tcPr>
            <w:tcW w:w="2260" w:type="dxa"/>
            <w:tcBorders>
              <w:top w:val="nil"/>
              <w:left w:val="nil"/>
              <w:bottom w:val="single" w:sz="4" w:space="0" w:color="auto"/>
              <w:right w:val="single" w:sz="4" w:space="0" w:color="auto"/>
            </w:tcBorders>
            <w:shd w:val="clear" w:color="auto" w:fill="auto"/>
            <w:vAlign w:val="center"/>
            <w:hideMark/>
          </w:tcPr>
          <w:p w:rsidR="0061656E" w:rsidRPr="003C4D20" w:rsidRDefault="0061656E" w:rsidP="000C02B9">
            <w:pPr>
              <w:jc w:val="both"/>
              <w:rPr>
                <w:rFonts w:ascii="Bookman Old Style" w:hAnsi="Bookman Old Style"/>
                <w:spacing w:val="-3"/>
                <w:sz w:val="18"/>
                <w:szCs w:val="18"/>
              </w:rPr>
            </w:pPr>
            <w:r w:rsidRPr="003C4D20">
              <w:rPr>
                <w:rFonts w:ascii="Bookman Old Style" w:hAnsi="Bookman Old Style"/>
                <w:spacing w:val="-3"/>
                <w:sz w:val="18"/>
                <w:szCs w:val="18"/>
              </w:rPr>
              <w:t>388.199.628.729,82</w:t>
            </w:r>
          </w:p>
        </w:tc>
      </w:tr>
      <w:tr w:rsidR="0061656E" w:rsidRPr="003C4D20" w:rsidTr="000C02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61656E" w:rsidRPr="003C4D20" w:rsidRDefault="0061656E" w:rsidP="000C02B9">
            <w:pPr>
              <w:rPr>
                <w:rFonts w:ascii="Arial" w:hAnsi="Arial" w:cs="Arial"/>
                <w:color w:val="000000"/>
                <w:sz w:val="18"/>
                <w:szCs w:val="18"/>
                <w:lang w:eastAsia="es-CO"/>
              </w:rPr>
            </w:pPr>
            <w:r w:rsidRPr="003C4D20">
              <w:rPr>
                <w:rFonts w:ascii="Arial" w:hAnsi="Arial" w:cs="Arial"/>
                <w:color w:val="000000"/>
                <w:sz w:val="18"/>
                <w:szCs w:val="18"/>
                <w:lang w:val="es-ES_tradnl" w:eastAsia="es-CO"/>
              </w:rPr>
              <w:t>Órdenes Y Contratos Por Otros Servicios</w:t>
            </w:r>
          </w:p>
        </w:tc>
        <w:tc>
          <w:tcPr>
            <w:tcW w:w="2260" w:type="dxa"/>
            <w:tcBorders>
              <w:top w:val="nil"/>
              <w:left w:val="nil"/>
              <w:bottom w:val="single" w:sz="4" w:space="0" w:color="auto"/>
              <w:right w:val="single" w:sz="4" w:space="0" w:color="auto"/>
            </w:tcBorders>
            <w:shd w:val="clear" w:color="auto" w:fill="auto"/>
            <w:vAlign w:val="center"/>
            <w:hideMark/>
          </w:tcPr>
          <w:p w:rsidR="0061656E" w:rsidRPr="003C4D20" w:rsidRDefault="0061656E" w:rsidP="000C02B9">
            <w:pPr>
              <w:jc w:val="both"/>
              <w:rPr>
                <w:rFonts w:ascii="Bookman Old Style" w:hAnsi="Bookman Old Style"/>
                <w:spacing w:val="-3"/>
                <w:sz w:val="18"/>
                <w:szCs w:val="18"/>
              </w:rPr>
            </w:pPr>
            <w:r w:rsidRPr="003C4D20">
              <w:rPr>
                <w:rFonts w:ascii="Bookman Old Style" w:hAnsi="Bookman Old Style"/>
                <w:spacing w:val="-3"/>
                <w:sz w:val="18"/>
                <w:szCs w:val="18"/>
              </w:rPr>
              <w:t>2.101.485.300.204,41</w:t>
            </w:r>
          </w:p>
        </w:tc>
      </w:tr>
      <w:tr w:rsidR="0061656E" w:rsidRPr="003C4D20" w:rsidTr="000C02B9">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61656E" w:rsidRPr="003C4D20" w:rsidRDefault="0061656E" w:rsidP="000C02B9">
            <w:pPr>
              <w:rPr>
                <w:rFonts w:ascii="Arial" w:hAnsi="Arial" w:cs="Arial"/>
                <w:b/>
                <w:color w:val="000000"/>
                <w:sz w:val="18"/>
                <w:szCs w:val="18"/>
                <w:lang w:eastAsia="es-CO"/>
              </w:rPr>
            </w:pPr>
            <w:r w:rsidRPr="003C4D20">
              <w:rPr>
                <w:rFonts w:ascii="Arial" w:hAnsi="Arial" w:cs="Arial"/>
                <w:b/>
                <w:color w:val="000000"/>
                <w:sz w:val="18"/>
                <w:szCs w:val="18"/>
                <w:lang w:eastAsia="es-CO"/>
              </w:rPr>
              <w:t>TOTAL COSTOS OPERACIÓN</w:t>
            </w:r>
          </w:p>
        </w:tc>
        <w:tc>
          <w:tcPr>
            <w:tcW w:w="2260" w:type="dxa"/>
            <w:tcBorders>
              <w:top w:val="nil"/>
              <w:left w:val="nil"/>
              <w:bottom w:val="single" w:sz="4" w:space="0" w:color="auto"/>
              <w:right w:val="single" w:sz="4" w:space="0" w:color="auto"/>
            </w:tcBorders>
            <w:shd w:val="clear" w:color="auto" w:fill="auto"/>
            <w:noWrap/>
            <w:vAlign w:val="bottom"/>
            <w:hideMark/>
          </w:tcPr>
          <w:p w:rsidR="0061656E" w:rsidRPr="003C4D20" w:rsidRDefault="0061656E" w:rsidP="000C02B9">
            <w:pPr>
              <w:jc w:val="right"/>
              <w:rPr>
                <w:rFonts w:ascii="Bookman Old Style" w:hAnsi="Bookman Old Style"/>
                <w:spacing w:val="-3"/>
                <w:sz w:val="18"/>
                <w:szCs w:val="18"/>
              </w:rPr>
            </w:pPr>
            <w:r w:rsidRPr="003C4D20">
              <w:rPr>
                <w:rFonts w:ascii="Bookman Old Style" w:hAnsi="Bookman Old Style"/>
                <w:spacing w:val="-3"/>
                <w:sz w:val="18"/>
                <w:szCs w:val="18"/>
              </w:rPr>
              <w:t>10.900.840.759.887,90</w:t>
            </w:r>
          </w:p>
        </w:tc>
      </w:tr>
    </w:tbl>
    <w:p w:rsidR="0061656E" w:rsidRPr="003C4D20" w:rsidRDefault="0061656E" w:rsidP="0061656E">
      <w:pPr>
        <w:pStyle w:val="Prrafodelista"/>
        <w:ind w:left="0"/>
        <w:jc w:val="both"/>
        <w:rPr>
          <w:rFonts w:ascii="Bookman Old Style" w:hAnsi="Bookman Old Style"/>
          <w:i/>
          <w:sz w:val="18"/>
          <w:szCs w:val="18"/>
          <w:highlight w:val="yellow"/>
        </w:rPr>
      </w:pPr>
    </w:p>
    <w:tbl>
      <w:tblPr>
        <w:tblW w:w="6040" w:type="dxa"/>
        <w:jc w:val="center"/>
        <w:tblCellMar>
          <w:left w:w="70" w:type="dxa"/>
          <w:right w:w="70" w:type="dxa"/>
        </w:tblCellMar>
        <w:tblLook w:val="04A0" w:firstRow="1" w:lastRow="0" w:firstColumn="1" w:lastColumn="0" w:noHBand="0" w:noVBand="1"/>
      </w:tblPr>
      <w:tblGrid>
        <w:gridCol w:w="3900"/>
        <w:gridCol w:w="2140"/>
      </w:tblGrid>
      <w:tr w:rsidR="0061656E" w:rsidRPr="003C4D20" w:rsidTr="000C02B9">
        <w:trPr>
          <w:trHeight w:val="300"/>
          <w:jc w:val="center"/>
        </w:trPr>
        <w:tc>
          <w:tcPr>
            <w:tcW w:w="3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656E" w:rsidRPr="003C4D20" w:rsidRDefault="0061656E" w:rsidP="000C02B9">
            <w:pPr>
              <w:rPr>
                <w:rFonts w:ascii="Bookman Old Style" w:hAnsi="Bookman Old Style"/>
                <w:b/>
                <w:spacing w:val="-3"/>
                <w:sz w:val="18"/>
                <w:szCs w:val="18"/>
              </w:rPr>
            </w:pPr>
            <w:r w:rsidRPr="003C4D20">
              <w:rPr>
                <w:rFonts w:ascii="Bookman Old Style" w:hAnsi="Bookman Old Style"/>
                <w:b/>
                <w:spacing w:val="-3"/>
                <w:sz w:val="18"/>
                <w:szCs w:val="18"/>
              </w:rPr>
              <w:t>CONCEPTOS</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61656E" w:rsidRPr="003C4D20" w:rsidRDefault="0061656E" w:rsidP="000C02B9">
            <w:pPr>
              <w:rPr>
                <w:rFonts w:ascii="Bookman Old Style" w:hAnsi="Bookman Old Style"/>
                <w:b/>
                <w:spacing w:val="-3"/>
                <w:sz w:val="18"/>
                <w:szCs w:val="18"/>
              </w:rPr>
            </w:pPr>
            <w:r w:rsidRPr="003C4D20">
              <w:rPr>
                <w:rFonts w:ascii="Bookman Old Style" w:hAnsi="Bookman Old Style"/>
                <w:b/>
                <w:spacing w:val="-3"/>
                <w:sz w:val="18"/>
                <w:szCs w:val="18"/>
              </w:rPr>
              <w:t>CALCULOS</w:t>
            </w:r>
          </w:p>
        </w:tc>
      </w:tr>
      <w:tr w:rsidR="0061656E" w:rsidRPr="003C4D20" w:rsidTr="000C02B9">
        <w:trPr>
          <w:trHeight w:val="45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61656E" w:rsidRPr="003C4D20" w:rsidRDefault="0061656E" w:rsidP="000C02B9">
            <w:pPr>
              <w:rPr>
                <w:rFonts w:ascii="Bookman Old Style" w:hAnsi="Bookman Old Style"/>
                <w:spacing w:val="-3"/>
                <w:sz w:val="18"/>
                <w:szCs w:val="18"/>
              </w:rPr>
            </w:pPr>
            <w:r w:rsidRPr="003C4D20">
              <w:rPr>
                <w:rFonts w:ascii="Bookman Old Style" w:hAnsi="Bookman Old Style"/>
                <w:spacing w:val="-3"/>
                <w:sz w:val="18"/>
                <w:szCs w:val="18"/>
              </w:rPr>
              <w:t>Total Costos operativos Empresas Reguladas</w:t>
            </w:r>
          </w:p>
        </w:tc>
        <w:tc>
          <w:tcPr>
            <w:tcW w:w="2140" w:type="dxa"/>
            <w:tcBorders>
              <w:top w:val="nil"/>
              <w:left w:val="nil"/>
              <w:bottom w:val="single" w:sz="4" w:space="0" w:color="auto"/>
              <w:right w:val="single" w:sz="4" w:space="0" w:color="auto"/>
            </w:tcBorders>
            <w:shd w:val="clear" w:color="auto" w:fill="auto"/>
            <w:vAlign w:val="center"/>
            <w:hideMark/>
          </w:tcPr>
          <w:p w:rsidR="0061656E" w:rsidRPr="003C4D20" w:rsidRDefault="0061656E" w:rsidP="000C02B9">
            <w:pPr>
              <w:rPr>
                <w:rFonts w:ascii="Bookman Old Style" w:hAnsi="Bookman Old Style"/>
                <w:spacing w:val="-3"/>
                <w:sz w:val="18"/>
                <w:szCs w:val="18"/>
              </w:rPr>
            </w:pPr>
            <w:r w:rsidRPr="003C4D20">
              <w:rPr>
                <w:rFonts w:ascii="Bookman Old Style" w:hAnsi="Bookman Old Style"/>
                <w:spacing w:val="-3"/>
                <w:sz w:val="18"/>
                <w:szCs w:val="18"/>
              </w:rPr>
              <w:t>10.900.840.759.888</w:t>
            </w:r>
          </w:p>
        </w:tc>
      </w:tr>
      <w:tr w:rsidR="0061656E" w:rsidRPr="003C4D20" w:rsidTr="000C02B9">
        <w:trPr>
          <w:trHeight w:val="300"/>
          <w:jc w:val="center"/>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61656E" w:rsidRPr="003C4D20" w:rsidRDefault="0061656E" w:rsidP="000C02B9">
            <w:pPr>
              <w:rPr>
                <w:rFonts w:ascii="Bookman Old Style" w:hAnsi="Bookman Old Style"/>
                <w:spacing w:val="-3"/>
                <w:sz w:val="18"/>
                <w:szCs w:val="18"/>
              </w:rPr>
            </w:pPr>
            <w:r w:rsidRPr="003C4D20">
              <w:rPr>
                <w:rFonts w:ascii="Bookman Old Style" w:hAnsi="Bookman Old Style"/>
                <w:spacing w:val="-3"/>
                <w:sz w:val="18"/>
                <w:szCs w:val="18"/>
              </w:rPr>
              <w:t>Faltante costos del servicio a recuperar presupuestal</w:t>
            </w:r>
          </w:p>
        </w:tc>
        <w:tc>
          <w:tcPr>
            <w:tcW w:w="2140" w:type="dxa"/>
            <w:tcBorders>
              <w:top w:val="nil"/>
              <w:left w:val="nil"/>
              <w:bottom w:val="single" w:sz="4" w:space="0" w:color="auto"/>
              <w:right w:val="single" w:sz="4" w:space="0" w:color="auto"/>
            </w:tcBorders>
            <w:shd w:val="clear" w:color="auto" w:fill="auto"/>
            <w:vAlign w:val="center"/>
            <w:hideMark/>
          </w:tcPr>
          <w:p w:rsidR="0061656E" w:rsidRPr="003C4D20" w:rsidRDefault="0061656E" w:rsidP="000C02B9">
            <w:pPr>
              <w:rPr>
                <w:rFonts w:ascii="Bookman Old Style" w:hAnsi="Bookman Old Style"/>
                <w:spacing w:val="-3"/>
                <w:sz w:val="18"/>
                <w:szCs w:val="18"/>
              </w:rPr>
            </w:pPr>
            <w:r w:rsidRPr="003C4D20">
              <w:rPr>
                <w:rFonts w:ascii="Bookman Old Style" w:hAnsi="Bookman Old Style"/>
                <w:spacing w:val="-3"/>
                <w:sz w:val="18"/>
                <w:szCs w:val="18"/>
              </w:rPr>
              <w:t>1.215.425.568</w:t>
            </w:r>
          </w:p>
        </w:tc>
      </w:tr>
      <w:tr w:rsidR="0061656E" w:rsidRPr="003C4D20" w:rsidTr="000C02B9">
        <w:trPr>
          <w:trHeight w:val="30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61656E" w:rsidRPr="003C4D20" w:rsidRDefault="0061656E" w:rsidP="000C02B9">
            <w:pPr>
              <w:rPr>
                <w:rFonts w:ascii="Bookman Old Style" w:hAnsi="Bookman Old Style"/>
                <w:spacing w:val="-3"/>
                <w:sz w:val="18"/>
                <w:szCs w:val="18"/>
              </w:rPr>
            </w:pPr>
            <w:r w:rsidRPr="003C4D20">
              <w:rPr>
                <w:rFonts w:ascii="Bookman Old Style" w:hAnsi="Bookman Old Style"/>
                <w:spacing w:val="-3"/>
                <w:sz w:val="18"/>
                <w:szCs w:val="18"/>
              </w:rPr>
              <w:t>Base adicional Costos operativos</w:t>
            </w:r>
          </w:p>
        </w:tc>
        <w:tc>
          <w:tcPr>
            <w:tcW w:w="2140" w:type="dxa"/>
            <w:tcBorders>
              <w:top w:val="nil"/>
              <w:left w:val="nil"/>
              <w:bottom w:val="single" w:sz="4" w:space="0" w:color="auto"/>
              <w:right w:val="single" w:sz="4" w:space="0" w:color="auto"/>
            </w:tcBorders>
            <w:shd w:val="clear" w:color="auto" w:fill="auto"/>
            <w:vAlign w:val="center"/>
            <w:hideMark/>
          </w:tcPr>
          <w:p w:rsidR="0061656E" w:rsidRPr="003C4D20" w:rsidRDefault="0061656E" w:rsidP="000C02B9">
            <w:pPr>
              <w:rPr>
                <w:rFonts w:ascii="Bookman Old Style" w:hAnsi="Bookman Old Style"/>
                <w:spacing w:val="-3"/>
                <w:sz w:val="18"/>
                <w:szCs w:val="18"/>
              </w:rPr>
            </w:pPr>
            <w:r w:rsidRPr="003C4D20">
              <w:rPr>
                <w:rFonts w:ascii="Bookman Old Style" w:hAnsi="Bookman Old Style"/>
                <w:spacing w:val="-3"/>
                <w:sz w:val="18"/>
                <w:szCs w:val="18"/>
              </w:rPr>
              <w:t>121.542.556.815</w:t>
            </w:r>
          </w:p>
        </w:tc>
      </w:tr>
      <w:tr w:rsidR="0061656E" w:rsidRPr="003C4D20" w:rsidTr="000C02B9">
        <w:trPr>
          <w:trHeight w:val="30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61656E" w:rsidRPr="003C4D20" w:rsidRDefault="0061656E" w:rsidP="000C02B9">
            <w:pPr>
              <w:jc w:val="center"/>
              <w:rPr>
                <w:rFonts w:ascii="Bookman Old Style" w:hAnsi="Bookman Old Style"/>
                <w:spacing w:val="-3"/>
                <w:sz w:val="18"/>
                <w:szCs w:val="18"/>
              </w:rPr>
            </w:pPr>
            <w:proofErr w:type="spellStart"/>
            <w:r w:rsidRPr="003C4D20">
              <w:rPr>
                <w:rFonts w:ascii="Bookman Old Style" w:hAnsi="Bookman Old Style"/>
                <w:spacing w:val="-3"/>
                <w:sz w:val="18"/>
                <w:szCs w:val="18"/>
              </w:rPr>
              <w:t>Procentaje</w:t>
            </w:r>
            <w:proofErr w:type="spellEnd"/>
            <w:r w:rsidRPr="003C4D20">
              <w:rPr>
                <w:rFonts w:ascii="Bookman Old Style" w:hAnsi="Bookman Old Style"/>
                <w:spacing w:val="-3"/>
                <w:sz w:val="18"/>
                <w:szCs w:val="18"/>
              </w:rPr>
              <w:t xml:space="preserve"> adicional </w:t>
            </w:r>
          </w:p>
        </w:tc>
        <w:tc>
          <w:tcPr>
            <w:tcW w:w="2140" w:type="dxa"/>
            <w:tcBorders>
              <w:top w:val="nil"/>
              <w:left w:val="nil"/>
              <w:bottom w:val="single" w:sz="4" w:space="0" w:color="auto"/>
              <w:right w:val="single" w:sz="4" w:space="0" w:color="auto"/>
            </w:tcBorders>
            <w:shd w:val="clear" w:color="auto" w:fill="auto"/>
            <w:vAlign w:val="center"/>
            <w:hideMark/>
          </w:tcPr>
          <w:p w:rsidR="0061656E" w:rsidRPr="003C4D20" w:rsidRDefault="0061656E" w:rsidP="000C02B9">
            <w:pPr>
              <w:rPr>
                <w:rFonts w:ascii="Bookman Old Style" w:hAnsi="Bookman Old Style"/>
                <w:spacing w:val="-3"/>
                <w:sz w:val="18"/>
                <w:szCs w:val="18"/>
              </w:rPr>
            </w:pPr>
            <w:r w:rsidRPr="003C4D20">
              <w:rPr>
                <w:rFonts w:ascii="Bookman Old Style" w:hAnsi="Bookman Old Style"/>
                <w:spacing w:val="-3"/>
                <w:sz w:val="18"/>
                <w:szCs w:val="18"/>
              </w:rPr>
              <w:t>0,00011200</w:t>
            </w:r>
          </w:p>
        </w:tc>
      </w:tr>
    </w:tbl>
    <w:p w:rsidR="0061656E" w:rsidRPr="003C4D20" w:rsidRDefault="0061656E" w:rsidP="0061656E">
      <w:pPr>
        <w:pStyle w:val="Prrafodelista"/>
        <w:ind w:left="0"/>
        <w:jc w:val="both"/>
        <w:rPr>
          <w:rFonts w:ascii="Bookman Old Style" w:hAnsi="Bookman Old Style"/>
          <w:i/>
          <w:sz w:val="18"/>
          <w:szCs w:val="18"/>
          <w:highlight w:val="yellow"/>
        </w:rPr>
      </w:pPr>
    </w:p>
    <w:tbl>
      <w:tblPr>
        <w:tblW w:w="8217" w:type="dxa"/>
        <w:jc w:val="center"/>
        <w:tblCellMar>
          <w:left w:w="70" w:type="dxa"/>
          <w:right w:w="70" w:type="dxa"/>
        </w:tblCellMar>
        <w:tblLook w:val="04A0" w:firstRow="1" w:lastRow="0" w:firstColumn="1" w:lastColumn="0" w:noHBand="0" w:noVBand="1"/>
      </w:tblPr>
      <w:tblGrid>
        <w:gridCol w:w="3320"/>
        <w:gridCol w:w="2345"/>
        <w:gridCol w:w="2552"/>
      </w:tblGrid>
      <w:tr w:rsidR="0061656E" w:rsidRPr="003C4D20" w:rsidTr="000C02B9">
        <w:trPr>
          <w:trHeight w:val="450"/>
          <w:jc w:val="center"/>
        </w:trPr>
        <w:tc>
          <w:tcPr>
            <w:tcW w:w="3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656E" w:rsidRPr="003C4D20" w:rsidRDefault="0061656E" w:rsidP="000C02B9">
            <w:pPr>
              <w:jc w:val="center"/>
              <w:rPr>
                <w:rFonts w:ascii="Bookman Old Style" w:hAnsi="Bookman Old Style"/>
                <w:b/>
                <w:spacing w:val="-3"/>
                <w:sz w:val="18"/>
                <w:szCs w:val="18"/>
              </w:rPr>
            </w:pPr>
            <w:r w:rsidRPr="003C4D20">
              <w:rPr>
                <w:rFonts w:ascii="Bookman Old Style" w:hAnsi="Bookman Old Style"/>
                <w:b/>
                <w:spacing w:val="-3"/>
                <w:sz w:val="18"/>
                <w:szCs w:val="18"/>
              </w:rPr>
              <w:t>Gasto de administración (-) Impuestos, Tasa y contribuciones</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rsidR="0061656E" w:rsidRPr="003C4D20" w:rsidRDefault="0061656E" w:rsidP="000C02B9">
            <w:pPr>
              <w:rPr>
                <w:rFonts w:ascii="Bookman Old Style" w:hAnsi="Bookman Old Style"/>
                <w:b/>
                <w:spacing w:val="-3"/>
                <w:sz w:val="18"/>
                <w:szCs w:val="18"/>
              </w:rPr>
            </w:pPr>
            <w:r w:rsidRPr="003C4D20">
              <w:rPr>
                <w:rFonts w:ascii="Bookman Old Style" w:hAnsi="Bookman Old Style"/>
                <w:b/>
                <w:spacing w:val="-3"/>
                <w:sz w:val="18"/>
                <w:szCs w:val="18"/>
              </w:rPr>
              <w:t>Base adicional (Clase 7)</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61656E" w:rsidRPr="003C4D20" w:rsidRDefault="0061656E" w:rsidP="000C02B9">
            <w:pPr>
              <w:rPr>
                <w:rFonts w:ascii="Bookman Old Style" w:hAnsi="Bookman Old Style"/>
                <w:b/>
                <w:spacing w:val="-3"/>
                <w:sz w:val="18"/>
                <w:szCs w:val="18"/>
              </w:rPr>
            </w:pPr>
            <w:r w:rsidRPr="003C4D20">
              <w:rPr>
                <w:rFonts w:ascii="Bookman Old Style" w:hAnsi="Bookman Old Style"/>
                <w:b/>
                <w:spacing w:val="-3"/>
                <w:sz w:val="18"/>
                <w:szCs w:val="18"/>
              </w:rPr>
              <w:t>Total Base</w:t>
            </w:r>
          </w:p>
        </w:tc>
      </w:tr>
      <w:tr w:rsidR="0061656E" w:rsidRPr="003C4D20" w:rsidTr="000C02B9">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61656E" w:rsidRPr="003C4D20" w:rsidRDefault="0061656E" w:rsidP="000C02B9">
            <w:pPr>
              <w:jc w:val="right"/>
              <w:rPr>
                <w:rFonts w:ascii="Bookman Old Style" w:hAnsi="Bookman Old Style"/>
                <w:spacing w:val="-3"/>
                <w:sz w:val="18"/>
                <w:szCs w:val="18"/>
              </w:rPr>
            </w:pPr>
            <w:r w:rsidRPr="003C4D20">
              <w:rPr>
                <w:rFonts w:ascii="Bookman Old Style" w:hAnsi="Bookman Old Style"/>
                <w:spacing w:val="-3"/>
                <w:sz w:val="18"/>
                <w:szCs w:val="18"/>
              </w:rPr>
              <w:t>2.099.732.143.185</w:t>
            </w:r>
          </w:p>
        </w:tc>
        <w:tc>
          <w:tcPr>
            <w:tcW w:w="2345" w:type="dxa"/>
            <w:tcBorders>
              <w:top w:val="nil"/>
              <w:left w:val="nil"/>
              <w:bottom w:val="single" w:sz="4" w:space="0" w:color="auto"/>
              <w:right w:val="single" w:sz="4" w:space="0" w:color="auto"/>
            </w:tcBorders>
            <w:shd w:val="clear" w:color="auto" w:fill="auto"/>
            <w:vAlign w:val="center"/>
            <w:hideMark/>
          </w:tcPr>
          <w:p w:rsidR="0061656E" w:rsidRPr="003C4D20" w:rsidRDefault="0061656E" w:rsidP="000C02B9">
            <w:pPr>
              <w:rPr>
                <w:rFonts w:ascii="Bookman Old Style" w:hAnsi="Bookman Old Style"/>
                <w:spacing w:val="-3"/>
                <w:sz w:val="18"/>
                <w:szCs w:val="18"/>
              </w:rPr>
            </w:pPr>
            <w:r w:rsidRPr="003C4D20">
              <w:rPr>
                <w:rFonts w:ascii="Bookman Old Style" w:hAnsi="Bookman Old Style"/>
                <w:spacing w:val="-3"/>
                <w:sz w:val="18"/>
                <w:szCs w:val="18"/>
              </w:rPr>
              <w:t>121.542.556.820</w:t>
            </w:r>
          </w:p>
        </w:tc>
        <w:tc>
          <w:tcPr>
            <w:tcW w:w="2552" w:type="dxa"/>
            <w:tcBorders>
              <w:top w:val="nil"/>
              <w:left w:val="nil"/>
              <w:bottom w:val="single" w:sz="4" w:space="0" w:color="auto"/>
              <w:right w:val="single" w:sz="4" w:space="0" w:color="auto"/>
            </w:tcBorders>
            <w:shd w:val="clear" w:color="auto" w:fill="auto"/>
            <w:vAlign w:val="center"/>
            <w:hideMark/>
          </w:tcPr>
          <w:p w:rsidR="0061656E" w:rsidRPr="003C4D20" w:rsidRDefault="0061656E" w:rsidP="000C02B9">
            <w:pPr>
              <w:rPr>
                <w:rFonts w:ascii="Bookman Old Style" w:hAnsi="Bookman Old Style"/>
                <w:spacing w:val="-3"/>
                <w:sz w:val="18"/>
                <w:szCs w:val="18"/>
              </w:rPr>
            </w:pPr>
            <w:r w:rsidRPr="003C4D20">
              <w:rPr>
                <w:rFonts w:ascii="Bookman Old Style" w:hAnsi="Bookman Old Style"/>
                <w:spacing w:val="-3"/>
                <w:sz w:val="18"/>
                <w:szCs w:val="18"/>
              </w:rPr>
              <w:t>2.221.274.700.005</w:t>
            </w:r>
          </w:p>
        </w:tc>
      </w:tr>
    </w:tbl>
    <w:p w:rsidR="0061656E" w:rsidRPr="003C4D20" w:rsidRDefault="0061656E" w:rsidP="0061656E">
      <w:pPr>
        <w:pStyle w:val="Prrafodelista"/>
        <w:ind w:left="0"/>
        <w:jc w:val="both"/>
        <w:rPr>
          <w:rFonts w:ascii="Bookman Old Style" w:hAnsi="Bookman Old Style"/>
          <w:i/>
          <w:sz w:val="24"/>
          <w:szCs w:val="24"/>
          <w:highlight w:val="yellow"/>
        </w:rPr>
      </w:pPr>
    </w:p>
    <w:p w:rsidR="0061656E" w:rsidRPr="003C4D20" w:rsidRDefault="0061656E" w:rsidP="0061656E">
      <w:pPr>
        <w:pStyle w:val="Prrafodelista"/>
        <w:ind w:left="0"/>
        <w:jc w:val="both"/>
        <w:rPr>
          <w:rFonts w:ascii="Bookman Old Style" w:hAnsi="Bookman Old Style"/>
          <w:spacing w:val="-3"/>
          <w:sz w:val="24"/>
          <w:szCs w:val="24"/>
          <w:lang w:val="es-ES"/>
        </w:rPr>
      </w:pPr>
      <w:r w:rsidRPr="003C4D20">
        <w:rPr>
          <w:rFonts w:ascii="Bookman Old Style" w:hAnsi="Bookman Old Style"/>
          <w:spacing w:val="-3"/>
          <w:sz w:val="24"/>
          <w:szCs w:val="24"/>
          <w:lang w:val="es-ES"/>
        </w:rPr>
        <w:t>La contribución que le corresponde pagar a cada entidad del subsector regulado fue liquidada mediante Resolución administrativa N° 139 del 23 de noviembre de 2018 con base en los factores expuestos, los cuales están explícitos en el documento CREG 105 de 2018, publicado como anexo de la citada resolución.</w:t>
      </w:r>
    </w:p>
    <w:p w:rsidR="0061656E" w:rsidRDefault="0061656E" w:rsidP="0061656E">
      <w:pPr>
        <w:pStyle w:val="Prrafodelista"/>
        <w:ind w:left="0"/>
        <w:jc w:val="both"/>
        <w:rPr>
          <w:rFonts w:ascii="Bookman Old Style" w:hAnsi="Bookman Old Style"/>
          <w:spacing w:val="-3"/>
          <w:sz w:val="24"/>
          <w:szCs w:val="24"/>
          <w:lang w:val="es-ES"/>
        </w:rPr>
      </w:pPr>
    </w:p>
    <w:p w:rsidR="003C4D20" w:rsidRPr="003C4D20" w:rsidRDefault="003C4D20" w:rsidP="003C4D20">
      <w:pPr>
        <w:jc w:val="both"/>
        <w:rPr>
          <w:rFonts w:ascii="Bookman Old Style" w:hAnsi="Bookman Old Style"/>
          <w:spacing w:val="-3"/>
          <w:sz w:val="24"/>
          <w:szCs w:val="24"/>
        </w:rPr>
      </w:pPr>
      <w:r w:rsidRPr="003C4D20">
        <w:rPr>
          <w:rFonts w:ascii="Bookman Old Style" w:hAnsi="Bookman Old Style"/>
          <w:spacing w:val="-3"/>
          <w:sz w:val="24"/>
          <w:szCs w:val="24"/>
        </w:rPr>
        <w:t>Igualmente, el artículo 5 de la resolución 138 “Por la cual se señala el porcentaje de la contribución que deben pagar las entidades sometidas a la regulación de la Comisión de Regulación de Energía y Gas en el año 2018, y se dictan otras disposiciones” se estableció que:</w:t>
      </w:r>
    </w:p>
    <w:p w:rsidR="003C4D20" w:rsidRPr="003C4D20" w:rsidRDefault="003C4D20" w:rsidP="003C4D20">
      <w:pPr>
        <w:jc w:val="both"/>
        <w:rPr>
          <w:rFonts w:ascii="Bookman Old Style" w:hAnsi="Bookman Old Style"/>
          <w:i/>
          <w:spacing w:val="-3"/>
          <w:sz w:val="24"/>
          <w:szCs w:val="24"/>
        </w:rPr>
      </w:pPr>
      <w:r w:rsidRPr="003C4D20">
        <w:rPr>
          <w:rFonts w:ascii="Bookman Old Style" w:hAnsi="Bookman Old Style"/>
          <w:i/>
          <w:spacing w:val="-3"/>
          <w:sz w:val="24"/>
          <w:szCs w:val="24"/>
        </w:rPr>
        <w:t xml:space="preserve">ARTÍCULO 5. El monto total de la contribución que deben pagar las entidades sujetas a regulación de la Comisión de Regulación de Energía y Gas, en el año 2018, es del 1% del valor de los gastos de funcionamiento y </w:t>
      </w:r>
      <w:r w:rsidRPr="003C4D20">
        <w:rPr>
          <w:rFonts w:ascii="Bookman Old Style" w:hAnsi="Bookman Old Style"/>
          <w:i/>
          <w:spacing w:val="-3"/>
          <w:sz w:val="24"/>
          <w:szCs w:val="24"/>
          <w:u w:val="single"/>
        </w:rPr>
        <w:t>costos de la entidad sujeta a regulación</w:t>
      </w:r>
      <w:r w:rsidRPr="003C4D20">
        <w:rPr>
          <w:rFonts w:ascii="Bookman Old Style" w:hAnsi="Bookman Old Style"/>
          <w:i/>
          <w:spacing w:val="-3"/>
          <w:sz w:val="24"/>
          <w:szCs w:val="24"/>
        </w:rPr>
        <w:t>, con exclusión de los factores establecidos en la ley y en la jurisprudencia del Consejo de Estado. El monto correspondiente a cada entidad será determinado con base en los estados financieros correspondientes al año 2017, como lo ordenan las normas vigentes. (Subrayado fuera del texto original)</w:t>
      </w:r>
    </w:p>
    <w:p w:rsidR="0061656E" w:rsidRPr="003C4D20" w:rsidRDefault="0061656E" w:rsidP="0061656E">
      <w:pPr>
        <w:pStyle w:val="Prrafodelista"/>
        <w:ind w:left="0"/>
        <w:jc w:val="both"/>
        <w:rPr>
          <w:rFonts w:ascii="Bookman Old Style" w:hAnsi="Bookman Old Style"/>
          <w:spacing w:val="-3"/>
          <w:sz w:val="24"/>
          <w:szCs w:val="24"/>
          <w:lang w:val="es-ES"/>
        </w:rPr>
      </w:pPr>
      <w:r w:rsidRPr="003C4D20">
        <w:rPr>
          <w:rFonts w:ascii="Bookman Old Style" w:hAnsi="Bookman Old Style"/>
          <w:spacing w:val="-3"/>
          <w:sz w:val="24"/>
          <w:szCs w:val="24"/>
          <w:lang w:val="es-ES"/>
        </w:rPr>
        <w:lastRenderedPageBreak/>
        <w:t>Por los motivos anteriormente expuestos, no se observan circunstancias de derecho que ameriten el cambio de la decisión planteada inicialmente por la administración, razón por la cual se procederá a confirmar la decisión adoptada mediante resolución 139 de 2018.</w:t>
      </w:r>
    </w:p>
    <w:p w:rsidR="0061656E" w:rsidRPr="003C4D20" w:rsidRDefault="0061656E" w:rsidP="0061656E">
      <w:pPr>
        <w:pStyle w:val="Prrafodelista"/>
        <w:ind w:left="0"/>
        <w:jc w:val="both"/>
        <w:rPr>
          <w:rFonts w:ascii="Bookman Old Style" w:hAnsi="Bookman Old Style"/>
          <w:i/>
          <w:sz w:val="24"/>
          <w:szCs w:val="24"/>
          <w:highlight w:val="yellow"/>
        </w:rPr>
      </w:pPr>
    </w:p>
    <w:p w:rsidR="0061656E" w:rsidRPr="003C4D20" w:rsidRDefault="0061656E" w:rsidP="0061656E">
      <w:pPr>
        <w:jc w:val="both"/>
        <w:rPr>
          <w:rFonts w:ascii="Bookman Old Style" w:hAnsi="Bookman Old Style"/>
          <w:sz w:val="24"/>
          <w:szCs w:val="24"/>
        </w:rPr>
      </w:pPr>
      <w:r w:rsidRPr="003C4D20">
        <w:rPr>
          <w:rFonts w:ascii="Bookman Old Style" w:hAnsi="Bookman Old Style"/>
          <w:sz w:val="24"/>
          <w:szCs w:val="24"/>
        </w:rPr>
        <w:t>La Comisi</w:t>
      </w:r>
      <w:r w:rsidR="000E3C98">
        <w:rPr>
          <w:rFonts w:ascii="Bookman Old Style" w:hAnsi="Bookman Old Style"/>
          <w:sz w:val="24"/>
          <w:szCs w:val="24"/>
        </w:rPr>
        <w:t>ón, en la sesión CREG 960 del 27</w:t>
      </w:r>
      <w:r w:rsidRPr="003C4D20">
        <w:rPr>
          <w:rFonts w:ascii="Bookman Old Style" w:hAnsi="Bookman Old Style"/>
          <w:sz w:val="24"/>
          <w:szCs w:val="24"/>
        </w:rPr>
        <w:t xml:space="preserve"> de noviembre de 2019, aprobó la presente resolución.</w:t>
      </w:r>
    </w:p>
    <w:p w:rsidR="0061656E" w:rsidRPr="003C4D20" w:rsidRDefault="0061656E" w:rsidP="000E3C98">
      <w:pPr>
        <w:spacing w:after="0"/>
        <w:rPr>
          <w:rFonts w:ascii="Bookman Old Style" w:hAnsi="Bookman Old Style"/>
          <w:spacing w:val="-3"/>
          <w:sz w:val="24"/>
          <w:szCs w:val="24"/>
        </w:rPr>
      </w:pPr>
      <w:r w:rsidRPr="003C4D20">
        <w:rPr>
          <w:rFonts w:ascii="Bookman Old Style" w:hAnsi="Bookman Old Style"/>
          <w:spacing w:val="-3"/>
          <w:sz w:val="24"/>
          <w:szCs w:val="24"/>
        </w:rPr>
        <w:t>Por las razones expuestas, la Comisión de Regulación de Energía y Gas, CREG,</w:t>
      </w:r>
    </w:p>
    <w:p w:rsidR="0061656E" w:rsidRPr="003C4D20" w:rsidRDefault="0061656E" w:rsidP="0061656E">
      <w:pPr>
        <w:tabs>
          <w:tab w:val="center" w:pos="4512"/>
        </w:tabs>
        <w:suppressAutoHyphens/>
        <w:jc w:val="both"/>
        <w:rPr>
          <w:rFonts w:ascii="Bookman Old Style" w:hAnsi="Bookman Old Style"/>
          <w:b/>
          <w:spacing w:val="-3"/>
          <w:sz w:val="24"/>
          <w:szCs w:val="24"/>
        </w:rPr>
      </w:pPr>
    </w:p>
    <w:p w:rsidR="0061656E" w:rsidRPr="003C4D20" w:rsidRDefault="0061656E" w:rsidP="000E3C98">
      <w:pPr>
        <w:tabs>
          <w:tab w:val="center" w:pos="4512"/>
        </w:tabs>
        <w:suppressAutoHyphens/>
        <w:spacing w:after="0"/>
        <w:ind w:left="170"/>
        <w:jc w:val="center"/>
        <w:rPr>
          <w:rFonts w:ascii="Bookman Old Style" w:hAnsi="Bookman Old Style"/>
          <w:b/>
          <w:spacing w:val="-3"/>
          <w:sz w:val="24"/>
          <w:szCs w:val="24"/>
        </w:rPr>
      </w:pPr>
      <w:r w:rsidRPr="003C4D20">
        <w:rPr>
          <w:rFonts w:ascii="Bookman Old Style" w:hAnsi="Bookman Old Style"/>
          <w:b/>
          <w:spacing w:val="-3"/>
          <w:sz w:val="24"/>
          <w:szCs w:val="24"/>
        </w:rPr>
        <w:t>R E S U E L V E:</w:t>
      </w:r>
    </w:p>
    <w:p w:rsidR="0061656E" w:rsidRPr="003C4D20" w:rsidRDefault="0061656E" w:rsidP="0061656E">
      <w:pPr>
        <w:jc w:val="both"/>
        <w:rPr>
          <w:rFonts w:ascii="Bookman Old Style" w:hAnsi="Bookman Old Style"/>
          <w:b/>
          <w:sz w:val="24"/>
          <w:szCs w:val="24"/>
        </w:rPr>
      </w:pPr>
    </w:p>
    <w:p w:rsidR="0061656E" w:rsidRPr="003C4D20" w:rsidRDefault="0061656E" w:rsidP="000E3C98">
      <w:pPr>
        <w:spacing w:after="0"/>
        <w:jc w:val="both"/>
        <w:rPr>
          <w:rFonts w:ascii="Bookman Old Style" w:hAnsi="Bookman Old Style"/>
          <w:sz w:val="24"/>
          <w:szCs w:val="24"/>
        </w:rPr>
      </w:pPr>
      <w:r w:rsidRPr="003C4D20">
        <w:rPr>
          <w:rFonts w:ascii="Bookman Old Style" w:hAnsi="Bookman Old Style"/>
          <w:b/>
          <w:sz w:val="24"/>
          <w:szCs w:val="24"/>
        </w:rPr>
        <w:t>ARTÍCULO 1.</w:t>
      </w:r>
      <w:r w:rsidRPr="003C4D20">
        <w:rPr>
          <w:rFonts w:ascii="Bookman Old Style" w:hAnsi="Bookman Old Style"/>
          <w:sz w:val="24"/>
          <w:szCs w:val="24"/>
        </w:rPr>
        <w:t xml:space="preserve"> </w:t>
      </w:r>
      <w:r w:rsidRPr="003C4D20">
        <w:rPr>
          <w:rFonts w:ascii="Bookman Old Style" w:hAnsi="Bookman Old Style"/>
          <w:b/>
          <w:sz w:val="24"/>
          <w:szCs w:val="24"/>
        </w:rPr>
        <w:t xml:space="preserve">CONFIRMAR </w:t>
      </w:r>
      <w:r w:rsidRPr="003C4D20">
        <w:rPr>
          <w:rFonts w:ascii="Bookman Old Style" w:hAnsi="Bookman Old Style"/>
          <w:sz w:val="24"/>
          <w:szCs w:val="24"/>
        </w:rPr>
        <w:t>el artículo primero de la Resolución CREG 139 de 2018, en la cual se señala la base gravable y el valor a pagar por la SHONA ENERGY COLOMBIA LIMITED.,</w:t>
      </w:r>
      <w:r w:rsidR="0010147A" w:rsidRPr="003C4D20">
        <w:rPr>
          <w:rFonts w:ascii="Bookman Old Style" w:hAnsi="Bookman Old Style"/>
          <w:sz w:val="24"/>
          <w:szCs w:val="24"/>
        </w:rPr>
        <w:t xml:space="preserve"> </w:t>
      </w:r>
      <w:r w:rsidRPr="003C4D20">
        <w:rPr>
          <w:rFonts w:ascii="Bookman Old Style" w:hAnsi="Bookman Old Style"/>
          <w:sz w:val="24"/>
          <w:szCs w:val="24"/>
        </w:rPr>
        <w:t>con fundamento en las razones expuestas en la parte motiva de este proveído.</w:t>
      </w:r>
    </w:p>
    <w:p w:rsidR="0061656E" w:rsidRPr="003C4D20" w:rsidRDefault="0061656E" w:rsidP="000E3C98">
      <w:pPr>
        <w:spacing w:after="0"/>
        <w:jc w:val="both"/>
        <w:rPr>
          <w:rFonts w:ascii="Bookman Old Style" w:hAnsi="Bookman Old Style"/>
          <w:bCs/>
          <w:sz w:val="24"/>
          <w:szCs w:val="24"/>
        </w:rPr>
      </w:pPr>
    </w:p>
    <w:p w:rsidR="0061656E" w:rsidRPr="003C4D20" w:rsidRDefault="0061656E" w:rsidP="000E3C98">
      <w:pPr>
        <w:spacing w:after="0"/>
        <w:jc w:val="both"/>
        <w:rPr>
          <w:rFonts w:ascii="Bookman Old Style" w:hAnsi="Bookman Old Style"/>
          <w:sz w:val="24"/>
          <w:szCs w:val="24"/>
        </w:rPr>
      </w:pPr>
      <w:r w:rsidRPr="003C4D20">
        <w:rPr>
          <w:rFonts w:ascii="Bookman Old Style" w:hAnsi="Bookman Old Style"/>
          <w:b/>
          <w:sz w:val="24"/>
          <w:szCs w:val="24"/>
        </w:rPr>
        <w:t>ARTÍCULO 2.</w:t>
      </w:r>
      <w:r w:rsidRPr="003C4D20">
        <w:rPr>
          <w:rFonts w:ascii="Bookman Old Style" w:hAnsi="Bookman Old Style"/>
          <w:sz w:val="24"/>
          <w:szCs w:val="24"/>
        </w:rPr>
        <w:t xml:space="preserve"> </w:t>
      </w:r>
      <w:r w:rsidRPr="003C4D20">
        <w:rPr>
          <w:rFonts w:ascii="Bookman Old Style" w:hAnsi="Bookman Old Style"/>
          <w:sz w:val="24"/>
          <w:szCs w:val="24"/>
        </w:rPr>
        <w:tab/>
      </w:r>
      <w:r w:rsidRPr="003C4D20">
        <w:rPr>
          <w:rFonts w:ascii="Bookman Old Style" w:hAnsi="Bookman Old Style"/>
          <w:b/>
          <w:sz w:val="24"/>
          <w:szCs w:val="24"/>
        </w:rPr>
        <w:t xml:space="preserve">INFORMAR </w:t>
      </w:r>
      <w:r w:rsidRPr="003C4D20">
        <w:rPr>
          <w:rFonts w:ascii="Bookman Old Style" w:hAnsi="Bookman Old Style"/>
          <w:sz w:val="24"/>
          <w:szCs w:val="24"/>
        </w:rPr>
        <w:t>a quien corresponda el contenido de la presente resolución para que efectué los ajustes contables necesarios y se realice el cobro de la resolución 139 de 2018.</w:t>
      </w:r>
    </w:p>
    <w:p w:rsidR="0061656E" w:rsidRPr="003C4D20" w:rsidRDefault="0061656E" w:rsidP="000E3C98">
      <w:pPr>
        <w:spacing w:after="0"/>
        <w:jc w:val="both"/>
        <w:rPr>
          <w:rFonts w:ascii="Bookman Old Style" w:hAnsi="Bookman Old Style" w:cs="Arial"/>
          <w:color w:val="000000"/>
          <w:sz w:val="24"/>
          <w:szCs w:val="24"/>
        </w:rPr>
      </w:pPr>
    </w:p>
    <w:p w:rsidR="0061656E" w:rsidRPr="003C4D20" w:rsidRDefault="0061656E" w:rsidP="000E3C98">
      <w:pPr>
        <w:spacing w:after="0"/>
        <w:jc w:val="both"/>
        <w:rPr>
          <w:rFonts w:ascii="Bookman Old Style" w:hAnsi="Bookman Old Style" w:cs="Arial"/>
          <w:sz w:val="24"/>
          <w:szCs w:val="24"/>
        </w:rPr>
      </w:pPr>
      <w:r w:rsidRPr="003C4D20">
        <w:rPr>
          <w:rFonts w:ascii="Bookman Old Style" w:hAnsi="Bookman Old Style"/>
          <w:b/>
          <w:sz w:val="24"/>
          <w:szCs w:val="24"/>
        </w:rPr>
        <w:t xml:space="preserve">ARTÍCULO 3. NOTIFICAR </w:t>
      </w:r>
      <w:r w:rsidRPr="003C4D20">
        <w:rPr>
          <w:rFonts w:ascii="Bookman Old Style" w:hAnsi="Bookman Old Style"/>
          <w:sz w:val="24"/>
          <w:szCs w:val="24"/>
        </w:rPr>
        <w:t>al representante legal de la SHONA ENERGY COLOMBIA LIMITED.,</w:t>
      </w:r>
      <w:r w:rsidR="0010147A" w:rsidRPr="003C4D20">
        <w:rPr>
          <w:rFonts w:ascii="Bookman Old Style" w:hAnsi="Bookman Old Style"/>
          <w:sz w:val="24"/>
          <w:szCs w:val="24"/>
        </w:rPr>
        <w:t xml:space="preserve"> </w:t>
      </w:r>
      <w:r w:rsidRPr="003C4D20">
        <w:rPr>
          <w:rFonts w:ascii="Bookman Old Style" w:hAnsi="Bookman Old Style" w:cs="Arial"/>
          <w:sz w:val="24"/>
          <w:szCs w:val="24"/>
        </w:rPr>
        <w:t xml:space="preserve">el contenido de la presente resolución, conforme con lo establecido en los artículos 67 y </w:t>
      </w:r>
      <w:proofErr w:type="spellStart"/>
      <w:r w:rsidRPr="003C4D20">
        <w:rPr>
          <w:rFonts w:ascii="Bookman Old Style" w:hAnsi="Bookman Old Style" w:cs="Arial"/>
          <w:sz w:val="24"/>
          <w:szCs w:val="24"/>
        </w:rPr>
        <w:t>ss</w:t>
      </w:r>
      <w:proofErr w:type="spellEnd"/>
      <w:r w:rsidRPr="003C4D20">
        <w:rPr>
          <w:rFonts w:ascii="Bookman Old Style" w:hAnsi="Bookman Old Style" w:cs="Arial"/>
          <w:sz w:val="24"/>
          <w:szCs w:val="24"/>
        </w:rPr>
        <w:t xml:space="preserve"> del Código de Procedimiento Administrativo y de lo Contencioso Administrativo. </w:t>
      </w:r>
    </w:p>
    <w:p w:rsidR="0061656E" w:rsidRPr="003C4D20" w:rsidRDefault="0061656E" w:rsidP="000E3C98">
      <w:pPr>
        <w:spacing w:after="0"/>
        <w:ind w:left="170"/>
        <w:jc w:val="both"/>
        <w:rPr>
          <w:rFonts w:ascii="Bookman Old Style" w:hAnsi="Bookman Old Style" w:cs="Arial"/>
          <w:sz w:val="24"/>
          <w:szCs w:val="24"/>
        </w:rPr>
      </w:pPr>
    </w:p>
    <w:p w:rsidR="0061656E" w:rsidRPr="003C4D20" w:rsidRDefault="0061656E" w:rsidP="000E3C98">
      <w:pPr>
        <w:spacing w:after="0"/>
        <w:jc w:val="both"/>
        <w:rPr>
          <w:rFonts w:ascii="Bookman Old Style" w:hAnsi="Bookman Old Style"/>
          <w:sz w:val="24"/>
          <w:szCs w:val="24"/>
        </w:rPr>
      </w:pPr>
      <w:r w:rsidRPr="003C4D20">
        <w:rPr>
          <w:rFonts w:ascii="Bookman Old Style" w:hAnsi="Bookman Old Style"/>
          <w:b/>
          <w:sz w:val="24"/>
          <w:szCs w:val="24"/>
        </w:rPr>
        <w:t xml:space="preserve">ARTÍCULO 4. </w:t>
      </w:r>
      <w:r w:rsidRPr="003C4D20">
        <w:rPr>
          <w:rFonts w:ascii="Bookman Old Style" w:hAnsi="Bookman Old Style"/>
          <w:sz w:val="24"/>
          <w:szCs w:val="24"/>
        </w:rPr>
        <w:t>Contra la presente resolución no procede recurso alguno, quedando por lo tanto agotada la vía gubernativa.</w:t>
      </w:r>
    </w:p>
    <w:p w:rsidR="0061656E" w:rsidRPr="003C4D20" w:rsidRDefault="0061656E" w:rsidP="0061656E">
      <w:pPr>
        <w:jc w:val="both"/>
        <w:rPr>
          <w:rFonts w:ascii="Bookman Old Style" w:hAnsi="Bookman Old Style" w:cs="Arial"/>
          <w:sz w:val="24"/>
          <w:szCs w:val="24"/>
        </w:rPr>
      </w:pPr>
    </w:p>
    <w:p w:rsidR="0061656E" w:rsidRPr="003C4D20" w:rsidRDefault="0061656E" w:rsidP="0061656E">
      <w:pPr>
        <w:jc w:val="center"/>
        <w:rPr>
          <w:rFonts w:ascii="Bookman Old Style" w:hAnsi="Bookman Old Style" w:cs="Arial"/>
          <w:b/>
          <w:sz w:val="24"/>
          <w:szCs w:val="24"/>
        </w:rPr>
      </w:pPr>
      <w:r w:rsidRPr="003C4D20">
        <w:rPr>
          <w:rFonts w:ascii="Bookman Old Style" w:hAnsi="Bookman Old Style" w:cs="Arial"/>
          <w:b/>
          <w:sz w:val="24"/>
          <w:szCs w:val="24"/>
        </w:rPr>
        <w:t>NOTIFÍQUESE Y CÚMPLASE</w:t>
      </w:r>
    </w:p>
    <w:p w:rsidR="0061656E" w:rsidRPr="003C4D20" w:rsidRDefault="0061656E" w:rsidP="0061656E">
      <w:pPr>
        <w:rPr>
          <w:rFonts w:ascii="Bookman Old Style" w:hAnsi="Bookman Old Style" w:cs="Arial"/>
          <w:sz w:val="24"/>
          <w:szCs w:val="24"/>
        </w:rPr>
      </w:pPr>
      <w:r w:rsidRPr="003C4D20">
        <w:rPr>
          <w:rFonts w:ascii="Bookman Old Style" w:hAnsi="Bookman Old Style" w:cs="Arial"/>
          <w:sz w:val="24"/>
          <w:szCs w:val="24"/>
        </w:rPr>
        <w:t xml:space="preserve">Dada en Bogotá D.C, a </w:t>
      </w:r>
    </w:p>
    <w:p w:rsidR="0061656E" w:rsidRDefault="0061656E" w:rsidP="0061656E">
      <w:pPr>
        <w:jc w:val="both"/>
        <w:rPr>
          <w:rFonts w:ascii="Bookman Old Style" w:hAnsi="Bookman Old Style" w:cs="Arial"/>
          <w:b/>
          <w:sz w:val="24"/>
          <w:szCs w:val="24"/>
        </w:rPr>
      </w:pPr>
    </w:p>
    <w:p w:rsidR="000E3C98" w:rsidRPr="003C4D20" w:rsidRDefault="000E3C98" w:rsidP="0061656E">
      <w:pPr>
        <w:jc w:val="both"/>
        <w:rPr>
          <w:rFonts w:ascii="Bookman Old Style" w:hAnsi="Bookman Old Style" w:cs="Arial"/>
          <w:b/>
          <w:sz w:val="24"/>
          <w:szCs w:val="24"/>
        </w:rPr>
      </w:pP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0E3C98" w:rsidRPr="006149A8" w:rsidTr="00BE0B07">
        <w:trPr>
          <w:tblCellSpacing w:w="0" w:type="dxa"/>
          <w:jc w:val="center"/>
        </w:trPr>
        <w:tc>
          <w:tcPr>
            <w:tcW w:w="5033" w:type="dxa"/>
          </w:tcPr>
          <w:p w:rsidR="000E3C98" w:rsidRPr="000E3C98" w:rsidRDefault="000E3C98" w:rsidP="000E3C98">
            <w:pPr>
              <w:spacing w:after="0" w:line="240" w:lineRule="auto"/>
              <w:ind w:left="66"/>
              <w:jc w:val="center"/>
              <w:rPr>
                <w:rFonts w:ascii="Bookman Old Style" w:hAnsi="Bookman Old Style" w:cs="Arial"/>
                <w:b/>
                <w:spacing w:val="-3"/>
                <w:sz w:val="24"/>
                <w:szCs w:val="24"/>
              </w:rPr>
            </w:pPr>
            <w:r w:rsidRPr="000E3C98">
              <w:rPr>
                <w:rFonts w:ascii="Bookman Old Style" w:hAnsi="Bookman Old Style" w:cs="Arial"/>
                <w:b/>
                <w:sz w:val="24"/>
                <w:szCs w:val="24"/>
              </w:rPr>
              <w:t>DIEGO MESA PUYO</w:t>
            </w:r>
          </w:p>
        </w:tc>
        <w:tc>
          <w:tcPr>
            <w:tcW w:w="4465" w:type="dxa"/>
          </w:tcPr>
          <w:p w:rsidR="000E3C98" w:rsidRPr="000E3C98" w:rsidRDefault="000E3C98" w:rsidP="000E3C98">
            <w:pPr>
              <w:spacing w:after="0" w:line="240" w:lineRule="auto"/>
              <w:ind w:left="89"/>
              <w:jc w:val="center"/>
              <w:rPr>
                <w:rFonts w:ascii="Bookman Old Style" w:hAnsi="Bookman Old Style" w:cs="Arial"/>
                <w:b/>
                <w:spacing w:val="-3"/>
                <w:sz w:val="24"/>
                <w:szCs w:val="24"/>
              </w:rPr>
            </w:pPr>
            <w:r w:rsidRPr="000E3C98">
              <w:rPr>
                <w:rFonts w:ascii="Bookman Old Style" w:hAnsi="Bookman Old Style" w:cs="Arial"/>
                <w:b/>
                <w:spacing w:val="-3"/>
                <w:sz w:val="24"/>
                <w:szCs w:val="24"/>
              </w:rPr>
              <w:t>CHRISTIAN JARAMILLO HERRERA</w:t>
            </w:r>
          </w:p>
        </w:tc>
      </w:tr>
      <w:tr w:rsidR="000E3C98" w:rsidRPr="006149A8" w:rsidTr="00BE0B07">
        <w:trPr>
          <w:tblCellSpacing w:w="0" w:type="dxa"/>
          <w:jc w:val="center"/>
        </w:trPr>
        <w:tc>
          <w:tcPr>
            <w:tcW w:w="5033" w:type="dxa"/>
            <w:hideMark/>
          </w:tcPr>
          <w:p w:rsidR="000E3C98" w:rsidRPr="000E3C98" w:rsidRDefault="000E3C98" w:rsidP="000E3C98">
            <w:pPr>
              <w:spacing w:after="0" w:line="240" w:lineRule="auto"/>
              <w:ind w:left="66"/>
              <w:jc w:val="center"/>
              <w:rPr>
                <w:rFonts w:ascii="Bookman Old Style" w:hAnsi="Bookman Old Style" w:cs="Arial"/>
                <w:spacing w:val="-3"/>
                <w:sz w:val="24"/>
                <w:szCs w:val="24"/>
              </w:rPr>
            </w:pPr>
            <w:r w:rsidRPr="000E3C98">
              <w:rPr>
                <w:rFonts w:ascii="Bookman Old Style" w:hAnsi="Bookman Old Style" w:cs="Arial"/>
                <w:spacing w:val="-3"/>
                <w:sz w:val="24"/>
                <w:szCs w:val="24"/>
              </w:rPr>
              <w:t>Viceministro de Energía</w:t>
            </w:r>
          </w:p>
          <w:p w:rsidR="000E3C98" w:rsidRPr="000E3C98" w:rsidRDefault="000E3C98" w:rsidP="000E3C98">
            <w:pPr>
              <w:spacing w:after="0" w:line="240" w:lineRule="auto"/>
              <w:ind w:left="66"/>
              <w:jc w:val="center"/>
              <w:rPr>
                <w:rFonts w:ascii="Bookman Old Style" w:eastAsia="Arial Unicode MS" w:hAnsi="Bookman Old Style" w:cs="Arial"/>
                <w:color w:val="000000"/>
                <w:sz w:val="24"/>
                <w:szCs w:val="24"/>
              </w:rPr>
            </w:pPr>
            <w:r w:rsidRPr="000E3C98">
              <w:rPr>
                <w:rFonts w:ascii="Bookman Old Style" w:hAnsi="Bookman Old Style" w:cs="Arial"/>
                <w:spacing w:val="-3"/>
                <w:sz w:val="24"/>
                <w:szCs w:val="24"/>
              </w:rPr>
              <w:t>Delegado de la Ministra de Minas y Energía</w:t>
            </w:r>
          </w:p>
        </w:tc>
        <w:tc>
          <w:tcPr>
            <w:tcW w:w="4465" w:type="dxa"/>
            <w:hideMark/>
          </w:tcPr>
          <w:p w:rsidR="000E3C98" w:rsidRPr="000E3C98" w:rsidRDefault="000E3C98" w:rsidP="000E3C98">
            <w:pPr>
              <w:spacing w:after="0" w:line="240" w:lineRule="auto"/>
              <w:jc w:val="center"/>
              <w:rPr>
                <w:rFonts w:ascii="Bookman Old Style" w:eastAsia="Arial Unicode MS" w:hAnsi="Bookman Old Style" w:cs="Arial"/>
                <w:color w:val="000000"/>
                <w:sz w:val="24"/>
                <w:szCs w:val="24"/>
              </w:rPr>
            </w:pPr>
            <w:r w:rsidRPr="000E3C98">
              <w:rPr>
                <w:rFonts w:ascii="Bookman Old Style" w:hAnsi="Bookman Old Style" w:cs="Arial"/>
                <w:spacing w:val="-3"/>
                <w:sz w:val="24"/>
                <w:szCs w:val="24"/>
              </w:rPr>
              <w:t>Director Ejecutivo</w:t>
            </w:r>
          </w:p>
        </w:tc>
      </w:tr>
      <w:tr w:rsidR="000E3C98" w:rsidRPr="006149A8" w:rsidTr="00BE0B07">
        <w:trPr>
          <w:tblCellSpacing w:w="0" w:type="dxa"/>
          <w:jc w:val="center"/>
        </w:trPr>
        <w:tc>
          <w:tcPr>
            <w:tcW w:w="5033" w:type="dxa"/>
            <w:hideMark/>
          </w:tcPr>
          <w:p w:rsidR="000E3C98" w:rsidRPr="000E3C98" w:rsidRDefault="000E3C98" w:rsidP="000E3C98">
            <w:pPr>
              <w:spacing w:after="0" w:line="240" w:lineRule="auto"/>
              <w:ind w:left="66"/>
              <w:jc w:val="center"/>
              <w:rPr>
                <w:rFonts w:ascii="Bookman Old Style" w:eastAsia="Arial Unicode MS" w:hAnsi="Bookman Old Style" w:cs="Arial"/>
                <w:color w:val="000000"/>
                <w:sz w:val="24"/>
                <w:szCs w:val="24"/>
              </w:rPr>
            </w:pPr>
            <w:r w:rsidRPr="000E3C98">
              <w:rPr>
                <w:rFonts w:ascii="Bookman Old Style" w:hAnsi="Bookman Old Style" w:cs="Arial"/>
                <w:spacing w:val="-3"/>
                <w:sz w:val="24"/>
                <w:szCs w:val="24"/>
              </w:rPr>
              <w:t>Presidente</w:t>
            </w:r>
          </w:p>
        </w:tc>
        <w:tc>
          <w:tcPr>
            <w:tcW w:w="4465" w:type="dxa"/>
          </w:tcPr>
          <w:p w:rsidR="000E3C98" w:rsidRPr="000E3C98" w:rsidRDefault="000E3C98" w:rsidP="000E3C98">
            <w:pPr>
              <w:spacing w:after="0" w:line="240" w:lineRule="auto"/>
              <w:jc w:val="center"/>
              <w:rPr>
                <w:rFonts w:ascii="Bookman Old Style" w:eastAsia="Arial Unicode MS" w:hAnsi="Bookman Old Style" w:cs="Arial"/>
                <w:color w:val="000000"/>
                <w:sz w:val="24"/>
                <w:szCs w:val="24"/>
              </w:rPr>
            </w:pPr>
          </w:p>
        </w:tc>
      </w:tr>
    </w:tbl>
    <w:p w:rsidR="000E3C98" w:rsidRPr="006149A8" w:rsidRDefault="000E3C98" w:rsidP="000E3C98">
      <w:pPr>
        <w:jc w:val="both"/>
        <w:rPr>
          <w:rFonts w:ascii="Bookman Old Style" w:hAnsi="Bookman Old Style"/>
          <w:b/>
        </w:rPr>
      </w:pPr>
    </w:p>
    <w:p w:rsidR="0061656E" w:rsidRPr="003C4D20" w:rsidRDefault="0061656E" w:rsidP="0061656E">
      <w:pPr>
        <w:rPr>
          <w:sz w:val="24"/>
          <w:szCs w:val="24"/>
        </w:rPr>
      </w:pPr>
    </w:p>
    <w:p w:rsidR="003C6F78" w:rsidRPr="003C4D20" w:rsidRDefault="003C6F78">
      <w:pPr>
        <w:rPr>
          <w:sz w:val="24"/>
          <w:szCs w:val="24"/>
        </w:rPr>
      </w:pPr>
    </w:p>
    <w:sectPr w:rsidR="003C6F78" w:rsidRPr="003C4D20" w:rsidSect="00337231">
      <w:headerReference w:type="default" r:id="rId10"/>
      <w:headerReference w:type="first" r:id="rId11"/>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059" w:rsidRDefault="00B56059" w:rsidP="0061656E">
      <w:pPr>
        <w:spacing w:after="0" w:line="240" w:lineRule="auto"/>
      </w:pPr>
      <w:r>
        <w:separator/>
      </w:r>
    </w:p>
  </w:endnote>
  <w:endnote w:type="continuationSeparator" w:id="0">
    <w:p w:rsidR="00B56059" w:rsidRDefault="00B56059" w:rsidP="00616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059" w:rsidRDefault="00B56059" w:rsidP="0061656E">
      <w:pPr>
        <w:spacing w:after="0" w:line="240" w:lineRule="auto"/>
      </w:pPr>
      <w:r>
        <w:separator/>
      </w:r>
    </w:p>
  </w:footnote>
  <w:footnote w:type="continuationSeparator" w:id="0">
    <w:p w:rsidR="00B56059" w:rsidRDefault="00B56059" w:rsidP="00616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D767D4" w:rsidP="00951F79">
    <w:pPr>
      <w:pStyle w:val="Ttulo1"/>
      <w:ind w:right="6"/>
      <w:jc w:val="left"/>
      <w:rPr>
        <w:rFonts w:ascii="Bookman Old Style" w:hAnsi="Bookman Old Style" w:cs="Arial"/>
        <w:b w:val="0"/>
        <w:sz w:val="22"/>
        <w:szCs w:val="22"/>
      </w:rPr>
    </w:pPr>
  </w:p>
  <w:p w:rsidR="00227116" w:rsidRPr="00951F79" w:rsidRDefault="00814BC1"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767D4">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D767D4">
      <w:fldChar w:fldCharType="begin"/>
    </w:r>
    <w:r w:rsidR="00D767D4">
      <w:instrText xml:space="preserve"> NUMPAGES  \* MERGEFORMAT </w:instrText>
    </w:r>
    <w:r w:rsidR="00D767D4">
      <w:fldChar w:fldCharType="separate"/>
    </w:r>
    <w:r w:rsidR="00D767D4" w:rsidRPr="00D767D4">
      <w:rPr>
        <w:rFonts w:ascii="Bookman Old Style" w:hAnsi="Bookman Old Style" w:cs="Arial"/>
        <w:b w:val="0"/>
        <w:noProof/>
        <w:sz w:val="22"/>
        <w:szCs w:val="22"/>
      </w:rPr>
      <w:t>6</w:t>
    </w:r>
    <w:r w:rsidR="00D767D4">
      <w:rPr>
        <w:rFonts w:ascii="Bookman Old Style" w:hAnsi="Bookman Old Style" w:cs="Arial"/>
        <w:b w:val="0"/>
        <w:noProof/>
        <w:sz w:val="22"/>
        <w:szCs w:val="22"/>
      </w:rPr>
      <w:fldChar w:fldCharType="end"/>
    </w:r>
  </w:p>
  <w:p w:rsidR="00227116" w:rsidRDefault="00814BC1" w:rsidP="00AD01E4">
    <w:pPr>
      <w:ind w:left="142" w:right="148"/>
      <w:rPr>
        <w:rFonts w:ascii="Bookman Old Style" w:hAnsi="Bookman Old Style" w:cs="Arial"/>
      </w:rPr>
    </w:pPr>
    <w:r>
      <w:rPr>
        <w:noProof/>
        <w:lang w:eastAsia="es-CO"/>
      </w:rPr>
      <mc:AlternateContent>
        <mc:Choice Requires="wps">
          <w:drawing>
            <wp:anchor distT="0" distB="0" distL="114300" distR="114300" simplePos="0" relativeHeight="251659264" behindDoc="0" locked="0" layoutInCell="1" allowOverlap="1" wp14:anchorId="00B30DDD" wp14:editId="70277B79">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78487"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0E3C98" w:rsidRPr="000E3C98" w:rsidRDefault="000E3C98" w:rsidP="000E3C98">
    <w:pPr>
      <w:spacing w:after="0"/>
      <w:ind w:left="227" w:right="-142"/>
      <w:jc w:val="both"/>
      <w:rPr>
        <w:rFonts w:ascii="Bookman Old Style" w:hAnsi="Bookman Old Style"/>
      </w:rPr>
    </w:pPr>
    <w:r w:rsidRPr="000E3C98">
      <w:rPr>
        <w:rFonts w:ascii="Bookman Old Style" w:hAnsi="Bookman Old Style"/>
      </w:rPr>
      <w:t xml:space="preserve">Por medio de la cual se resuelve el recurso de reposición interpuesto por </w:t>
    </w:r>
    <w:r w:rsidRPr="000E3C98">
      <w:rPr>
        <w:rFonts w:ascii="Bookman Old Style" w:hAnsi="Bookman Old Style" w:cs="Arial"/>
      </w:rPr>
      <w:t>SHONA ENERGY COLOMBIA LIMITED</w:t>
    </w:r>
    <w:r w:rsidRPr="000E3C98">
      <w:rPr>
        <w:rFonts w:ascii="Bookman Old Style" w:hAnsi="Bookman Old Style"/>
      </w:rPr>
      <w:t xml:space="preserve"> en contra de la Resolución CREG 139 de 2018</w:t>
    </w:r>
  </w:p>
  <w:p w:rsidR="00227116" w:rsidRPr="00CB5DD0" w:rsidRDefault="00D767D4" w:rsidP="00AD01E4">
    <w:pPr>
      <w:pBdr>
        <w:bottom w:val="single" w:sz="4" w:space="1" w:color="auto"/>
      </w:pBdr>
      <w:ind w:left="142" w:right="148"/>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814BC1"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27116" w:rsidRDefault="00D767D4">
    <w:pPr>
      <w:pStyle w:val="Encabezado"/>
      <w:jc w:val="center"/>
      <w:rPr>
        <w:rFonts w:ascii="Arial" w:hAnsi="Arial" w:cs="Arial"/>
        <w:spacing w:val="20"/>
        <w:sz w:val="20"/>
      </w:rPr>
    </w:pPr>
  </w:p>
  <w:p w:rsidR="00227116" w:rsidRDefault="00814BC1"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35B8C6E5" wp14:editId="0CB320D4">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6D928"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9FE"/>
    <w:multiLevelType w:val="hybridMultilevel"/>
    <w:tmpl w:val="5652E1A2"/>
    <w:lvl w:ilvl="0" w:tplc="FE50D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BC0AEC"/>
    <w:multiLevelType w:val="hybridMultilevel"/>
    <w:tmpl w:val="3078E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56E"/>
    <w:rsid w:val="0001566D"/>
    <w:rsid w:val="000C3911"/>
    <w:rsid w:val="000E3C98"/>
    <w:rsid w:val="0010147A"/>
    <w:rsid w:val="001B7B4F"/>
    <w:rsid w:val="003C4D20"/>
    <w:rsid w:val="003C6F78"/>
    <w:rsid w:val="004626F8"/>
    <w:rsid w:val="0061656E"/>
    <w:rsid w:val="00623789"/>
    <w:rsid w:val="00663917"/>
    <w:rsid w:val="00814BC1"/>
    <w:rsid w:val="00B56059"/>
    <w:rsid w:val="00D3101E"/>
    <w:rsid w:val="00D767D4"/>
    <w:rsid w:val="00E44A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4FAF336-3C5C-4825-AEFF-D0B2D9A5E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61656E"/>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3">
    <w:name w:val="heading 3"/>
    <w:basedOn w:val="Normal"/>
    <w:next w:val="Normal"/>
    <w:link w:val="Ttulo3Car"/>
    <w:qFormat/>
    <w:rsid w:val="0061656E"/>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61656E"/>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61656E"/>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1656E"/>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61656E"/>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61656E"/>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61656E"/>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61656E"/>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uiPriority w:val="99"/>
    <w:rsid w:val="0061656E"/>
    <w:rPr>
      <w:rFonts w:ascii="CG Times" w:eastAsia="Times New Roman" w:hAnsi="CG Times" w:cs="Times New Roman"/>
      <w:sz w:val="24"/>
      <w:szCs w:val="20"/>
      <w:lang w:eastAsia="es-ES"/>
    </w:rPr>
  </w:style>
  <w:style w:type="paragraph" w:styleId="Prrafodelista">
    <w:name w:val="List Paragraph"/>
    <w:basedOn w:val="Normal"/>
    <w:link w:val="PrrafodelistaCar"/>
    <w:uiPriority w:val="34"/>
    <w:qFormat/>
    <w:rsid w:val="0061656E"/>
    <w:pPr>
      <w:spacing w:after="0" w:line="240" w:lineRule="auto"/>
      <w:ind w:left="708"/>
    </w:pPr>
    <w:rPr>
      <w:rFonts w:ascii="Times New Roman" w:eastAsia="Times New Roman" w:hAnsi="Times New Roman" w:cs="Times New Roman"/>
      <w:sz w:val="20"/>
      <w:szCs w:val="20"/>
      <w:lang w:eastAsia="es-ES"/>
    </w:rPr>
  </w:style>
  <w:style w:type="character" w:customStyle="1" w:styleId="PrrafodelistaCar">
    <w:name w:val="Párrafo de lista Car"/>
    <w:basedOn w:val="Fuentedeprrafopredeter"/>
    <w:link w:val="Prrafodelista"/>
    <w:uiPriority w:val="34"/>
    <w:rsid w:val="0061656E"/>
    <w:rPr>
      <w:rFonts w:ascii="Times New Roman" w:eastAsia="Times New Roman" w:hAnsi="Times New Roman" w:cs="Times New Roman"/>
      <w:sz w:val="20"/>
      <w:szCs w:val="20"/>
      <w:lang w:eastAsia="es-ES"/>
    </w:rPr>
  </w:style>
  <w:style w:type="character" w:customStyle="1" w:styleId="CharStyle9">
    <w:name w:val="Char Style 9"/>
    <w:basedOn w:val="Fuentedeprrafopredeter"/>
    <w:link w:val="Style8"/>
    <w:uiPriority w:val="99"/>
    <w:rsid w:val="0061656E"/>
    <w:rPr>
      <w:rFonts w:ascii="Arial" w:hAnsi="Arial" w:cs="Arial"/>
      <w:shd w:val="clear" w:color="auto" w:fill="FFFFFF"/>
    </w:rPr>
  </w:style>
  <w:style w:type="paragraph" w:customStyle="1" w:styleId="Style8">
    <w:name w:val="Style 8"/>
    <w:basedOn w:val="Normal"/>
    <w:link w:val="CharStyle9"/>
    <w:uiPriority w:val="99"/>
    <w:rsid w:val="0061656E"/>
    <w:pPr>
      <w:widowControl w:val="0"/>
      <w:shd w:val="clear" w:color="auto" w:fill="FFFFFF"/>
      <w:spacing w:before="660" w:after="0" w:line="240" w:lineRule="atLeast"/>
    </w:pPr>
    <w:rPr>
      <w:rFonts w:ascii="Arial" w:hAnsi="Arial" w:cs="Arial"/>
    </w:rPr>
  </w:style>
  <w:style w:type="character" w:customStyle="1" w:styleId="CharStyle41">
    <w:name w:val="Char Style 41"/>
    <w:basedOn w:val="Fuentedeprrafopredeter"/>
    <w:link w:val="Style40"/>
    <w:uiPriority w:val="99"/>
    <w:rsid w:val="0061656E"/>
    <w:rPr>
      <w:rFonts w:ascii="Arial" w:hAnsi="Arial" w:cs="Arial"/>
      <w:i/>
      <w:iCs/>
      <w:shd w:val="clear" w:color="auto" w:fill="FFFFFF"/>
    </w:rPr>
  </w:style>
  <w:style w:type="paragraph" w:customStyle="1" w:styleId="Style40">
    <w:name w:val="Style 40"/>
    <w:basedOn w:val="Normal"/>
    <w:link w:val="CharStyle41"/>
    <w:uiPriority w:val="99"/>
    <w:rsid w:val="0061656E"/>
    <w:pPr>
      <w:widowControl w:val="0"/>
      <w:shd w:val="clear" w:color="auto" w:fill="FFFFFF"/>
      <w:spacing w:before="240" w:after="240" w:line="274" w:lineRule="exact"/>
      <w:jc w:val="both"/>
    </w:pPr>
    <w:rPr>
      <w:rFonts w:ascii="Arial" w:hAnsi="Arial" w:cs="Arial"/>
      <w:i/>
      <w:iCs/>
    </w:rPr>
  </w:style>
  <w:style w:type="paragraph" w:styleId="Piedepgina">
    <w:name w:val="footer"/>
    <w:basedOn w:val="Normal"/>
    <w:link w:val="PiedepginaCar"/>
    <w:uiPriority w:val="99"/>
    <w:unhideWhenUsed/>
    <w:rsid w:val="006165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6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4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EF624-7155-418D-85DD-A7C0BCD80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1906</Words>
  <Characters>10489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Velosa</dc:creator>
  <cp:keywords/>
  <dc:description/>
  <cp:lastModifiedBy>Luz Stella Rojas Macias</cp:lastModifiedBy>
  <cp:revision>2</cp:revision>
  <dcterms:created xsi:type="dcterms:W3CDTF">2019-12-16T14:15:00Z</dcterms:created>
  <dcterms:modified xsi:type="dcterms:W3CDTF">2019-12-16T14:15:00Z</dcterms:modified>
</cp:coreProperties>
</file>