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E060BE" w:rsidRDefault="00F937CF"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6.9pt;margin-top:-53.35pt;width:52.5pt;height:48.75pt;z-index:251656704" fillcolor="#0c9">
            <v:imagedata r:id="rId9" o:title=""/>
          </v:shape>
          <o:OLEObject Type="Embed" ProgID="PBrush" ShapeID="_x0000_s1026" DrawAspect="Content" ObjectID="_1522151367" r:id="rId10"/>
        </w:pict>
      </w:r>
    </w:p>
    <w:p w:rsidR="00625DC6" w:rsidRPr="00E060BE" w:rsidRDefault="00625DC6" w:rsidP="00012259">
      <w:pPr>
        <w:pStyle w:val="Encabezado"/>
        <w:tabs>
          <w:tab w:val="clear" w:pos="8504"/>
          <w:tab w:val="left" w:pos="0"/>
          <w:tab w:val="right" w:pos="9356"/>
        </w:tabs>
        <w:ind w:left="0"/>
        <w:jc w:val="both"/>
        <w:rPr>
          <w:rFonts w:ascii="Bookman Old Style" w:hAnsi="Bookman Old Style"/>
          <w:szCs w:val="24"/>
        </w:rPr>
      </w:pPr>
    </w:p>
    <w:p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rsidR="00CA77FB" w:rsidRPr="00E060BE" w:rsidRDefault="00CA77FB" w:rsidP="00012259">
      <w:pPr>
        <w:pStyle w:val="Ttulo4"/>
        <w:tabs>
          <w:tab w:val="left" w:pos="0"/>
          <w:tab w:val="right" w:pos="9356"/>
        </w:tabs>
        <w:ind w:left="0"/>
        <w:rPr>
          <w:rFonts w:ascii="Bookman Old Style" w:hAnsi="Bookman Old Style"/>
          <w:b w:val="0"/>
          <w:bCs/>
          <w:sz w:val="24"/>
          <w:szCs w:val="24"/>
        </w:rPr>
      </w:pPr>
    </w:p>
    <w:p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795BFB" w:rsidRPr="00E060BE">
        <w:rPr>
          <w:rFonts w:ascii="Bookman Old Style" w:hAnsi="Bookman Old Style"/>
          <w:sz w:val="24"/>
          <w:szCs w:val="24"/>
        </w:rPr>
        <w:t>1</w:t>
      </w:r>
      <w:r w:rsidR="006A1C33">
        <w:rPr>
          <w:rFonts w:ascii="Bookman Old Style" w:hAnsi="Bookman Old Style"/>
          <w:sz w:val="24"/>
          <w:szCs w:val="24"/>
        </w:rPr>
        <w:t>6</w:t>
      </w:r>
    </w:p>
    <w:p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rsidR="00CA77FB" w:rsidRDefault="00CA77FB" w:rsidP="00012259">
      <w:pPr>
        <w:tabs>
          <w:tab w:val="left" w:pos="0"/>
          <w:tab w:val="right" w:pos="9356"/>
        </w:tabs>
        <w:ind w:left="0"/>
        <w:jc w:val="center"/>
        <w:rPr>
          <w:rFonts w:ascii="Bookman Old Style" w:hAnsi="Bookman Old Style"/>
          <w:lang w:val="es-ES_tradnl"/>
        </w:rPr>
      </w:pPr>
    </w:p>
    <w:p w:rsidR="00E46432" w:rsidRPr="00E060BE" w:rsidRDefault="00E46432" w:rsidP="00012259">
      <w:pPr>
        <w:tabs>
          <w:tab w:val="left" w:pos="0"/>
          <w:tab w:val="right" w:pos="9356"/>
        </w:tabs>
        <w:ind w:left="0"/>
        <w:jc w:val="center"/>
        <w:rPr>
          <w:rFonts w:ascii="Bookman Old Style" w:hAnsi="Bookman Old Style"/>
          <w:lang w:val="es-ES_tradnl"/>
        </w:rPr>
      </w:pPr>
    </w:p>
    <w:p w:rsidR="00EB1657" w:rsidRPr="00E42E08" w:rsidRDefault="00EB1657" w:rsidP="00EB1657">
      <w:pPr>
        <w:ind w:right="51"/>
        <w:jc w:val="center"/>
        <w:rPr>
          <w:rFonts w:ascii="Bookman Old Style" w:hAnsi="Bookman Old Style"/>
          <w:b/>
        </w:rPr>
      </w:pPr>
      <w:r w:rsidRPr="00E42E08">
        <w:rPr>
          <w:rFonts w:ascii="Bookman Old Style" w:hAnsi="Bookman Old Style"/>
        </w:rPr>
        <w:t xml:space="preserve">Por la cual se modifica </w:t>
      </w:r>
      <w:r>
        <w:rPr>
          <w:rFonts w:ascii="Bookman Old Style" w:hAnsi="Bookman Old Style"/>
        </w:rPr>
        <w:t>transitoriamente la declaración de la disponibilidad por los agentes generadores en el Mercado de Energía Mayorista</w:t>
      </w:r>
    </w:p>
    <w:p w:rsidR="00EB1657" w:rsidRPr="00C435C3" w:rsidRDefault="00EB1657" w:rsidP="00A60C08">
      <w:pPr>
        <w:ind w:right="51"/>
        <w:jc w:val="center"/>
        <w:rPr>
          <w:rFonts w:ascii="Bookman Old Style" w:hAnsi="Bookman Old Style"/>
          <w:b/>
        </w:rPr>
      </w:pPr>
    </w:p>
    <w:p w:rsidR="00A60C08" w:rsidRDefault="00A60C08" w:rsidP="00A60C08">
      <w:pPr>
        <w:ind w:left="0" w:right="51"/>
        <w:rPr>
          <w:rFonts w:ascii="Bookman Old Style" w:hAnsi="Bookman Old Style"/>
        </w:rPr>
      </w:pPr>
    </w:p>
    <w:p w:rsidR="00EB1657" w:rsidRPr="00C435C3" w:rsidRDefault="00EB1657" w:rsidP="00EB1657">
      <w:pPr>
        <w:ind w:right="51"/>
        <w:jc w:val="center"/>
        <w:rPr>
          <w:rFonts w:ascii="Bookman Old Style" w:hAnsi="Bookman Old Style"/>
          <w:b/>
        </w:rPr>
      </w:pPr>
      <w:r w:rsidRPr="00C435C3">
        <w:rPr>
          <w:rFonts w:ascii="Bookman Old Style" w:hAnsi="Bookman Old Style"/>
          <w:b/>
        </w:rPr>
        <w:t>LA COMISIÓN DE REGULACIÓN DE  ENERGÍA Y GAS</w:t>
      </w:r>
    </w:p>
    <w:p w:rsidR="00EB1657" w:rsidRDefault="00EB1657" w:rsidP="00A60C08">
      <w:pPr>
        <w:ind w:left="0" w:right="51"/>
        <w:rPr>
          <w:rFonts w:ascii="Bookman Old Style" w:hAnsi="Bookman Old Style"/>
        </w:rPr>
      </w:pPr>
    </w:p>
    <w:p w:rsidR="00A60C08" w:rsidRPr="00C435C3" w:rsidRDefault="00A60C08" w:rsidP="00A60C08">
      <w:pPr>
        <w:pStyle w:val="Textoindependiente3"/>
        <w:ind w:left="0"/>
        <w:rPr>
          <w:rFonts w:ascii="Bookman Old Style" w:hAnsi="Bookman Old Style"/>
          <w:b w:val="0"/>
        </w:rPr>
      </w:pPr>
      <w:r w:rsidRPr="00C435C3">
        <w:rPr>
          <w:rFonts w:ascii="Bookman Old Style" w:hAnsi="Bookman Old Style"/>
          <w:b w:val="0"/>
        </w:rPr>
        <w:t>En ejercicio de sus atribuciones constitucionales y legales, en especial las conferidas por las Leyes 142 y 143 de 1994, y en desarrollo de los Decretos 1524</w:t>
      </w:r>
      <w:r w:rsidR="00441102">
        <w:rPr>
          <w:rFonts w:ascii="Bookman Old Style" w:hAnsi="Bookman Old Style"/>
          <w:b w:val="0"/>
        </w:rPr>
        <w:t>,</w:t>
      </w:r>
      <w:r w:rsidRPr="00C435C3">
        <w:rPr>
          <w:rFonts w:ascii="Bookman Old Style" w:hAnsi="Bookman Old Style"/>
          <w:b w:val="0"/>
        </w:rPr>
        <w:t xml:space="preserve"> 2253 de 1994</w:t>
      </w:r>
      <w:r w:rsidR="00441102">
        <w:rPr>
          <w:rFonts w:ascii="Bookman Old Style" w:hAnsi="Bookman Old Style"/>
          <w:b w:val="0"/>
        </w:rPr>
        <w:t xml:space="preserve"> y 1260 de 2013</w:t>
      </w:r>
      <w:r w:rsidRPr="00C435C3">
        <w:rPr>
          <w:rFonts w:ascii="Bookman Old Style" w:hAnsi="Bookman Old Style"/>
          <w:b w:val="0"/>
        </w:rPr>
        <w:t>.</w:t>
      </w:r>
    </w:p>
    <w:p w:rsidR="00A60C08" w:rsidRDefault="00A60C08" w:rsidP="00A60C08">
      <w:pPr>
        <w:ind w:right="51"/>
        <w:rPr>
          <w:rFonts w:ascii="Bookman Old Style" w:hAnsi="Bookman Old Style"/>
        </w:rPr>
      </w:pPr>
    </w:p>
    <w:p w:rsidR="00A60C08" w:rsidRPr="00C435C3" w:rsidRDefault="00A60C08" w:rsidP="00A60C08">
      <w:pPr>
        <w:ind w:right="51"/>
        <w:rPr>
          <w:rFonts w:ascii="Bookman Old Style" w:hAnsi="Bookman Old Style"/>
        </w:rPr>
      </w:pPr>
    </w:p>
    <w:p w:rsidR="00A60C08" w:rsidRPr="00C435C3" w:rsidRDefault="00A60C08" w:rsidP="00A60C08">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rsidR="00A60C08" w:rsidRDefault="00A60C08" w:rsidP="00A60C08">
      <w:pPr>
        <w:ind w:right="51"/>
        <w:jc w:val="center"/>
        <w:rPr>
          <w:rFonts w:ascii="Bookman Old Style" w:hAnsi="Bookman Old Style"/>
          <w:b/>
        </w:rPr>
      </w:pPr>
    </w:p>
    <w:p w:rsidR="00A60C08" w:rsidRDefault="00A60C08" w:rsidP="00A60C08">
      <w:pPr>
        <w:ind w:left="0"/>
        <w:jc w:val="both"/>
        <w:rPr>
          <w:rFonts w:ascii="Bookman Old Style" w:hAnsi="Bookman Old Style"/>
        </w:rPr>
      </w:pPr>
      <w:r>
        <w:rPr>
          <w:rFonts w:ascii="Bookman Old Style" w:hAnsi="Bookman Old Style"/>
        </w:rP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 xml:space="preserve">La Ley 143 de 1994, artículo 20, definió como objetivo fundamental de la </w:t>
      </w:r>
      <w:r w:rsidR="00DB4889">
        <w:rPr>
          <w:rFonts w:ascii="Bookman Old Style" w:hAnsi="Bookman Old Style"/>
        </w:rPr>
        <w:t>r</w:t>
      </w:r>
      <w:r>
        <w:rPr>
          <w:rFonts w:ascii="Bookman Old Style" w:hAnsi="Bookman Old Style"/>
        </w:rPr>
        <w:t>egulación en el sector eléctrico, asegurar una adecuada prestación del servicio mediante el aprovechamiento eficiente de los diferentes recursos energéticos, en beneficio del usuario en términos de calidad, oportunidad y costo del servicio.</w:t>
      </w:r>
    </w:p>
    <w:p w:rsidR="00A60C08" w:rsidRDefault="00A60C08" w:rsidP="00A60C08">
      <w:pPr>
        <w:ind w:left="0"/>
        <w:jc w:val="both"/>
        <w:rPr>
          <w:rFonts w:ascii="Bookman Old Style" w:hAnsi="Bookman Old Style"/>
        </w:rPr>
      </w:pPr>
    </w:p>
    <w:p w:rsidR="00A60C08" w:rsidRPr="00D66356" w:rsidRDefault="009A33C1" w:rsidP="00A60C08">
      <w:pPr>
        <w:ind w:left="0"/>
        <w:jc w:val="both"/>
        <w:rPr>
          <w:rFonts w:ascii="Bookman Old Style" w:hAnsi="Bookman Old Style"/>
        </w:rPr>
      </w:pPr>
      <w:r w:rsidRPr="00D66356">
        <w:rPr>
          <w:rFonts w:ascii="Bookman Old Style" w:hAnsi="Bookman Old Style"/>
        </w:rPr>
        <w:t>Para el cumplimiento del objetivo señalado, la Ley 143 de 1994, artículo 23, le atribuyó a la Comisión de Regulación de Energía y Gas, entre otras, las siguientes funciones:</w:t>
      </w:r>
    </w:p>
    <w:p w:rsidR="00A60C08" w:rsidRPr="00D66356" w:rsidRDefault="00A60C08" w:rsidP="00A60C08">
      <w:pPr>
        <w:jc w:val="both"/>
        <w:rPr>
          <w:rFonts w:ascii="Bookman Old Style" w:hAnsi="Bookman Old Style"/>
        </w:rPr>
      </w:pPr>
    </w:p>
    <w:p w:rsidR="00A60C08" w:rsidRPr="00D66356" w:rsidRDefault="009A33C1" w:rsidP="00D73BCE">
      <w:pPr>
        <w:numPr>
          <w:ilvl w:val="0"/>
          <w:numId w:val="28"/>
        </w:numPr>
        <w:jc w:val="both"/>
        <w:rPr>
          <w:rFonts w:ascii="Bookman Old Style" w:hAnsi="Bookman Old Style"/>
        </w:rPr>
      </w:pPr>
      <w:r w:rsidRPr="00D66356">
        <w:rPr>
          <w:rFonts w:ascii="Bookman Old Style" w:hAnsi="Bookman Old Style"/>
        </w:rPr>
        <w:t>Crear las condiciones para asegurar la disponibilidad de una oferta energética eficiente capaz de abastecer la demanda bajo criterios sociales, económicos, ambientales y de viabilidad financiera, promover y preservar la competencia, para lo cual, la oferta eficiente, en el sector eléctrico, debe tener en cuenta la capacidad de generación de respaldo.</w:t>
      </w:r>
    </w:p>
    <w:p w:rsidR="00A60C08" w:rsidRPr="00D66356" w:rsidRDefault="009A33C1" w:rsidP="00D73BCE">
      <w:pPr>
        <w:numPr>
          <w:ilvl w:val="0"/>
          <w:numId w:val="28"/>
        </w:numPr>
        <w:jc w:val="both"/>
        <w:rPr>
          <w:rFonts w:ascii="Bookman Old Style" w:hAnsi="Bookman Old Style"/>
        </w:rPr>
      </w:pPr>
      <w:r w:rsidRPr="00D66356">
        <w:rPr>
          <w:rFonts w:ascii="Bookman Old Style" w:hAnsi="Bookman Old Style"/>
        </w:rPr>
        <w:t>Valorar la capacidad de generación de respaldo de la oferta eficiente.</w:t>
      </w:r>
    </w:p>
    <w:p w:rsidR="00A60C08" w:rsidRPr="00D66356" w:rsidRDefault="009A33C1" w:rsidP="00D73BCE">
      <w:pPr>
        <w:numPr>
          <w:ilvl w:val="0"/>
          <w:numId w:val="28"/>
        </w:numPr>
        <w:jc w:val="both"/>
        <w:rPr>
          <w:rFonts w:ascii="Bookman Old Style" w:hAnsi="Bookman Old Style"/>
        </w:rPr>
      </w:pPr>
      <w:r w:rsidRPr="00D66356">
        <w:rPr>
          <w:rFonts w:ascii="Bookman Old Style" w:hAnsi="Bookman Old Style"/>
        </w:rPr>
        <w:lastRenderedPageBreak/>
        <w:t>Definir y hacer operativos los criterios técnicos de calidad, confiabilidad y seguridad del servicio de energía.</w:t>
      </w:r>
    </w:p>
    <w:p w:rsidR="00A60C08" w:rsidRPr="00D66356" w:rsidRDefault="009A33C1" w:rsidP="00D73BCE">
      <w:pPr>
        <w:numPr>
          <w:ilvl w:val="0"/>
          <w:numId w:val="28"/>
        </w:numPr>
        <w:jc w:val="both"/>
        <w:rPr>
          <w:rFonts w:ascii="Bookman Old Style" w:hAnsi="Bookman Old Style"/>
        </w:rPr>
      </w:pPr>
      <w:r w:rsidRPr="00D66356">
        <w:rPr>
          <w:rFonts w:ascii="Bookman Old Style" w:hAnsi="Bookman Old Style"/>
        </w:rPr>
        <w:t>Establecer el Reglamento de Operación para realizar el planeamiento y la coordinación de la operación del Sistema Interconectado Nacional</w:t>
      </w:r>
      <w:r w:rsidR="00A07C83" w:rsidRPr="00D66356">
        <w:rPr>
          <w:rFonts w:ascii="Bookman Old Style" w:hAnsi="Bookman Old Style"/>
        </w:rPr>
        <w:t xml:space="preserve"> después de haber oído los conceptos de</w:t>
      </w:r>
      <w:r w:rsidR="00B242E5">
        <w:rPr>
          <w:rFonts w:ascii="Bookman Old Style" w:hAnsi="Bookman Old Style"/>
        </w:rPr>
        <w:t>l Consejo Nacional de Operación</w:t>
      </w:r>
      <w:r w:rsidRPr="00D66356">
        <w:rPr>
          <w:rFonts w:ascii="Bookman Old Style" w:hAnsi="Bookman Old Style"/>
        </w:rPr>
        <w:t>.</w:t>
      </w:r>
    </w:p>
    <w:p w:rsidR="00E42E08" w:rsidRDefault="00E42E08" w:rsidP="00A60C08">
      <w:pPr>
        <w:ind w:left="0"/>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Según la Ley 142 de 1994, artículo 74, son funciones y facultades especiales de la CREG, entre otras, las de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 y entre éstas y los grandes usuarios</w:t>
      </w:r>
      <w:r w:rsidR="00E63388">
        <w:rPr>
          <w:rFonts w:ascii="Bookman Old Style" w:hAnsi="Bookman Old Style"/>
        </w:rPr>
        <w:t>.</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ley 142 de 1994, artículo 74, también le asignó a la Comisión de Regulación de Energía y Gas, la función de expedir el Reglamento de Operación para regular el funcionamiento del Mercado Mayorista de energía</w:t>
      </w:r>
      <w:r w:rsidR="00E63388">
        <w:rPr>
          <w:rFonts w:ascii="Bookman Old Style" w:hAnsi="Bookman Old Style"/>
        </w:rPr>
        <w:t>.</w:t>
      </w:r>
    </w:p>
    <w:p w:rsidR="00A07C83" w:rsidRDefault="00A07C83" w:rsidP="00A60C08">
      <w:pPr>
        <w:ind w:left="0"/>
        <w:jc w:val="both"/>
        <w:rPr>
          <w:rFonts w:ascii="Bookman Old Style" w:hAnsi="Bookman Old Style"/>
        </w:rPr>
      </w:pPr>
    </w:p>
    <w:p w:rsidR="00A60C08" w:rsidRDefault="00613BDC" w:rsidP="0014618C">
      <w:pPr>
        <w:ind w:left="0"/>
        <w:jc w:val="both"/>
        <w:rPr>
          <w:rFonts w:ascii="Bookman Old Style" w:hAnsi="Bookman Old Style"/>
        </w:rPr>
      </w:pPr>
      <w:r>
        <w:rPr>
          <w:rFonts w:ascii="Bookman Old Style" w:hAnsi="Bookman Old Style"/>
        </w:rPr>
        <w:t xml:space="preserve">La CREG expidió la Resolución CREG 051 de 2009 </w:t>
      </w:r>
      <w:r w:rsidRPr="00613BDC">
        <w:rPr>
          <w:rFonts w:ascii="Bookman Old Style" w:hAnsi="Bookman Old Style"/>
          <w:i/>
        </w:rPr>
        <w:t>“</w:t>
      </w:r>
      <w:r w:rsidRPr="00E42E08">
        <w:rPr>
          <w:rFonts w:ascii="Bookman Old Style" w:hAnsi="Bookman Old Style"/>
        </w:rPr>
        <w:t>Por la cual se modifica el esquema de ofertas de precios, el Despacho Ideal y las reglas para determinar el precio de la Bolsa en el Mercado de Energía Mayorista”.</w:t>
      </w:r>
    </w:p>
    <w:p w:rsidR="00613BDC" w:rsidRDefault="00613BDC" w:rsidP="0014618C">
      <w:pPr>
        <w:ind w:left="0"/>
        <w:jc w:val="both"/>
        <w:rPr>
          <w:rFonts w:ascii="Bookman Old Style" w:hAnsi="Bookman Old Style"/>
        </w:rPr>
      </w:pPr>
    </w:p>
    <w:p w:rsidR="004161C6" w:rsidRDefault="00DB4889" w:rsidP="00A60C08">
      <w:pPr>
        <w:ind w:left="0"/>
        <w:jc w:val="both"/>
        <w:rPr>
          <w:rFonts w:ascii="Bookman Old Style" w:hAnsi="Bookman Old Style"/>
        </w:rPr>
      </w:pPr>
      <w:r>
        <w:rPr>
          <w:rFonts w:ascii="Bookman Old Style" w:hAnsi="Bookman Old Style"/>
        </w:rPr>
        <w:t xml:space="preserve">Mediante </w:t>
      </w:r>
      <w:r w:rsidR="004161C6">
        <w:rPr>
          <w:rFonts w:ascii="Bookman Old Style" w:hAnsi="Bookman Old Style"/>
        </w:rPr>
        <w:t xml:space="preserve">la Resolución CREG 172 de </w:t>
      </w:r>
      <w:r w:rsidR="00965C0B">
        <w:rPr>
          <w:rFonts w:ascii="Bookman Old Style" w:hAnsi="Bookman Old Style"/>
        </w:rPr>
        <w:t>2015</w:t>
      </w:r>
      <w:r w:rsidR="004161C6">
        <w:rPr>
          <w:rFonts w:ascii="Bookman Old Style" w:hAnsi="Bookman Old Style"/>
        </w:rPr>
        <w:t xml:space="preserve"> </w:t>
      </w:r>
      <w:r>
        <w:rPr>
          <w:rFonts w:ascii="Bookman Old Style" w:hAnsi="Bookman Old Style"/>
        </w:rPr>
        <w:t xml:space="preserve">la CREG definió </w:t>
      </w:r>
      <w:r w:rsidR="004161C6">
        <w:rPr>
          <w:rFonts w:ascii="Bookman Old Style" w:hAnsi="Bookman Old Style"/>
        </w:rPr>
        <w:t>el procedimiento de desempate de las plantas de generación que ofert</w:t>
      </w:r>
      <w:r>
        <w:rPr>
          <w:rFonts w:ascii="Bookman Old Style" w:hAnsi="Bookman Old Style"/>
        </w:rPr>
        <w:t>e</w:t>
      </w:r>
      <w:r w:rsidR="004161C6">
        <w:rPr>
          <w:rFonts w:ascii="Bookman Old Style" w:hAnsi="Bookman Old Style"/>
        </w:rPr>
        <w:t>n por encima del precio techo.</w:t>
      </w:r>
    </w:p>
    <w:p w:rsidR="004161C6" w:rsidRDefault="004161C6" w:rsidP="00A60C08">
      <w:pPr>
        <w:ind w:left="0"/>
        <w:jc w:val="both"/>
        <w:rPr>
          <w:rFonts w:ascii="Bookman Old Style" w:hAnsi="Bookman Old Style"/>
        </w:rPr>
      </w:pPr>
    </w:p>
    <w:p w:rsidR="004161C6" w:rsidRDefault="00DB4889" w:rsidP="00A60C08">
      <w:pPr>
        <w:ind w:left="0"/>
        <w:jc w:val="both"/>
        <w:rPr>
          <w:rFonts w:ascii="Bookman Old Style" w:hAnsi="Bookman Old Style"/>
        </w:rPr>
      </w:pPr>
      <w:r>
        <w:rPr>
          <w:rFonts w:ascii="Bookman Old Style" w:hAnsi="Bookman Old Style"/>
        </w:rPr>
        <w:t xml:space="preserve">En </w:t>
      </w:r>
      <w:r w:rsidR="006D0D2D">
        <w:rPr>
          <w:rFonts w:ascii="Bookman Old Style" w:hAnsi="Bookman Old Style"/>
        </w:rPr>
        <w:t>la Resolución CREG 173 de 2015</w:t>
      </w:r>
      <w:r w:rsidR="00867F69">
        <w:rPr>
          <w:rFonts w:ascii="Bookman Old Style" w:hAnsi="Bookman Old Style"/>
        </w:rPr>
        <w:t xml:space="preserve"> se publicó para consulta, el proyecto de Resolución</w:t>
      </w:r>
      <w:r w:rsidR="006D0D2D">
        <w:rPr>
          <w:rFonts w:ascii="Bookman Old Style" w:hAnsi="Bookman Old Style"/>
        </w:rPr>
        <w:t xml:space="preserve"> </w:t>
      </w:r>
      <w:r w:rsidR="00867F69">
        <w:rPr>
          <w:rFonts w:ascii="Bookman Old Style" w:hAnsi="Bookman Old Style"/>
        </w:rPr>
        <w:t>que</w:t>
      </w:r>
      <w:r w:rsidR="004161C6">
        <w:rPr>
          <w:rFonts w:ascii="Bookman Old Style" w:hAnsi="Bookman Old Style"/>
        </w:rPr>
        <w:t xml:space="preserve"> incluy</w:t>
      </w:r>
      <w:r>
        <w:rPr>
          <w:rFonts w:ascii="Bookman Old Style" w:hAnsi="Bookman Old Style"/>
        </w:rPr>
        <w:t>ó</w:t>
      </w:r>
      <w:r w:rsidR="004161C6">
        <w:rPr>
          <w:rFonts w:ascii="Bookman Old Style" w:hAnsi="Bookman Old Style"/>
        </w:rPr>
        <w:t xml:space="preserve"> una nueva restricción en el programa de despacho, cantidad máxima a generar declarada por el agente, para permitir administrar el desembalsamiento. </w:t>
      </w:r>
    </w:p>
    <w:p w:rsidR="004161C6" w:rsidRDefault="004161C6" w:rsidP="00A60C08">
      <w:pPr>
        <w:ind w:left="0"/>
        <w:jc w:val="both"/>
        <w:rPr>
          <w:rFonts w:ascii="Bookman Old Style" w:hAnsi="Bookman Old Style"/>
        </w:rPr>
      </w:pPr>
    </w:p>
    <w:p w:rsidR="00213F26" w:rsidRDefault="004161C6" w:rsidP="00A60C08">
      <w:pPr>
        <w:ind w:left="0"/>
        <w:jc w:val="both"/>
        <w:rPr>
          <w:rFonts w:ascii="Bookman Old Style" w:hAnsi="Bookman Old Style"/>
        </w:rPr>
      </w:pPr>
      <w:r>
        <w:rPr>
          <w:rFonts w:ascii="Bookman Old Style" w:hAnsi="Bookman Old Style"/>
        </w:rPr>
        <w:t>La CREG expidió la Resolución CREG 226 de 2015 mediante la cual se ajust</w:t>
      </w:r>
      <w:r w:rsidR="00DB4889">
        <w:rPr>
          <w:rFonts w:ascii="Bookman Old Style" w:hAnsi="Bookman Old Style"/>
        </w:rPr>
        <w:t>ó</w:t>
      </w:r>
      <w:r>
        <w:rPr>
          <w:rFonts w:ascii="Bookman Old Style" w:hAnsi="Bookman Old Style"/>
        </w:rPr>
        <w:t xml:space="preserve"> el procedimiento de desempate de la Resolución CREG 172 de 2015</w:t>
      </w:r>
      <w:r w:rsidR="00213F26">
        <w:rPr>
          <w:rFonts w:ascii="Bookman Old Style" w:hAnsi="Bookman Old Style"/>
        </w:rPr>
        <w:t>.</w:t>
      </w:r>
    </w:p>
    <w:p w:rsidR="006D0D2D" w:rsidRDefault="004161C6" w:rsidP="00A60C08">
      <w:pPr>
        <w:ind w:left="0"/>
        <w:jc w:val="both"/>
        <w:rPr>
          <w:rFonts w:ascii="Bookman Old Style" w:hAnsi="Bookman Old Style"/>
        </w:rPr>
      </w:pPr>
      <w:r>
        <w:rPr>
          <w:rFonts w:ascii="Bookman Old Style" w:hAnsi="Bookman Old Style"/>
        </w:rPr>
        <w:t xml:space="preserve"> </w:t>
      </w:r>
    </w:p>
    <w:p w:rsidR="00055D3E" w:rsidRDefault="00BA25F6" w:rsidP="00A60C08">
      <w:pPr>
        <w:ind w:left="0"/>
        <w:jc w:val="both"/>
        <w:rPr>
          <w:rFonts w:ascii="Bookman Old Style" w:hAnsi="Bookman Old Style"/>
        </w:rPr>
      </w:pPr>
      <w:r>
        <w:rPr>
          <w:rFonts w:ascii="Bookman Old Style" w:hAnsi="Bookman Old Style"/>
        </w:rPr>
        <w:t xml:space="preserve">En el país </w:t>
      </w:r>
      <w:r w:rsidR="0050140D">
        <w:rPr>
          <w:rFonts w:ascii="Bookman Old Style" w:hAnsi="Bookman Old Style"/>
        </w:rPr>
        <w:t>persisten las</w:t>
      </w:r>
      <w:r>
        <w:rPr>
          <w:rFonts w:ascii="Bookman Old Style" w:hAnsi="Bookman Old Style"/>
        </w:rPr>
        <w:t xml:space="preserve"> condiciones de caudales bajos en los ríos a causa de la presencia del Fenómeno de El Niño</w:t>
      </w:r>
      <w:r w:rsidR="00E57FA9">
        <w:rPr>
          <w:rFonts w:ascii="Bookman Old Style" w:hAnsi="Bookman Old Style"/>
        </w:rPr>
        <w:t>,</w:t>
      </w:r>
      <w:r w:rsidR="0023491C">
        <w:rPr>
          <w:rFonts w:ascii="Bookman Old Style" w:hAnsi="Bookman Old Style"/>
        </w:rPr>
        <w:t xml:space="preserve"> </w:t>
      </w:r>
      <w:r w:rsidR="00E57FA9">
        <w:rPr>
          <w:rFonts w:ascii="Bookman Old Style" w:hAnsi="Bookman Old Style"/>
        </w:rPr>
        <w:t xml:space="preserve">los embalses están en niveles bajos, la condición se ha </w:t>
      </w:r>
      <w:r w:rsidR="0023491C">
        <w:rPr>
          <w:rFonts w:ascii="Bookman Old Style" w:hAnsi="Bookman Old Style"/>
        </w:rPr>
        <w:t>agravado por</w:t>
      </w:r>
      <w:r w:rsidR="004D3592">
        <w:rPr>
          <w:rFonts w:ascii="Bookman Old Style" w:hAnsi="Bookman Old Style"/>
        </w:rPr>
        <w:t xml:space="preserve"> la contingencia que sacó de servicio el embalse del Peñol que alimenta la cadena de generación Guatapé</w:t>
      </w:r>
      <w:r w:rsidR="006F36F7">
        <w:rPr>
          <w:rFonts w:ascii="Bookman Old Style" w:hAnsi="Bookman Old Style"/>
        </w:rPr>
        <w:t>,</w:t>
      </w:r>
      <w:r w:rsidR="004D3592">
        <w:rPr>
          <w:rFonts w:ascii="Bookman Old Style" w:hAnsi="Bookman Old Style"/>
        </w:rPr>
        <w:t xml:space="preserve"> </w:t>
      </w:r>
      <w:r w:rsidR="00D66356">
        <w:rPr>
          <w:rFonts w:ascii="Bookman Old Style" w:hAnsi="Bookman Old Style"/>
        </w:rPr>
        <w:t>P</w:t>
      </w:r>
      <w:r w:rsidR="004D3592">
        <w:rPr>
          <w:rFonts w:ascii="Bookman Old Style" w:hAnsi="Bookman Old Style"/>
        </w:rPr>
        <w:t>layas</w:t>
      </w:r>
      <w:r w:rsidR="006F36F7">
        <w:rPr>
          <w:rFonts w:ascii="Bookman Old Style" w:hAnsi="Bookman Old Style"/>
        </w:rPr>
        <w:t>,</w:t>
      </w:r>
      <w:r w:rsidR="004D3592">
        <w:rPr>
          <w:rFonts w:ascii="Bookman Old Style" w:hAnsi="Bookman Old Style"/>
        </w:rPr>
        <w:t xml:space="preserve"> San Carlos</w:t>
      </w:r>
      <w:r w:rsidR="006F36F7">
        <w:rPr>
          <w:rFonts w:ascii="Bookman Old Style" w:hAnsi="Bookman Old Style"/>
        </w:rPr>
        <w:t>,</w:t>
      </w:r>
      <w:r w:rsidR="00DB4889">
        <w:rPr>
          <w:rFonts w:ascii="Bookman Old Style" w:hAnsi="Bookman Old Style"/>
        </w:rPr>
        <w:t xml:space="preserve"> </w:t>
      </w:r>
      <w:r w:rsidR="00727B7B">
        <w:rPr>
          <w:rFonts w:ascii="Bookman Old Style" w:hAnsi="Bookman Old Style"/>
        </w:rPr>
        <w:t xml:space="preserve">y se requiere </w:t>
      </w:r>
      <w:r w:rsidR="0050140D">
        <w:rPr>
          <w:rFonts w:ascii="Bookman Old Style" w:hAnsi="Bookman Old Style"/>
        </w:rPr>
        <w:t xml:space="preserve">una </w:t>
      </w:r>
      <w:r w:rsidR="00727B7B">
        <w:rPr>
          <w:rFonts w:ascii="Bookman Old Style" w:hAnsi="Bookman Old Style"/>
        </w:rPr>
        <w:t xml:space="preserve">administración fina del embalse para </w:t>
      </w:r>
      <w:r w:rsidR="008E3AA1">
        <w:rPr>
          <w:rFonts w:ascii="Bookman Old Style" w:hAnsi="Bookman Old Style"/>
        </w:rPr>
        <w:t xml:space="preserve">lo que falta de </w:t>
      </w:r>
      <w:r w:rsidR="00727B7B">
        <w:rPr>
          <w:rFonts w:ascii="Bookman Old Style" w:hAnsi="Bookman Old Style"/>
        </w:rPr>
        <w:t>la condición crítica</w:t>
      </w:r>
      <w:r w:rsidR="0050140D">
        <w:rPr>
          <w:rFonts w:ascii="Bookman Old Style" w:hAnsi="Bookman Old Style"/>
        </w:rPr>
        <w:t xml:space="preserve">, con el fin de </w:t>
      </w:r>
      <w:r w:rsidR="00727B7B">
        <w:rPr>
          <w:rFonts w:ascii="Bookman Old Style" w:hAnsi="Bookman Old Style"/>
        </w:rPr>
        <w:t>asegurar el abastecimiento de la demanda</w:t>
      </w:r>
      <w:r w:rsidR="00055D3E">
        <w:rPr>
          <w:rFonts w:ascii="Bookman Old Style" w:hAnsi="Bookman Old Style"/>
        </w:rPr>
        <w:t>.</w:t>
      </w:r>
    </w:p>
    <w:p w:rsidR="00055D3E" w:rsidRDefault="00055D3E" w:rsidP="00A60C08">
      <w:pPr>
        <w:ind w:left="0"/>
        <w:jc w:val="both"/>
        <w:rPr>
          <w:rFonts w:ascii="Bookman Old Style" w:hAnsi="Bookman Old Style"/>
        </w:rPr>
      </w:pPr>
    </w:p>
    <w:p w:rsidR="00613BDC" w:rsidRDefault="00613BDC" w:rsidP="00A60C08">
      <w:pPr>
        <w:ind w:left="0"/>
        <w:jc w:val="both"/>
        <w:rPr>
          <w:rFonts w:ascii="Bookman Old Style" w:hAnsi="Bookman Old Style"/>
        </w:rPr>
      </w:pPr>
      <w:r>
        <w:rPr>
          <w:rFonts w:ascii="Bookman Old Style" w:hAnsi="Bookman Old Style"/>
        </w:rPr>
        <w:t xml:space="preserve">Dado lo anterior, se ha encontrado conveniente </w:t>
      </w:r>
      <w:r w:rsidR="00147DF3">
        <w:rPr>
          <w:rFonts w:ascii="Bookman Old Style" w:hAnsi="Bookman Old Style"/>
        </w:rPr>
        <w:t xml:space="preserve">permitir que los agentes declaren la disponibilidad necesaria para administrar </w:t>
      </w:r>
      <w:r w:rsidR="004D3592">
        <w:rPr>
          <w:rFonts w:ascii="Bookman Old Style" w:hAnsi="Bookman Old Style"/>
        </w:rPr>
        <w:t>las descargas de los embalses</w:t>
      </w:r>
      <w:r w:rsidR="00D27969">
        <w:rPr>
          <w:rFonts w:ascii="Bookman Old Style" w:hAnsi="Bookman Old Style"/>
        </w:rPr>
        <w:t>, teniendo una cantidad máxima diaria a generar determinada de acuerdo con la situación energética</w:t>
      </w:r>
      <w:r w:rsidR="00D4080E">
        <w:rPr>
          <w:rFonts w:ascii="Bookman Old Style" w:hAnsi="Bookman Old Style"/>
        </w:rPr>
        <w:t>.</w:t>
      </w:r>
    </w:p>
    <w:p w:rsidR="00D27969" w:rsidRDefault="00D27969" w:rsidP="00A60C08">
      <w:pPr>
        <w:ind w:left="0"/>
        <w:jc w:val="both"/>
        <w:rPr>
          <w:rFonts w:ascii="Bookman Old Style" w:hAnsi="Bookman Old Style"/>
        </w:rPr>
      </w:pPr>
    </w:p>
    <w:p w:rsidR="00D27969" w:rsidRDefault="00D27969" w:rsidP="00A60C08">
      <w:pPr>
        <w:ind w:left="0"/>
        <w:jc w:val="both"/>
        <w:rPr>
          <w:rFonts w:ascii="Bookman Old Style" w:hAnsi="Bookman Old Style"/>
        </w:rPr>
      </w:pPr>
      <w:r>
        <w:rPr>
          <w:rFonts w:ascii="Bookman Old Style" w:hAnsi="Bookman Old Style"/>
        </w:rPr>
        <w:t>Para la aplicación de estas reglas</w:t>
      </w:r>
      <w:r w:rsidR="002C47DA">
        <w:rPr>
          <w:rFonts w:ascii="Bookman Old Style" w:hAnsi="Bookman Old Style"/>
        </w:rPr>
        <w:t>,</w:t>
      </w:r>
      <w:r>
        <w:rPr>
          <w:rFonts w:ascii="Bookman Old Style" w:hAnsi="Bookman Old Style"/>
        </w:rPr>
        <w:t xml:space="preserve"> se requiere definir el horizonte hasta el cual la situación energética es crítica, lo cual se mantendría hasta la entrada de la planta Guatapé, según los análisis energéticos. Razón por la que se considera </w:t>
      </w:r>
      <w:r>
        <w:rPr>
          <w:rFonts w:ascii="Bookman Old Style" w:hAnsi="Bookman Old Style"/>
        </w:rPr>
        <w:lastRenderedPageBreak/>
        <w:t xml:space="preserve">que el horizonte para el cálculo de la cantidad máxima diaria a generar </w:t>
      </w:r>
      <w:r w:rsidR="009952B5">
        <w:rPr>
          <w:rFonts w:ascii="Bookman Old Style" w:hAnsi="Bookman Old Style"/>
        </w:rPr>
        <w:t xml:space="preserve">debe ser </w:t>
      </w:r>
      <w:r>
        <w:rPr>
          <w:rFonts w:ascii="Bookman Old Style" w:hAnsi="Bookman Old Style"/>
        </w:rPr>
        <w:t xml:space="preserve">hasta el 1 mayo de 2016, fecha informada por EPM E.S.P. a la opinión pública </w:t>
      </w:r>
      <w:r w:rsidR="00E57FA9">
        <w:rPr>
          <w:rFonts w:ascii="Bookman Old Style" w:hAnsi="Bookman Old Style"/>
        </w:rPr>
        <w:t xml:space="preserve">como </w:t>
      </w:r>
      <w:r w:rsidR="009952B5">
        <w:rPr>
          <w:rFonts w:ascii="Bookman Old Style" w:hAnsi="Bookman Old Style"/>
        </w:rPr>
        <w:t xml:space="preserve">momento </w:t>
      </w:r>
      <w:r w:rsidR="00E57FA9">
        <w:rPr>
          <w:rFonts w:ascii="Bookman Old Style" w:hAnsi="Bookman Old Style"/>
        </w:rPr>
        <w:t xml:space="preserve">de </w:t>
      </w:r>
      <w:r>
        <w:rPr>
          <w:rFonts w:ascii="Bookman Old Style" w:hAnsi="Bookman Old Style"/>
        </w:rPr>
        <w:t>entrada de las primeras dos (2) unidades de la planta Guatapé.</w:t>
      </w:r>
    </w:p>
    <w:p w:rsidR="00916D61" w:rsidRDefault="00916D61" w:rsidP="00A60C08">
      <w:pPr>
        <w:ind w:left="0"/>
        <w:jc w:val="both"/>
        <w:rPr>
          <w:rFonts w:ascii="Bookman Old Style" w:hAnsi="Bookman Old Style"/>
        </w:rPr>
      </w:pPr>
    </w:p>
    <w:p w:rsidR="00727B7B" w:rsidRPr="002D2E52" w:rsidRDefault="009A33C1" w:rsidP="00A60C08">
      <w:pPr>
        <w:ind w:left="0"/>
        <w:jc w:val="both"/>
        <w:rPr>
          <w:rFonts w:ascii="Bookman Old Style" w:hAnsi="Bookman Old Style"/>
        </w:rPr>
      </w:pPr>
      <w:r w:rsidRPr="002D2E52">
        <w:rPr>
          <w:rFonts w:ascii="Bookman Old Style" w:hAnsi="Bookman Old Style"/>
        </w:rPr>
        <w:t>El Decreto 2108 del 2015 faculta a la CREG para tomar las medidas que garanticen la continuidad y calidad en la prestación del servicio de energía eléctrica en el Sistema Interconectado Nacional (SIN), en forma oportuna y permanente ante situaciones extraordinarias, transitorias y críticas, que pueden presentarse en un momento determinado y afectar la atención de la demanda eléctrica, y el suministro oportuno y regular a los usuarios finales.</w:t>
      </w:r>
    </w:p>
    <w:p w:rsidR="00E621F9" w:rsidRPr="002D2E52" w:rsidRDefault="00E621F9" w:rsidP="00A60C08">
      <w:pPr>
        <w:ind w:left="0"/>
        <w:jc w:val="both"/>
        <w:rPr>
          <w:rFonts w:ascii="Bookman Old Style" w:hAnsi="Bookman Old Style"/>
        </w:rPr>
      </w:pPr>
    </w:p>
    <w:p w:rsidR="00366894" w:rsidRPr="002D2E52" w:rsidRDefault="009A33C1" w:rsidP="004412D3">
      <w:pPr>
        <w:ind w:left="0"/>
        <w:jc w:val="both"/>
        <w:rPr>
          <w:rFonts w:ascii="Bookman Old Style" w:hAnsi="Bookman Old Style" w:cs="Arial"/>
          <w:lang w:val="es-ES_tradnl"/>
        </w:rPr>
      </w:pPr>
      <w:r w:rsidRPr="002D2E52">
        <w:rPr>
          <w:rFonts w:ascii="Bookman Old Style" w:hAnsi="Bookman Old Style" w:cs="Arial"/>
          <w:lang w:val="es-ES_tradnl"/>
        </w:rPr>
        <w:t xml:space="preserve">De conformidad con lo establecido en el artículo 2.2.13.3.3.2 del Decreto 1078 de 2015 “Por la cual se expide el Decreto Único Reglamentario del Sector Tecnologías dela información y las Comunicaciones” y </w:t>
      </w:r>
      <w:r w:rsidR="00091E4D">
        <w:rPr>
          <w:rFonts w:ascii="Bookman Old Style" w:hAnsi="Bookman Old Style" w:cs="Arial"/>
          <w:lang w:val="es-ES_tradnl"/>
        </w:rPr>
        <w:t>los</w:t>
      </w:r>
      <w:r w:rsidRPr="002D2E52">
        <w:rPr>
          <w:rFonts w:ascii="Bookman Old Style" w:hAnsi="Bookman Old Style" w:cs="Arial"/>
          <w:lang w:val="es-ES_tradnl"/>
        </w:rPr>
        <w:t xml:space="preserve"> numeral</w:t>
      </w:r>
      <w:r w:rsidR="00091E4D">
        <w:rPr>
          <w:rFonts w:ascii="Bookman Old Style" w:hAnsi="Bookman Old Style" w:cs="Arial"/>
          <w:lang w:val="es-ES_tradnl"/>
        </w:rPr>
        <w:t>es</w:t>
      </w:r>
      <w:r w:rsidRPr="002D2E52">
        <w:rPr>
          <w:rFonts w:ascii="Bookman Old Style" w:hAnsi="Bookman Old Style" w:cs="Arial"/>
          <w:lang w:val="es-ES_tradnl"/>
        </w:rPr>
        <w:t xml:space="preserve"> 4</w:t>
      </w:r>
      <w:r w:rsidR="00091E4D">
        <w:rPr>
          <w:rFonts w:ascii="Bookman Old Style" w:hAnsi="Bookman Old Style" w:cs="Arial"/>
          <w:lang w:val="es-ES_tradnl"/>
        </w:rPr>
        <w:t>y 3</w:t>
      </w:r>
      <w:r w:rsidRPr="002D2E52">
        <w:rPr>
          <w:rFonts w:ascii="Bookman Old Style" w:hAnsi="Bookman Old Style" w:cs="Arial"/>
          <w:lang w:val="es-ES_tradnl"/>
        </w:rPr>
        <w:t xml:space="preserve"> de</w:t>
      </w:r>
      <w:r w:rsidR="00091E4D">
        <w:rPr>
          <w:rFonts w:ascii="Bookman Old Style" w:hAnsi="Bookman Old Style" w:cs="Arial"/>
          <w:lang w:val="es-ES_tradnl"/>
        </w:rPr>
        <w:t xml:space="preserve"> </w:t>
      </w:r>
      <w:r w:rsidRPr="002D2E52">
        <w:rPr>
          <w:rFonts w:ascii="Bookman Old Style" w:hAnsi="Bookman Old Style" w:cs="Arial"/>
          <w:lang w:val="es-ES_tradnl"/>
        </w:rPr>
        <w:t>l</w:t>
      </w:r>
      <w:r w:rsidR="00091E4D">
        <w:rPr>
          <w:rFonts w:ascii="Bookman Old Style" w:hAnsi="Bookman Old Style" w:cs="Arial"/>
          <w:lang w:val="es-ES_tradnl"/>
        </w:rPr>
        <w:t>os</w:t>
      </w:r>
      <w:r w:rsidRPr="002D2E52">
        <w:rPr>
          <w:rFonts w:ascii="Bookman Old Style" w:hAnsi="Bookman Old Style" w:cs="Arial"/>
          <w:lang w:val="es-ES_tradnl"/>
        </w:rPr>
        <w:t xml:space="preserve"> artículo 1</w:t>
      </w:r>
      <w:r w:rsidR="00091E4D">
        <w:rPr>
          <w:rFonts w:ascii="Bookman Old Style" w:hAnsi="Bookman Old Style" w:cs="Arial"/>
          <w:lang w:val="es-ES_tradnl"/>
        </w:rPr>
        <w:t xml:space="preserve"> y 2 </w:t>
      </w:r>
      <w:r w:rsidRPr="002D2E52">
        <w:rPr>
          <w:rFonts w:ascii="Bookman Old Style" w:hAnsi="Bookman Old Style" w:cs="Arial"/>
          <w:lang w:val="es-ES_tradnl"/>
        </w:rPr>
        <w:t xml:space="preserve"> </w:t>
      </w:r>
      <w:r w:rsidR="00091E4D">
        <w:rPr>
          <w:rFonts w:ascii="Bookman Old Style" w:hAnsi="Bookman Old Style" w:cs="Arial"/>
          <w:lang w:val="es-ES_tradnl"/>
        </w:rPr>
        <w:t>respectivamente</w:t>
      </w:r>
      <w:r w:rsidR="00091E4D" w:rsidRPr="002D2E52">
        <w:rPr>
          <w:rFonts w:ascii="Bookman Old Style" w:hAnsi="Bookman Old Style" w:cs="Arial"/>
          <w:lang w:val="es-ES_tradnl"/>
        </w:rPr>
        <w:t xml:space="preserve"> </w:t>
      </w:r>
      <w:r w:rsidRPr="002D2E52">
        <w:rPr>
          <w:rFonts w:ascii="Bookman Old Style" w:hAnsi="Bookman Old Style" w:cs="Arial"/>
          <w:lang w:val="es-ES_tradnl"/>
        </w:rPr>
        <w:t>de la Resolución CREG 097 de 2004, la Comisión decidió por unanimidad no someter la presente Resolución a las disposiciones sobre publicidad de proyectos de regulación prevista en el citado Decreto, debido a la existencia de razones de orden económico, de conveniencia general y de oportunidad, toda vez que se requiere corregir a la mayor brevedad los desembalsamiento</w:t>
      </w:r>
      <w:r w:rsidR="00091E4D">
        <w:rPr>
          <w:rFonts w:ascii="Bookman Old Style" w:hAnsi="Bookman Old Style" w:cs="Arial"/>
          <w:lang w:val="es-ES_tradnl"/>
        </w:rPr>
        <w:t>s</w:t>
      </w:r>
      <w:r w:rsidRPr="002D2E52">
        <w:rPr>
          <w:rFonts w:ascii="Bookman Old Style" w:hAnsi="Bookman Old Style" w:cs="Arial"/>
          <w:lang w:val="es-ES_tradnl"/>
        </w:rPr>
        <w:t xml:space="preserve"> acelerados, </w:t>
      </w:r>
      <w:r w:rsidR="009952B5">
        <w:rPr>
          <w:rFonts w:ascii="Bookman Old Style" w:hAnsi="Bookman Old Style" w:cs="Arial"/>
          <w:lang w:val="es-ES_tradnl"/>
        </w:rPr>
        <w:t xml:space="preserve">dado que estos pueden poner en </w:t>
      </w:r>
      <w:r w:rsidRPr="002D2E52">
        <w:rPr>
          <w:rFonts w:ascii="Bookman Old Style" w:hAnsi="Bookman Old Style" w:cs="Arial"/>
          <w:lang w:val="es-ES_tradnl"/>
        </w:rPr>
        <w:t>riesgo la atención de la demanda</w:t>
      </w:r>
      <w:r w:rsidR="009952B5">
        <w:rPr>
          <w:rFonts w:ascii="Bookman Old Style" w:hAnsi="Bookman Old Style" w:cs="Arial"/>
          <w:lang w:val="es-ES_tradnl"/>
        </w:rPr>
        <w:t xml:space="preserve"> durante la fase final de la condición crítica que se está presentando</w:t>
      </w:r>
      <w:r w:rsidRPr="002D2E52">
        <w:rPr>
          <w:rFonts w:ascii="Bookman Old Style" w:hAnsi="Bookman Old Style" w:cs="Arial"/>
          <w:lang w:val="es-ES_tradnl"/>
        </w:rPr>
        <w:t>.</w:t>
      </w:r>
    </w:p>
    <w:p w:rsidR="00FA6DB0" w:rsidRDefault="00FA6DB0" w:rsidP="004412D3">
      <w:pPr>
        <w:ind w:left="0"/>
        <w:jc w:val="both"/>
        <w:rPr>
          <w:rFonts w:ascii="Bookman Old Style" w:hAnsi="Bookman Old Style" w:cs="Arial"/>
          <w:highlight w:val="yellow"/>
          <w:lang w:val="es-ES_tradnl"/>
        </w:rPr>
      </w:pPr>
    </w:p>
    <w:p w:rsidR="004F71A7" w:rsidRDefault="00AB3E43" w:rsidP="004412D3">
      <w:pPr>
        <w:ind w:left="0"/>
        <w:jc w:val="both"/>
        <w:rPr>
          <w:rFonts w:ascii="Bookman Old Style" w:hAnsi="Bookman Old Style" w:cs="Arial"/>
          <w:lang w:val="es-ES_tradnl"/>
        </w:rPr>
      </w:pPr>
      <w:r>
        <w:rPr>
          <w:rFonts w:ascii="Bookman Old Style" w:hAnsi="Bookman Old Style" w:cs="Arial"/>
          <w:lang w:val="es-ES_tradnl"/>
        </w:rPr>
        <w:t>Adicionalmente</w:t>
      </w:r>
      <w:r w:rsidR="009A33C1" w:rsidRPr="002D2E52">
        <w:rPr>
          <w:rFonts w:ascii="Bookman Old Style" w:hAnsi="Bookman Old Style" w:cs="Arial"/>
          <w:lang w:val="es-ES_tradnl"/>
        </w:rPr>
        <w:t xml:space="preserve"> la Comisión antes de la expedición de la decisión definitiva</w:t>
      </w:r>
      <w:r w:rsidR="002C47DA">
        <w:rPr>
          <w:rFonts w:ascii="Bookman Old Style" w:hAnsi="Bookman Old Style" w:cs="Arial"/>
          <w:lang w:val="es-ES_tradnl"/>
        </w:rPr>
        <w:t>,</w:t>
      </w:r>
      <w:r w:rsidR="009A33C1" w:rsidRPr="002D2E52">
        <w:rPr>
          <w:rFonts w:ascii="Bookman Old Style" w:hAnsi="Bookman Old Style" w:cs="Arial"/>
          <w:lang w:val="es-ES_tradnl"/>
        </w:rPr>
        <w:t xml:space="preserve"> consider</w:t>
      </w:r>
      <w:r w:rsidR="002C47DA">
        <w:rPr>
          <w:rFonts w:ascii="Bookman Old Style" w:hAnsi="Bookman Old Style" w:cs="Arial"/>
          <w:lang w:val="es-ES_tradnl"/>
        </w:rPr>
        <w:t>ó</w:t>
      </w:r>
      <w:r w:rsidR="009A33C1" w:rsidRPr="002D2E52">
        <w:rPr>
          <w:rFonts w:ascii="Bookman Old Style" w:hAnsi="Bookman Old Style" w:cs="Arial"/>
          <w:lang w:val="es-ES_tradnl"/>
        </w:rPr>
        <w:t xml:space="preserve"> pertinente publicar</w:t>
      </w:r>
      <w:r w:rsidR="002C47DA">
        <w:rPr>
          <w:rFonts w:ascii="Bookman Old Style" w:hAnsi="Bookman Old Style" w:cs="Arial"/>
          <w:lang w:val="es-ES_tradnl"/>
        </w:rPr>
        <w:t xml:space="preserve"> por un término corto</w:t>
      </w:r>
      <w:r w:rsidR="009A33C1" w:rsidRPr="002D2E52">
        <w:rPr>
          <w:rFonts w:ascii="Bookman Old Style" w:hAnsi="Bookman Old Style" w:cs="Arial"/>
          <w:lang w:val="es-ES_tradnl"/>
        </w:rPr>
        <w:t xml:space="preserve"> para comentarios el proyecto de </w:t>
      </w:r>
      <w:r w:rsidR="00287F21">
        <w:rPr>
          <w:rFonts w:ascii="Bookman Old Style" w:hAnsi="Bookman Old Style" w:cs="Arial"/>
          <w:lang w:val="es-ES_tradnl"/>
        </w:rPr>
        <w:t>R</w:t>
      </w:r>
      <w:r w:rsidR="009A33C1" w:rsidRPr="002D2E52">
        <w:rPr>
          <w:rFonts w:ascii="Bookman Old Style" w:hAnsi="Bookman Old Style" w:cs="Arial"/>
          <w:lang w:val="es-ES_tradnl"/>
        </w:rPr>
        <w:t>esolución</w:t>
      </w:r>
      <w:r w:rsidR="00287F21">
        <w:rPr>
          <w:rFonts w:ascii="Bookman Old Style" w:hAnsi="Bookman Old Style" w:cs="Arial"/>
          <w:lang w:val="es-ES_tradnl"/>
        </w:rPr>
        <w:t xml:space="preserve"> CREG 040 de 2016</w:t>
      </w:r>
      <w:r w:rsidR="009A33C1" w:rsidRPr="002D2E52">
        <w:rPr>
          <w:rFonts w:ascii="Bookman Old Style" w:hAnsi="Bookman Old Style" w:cs="Arial"/>
          <w:lang w:val="es-ES_tradnl"/>
        </w:rPr>
        <w:t xml:space="preserve">. </w:t>
      </w:r>
    </w:p>
    <w:p w:rsidR="00287F21" w:rsidRDefault="00287F21" w:rsidP="004412D3">
      <w:pPr>
        <w:ind w:left="0"/>
        <w:jc w:val="both"/>
        <w:rPr>
          <w:rFonts w:ascii="Bookman Old Style" w:hAnsi="Bookman Old Style" w:cs="Arial"/>
          <w:lang w:val="es-ES_tradnl"/>
        </w:rPr>
      </w:pPr>
    </w:p>
    <w:p w:rsidR="002F02BA" w:rsidRDefault="00287F21" w:rsidP="004412D3">
      <w:pPr>
        <w:ind w:left="0"/>
        <w:jc w:val="both"/>
        <w:rPr>
          <w:rFonts w:ascii="Bookman Old Style" w:hAnsi="Bookman Old Style" w:cs="Arial"/>
          <w:lang w:val="es-ES_tradnl"/>
        </w:rPr>
      </w:pPr>
      <w:r>
        <w:rPr>
          <w:rFonts w:ascii="Bookman Old Style" w:hAnsi="Bookman Old Style" w:cs="Arial"/>
          <w:lang w:val="es-ES_tradnl"/>
        </w:rPr>
        <w:t>Una vez transcurrido el plazo comentarios se recibieron de: Termobarranquilla S.A. E.S.P., radicado E-2016-003086, Isagen S.A. E.S.P., radicado E-2016-003090, Celsia S.A. E.S.P., radicado E-2016-003108, Emgesa S.A. E.S.P., radicado E-2016-003109, EPM E.S.P., radicado E-2016-003111, Acolgen, radicado E-2016-003115, Condensa S.A. E.S.P., radicado E-2016</w:t>
      </w:r>
      <w:r w:rsidR="002F02BA">
        <w:rPr>
          <w:rFonts w:ascii="Bookman Old Style" w:hAnsi="Bookman Old Style" w:cs="Arial"/>
          <w:lang w:val="es-ES_tradnl"/>
        </w:rPr>
        <w:t>-003118, y XM S.A. E.S.P., radicado E-2016-003143.</w:t>
      </w:r>
    </w:p>
    <w:p w:rsidR="002F02BA" w:rsidRDefault="002F02BA" w:rsidP="004412D3">
      <w:pPr>
        <w:ind w:left="0"/>
        <w:jc w:val="both"/>
        <w:rPr>
          <w:rFonts w:ascii="Bookman Old Style" w:hAnsi="Bookman Old Style" w:cs="Arial"/>
          <w:lang w:val="es-ES_tradnl"/>
        </w:rPr>
      </w:pPr>
    </w:p>
    <w:p w:rsidR="00287F21" w:rsidRDefault="002F02BA" w:rsidP="004412D3">
      <w:pPr>
        <w:ind w:left="0"/>
        <w:jc w:val="both"/>
        <w:rPr>
          <w:rFonts w:ascii="Bookman Old Style" w:hAnsi="Bookman Old Style" w:cs="Arial"/>
          <w:lang w:val="es-ES_tradnl"/>
        </w:rPr>
      </w:pPr>
      <w:r>
        <w:rPr>
          <w:rFonts w:ascii="Bookman Old Style" w:hAnsi="Bookman Old Style" w:cs="Arial"/>
          <w:lang w:val="es-ES_tradnl"/>
        </w:rPr>
        <w:t>La CREG solicit</w:t>
      </w:r>
      <w:r w:rsidR="006C2D16">
        <w:rPr>
          <w:rFonts w:ascii="Bookman Old Style" w:hAnsi="Bookman Old Style" w:cs="Arial"/>
          <w:lang w:val="es-ES_tradnl"/>
        </w:rPr>
        <w:t>ó</w:t>
      </w:r>
      <w:r>
        <w:rPr>
          <w:rFonts w:ascii="Bookman Old Style" w:hAnsi="Bookman Old Style" w:cs="Arial"/>
          <w:lang w:val="es-ES_tradnl"/>
        </w:rPr>
        <w:t xml:space="preserve"> concepto al proyecto de resolución</w:t>
      </w:r>
      <w:r w:rsidR="006C2D16">
        <w:rPr>
          <w:rFonts w:ascii="Bookman Old Style" w:hAnsi="Bookman Old Style" w:cs="Arial"/>
          <w:lang w:val="es-ES_tradnl"/>
        </w:rPr>
        <w:t xml:space="preserve"> CREG 040 de 2016</w:t>
      </w:r>
      <w:r>
        <w:rPr>
          <w:rFonts w:ascii="Bookman Old Style" w:hAnsi="Bookman Old Style" w:cs="Arial"/>
          <w:lang w:val="es-ES_tradnl"/>
        </w:rPr>
        <w:t xml:space="preserve"> al Consejo Nacional de Operación (C.N.O.) mediante comunicación S-2016-001452 y dicha entidad remitió sus comentarios con comunicación con radicado E-2016-003126.</w:t>
      </w:r>
    </w:p>
    <w:p w:rsidR="00287F21" w:rsidRDefault="00287F21" w:rsidP="004412D3">
      <w:pPr>
        <w:ind w:left="0"/>
        <w:jc w:val="both"/>
        <w:rPr>
          <w:rFonts w:ascii="Bookman Old Style" w:hAnsi="Bookman Old Style" w:cs="Arial"/>
          <w:highlight w:val="yellow"/>
          <w:lang w:val="es-ES_tradnl"/>
        </w:rPr>
      </w:pPr>
    </w:p>
    <w:p w:rsidR="0093009C" w:rsidRPr="0093009C" w:rsidRDefault="0093009C" w:rsidP="004412D3">
      <w:pPr>
        <w:ind w:left="0"/>
        <w:jc w:val="both"/>
        <w:rPr>
          <w:rFonts w:ascii="Bookman Old Style" w:hAnsi="Bookman Old Style" w:cs="Arial"/>
          <w:lang w:val="es-ES_tradnl"/>
        </w:rPr>
      </w:pPr>
      <w:r w:rsidRPr="0093009C">
        <w:rPr>
          <w:rFonts w:ascii="Bookman Old Style" w:hAnsi="Bookman Old Style" w:cs="Arial"/>
          <w:lang w:val="es-ES_tradnl"/>
        </w:rPr>
        <w:t>El análisi</w:t>
      </w:r>
      <w:r>
        <w:rPr>
          <w:rFonts w:ascii="Bookman Old Style" w:hAnsi="Bookman Old Style" w:cs="Arial"/>
          <w:lang w:val="es-ES_tradnl"/>
        </w:rPr>
        <w:t xml:space="preserve">s de los comentarios, sugerencias y modificaciones se tiene en el Documento CREG </w:t>
      </w:r>
      <w:r w:rsidR="006D4537">
        <w:rPr>
          <w:rFonts w:ascii="Bookman Old Style" w:hAnsi="Bookman Old Style" w:cs="Arial"/>
          <w:lang w:val="es-ES_tradnl"/>
        </w:rPr>
        <w:t xml:space="preserve">021 </w:t>
      </w:r>
      <w:r>
        <w:rPr>
          <w:rFonts w:ascii="Bookman Old Style" w:hAnsi="Bookman Old Style" w:cs="Arial"/>
          <w:lang w:val="es-ES_tradnl"/>
        </w:rPr>
        <w:t>del 1 de abril de 2016.</w:t>
      </w:r>
    </w:p>
    <w:p w:rsidR="0093009C" w:rsidRDefault="0093009C" w:rsidP="004412D3">
      <w:pPr>
        <w:ind w:left="0"/>
        <w:jc w:val="both"/>
        <w:rPr>
          <w:rFonts w:ascii="Bookman Old Style" w:hAnsi="Bookman Old Style" w:cs="Arial"/>
          <w:highlight w:val="yellow"/>
          <w:lang w:val="es-ES_tradnl"/>
        </w:rPr>
      </w:pPr>
    </w:p>
    <w:p w:rsidR="00FA6DB0" w:rsidRDefault="009A33C1" w:rsidP="004412D3">
      <w:pPr>
        <w:ind w:left="0"/>
        <w:jc w:val="both"/>
        <w:rPr>
          <w:rFonts w:ascii="Bookman Old Style" w:hAnsi="Bookman Old Style" w:cs="Arial"/>
          <w:lang w:val="es-ES_tradnl"/>
        </w:rPr>
      </w:pPr>
      <w:r w:rsidRPr="002D2E52">
        <w:rPr>
          <w:rFonts w:ascii="Bookman Old Style" w:hAnsi="Bookman Old Style" w:cs="Arial"/>
          <w:lang w:val="es-ES_tradnl"/>
        </w:rPr>
        <w:t xml:space="preserve">Según lo señalado en el Decreto 1074 de 2015 “Por el cual se expide el Decreto Único Reglamentario del Sector de Industria y Comercio”, no se informa de esta resolución a la Superintendencia de Industria y Comercio (SIC) por cuanto, el presente acto administrativo se expide en aras </w:t>
      </w:r>
      <w:r w:rsidR="004F71A7">
        <w:rPr>
          <w:rFonts w:ascii="Bookman Old Style" w:hAnsi="Bookman Old Style" w:cs="Arial"/>
          <w:lang w:val="es-ES_tradnl"/>
        </w:rPr>
        <w:t>a garantizar la seguridad en el suministro del servicio de energía eléctrica durante la fase final de la condición crítica por la que se está atravesando</w:t>
      </w:r>
      <w:r w:rsidRPr="002D2E52">
        <w:rPr>
          <w:rFonts w:ascii="Bookman Old Style" w:hAnsi="Bookman Old Style" w:cs="Arial"/>
          <w:lang w:val="es-ES_tradnl"/>
        </w:rPr>
        <w:t>, circunstancia que se encuentra como causal de exoneración de consulta a la SIC conforme al artículo 2.2.2.30.4 numeral 1.2 del precitado Decreto.</w:t>
      </w:r>
      <w:r w:rsidR="00FA6DB0">
        <w:rPr>
          <w:rFonts w:ascii="Bookman Old Style" w:hAnsi="Bookman Old Style" w:cs="Arial"/>
          <w:lang w:val="es-ES_tradnl"/>
        </w:rPr>
        <w:t xml:space="preserve">  </w:t>
      </w:r>
    </w:p>
    <w:p w:rsidR="0093009C" w:rsidRDefault="0093009C" w:rsidP="004412D3">
      <w:pPr>
        <w:ind w:left="0"/>
        <w:jc w:val="both"/>
        <w:rPr>
          <w:rFonts w:ascii="Bookman Old Style" w:hAnsi="Bookman Old Style" w:cs="Arial"/>
          <w:lang w:val="es-ES_tradnl"/>
        </w:rPr>
      </w:pPr>
    </w:p>
    <w:p w:rsidR="002F02BA" w:rsidRDefault="002F02BA" w:rsidP="004412D3">
      <w:pPr>
        <w:ind w:left="0"/>
        <w:jc w:val="both"/>
        <w:rPr>
          <w:rFonts w:ascii="Bookman Old Style" w:hAnsi="Bookman Old Style" w:cs="Arial"/>
          <w:lang w:val="es-ES_tradnl"/>
        </w:rPr>
      </w:pPr>
      <w:r>
        <w:rPr>
          <w:rFonts w:ascii="Bookman Old Style" w:hAnsi="Bookman Old Style" w:cs="Arial"/>
          <w:lang w:val="es-ES_tradnl"/>
        </w:rPr>
        <w:t xml:space="preserve">La Comisión de Regulación de Energía y Gas, en su sesión </w:t>
      </w:r>
      <w:r w:rsidR="00A978D0" w:rsidRPr="00441E65">
        <w:rPr>
          <w:rFonts w:ascii="Bookman Old Style" w:hAnsi="Bookman Old Style" w:cs="Arial"/>
          <w:lang w:val="es-ES_tradnl"/>
        </w:rPr>
        <w:t>711</w:t>
      </w:r>
      <w:r>
        <w:rPr>
          <w:rFonts w:ascii="Bookman Old Style" w:hAnsi="Bookman Old Style" w:cs="Arial"/>
          <w:lang w:val="es-ES_tradnl"/>
        </w:rPr>
        <w:t xml:space="preserve"> del 1 de abril de 2016, acordó expedir la presente resolución.</w:t>
      </w:r>
    </w:p>
    <w:p w:rsidR="002F02BA" w:rsidRDefault="002F02BA" w:rsidP="004412D3">
      <w:pPr>
        <w:ind w:left="0"/>
        <w:jc w:val="both"/>
        <w:rPr>
          <w:rFonts w:ascii="Bookman Old Style" w:hAnsi="Bookman Old Style" w:cs="Arial"/>
          <w:lang w:val="es-ES_tradnl"/>
        </w:rPr>
      </w:pPr>
    </w:p>
    <w:p w:rsidR="008D502B" w:rsidRPr="002F02BA" w:rsidRDefault="008D502B" w:rsidP="008D502B">
      <w:pPr>
        <w:ind w:left="0"/>
        <w:jc w:val="both"/>
        <w:rPr>
          <w:rFonts w:ascii="Bookman Old Style" w:hAnsi="Bookman Old Style"/>
          <w:lang w:val="es-ES_tradnl"/>
        </w:rPr>
      </w:pPr>
    </w:p>
    <w:p w:rsidR="008D502B" w:rsidRPr="00C435C3" w:rsidRDefault="008D502B" w:rsidP="002301FE">
      <w:pPr>
        <w:suppressAutoHyphens/>
        <w:jc w:val="center"/>
        <w:rPr>
          <w:rFonts w:ascii="Bookman Old Style" w:hAnsi="Bookman Old Style"/>
          <w:spacing w:val="-3"/>
        </w:rPr>
      </w:pPr>
      <w:r w:rsidRPr="00C435C3">
        <w:rPr>
          <w:rFonts w:ascii="Bookman Old Style" w:hAnsi="Bookman Old Style"/>
          <w:b/>
          <w:spacing w:val="-3"/>
        </w:rPr>
        <w:t>R E S U E L V E:</w:t>
      </w:r>
    </w:p>
    <w:p w:rsidR="008C56A2" w:rsidRDefault="008C56A2" w:rsidP="00E060BE">
      <w:pPr>
        <w:tabs>
          <w:tab w:val="center" w:pos="4512"/>
          <w:tab w:val="left" w:pos="7088"/>
        </w:tabs>
        <w:suppressAutoHyphens/>
        <w:ind w:left="0" w:right="51"/>
        <w:rPr>
          <w:rFonts w:ascii="Bookman Old Style" w:hAnsi="Bookman Old Style" w:cs="Arial"/>
          <w:b/>
          <w:color w:val="000000"/>
        </w:rPr>
      </w:pPr>
    </w:p>
    <w:p w:rsidR="006F1378" w:rsidRDefault="006F1378" w:rsidP="006F1378">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b/>
          <w:color w:val="000000"/>
        </w:rPr>
        <w:t>Artículo 1. Determinación de la cantidad máxima diaria (Qmax).</w:t>
      </w:r>
      <w:r>
        <w:rPr>
          <w:rFonts w:ascii="Bookman Old Style" w:hAnsi="Bookman Old Style" w:cs="Arial"/>
          <w:color w:val="000000"/>
        </w:rPr>
        <w:t xml:space="preserve"> La cantidad máxima diaria </w:t>
      </w:r>
      <w:r w:rsidR="00734A2A">
        <w:rPr>
          <w:rFonts w:ascii="Bookman Old Style" w:hAnsi="Bookman Old Style" w:cs="Arial"/>
          <w:color w:val="000000"/>
        </w:rPr>
        <w:t xml:space="preserve">a generar </w:t>
      </w:r>
      <w:r>
        <w:rPr>
          <w:rFonts w:ascii="Bookman Old Style" w:hAnsi="Bookman Old Style" w:cs="Arial"/>
          <w:color w:val="000000"/>
        </w:rPr>
        <w:t xml:space="preserve">para plantas hidráulicas </w:t>
      </w:r>
      <w:r w:rsidR="00734A2A">
        <w:rPr>
          <w:rFonts w:ascii="Bookman Old Style" w:hAnsi="Bookman Old Style" w:cs="Arial"/>
          <w:color w:val="000000"/>
        </w:rPr>
        <w:t xml:space="preserve">con embalse </w:t>
      </w:r>
      <w:r>
        <w:rPr>
          <w:rFonts w:ascii="Bookman Old Style" w:hAnsi="Bookman Old Style" w:cs="Arial"/>
          <w:color w:val="000000"/>
        </w:rPr>
        <w:t>se determinará con la siguiente ecuación:</w:t>
      </w:r>
    </w:p>
    <w:p w:rsidR="0065404A" w:rsidRDefault="0065404A" w:rsidP="006F1378">
      <w:pPr>
        <w:tabs>
          <w:tab w:val="center" w:pos="4512"/>
          <w:tab w:val="left" w:pos="7088"/>
        </w:tabs>
        <w:suppressAutoHyphens/>
        <w:ind w:left="0" w:right="51"/>
        <w:jc w:val="both"/>
        <w:rPr>
          <w:rFonts w:ascii="Bookman Old Style" w:hAnsi="Bookman Old Style" w:cs="Arial"/>
          <w:color w:val="000000"/>
        </w:rPr>
      </w:pPr>
    </w:p>
    <w:p w:rsidR="006F1378" w:rsidRDefault="006F1378" w:rsidP="006F1378">
      <w:pPr>
        <w:tabs>
          <w:tab w:val="center" w:pos="4512"/>
          <w:tab w:val="left" w:pos="7088"/>
        </w:tabs>
        <w:suppressAutoHyphens/>
        <w:ind w:left="0" w:right="51"/>
        <w:jc w:val="both"/>
        <w:rPr>
          <w:rFonts w:ascii="Bookman Old Style" w:hAnsi="Bookman Old Style" w:cs="Arial"/>
          <w:color w:val="000000"/>
        </w:rPr>
      </w:pPr>
    </w:p>
    <w:p w:rsidR="006F1378" w:rsidRPr="00734A2A" w:rsidRDefault="00F937CF" w:rsidP="006F1378">
      <w:pPr>
        <w:tabs>
          <w:tab w:val="center" w:pos="4512"/>
          <w:tab w:val="left" w:pos="7088"/>
        </w:tabs>
        <w:suppressAutoHyphens/>
        <w:ind w:left="0" w:right="51"/>
        <w:jc w:val="both"/>
        <w:rPr>
          <w:rFonts w:ascii="Bookman Old Style" w:hAnsi="Bookman Old Style" w:cs="Arial"/>
          <w:color w:val="000000"/>
        </w:rPr>
      </w:pPr>
      <m:oMathPara>
        <m:oMath>
          <m:sSub>
            <m:sSubPr>
              <m:ctrlPr>
                <w:rPr>
                  <w:rFonts w:ascii="Cambria Math" w:hAnsi="Cambria Math" w:cs="Arial"/>
                  <w:i/>
                  <w:color w:val="000000"/>
                </w:rPr>
              </m:ctrlPr>
            </m:sSubPr>
            <m:e>
              <m:r>
                <w:rPr>
                  <w:rFonts w:ascii="Cambria Math" w:hAnsi="Cambria Math" w:cs="Arial"/>
                  <w:color w:val="000000"/>
                </w:rPr>
                <m:t>Qmax</m:t>
              </m:r>
            </m:e>
            <m:sub>
              <m:r>
                <w:rPr>
                  <w:rFonts w:ascii="Cambria Math" w:hAnsi="Cambria Math" w:cs="Arial"/>
                  <w:color w:val="000000"/>
                </w:rPr>
                <m:t>r,d+1</m:t>
              </m:r>
            </m:sub>
          </m:sSub>
          <m:r>
            <w:rPr>
              <w:rFonts w:ascii="Cambria Math" w:hAnsi="Cambria Math" w:cs="Arial"/>
              <w:color w:val="000000"/>
            </w:rPr>
            <m:t>=max</m:t>
          </m:r>
          <m:d>
            <m:dPr>
              <m:ctrlPr>
                <w:rPr>
                  <w:rFonts w:ascii="Cambria Math" w:hAnsi="Cambria Math" w:cs="Arial"/>
                  <w:i/>
                  <w:color w:val="000000"/>
                </w:rPr>
              </m:ctrlPr>
            </m:dPr>
            <m:e>
              <m:r>
                <w:rPr>
                  <w:rFonts w:ascii="Cambria Math" w:hAnsi="Cambria Math" w:cs="Arial"/>
                  <w:color w:val="000000"/>
                </w:rPr>
                <m:t>0,</m:t>
              </m:r>
              <m:f>
                <m:fPr>
                  <m:ctrlPr>
                    <w:rPr>
                      <w:rFonts w:ascii="Cambria Math" w:hAnsi="Cambria Math" w:cs="Arial"/>
                      <w:i/>
                      <w:color w:val="000000"/>
                    </w:rPr>
                  </m:ctrlPr>
                </m:fPr>
                <m:num>
                  <m:sSub>
                    <m:sSubPr>
                      <m:ctrlPr>
                        <w:rPr>
                          <w:rFonts w:ascii="Cambria Math" w:hAnsi="Cambria Math" w:cs="Arial"/>
                          <w:i/>
                          <w:color w:val="000000"/>
                        </w:rPr>
                      </m:ctrlPr>
                    </m:sSubPr>
                    <m:e>
                      <m:r>
                        <w:rPr>
                          <w:rFonts w:ascii="Cambria Math" w:hAnsi="Cambria Math" w:cs="Arial"/>
                          <w:color w:val="000000"/>
                        </w:rPr>
                        <m:t>VUD</m:t>
                      </m:r>
                    </m:e>
                    <m:sub>
                      <m:r>
                        <w:rPr>
                          <w:rFonts w:ascii="Cambria Math" w:hAnsi="Cambria Math" w:cs="Arial"/>
                          <w:color w:val="000000"/>
                        </w:rPr>
                        <m:t>r,d-1</m:t>
                      </m:r>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VUm</m:t>
                      </m:r>
                    </m:e>
                    <m:sub>
                      <m:r>
                        <w:rPr>
                          <w:rFonts w:ascii="Cambria Math" w:hAnsi="Cambria Math" w:cs="Arial"/>
                          <w:color w:val="000000"/>
                        </w:rPr>
                        <m:t>r</m:t>
                      </m:r>
                    </m:sub>
                  </m:sSub>
                  <m:r>
                    <w:rPr>
                      <w:rFonts w:ascii="Cambria Math" w:hAnsi="Cambria Math" w:cs="Arial"/>
                      <w:color w:val="000000"/>
                    </w:rPr>
                    <m:t>+</m:t>
                  </m:r>
                  <m:nary>
                    <m:naryPr>
                      <m:chr m:val="∑"/>
                      <m:limLoc m:val="undOvr"/>
                      <m:ctrlPr>
                        <w:rPr>
                          <w:rFonts w:ascii="Cambria Math" w:hAnsi="Cambria Math" w:cs="Arial"/>
                          <w:i/>
                          <w:color w:val="000000"/>
                        </w:rPr>
                      </m:ctrlPr>
                    </m:naryPr>
                    <m:sub>
                      <m:r>
                        <w:rPr>
                          <w:rFonts w:ascii="Cambria Math" w:hAnsi="Cambria Math" w:cs="Arial"/>
                          <w:color w:val="000000"/>
                        </w:rPr>
                        <m:t>i=d+1</m:t>
                      </m:r>
                    </m:sub>
                    <m:sup>
                      <m:r>
                        <w:rPr>
                          <w:rFonts w:ascii="Cambria Math" w:hAnsi="Cambria Math" w:cs="Arial"/>
                          <w:color w:val="000000"/>
                        </w:rPr>
                        <m:t>#días</m:t>
                      </m:r>
                    </m:sup>
                    <m:e>
                      <m:sSub>
                        <m:sSubPr>
                          <m:ctrlPr>
                            <w:rPr>
                              <w:rFonts w:ascii="Cambria Math" w:hAnsi="Cambria Math" w:cs="Arial"/>
                              <w:i/>
                              <w:color w:val="000000"/>
                            </w:rPr>
                          </m:ctrlPr>
                        </m:sSubPr>
                        <m:e>
                          <m:r>
                            <w:rPr>
                              <w:rFonts w:ascii="Cambria Math" w:hAnsi="Cambria Math" w:cs="Arial"/>
                              <w:color w:val="000000"/>
                            </w:rPr>
                            <m:t>Aportes</m:t>
                          </m:r>
                        </m:e>
                        <m:sub>
                          <m:r>
                            <w:rPr>
                              <w:rFonts w:ascii="Cambria Math" w:hAnsi="Cambria Math" w:cs="Arial"/>
                              <w:color w:val="000000"/>
                            </w:rPr>
                            <m:t>i</m:t>
                          </m:r>
                        </m:sub>
                      </m:sSub>
                    </m:e>
                  </m:nary>
                </m:num>
                <m:den>
                  <m:r>
                    <w:rPr>
                      <w:rFonts w:ascii="Cambria Math" w:hAnsi="Cambria Math" w:cs="Arial"/>
                      <w:color w:val="000000"/>
                    </w:rPr>
                    <m:t>#días</m:t>
                  </m:r>
                </m:den>
              </m:f>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τ</m:t>
                  </m:r>
                </m:e>
                <m:sub>
                  <m:r>
                    <w:rPr>
                      <w:rFonts w:ascii="Cambria Math" w:hAnsi="Cambria Math" w:cs="Arial"/>
                      <w:color w:val="000000"/>
                    </w:rPr>
                    <m:t>ra,d+1</m:t>
                  </m:r>
                </m:sub>
              </m:sSub>
            </m:e>
          </m:d>
        </m:oMath>
      </m:oMathPara>
    </w:p>
    <w:p w:rsidR="006F1378" w:rsidRDefault="006F1378" w:rsidP="006F1378">
      <w:pPr>
        <w:tabs>
          <w:tab w:val="center" w:pos="4512"/>
          <w:tab w:val="left" w:pos="7088"/>
        </w:tabs>
        <w:suppressAutoHyphens/>
        <w:ind w:left="0" w:right="51"/>
        <w:jc w:val="both"/>
        <w:rPr>
          <w:rFonts w:ascii="Bookman Old Style" w:hAnsi="Bookman Old Style" w:cs="Arial"/>
          <w:b/>
          <w:color w:val="000000"/>
        </w:rPr>
      </w:pPr>
    </w:p>
    <w:p w:rsidR="00566DFC" w:rsidRDefault="00566DFC" w:rsidP="00E060BE">
      <w:pPr>
        <w:tabs>
          <w:tab w:val="center" w:pos="4512"/>
          <w:tab w:val="left" w:pos="7088"/>
        </w:tabs>
        <w:suppressAutoHyphens/>
        <w:ind w:left="0" w:right="51"/>
        <w:rPr>
          <w:rFonts w:ascii="Bookman Old Style" w:hAnsi="Bookman Old Style" w:cs="Arial"/>
          <w:color w:val="000000"/>
        </w:rPr>
      </w:pPr>
    </w:p>
    <w:p w:rsidR="00734A2A" w:rsidRDefault="00734A2A" w:rsidP="00E060BE">
      <w:pPr>
        <w:tabs>
          <w:tab w:val="center" w:pos="4512"/>
          <w:tab w:val="left" w:pos="7088"/>
        </w:tabs>
        <w:suppressAutoHyphens/>
        <w:ind w:left="0" w:right="51"/>
        <w:rPr>
          <w:rFonts w:ascii="Bookman Old Style" w:hAnsi="Bookman Old Style" w:cs="Arial"/>
          <w:color w:val="000000"/>
        </w:rPr>
      </w:pPr>
      <w:r>
        <w:rPr>
          <w:rFonts w:ascii="Bookman Old Style" w:hAnsi="Bookman Old Style" w:cs="Arial"/>
          <w:color w:val="000000"/>
        </w:rPr>
        <w:t>donde:</w:t>
      </w:r>
    </w:p>
    <w:p w:rsidR="00734A2A" w:rsidRDefault="00734A2A" w:rsidP="00D877BC">
      <w:pPr>
        <w:tabs>
          <w:tab w:val="center" w:pos="4512"/>
          <w:tab w:val="left" w:pos="7088"/>
        </w:tabs>
        <w:suppressAutoHyphens/>
        <w:ind w:left="0" w:right="51"/>
        <w:jc w:val="both"/>
        <w:rPr>
          <w:rFonts w:ascii="Bookman Old Style" w:hAnsi="Bookman Old Style" w:cs="Arial"/>
          <w:color w:val="000000"/>
        </w:rPr>
      </w:pPr>
    </w:p>
    <w:p w:rsidR="00734A2A" w:rsidRDefault="00734A2A" w:rsidP="00D877BC">
      <w:pPr>
        <w:tabs>
          <w:tab w:val="center" w:pos="4512"/>
          <w:tab w:val="left" w:pos="7088"/>
        </w:tabs>
        <w:suppressAutoHyphens/>
        <w:ind w:left="1418" w:right="51" w:hanging="1418"/>
        <w:jc w:val="both"/>
        <w:rPr>
          <w:rFonts w:ascii="Bookman Old Style" w:hAnsi="Bookman Old Style" w:cs="Arial"/>
          <w:color w:val="000000"/>
        </w:rPr>
      </w:pPr>
      <w:r>
        <w:rPr>
          <w:rFonts w:ascii="Bookman Old Style" w:hAnsi="Bookman Old Style" w:cs="Arial"/>
          <w:color w:val="000000"/>
        </w:rPr>
        <w:t>Qmax</w:t>
      </w:r>
      <w:r w:rsidRPr="00734A2A">
        <w:rPr>
          <w:rFonts w:ascii="Bookman Old Style" w:hAnsi="Bookman Old Style" w:cs="Arial"/>
          <w:color w:val="000000"/>
          <w:vertAlign w:val="subscript"/>
        </w:rPr>
        <w:t>r,d+1</w:t>
      </w:r>
      <w:r>
        <w:rPr>
          <w:rFonts w:ascii="Bookman Old Style" w:hAnsi="Bookman Old Style" w:cs="Arial"/>
          <w:color w:val="000000"/>
        </w:rPr>
        <w:t>:</w:t>
      </w:r>
      <w:r>
        <w:rPr>
          <w:rFonts w:ascii="Bookman Old Style" w:hAnsi="Bookman Old Style" w:cs="Arial"/>
          <w:color w:val="000000"/>
        </w:rPr>
        <w:tab/>
      </w:r>
      <w:r w:rsidR="00FD3677">
        <w:rPr>
          <w:rFonts w:ascii="Bookman Old Style" w:hAnsi="Bookman Old Style" w:cs="Arial"/>
          <w:color w:val="000000"/>
        </w:rPr>
        <w:t>Cantidad máxima diaria a generar para el recurso r en el día d+1</w:t>
      </w:r>
      <w:r w:rsidR="00D3780B">
        <w:rPr>
          <w:rFonts w:ascii="Bookman Old Style" w:hAnsi="Bookman Old Style" w:cs="Arial"/>
          <w:color w:val="000000"/>
        </w:rPr>
        <w:t>,</w:t>
      </w:r>
      <w:r w:rsidR="002F02BA">
        <w:rPr>
          <w:rFonts w:ascii="Bookman Old Style" w:hAnsi="Bookman Old Style" w:cs="Arial"/>
          <w:color w:val="000000"/>
        </w:rPr>
        <w:t xml:space="preserve"> en MWh truncado a cero (0) decimales.</w:t>
      </w:r>
      <w:r>
        <w:rPr>
          <w:rFonts w:ascii="Bookman Old Style" w:hAnsi="Bookman Old Style" w:cs="Arial"/>
          <w:color w:val="000000"/>
        </w:rPr>
        <w:tab/>
      </w:r>
    </w:p>
    <w:p w:rsidR="0065404A" w:rsidRDefault="0065404A" w:rsidP="00D877BC">
      <w:pPr>
        <w:tabs>
          <w:tab w:val="center" w:pos="4512"/>
          <w:tab w:val="left" w:pos="7088"/>
        </w:tabs>
        <w:suppressAutoHyphens/>
        <w:ind w:left="0" w:right="51"/>
        <w:jc w:val="both"/>
        <w:rPr>
          <w:rFonts w:ascii="Bookman Old Style" w:hAnsi="Bookman Old Style" w:cs="Arial"/>
          <w:color w:val="000000"/>
        </w:rPr>
      </w:pPr>
    </w:p>
    <w:p w:rsidR="00D3780B" w:rsidRDefault="00FD3677" w:rsidP="00D877BC">
      <w:pPr>
        <w:tabs>
          <w:tab w:val="center" w:pos="4512"/>
          <w:tab w:val="left" w:pos="7088"/>
        </w:tabs>
        <w:suppressAutoHyphens/>
        <w:ind w:left="1418" w:right="51" w:hanging="1418"/>
        <w:jc w:val="both"/>
        <w:rPr>
          <w:rFonts w:ascii="Bookman Old Style" w:hAnsi="Bookman Old Style" w:cs="Arial"/>
          <w:color w:val="000000"/>
        </w:rPr>
      </w:pPr>
      <w:r>
        <w:rPr>
          <w:rFonts w:ascii="Bookman Old Style" w:hAnsi="Bookman Old Style" w:cs="Arial"/>
          <w:color w:val="000000"/>
        </w:rPr>
        <w:t>VUD</w:t>
      </w:r>
      <w:r w:rsidRPr="00FD3677">
        <w:rPr>
          <w:rFonts w:ascii="Bookman Old Style" w:hAnsi="Bookman Old Style" w:cs="Arial"/>
          <w:color w:val="000000"/>
          <w:vertAlign w:val="subscript"/>
        </w:rPr>
        <w:t>r,d-1</w:t>
      </w:r>
      <w:r>
        <w:rPr>
          <w:rFonts w:ascii="Bookman Old Style" w:hAnsi="Bookman Old Style" w:cs="Arial"/>
          <w:color w:val="000000"/>
        </w:rPr>
        <w:t>:</w:t>
      </w:r>
      <w:r>
        <w:rPr>
          <w:rFonts w:ascii="Bookman Old Style" w:hAnsi="Bookman Old Style" w:cs="Arial"/>
          <w:color w:val="000000"/>
        </w:rPr>
        <w:tab/>
        <w:t xml:space="preserve">Volumen útil </w:t>
      </w:r>
      <w:r w:rsidR="00D3780B">
        <w:rPr>
          <w:rFonts w:ascii="Bookman Old Style" w:hAnsi="Bookman Old Style" w:cs="Arial"/>
          <w:color w:val="000000"/>
        </w:rPr>
        <w:t>de los embalses asociados del recurso r</w:t>
      </w:r>
      <w:r w:rsidR="0023491C">
        <w:rPr>
          <w:rFonts w:ascii="Bookman Old Style" w:hAnsi="Bookman Old Style" w:cs="Arial"/>
          <w:color w:val="000000"/>
        </w:rPr>
        <w:t xml:space="preserve"> al final del día d-1</w:t>
      </w:r>
      <w:r w:rsidR="00D3780B">
        <w:rPr>
          <w:rFonts w:ascii="Bookman Old Style" w:hAnsi="Bookman Old Style" w:cs="Arial"/>
          <w:color w:val="000000"/>
        </w:rPr>
        <w:t xml:space="preserve"> reportado a las 6:00 am del día d, en MWh.</w:t>
      </w:r>
      <w:r w:rsidR="006A1C33">
        <w:rPr>
          <w:rFonts w:ascii="Bookman Old Style" w:hAnsi="Bookman Old Style" w:cs="Arial"/>
          <w:color w:val="000000"/>
        </w:rPr>
        <w:t xml:space="preserve"> Siendo d el día en donde se hace el despacho.</w:t>
      </w:r>
    </w:p>
    <w:p w:rsidR="00D3780B" w:rsidRDefault="00D3780B" w:rsidP="00D877BC">
      <w:pPr>
        <w:tabs>
          <w:tab w:val="center" w:pos="4512"/>
          <w:tab w:val="left" w:pos="7088"/>
        </w:tabs>
        <w:suppressAutoHyphens/>
        <w:ind w:left="1418" w:right="51" w:hanging="1418"/>
        <w:jc w:val="both"/>
        <w:rPr>
          <w:rFonts w:ascii="Bookman Old Style" w:hAnsi="Bookman Old Style" w:cs="Arial"/>
          <w:color w:val="000000"/>
        </w:rPr>
      </w:pPr>
    </w:p>
    <w:p w:rsidR="004D3592" w:rsidRDefault="00D3780B" w:rsidP="004D3592">
      <w:pPr>
        <w:tabs>
          <w:tab w:val="center" w:pos="4512"/>
          <w:tab w:val="left" w:pos="7088"/>
        </w:tabs>
        <w:suppressAutoHyphens/>
        <w:ind w:left="1418" w:right="51" w:hanging="1418"/>
        <w:jc w:val="both"/>
        <w:rPr>
          <w:rFonts w:ascii="Bookman Old Style" w:hAnsi="Bookman Old Style" w:cs="Arial"/>
          <w:color w:val="000000"/>
        </w:rPr>
      </w:pPr>
      <w:r>
        <w:rPr>
          <w:rFonts w:ascii="Bookman Old Style" w:hAnsi="Bookman Old Style" w:cs="Arial"/>
          <w:color w:val="000000"/>
        </w:rPr>
        <w:t>VU</w:t>
      </w:r>
      <w:r w:rsidR="0069444C">
        <w:rPr>
          <w:rFonts w:ascii="Bookman Old Style" w:hAnsi="Bookman Old Style" w:cs="Arial"/>
          <w:color w:val="000000"/>
        </w:rPr>
        <w:t>m</w:t>
      </w:r>
      <w:r w:rsidRPr="00D3780B">
        <w:rPr>
          <w:rFonts w:ascii="Bookman Old Style" w:hAnsi="Bookman Old Style" w:cs="Arial"/>
          <w:color w:val="000000"/>
          <w:vertAlign w:val="subscript"/>
        </w:rPr>
        <w:t>r</w:t>
      </w:r>
      <w:r>
        <w:rPr>
          <w:rFonts w:ascii="Bookman Old Style" w:hAnsi="Bookman Old Style" w:cs="Arial"/>
          <w:color w:val="000000"/>
        </w:rPr>
        <w:t>:</w:t>
      </w:r>
      <w:r>
        <w:rPr>
          <w:rFonts w:ascii="Bookman Old Style" w:hAnsi="Bookman Old Style" w:cs="Arial"/>
          <w:color w:val="000000"/>
        </w:rPr>
        <w:tab/>
        <w:t xml:space="preserve">Volumen útil mínimo de los embalses asociados del recurso r, en MWh. </w:t>
      </w:r>
      <w:r w:rsidR="000D2BBA">
        <w:rPr>
          <w:rFonts w:ascii="Bookman Old Style" w:hAnsi="Bookman Old Style" w:cs="Arial"/>
          <w:color w:val="000000"/>
        </w:rPr>
        <w:t>El CND hace los análisis eléctricos para cada área y los publica. Con esta información cada agente determina el VU</w:t>
      </w:r>
      <w:r w:rsidR="0069444C">
        <w:rPr>
          <w:rFonts w:ascii="Bookman Old Style" w:hAnsi="Bookman Old Style" w:cs="Arial"/>
          <w:color w:val="000000"/>
        </w:rPr>
        <w:t>m</w:t>
      </w:r>
      <w:r w:rsidR="000D2BBA">
        <w:rPr>
          <w:rFonts w:ascii="Bookman Old Style" w:hAnsi="Bookman Old Style" w:cs="Arial"/>
          <w:color w:val="000000"/>
        </w:rPr>
        <w:t xml:space="preserve"> para cada recurso r</w:t>
      </w:r>
      <w:r w:rsidR="004A2C5F">
        <w:rPr>
          <w:rFonts w:ascii="Bookman Old Style" w:hAnsi="Bookman Old Style" w:cs="Arial"/>
          <w:color w:val="000000"/>
        </w:rPr>
        <w:t xml:space="preserve"> que representa</w:t>
      </w:r>
      <w:r w:rsidR="00CD5279">
        <w:rPr>
          <w:rFonts w:ascii="Bookman Old Style" w:hAnsi="Bookman Old Style" w:cs="Arial"/>
          <w:color w:val="000000"/>
        </w:rPr>
        <w:t xml:space="preserve"> y lo debe declarar al CND</w:t>
      </w:r>
      <w:r w:rsidR="00B76574">
        <w:rPr>
          <w:rFonts w:ascii="Bookman Old Style" w:hAnsi="Bookman Old Style" w:cs="Arial"/>
          <w:color w:val="000000"/>
        </w:rPr>
        <w:t>, sino lo declara el CND podrá asumir el VUD</w:t>
      </w:r>
      <w:r w:rsidR="000D2BBA">
        <w:rPr>
          <w:rFonts w:ascii="Bookman Old Style" w:hAnsi="Bookman Old Style" w:cs="Arial"/>
          <w:color w:val="000000"/>
        </w:rPr>
        <w:t>.</w:t>
      </w:r>
      <w:r w:rsidR="004D3592">
        <w:rPr>
          <w:rFonts w:ascii="Bookman Old Style" w:hAnsi="Bookman Old Style" w:cs="Arial"/>
          <w:color w:val="000000"/>
        </w:rPr>
        <w:t xml:space="preserve"> </w:t>
      </w:r>
      <w:r w:rsidR="00B76574">
        <w:rPr>
          <w:rFonts w:ascii="Bookman Old Style" w:hAnsi="Bookman Old Style" w:cs="Arial"/>
          <w:color w:val="000000"/>
        </w:rPr>
        <w:t>El VUm será el v</w:t>
      </w:r>
      <w:r w:rsidR="004D3592">
        <w:rPr>
          <w:rFonts w:ascii="Bookman Old Style" w:hAnsi="Bookman Old Style" w:cs="Arial"/>
          <w:color w:val="000000"/>
        </w:rPr>
        <w:t xml:space="preserve">olumen necesario para cumplir las condiciones </w:t>
      </w:r>
      <w:r w:rsidR="00CD5279">
        <w:rPr>
          <w:rFonts w:ascii="Bookman Old Style" w:hAnsi="Bookman Old Style" w:cs="Arial"/>
          <w:color w:val="000000"/>
        </w:rPr>
        <w:t xml:space="preserve">ambientales, </w:t>
      </w:r>
      <w:r w:rsidR="004D3592">
        <w:rPr>
          <w:rFonts w:ascii="Bookman Old Style" w:hAnsi="Bookman Old Style" w:cs="Arial"/>
          <w:color w:val="000000"/>
        </w:rPr>
        <w:t>eléctricas</w:t>
      </w:r>
      <w:r w:rsidR="00CD5279">
        <w:rPr>
          <w:rFonts w:ascii="Bookman Old Style" w:hAnsi="Bookman Old Style" w:cs="Arial"/>
          <w:color w:val="000000"/>
        </w:rPr>
        <w:t xml:space="preserve"> y energéticas</w:t>
      </w:r>
      <w:r w:rsidR="004D3592">
        <w:rPr>
          <w:rFonts w:ascii="Bookman Old Style" w:hAnsi="Bookman Old Style" w:cs="Arial"/>
          <w:color w:val="000000"/>
        </w:rPr>
        <w:t xml:space="preserve"> para lo que resta del período crítico</w:t>
      </w:r>
      <w:r w:rsidR="00CD5279">
        <w:rPr>
          <w:rFonts w:ascii="Bookman Old Style" w:hAnsi="Bookman Old Style" w:cs="Arial"/>
          <w:color w:val="000000"/>
        </w:rPr>
        <w:t>.</w:t>
      </w:r>
    </w:p>
    <w:p w:rsidR="000D2BBA" w:rsidRDefault="000D2BBA" w:rsidP="00D877BC">
      <w:pPr>
        <w:tabs>
          <w:tab w:val="center" w:pos="4512"/>
          <w:tab w:val="left" w:pos="7088"/>
        </w:tabs>
        <w:suppressAutoHyphens/>
        <w:ind w:left="1418" w:right="51" w:hanging="2"/>
        <w:jc w:val="both"/>
        <w:rPr>
          <w:rFonts w:ascii="Bookman Old Style" w:hAnsi="Bookman Old Style" w:cs="Arial"/>
          <w:color w:val="000000"/>
        </w:rPr>
      </w:pPr>
    </w:p>
    <w:p w:rsidR="008B6788" w:rsidRDefault="000D2BBA" w:rsidP="00D877BC">
      <w:pPr>
        <w:tabs>
          <w:tab w:val="center" w:pos="4512"/>
          <w:tab w:val="left" w:pos="7088"/>
        </w:tabs>
        <w:suppressAutoHyphens/>
        <w:ind w:left="1418" w:right="51" w:hanging="1418"/>
        <w:jc w:val="both"/>
        <w:rPr>
          <w:rFonts w:ascii="Bookman Old Style" w:hAnsi="Bookman Old Style" w:cs="Arial"/>
          <w:color w:val="000000"/>
        </w:rPr>
      </w:pPr>
      <w:r>
        <w:rPr>
          <w:rFonts w:ascii="Bookman Old Style" w:hAnsi="Bookman Old Style" w:cs="Arial"/>
          <w:color w:val="000000"/>
        </w:rPr>
        <w:t>Aportes:</w:t>
      </w:r>
      <w:r>
        <w:rPr>
          <w:rFonts w:ascii="Bookman Old Style" w:hAnsi="Bookman Old Style" w:cs="Arial"/>
          <w:color w:val="000000"/>
        </w:rPr>
        <w:tab/>
      </w:r>
      <w:r w:rsidRPr="007E105A">
        <w:rPr>
          <w:rFonts w:ascii="Bookman Old Style" w:hAnsi="Bookman Old Style" w:cs="Arial"/>
          <w:color w:val="000000"/>
        </w:rPr>
        <w:t xml:space="preserve">Aportes diarios en MWh definidos por el CNO para cada </w:t>
      </w:r>
      <w:r w:rsidR="00CD5279" w:rsidRPr="007E105A">
        <w:rPr>
          <w:rFonts w:ascii="Bookman Old Style" w:hAnsi="Bookman Old Style" w:cs="Arial"/>
          <w:color w:val="000000"/>
        </w:rPr>
        <w:t xml:space="preserve">recurso de generación </w:t>
      </w:r>
      <w:r w:rsidRPr="007E105A">
        <w:rPr>
          <w:rFonts w:ascii="Bookman Old Style" w:hAnsi="Bookman Old Style" w:cs="Arial"/>
          <w:color w:val="000000"/>
        </w:rPr>
        <w:t>actualizado semanalmente.</w:t>
      </w:r>
    </w:p>
    <w:p w:rsidR="008B6788" w:rsidRDefault="008B6788" w:rsidP="00D877BC">
      <w:pPr>
        <w:tabs>
          <w:tab w:val="center" w:pos="4512"/>
          <w:tab w:val="left" w:pos="7088"/>
        </w:tabs>
        <w:suppressAutoHyphens/>
        <w:ind w:left="1418" w:right="51" w:hanging="1418"/>
        <w:jc w:val="both"/>
        <w:rPr>
          <w:rFonts w:ascii="Bookman Old Style" w:hAnsi="Bookman Old Style" w:cs="Arial"/>
          <w:color w:val="000000"/>
        </w:rPr>
      </w:pPr>
    </w:p>
    <w:p w:rsidR="008B6788" w:rsidRDefault="008B6788" w:rsidP="008B6788">
      <w:pPr>
        <w:tabs>
          <w:tab w:val="center" w:pos="4512"/>
          <w:tab w:val="left" w:pos="7088"/>
        </w:tabs>
        <w:suppressAutoHyphens/>
        <w:ind w:left="1418" w:right="51" w:hanging="1418"/>
        <w:jc w:val="both"/>
        <w:rPr>
          <w:rFonts w:ascii="Bookman Old Style" w:hAnsi="Bookman Old Style" w:cs="Arial"/>
          <w:color w:val="000000"/>
        </w:rPr>
      </w:pPr>
      <w:r>
        <w:rPr>
          <w:rFonts w:ascii="Bookman Old Style" w:hAnsi="Bookman Old Style" w:cs="Arial"/>
          <w:color w:val="000000"/>
        </w:rPr>
        <w:sym w:font="Symbol" w:char="F074"/>
      </w:r>
      <w:r w:rsidRPr="008B6788">
        <w:rPr>
          <w:rFonts w:ascii="Bookman Old Style" w:hAnsi="Bookman Old Style" w:cs="Arial"/>
          <w:color w:val="000000"/>
          <w:vertAlign w:val="subscript"/>
        </w:rPr>
        <w:t>r</w:t>
      </w:r>
      <w:r w:rsidR="005401CC">
        <w:rPr>
          <w:rFonts w:ascii="Bookman Old Style" w:hAnsi="Bookman Old Style" w:cs="Arial"/>
          <w:color w:val="000000"/>
          <w:vertAlign w:val="subscript"/>
        </w:rPr>
        <w:t>a</w:t>
      </w:r>
      <w:r w:rsidRPr="008B6788">
        <w:rPr>
          <w:rFonts w:ascii="Bookman Old Style" w:hAnsi="Bookman Old Style" w:cs="Arial"/>
          <w:color w:val="000000"/>
          <w:vertAlign w:val="subscript"/>
        </w:rPr>
        <w:t>,d+1</w:t>
      </w:r>
      <w:r>
        <w:rPr>
          <w:rFonts w:ascii="Bookman Old Style" w:hAnsi="Bookman Old Style" w:cs="Arial"/>
          <w:color w:val="000000"/>
        </w:rPr>
        <w:t>:</w:t>
      </w:r>
      <w:r>
        <w:rPr>
          <w:rFonts w:ascii="Bookman Old Style" w:hAnsi="Bookman Old Style" w:cs="Arial"/>
          <w:color w:val="000000"/>
        </w:rPr>
        <w:tab/>
      </w:r>
      <w:r w:rsidR="008949E5">
        <w:rPr>
          <w:rFonts w:ascii="Bookman Old Style" w:hAnsi="Bookman Old Style" w:cs="Arial"/>
          <w:color w:val="000000"/>
        </w:rPr>
        <w:t>Cantidad de descarga de la planta aguas arriba r a la planta aguas abajo ra</w:t>
      </w:r>
      <w:r w:rsidR="002B1E2E">
        <w:rPr>
          <w:rFonts w:ascii="Bookman Old Style" w:hAnsi="Bookman Old Style" w:cs="Arial"/>
          <w:color w:val="000000"/>
        </w:rPr>
        <w:t xml:space="preserve"> en el día d+1, en MWh truncado a cero (0) decimales. L</w:t>
      </w:r>
      <w:r>
        <w:rPr>
          <w:rFonts w:ascii="Bookman Old Style" w:hAnsi="Bookman Old Style" w:cs="Arial"/>
          <w:color w:val="000000"/>
        </w:rPr>
        <w:t xml:space="preserve">a planta </w:t>
      </w:r>
      <w:r w:rsidR="002B1E2E" w:rsidRPr="00441E65">
        <w:rPr>
          <w:rFonts w:ascii="Bookman Old Style" w:hAnsi="Bookman Old Style" w:cs="Arial"/>
          <w:i/>
          <w:color w:val="000000"/>
        </w:rPr>
        <w:t>r</w:t>
      </w:r>
      <w:r w:rsidR="005401CC" w:rsidRPr="00441E65">
        <w:rPr>
          <w:rFonts w:ascii="Bookman Old Style" w:hAnsi="Bookman Old Style" w:cs="Arial"/>
          <w:i/>
          <w:color w:val="000000"/>
        </w:rPr>
        <w:t>a</w:t>
      </w:r>
      <w:r w:rsidR="002B1E2E" w:rsidRPr="00441E65">
        <w:rPr>
          <w:rFonts w:ascii="Bookman Old Style" w:hAnsi="Bookman Old Style" w:cs="Arial"/>
          <w:i/>
          <w:color w:val="000000"/>
        </w:rPr>
        <w:t xml:space="preserve"> </w:t>
      </w:r>
      <w:r>
        <w:rPr>
          <w:rFonts w:ascii="Bookman Old Style" w:hAnsi="Bookman Old Style" w:cs="Arial"/>
          <w:color w:val="000000"/>
        </w:rPr>
        <w:t xml:space="preserve">podrá considerar el Qmax de la planta </w:t>
      </w:r>
      <w:r w:rsidR="002B1E2E">
        <w:rPr>
          <w:rFonts w:ascii="Bookman Old Style" w:hAnsi="Bookman Old Style" w:cs="Arial"/>
          <w:color w:val="000000"/>
        </w:rPr>
        <w:t>r</w:t>
      </w:r>
      <w:r>
        <w:rPr>
          <w:rFonts w:ascii="Bookman Old Style" w:hAnsi="Bookman Old Style" w:cs="Arial"/>
          <w:color w:val="000000"/>
        </w:rPr>
        <w:t>. En caso de no contar con el Qmax se puede utilizar el promedio día que se obtiene del análisis energético recomendado por el C.N.O. Para las</w:t>
      </w:r>
      <w:r w:rsidR="00BD1DD4">
        <w:rPr>
          <w:rFonts w:ascii="Bookman Old Style" w:hAnsi="Bookman Old Style" w:cs="Arial"/>
          <w:color w:val="000000"/>
        </w:rPr>
        <w:t xml:space="preserve"> plantas</w:t>
      </w:r>
      <w:r>
        <w:rPr>
          <w:rFonts w:ascii="Bookman Old Style" w:hAnsi="Bookman Old Style" w:cs="Arial"/>
          <w:color w:val="000000"/>
        </w:rPr>
        <w:t xml:space="preserve"> sin encadenamiento </w:t>
      </w:r>
      <w:r w:rsidR="002B1E2E">
        <w:rPr>
          <w:rFonts w:ascii="Bookman Old Style" w:hAnsi="Bookman Old Style" w:cs="Arial"/>
          <w:color w:val="000000"/>
        </w:rPr>
        <w:t xml:space="preserve">el </w:t>
      </w:r>
      <w:r>
        <w:rPr>
          <w:rFonts w:ascii="Bookman Old Style" w:hAnsi="Bookman Old Style" w:cs="Arial"/>
          <w:color w:val="000000"/>
        </w:rPr>
        <w:t>valor es cero (0).</w:t>
      </w:r>
    </w:p>
    <w:p w:rsidR="000D2BBA" w:rsidRDefault="000D2BBA" w:rsidP="00D877BC">
      <w:pPr>
        <w:tabs>
          <w:tab w:val="center" w:pos="4512"/>
          <w:tab w:val="left" w:pos="7088"/>
        </w:tabs>
        <w:suppressAutoHyphens/>
        <w:ind w:left="1418" w:right="51" w:hanging="1418"/>
        <w:jc w:val="both"/>
        <w:rPr>
          <w:rFonts w:ascii="Bookman Old Style" w:hAnsi="Bookman Old Style" w:cs="Arial"/>
          <w:color w:val="000000"/>
        </w:rPr>
      </w:pPr>
    </w:p>
    <w:p w:rsidR="000D2BBA" w:rsidRDefault="000D2BBA" w:rsidP="00D877BC">
      <w:pPr>
        <w:tabs>
          <w:tab w:val="center" w:pos="4512"/>
          <w:tab w:val="left" w:pos="7088"/>
        </w:tabs>
        <w:suppressAutoHyphens/>
        <w:ind w:left="1418" w:right="51" w:hanging="1418"/>
        <w:jc w:val="both"/>
        <w:rPr>
          <w:rFonts w:ascii="Bookman Old Style" w:hAnsi="Bookman Old Style" w:cs="Arial"/>
          <w:color w:val="000000"/>
        </w:rPr>
      </w:pPr>
      <w:r>
        <w:rPr>
          <w:rFonts w:ascii="Bookman Old Style" w:hAnsi="Bookman Old Style" w:cs="Arial"/>
          <w:color w:val="000000"/>
        </w:rPr>
        <w:t>#días:</w:t>
      </w:r>
      <w:r>
        <w:rPr>
          <w:rFonts w:ascii="Bookman Old Style" w:hAnsi="Bookman Old Style" w:cs="Arial"/>
          <w:color w:val="000000"/>
        </w:rPr>
        <w:tab/>
      </w:r>
      <w:r w:rsidR="00440C04">
        <w:rPr>
          <w:rFonts w:ascii="Bookman Old Style" w:hAnsi="Bookman Old Style" w:cs="Arial"/>
          <w:color w:val="000000"/>
        </w:rPr>
        <w:t>2</w:t>
      </w:r>
      <w:r w:rsidR="007E105A">
        <w:rPr>
          <w:rFonts w:ascii="Bookman Old Style" w:hAnsi="Bookman Old Style" w:cs="Arial"/>
          <w:color w:val="000000"/>
        </w:rPr>
        <w:t>0</w:t>
      </w:r>
      <w:r w:rsidR="008B6788">
        <w:rPr>
          <w:rFonts w:ascii="Bookman Old Style" w:hAnsi="Bookman Old Style" w:cs="Arial"/>
          <w:color w:val="000000"/>
        </w:rPr>
        <w:t xml:space="preserve"> días calendario</w:t>
      </w:r>
    </w:p>
    <w:p w:rsidR="00734A2A" w:rsidRDefault="00734A2A" w:rsidP="00D877BC">
      <w:pPr>
        <w:tabs>
          <w:tab w:val="center" w:pos="4512"/>
          <w:tab w:val="left" w:pos="7088"/>
        </w:tabs>
        <w:suppressAutoHyphens/>
        <w:ind w:left="0" w:right="51"/>
        <w:jc w:val="both"/>
        <w:rPr>
          <w:rFonts w:ascii="Bookman Old Style" w:hAnsi="Bookman Old Style" w:cs="Arial"/>
          <w:color w:val="000000"/>
        </w:rPr>
      </w:pPr>
    </w:p>
    <w:p w:rsidR="003C119A" w:rsidRDefault="003C119A" w:rsidP="00D877BC">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b/>
          <w:color w:val="000000"/>
        </w:rPr>
        <w:t xml:space="preserve">Artículo 2. Establézcase un procedimiento transitorio para la declaración de disponibilidad de plantas de generación hidráulicas. </w:t>
      </w:r>
      <w:r>
        <w:rPr>
          <w:rFonts w:ascii="Bookman Old Style" w:hAnsi="Bookman Old Style" w:cs="Arial"/>
          <w:color w:val="000000"/>
        </w:rPr>
        <w:t>El procedimiento transitorio para la declaración de disponibilidad diaria al CND de plantas hidráulicas con embalse considera</w:t>
      </w:r>
      <w:r w:rsidR="00C13020">
        <w:rPr>
          <w:rFonts w:ascii="Bookman Old Style" w:hAnsi="Bookman Old Style" w:cs="Arial"/>
          <w:color w:val="000000"/>
        </w:rPr>
        <w:t>rá</w:t>
      </w:r>
      <w:r>
        <w:rPr>
          <w:rFonts w:ascii="Bookman Old Style" w:hAnsi="Bookman Old Style" w:cs="Arial"/>
          <w:color w:val="000000"/>
        </w:rPr>
        <w:t xml:space="preserve"> las siguientes declaraciones de disponibilidad:</w:t>
      </w:r>
    </w:p>
    <w:p w:rsidR="003C119A" w:rsidRDefault="003C119A" w:rsidP="00D877BC">
      <w:pPr>
        <w:tabs>
          <w:tab w:val="center" w:pos="4512"/>
          <w:tab w:val="left" w:pos="7088"/>
        </w:tabs>
        <w:suppressAutoHyphens/>
        <w:ind w:left="0" w:right="51"/>
        <w:jc w:val="both"/>
        <w:rPr>
          <w:rFonts w:ascii="Bookman Old Style" w:hAnsi="Bookman Old Style" w:cs="Arial"/>
          <w:color w:val="000000"/>
        </w:rPr>
      </w:pPr>
    </w:p>
    <w:p w:rsidR="003C119A" w:rsidRDefault="003C119A" w:rsidP="00D877BC">
      <w:pPr>
        <w:pStyle w:val="Prrafodelista"/>
        <w:numPr>
          <w:ilvl w:val="0"/>
          <w:numId w:val="35"/>
        </w:numPr>
        <w:tabs>
          <w:tab w:val="center" w:pos="4512"/>
          <w:tab w:val="left" w:pos="7088"/>
        </w:tabs>
        <w:suppressAutoHyphens/>
        <w:ind w:right="51"/>
        <w:jc w:val="both"/>
        <w:rPr>
          <w:rFonts w:ascii="Bookman Old Style" w:hAnsi="Bookman Old Style" w:cs="Arial"/>
          <w:color w:val="000000"/>
          <w:sz w:val="24"/>
        </w:rPr>
      </w:pPr>
      <w:r w:rsidRPr="006A3E15">
        <w:rPr>
          <w:rFonts w:ascii="Bookman Old Style" w:hAnsi="Bookman Old Style" w:cs="Arial"/>
          <w:b/>
          <w:color w:val="000000"/>
          <w:sz w:val="24"/>
          <w:lang w:val="es-ES"/>
        </w:rPr>
        <w:lastRenderedPageBreak/>
        <w:t>Disponibilidad Res</w:t>
      </w:r>
      <w:r w:rsidR="00C13020">
        <w:rPr>
          <w:rFonts w:ascii="Bookman Old Style" w:hAnsi="Bookman Old Style" w:cs="Arial"/>
          <w:b/>
          <w:color w:val="000000"/>
          <w:sz w:val="24"/>
          <w:lang w:val="es-ES"/>
        </w:rPr>
        <w:t xml:space="preserve">olución CREG </w:t>
      </w:r>
      <w:r w:rsidRPr="006A3E15">
        <w:rPr>
          <w:rFonts w:ascii="Bookman Old Style" w:hAnsi="Bookman Old Style" w:cs="Arial"/>
          <w:b/>
          <w:color w:val="000000"/>
          <w:sz w:val="24"/>
          <w:lang w:val="es-ES"/>
        </w:rPr>
        <w:t>025 de 1995</w:t>
      </w:r>
      <w:r w:rsidR="0040138C">
        <w:rPr>
          <w:rFonts w:ascii="Bookman Old Style" w:hAnsi="Bookman Old Style" w:cs="Arial"/>
          <w:b/>
          <w:color w:val="000000"/>
          <w:sz w:val="24"/>
          <w:lang w:val="es-ES"/>
        </w:rPr>
        <w:t xml:space="preserve"> (DR025)</w:t>
      </w:r>
      <w:r>
        <w:rPr>
          <w:rFonts w:ascii="Bookman Old Style" w:hAnsi="Bookman Old Style" w:cs="Arial"/>
          <w:color w:val="000000"/>
          <w:sz w:val="24"/>
          <w:lang w:val="es-ES"/>
        </w:rPr>
        <w:t xml:space="preserve">. </w:t>
      </w:r>
      <w:r w:rsidR="006A3E15">
        <w:rPr>
          <w:rFonts w:ascii="Bookman Old Style" w:hAnsi="Bookman Old Style" w:cs="Arial"/>
          <w:color w:val="000000"/>
          <w:sz w:val="24"/>
        </w:rPr>
        <w:t>D</w:t>
      </w:r>
      <w:r>
        <w:rPr>
          <w:rFonts w:ascii="Bookman Old Style" w:hAnsi="Bookman Old Style" w:cs="Arial"/>
          <w:color w:val="000000"/>
          <w:sz w:val="24"/>
        </w:rPr>
        <w:t>eclaración de disponibilidad horaria por unidad del recurso de acuerdo con lo definido en la numeral 3.1 del Código de Operación, Resolución CREG 025 de 1995</w:t>
      </w:r>
      <w:r w:rsidR="00AE7FD5">
        <w:rPr>
          <w:rFonts w:ascii="Bookman Old Style" w:hAnsi="Bookman Old Style" w:cs="Arial"/>
          <w:color w:val="000000"/>
          <w:sz w:val="24"/>
        </w:rPr>
        <w:t>, s</w:t>
      </w:r>
      <w:r w:rsidR="0040138C">
        <w:rPr>
          <w:rFonts w:ascii="Bookman Old Style" w:hAnsi="Bookman Old Style" w:cs="Arial"/>
          <w:color w:val="000000"/>
          <w:sz w:val="24"/>
        </w:rPr>
        <w:t xml:space="preserve">iendo que la disponibilidad horaria de la planta será la sumatoria </w:t>
      </w:r>
      <w:r w:rsidR="00D877BC">
        <w:rPr>
          <w:rFonts w:ascii="Bookman Old Style" w:hAnsi="Bookman Old Style" w:cs="Arial"/>
          <w:color w:val="000000"/>
          <w:sz w:val="24"/>
        </w:rPr>
        <w:t xml:space="preserve">de la disponibilidad </w:t>
      </w:r>
      <w:r w:rsidR="0040138C">
        <w:rPr>
          <w:rFonts w:ascii="Bookman Old Style" w:hAnsi="Bookman Old Style" w:cs="Arial"/>
          <w:color w:val="000000"/>
          <w:sz w:val="24"/>
        </w:rPr>
        <w:t>de las unidades.</w:t>
      </w:r>
    </w:p>
    <w:p w:rsidR="003C119A" w:rsidRPr="003C119A" w:rsidRDefault="003C119A" w:rsidP="00D877BC">
      <w:pPr>
        <w:tabs>
          <w:tab w:val="center" w:pos="4512"/>
          <w:tab w:val="left" w:pos="7088"/>
        </w:tabs>
        <w:suppressAutoHyphens/>
        <w:ind w:left="0" w:right="51"/>
        <w:jc w:val="both"/>
        <w:rPr>
          <w:rFonts w:ascii="Bookman Old Style" w:hAnsi="Bookman Old Style" w:cs="Arial"/>
          <w:color w:val="000000"/>
        </w:rPr>
      </w:pPr>
    </w:p>
    <w:p w:rsidR="003C119A" w:rsidRDefault="006A3E15" w:rsidP="00D877BC">
      <w:pPr>
        <w:pStyle w:val="Prrafodelista"/>
        <w:numPr>
          <w:ilvl w:val="0"/>
          <w:numId w:val="35"/>
        </w:numPr>
        <w:tabs>
          <w:tab w:val="center" w:pos="4512"/>
          <w:tab w:val="left" w:pos="7088"/>
        </w:tabs>
        <w:suppressAutoHyphens/>
        <w:ind w:right="51"/>
        <w:jc w:val="both"/>
        <w:rPr>
          <w:rFonts w:ascii="Bookman Old Style" w:hAnsi="Bookman Old Style" w:cs="Arial"/>
          <w:color w:val="000000"/>
          <w:sz w:val="24"/>
        </w:rPr>
      </w:pPr>
      <w:r w:rsidRPr="006A3E15">
        <w:rPr>
          <w:rFonts w:ascii="Bookman Old Style" w:hAnsi="Bookman Old Style" w:cs="Arial"/>
          <w:b/>
          <w:color w:val="000000"/>
          <w:sz w:val="24"/>
        </w:rPr>
        <w:t>Disponibilidad cantidad máxima</w:t>
      </w:r>
      <w:r w:rsidR="0040138C">
        <w:rPr>
          <w:rFonts w:ascii="Bookman Old Style" w:hAnsi="Bookman Old Style" w:cs="Arial"/>
          <w:b/>
          <w:color w:val="000000"/>
          <w:sz w:val="24"/>
        </w:rPr>
        <w:t xml:space="preserve"> (DCM)</w:t>
      </w:r>
      <w:r>
        <w:rPr>
          <w:rFonts w:ascii="Bookman Old Style" w:hAnsi="Bookman Old Style" w:cs="Arial"/>
          <w:color w:val="000000"/>
          <w:sz w:val="24"/>
        </w:rPr>
        <w:t>. D</w:t>
      </w:r>
      <w:r w:rsidR="003C119A">
        <w:rPr>
          <w:rFonts w:ascii="Bookman Old Style" w:hAnsi="Bookman Old Style" w:cs="Arial"/>
          <w:color w:val="000000"/>
          <w:sz w:val="24"/>
        </w:rPr>
        <w:t>eclaración de disponibilidad horaria por recurso, la cual debe</w:t>
      </w:r>
      <w:r w:rsidR="009833A0">
        <w:rPr>
          <w:rFonts w:ascii="Bookman Old Style" w:hAnsi="Bookman Old Style" w:cs="Arial"/>
          <w:color w:val="000000"/>
          <w:sz w:val="24"/>
        </w:rPr>
        <w:t>rá</w:t>
      </w:r>
      <w:r w:rsidR="003C119A">
        <w:rPr>
          <w:rFonts w:ascii="Bookman Old Style" w:hAnsi="Bookman Old Style" w:cs="Arial"/>
          <w:color w:val="000000"/>
          <w:sz w:val="24"/>
        </w:rPr>
        <w:t xml:space="preserve"> estar limitada a la cantidad m</w:t>
      </w:r>
      <w:r>
        <w:rPr>
          <w:rFonts w:ascii="Bookman Old Style" w:hAnsi="Bookman Old Style" w:cs="Arial"/>
          <w:color w:val="000000"/>
          <w:sz w:val="24"/>
        </w:rPr>
        <w:t xml:space="preserve">áxima diaria por recurso </w:t>
      </w:r>
      <w:r w:rsidR="004D3592">
        <w:rPr>
          <w:rFonts w:ascii="Bookman Old Style" w:hAnsi="Bookman Old Style" w:cs="Arial"/>
          <w:color w:val="000000"/>
          <w:sz w:val="24"/>
        </w:rPr>
        <w:t xml:space="preserve">a generar </w:t>
      </w:r>
      <w:r>
        <w:rPr>
          <w:rFonts w:ascii="Bookman Old Style" w:hAnsi="Bookman Old Style" w:cs="Arial"/>
          <w:color w:val="000000"/>
          <w:sz w:val="24"/>
        </w:rPr>
        <w:t>definida en el artícu</w:t>
      </w:r>
      <w:r w:rsidR="00CD5279">
        <w:rPr>
          <w:rFonts w:ascii="Bookman Old Style" w:hAnsi="Bookman Old Style" w:cs="Arial"/>
          <w:color w:val="000000"/>
          <w:sz w:val="24"/>
        </w:rPr>
        <w:t>lo 1 de la presente resolución.</w:t>
      </w:r>
      <w:r w:rsidR="00A36802">
        <w:rPr>
          <w:rFonts w:ascii="Bookman Old Style" w:hAnsi="Bookman Old Style" w:cs="Arial"/>
          <w:color w:val="000000"/>
          <w:sz w:val="24"/>
        </w:rPr>
        <w:t xml:space="preserve"> La DCM en cada periodo horario no podrá exceder la DR025.</w:t>
      </w:r>
    </w:p>
    <w:p w:rsidR="00CD5279" w:rsidRPr="00CD5279" w:rsidRDefault="00CD5279" w:rsidP="00CD5279">
      <w:pPr>
        <w:pStyle w:val="Prrafodelista"/>
        <w:rPr>
          <w:rFonts w:ascii="Bookman Old Style" w:hAnsi="Bookman Old Style" w:cs="Arial"/>
          <w:color w:val="000000"/>
          <w:sz w:val="24"/>
        </w:rPr>
      </w:pPr>
    </w:p>
    <w:p w:rsidR="00CD5279" w:rsidRDefault="00CD5279" w:rsidP="00CD5279">
      <w:pPr>
        <w:tabs>
          <w:tab w:val="center" w:pos="4512"/>
          <w:tab w:val="left" w:pos="7088"/>
        </w:tabs>
        <w:suppressAutoHyphens/>
        <w:ind w:left="708" w:right="51"/>
        <w:jc w:val="both"/>
        <w:rPr>
          <w:rFonts w:ascii="Bookman Old Style" w:hAnsi="Bookman Old Style" w:cs="Arial"/>
          <w:color w:val="000000"/>
        </w:rPr>
      </w:pPr>
      <w:r>
        <w:rPr>
          <w:rFonts w:ascii="Bookman Old Style" w:hAnsi="Bookman Old Style" w:cs="Arial"/>
          <w:color w:val="000000"/>
        </w:rPr>
        <w:t xml:space="preserve">En caso que el agente no reporte el DCM se </w:t>
      </w:r>
      <w:r w:rsidR="00A36802">
        <w:rPr>
          <w:rFonts w:ascii="Bookman Old Style" w:hAnsi="Bookman Old Style" w:cs="Arial"/>
          <w:color w:val="000000"/>
        </w:rPr>
        <w:t>considerará</w:t>
      </w:r>
      <w:r>
        <w:rPr>
          <w:rFonts w:ascii="Bookman Old Style" w:hAnsi="Bookman Old Style" w:cs="Arial"/>
          <w:color w:val="000000"/>
        </w:rPr>
        <w:t xml:space="preserve"> el DCM</w:t>
      </w:r>
      <w:r w:rsidRPr="00CD5279">
        <w:rPr>
          <w:rFonts w:ascii="Bookman Old Style" w:hAnsi="Bookman Old Style" w:cs="Arial"/>
          <w:color w:val="000000"/>
          <w:vertAlign w:val="subscript"/>
        </w:rPr>
        <w:t>ajustado</w:t>
      </w:r>
      <w:r>
        <w:rPr>
          <w:rFonts w:ascii="Bookman Old Style" w:hAnsi="Bookman Old Style" w:cs="Arial"/>
          <w:color w:val="000000"/>
        </w:rPr>
        <w:t xml:space="preserve"> como sigue:</w:t>
      </w:r>
    </w:p>
    <w:p w:rsidR="00CD5279" w:rsidRDefault="00CD5279" w:rsidP="00CD5279">
      <w:pPr>
        <w:tabs>
          <w:tab w:val="center" w:pos="4512"/>
          <w:tab w:val="left" w:pos="7088"/>
        </w:tabs>
        <w:suppressAutoHyphens/>
        <w:ind w:left="708" w:right="51"/>
        <w:jc w:val="both"/>
        <w:rPr>
          <w:rFonts w:ascii="Bookman Old Style" w:hAnsi="Bookman Old Style" w:cs="Arial"/>
          <w:color w:val="000000"/>
        </w:rPr>
      </w:pPr>
    </w:p>
    <w:p w:rsidR="00CD5279" w:rsidRDefault="00F937CF" w:rsidP="00CD5279">
      <w:pPr>
        <w:tabs>
          <w:tab w:val="center" w:pos="4512"/>
          <w:tab w:val="left" w:pos="7088"/>
        </w:tabs>
        <w:suppressAutoHyphens/>
        <w:ind w:left="708" w:right="51"/>
        <w:jc w:val="both"/>
        <w:rPr>
          <w:rFonts w:ascii="Bookman Old Style" w:hAnsi="Bookman Old Style" w:cs="Arial"/>
          <w:color w:val="000000"/>
        </w:rPr>
      </w:pPr>
      <m:oMathPara>
        <m:oMath>
          <m:sSub>
            <m:sSubPr>
              <m:ctrlPr>
                <w:rPr>
                  <w:rFonts w:ascii="Cambria Math" w:hAnsi="Cambria Math" w:cs="Arial"/>
                  <w:i/>
                  <w:color w:val="000000"/>
                </w:rPr>
              </m:ctrlPr>
            </m:sSubPr>
            <m:e>
              <m:r>
                <w:rPr>
                  <w:rFonts w:ascii="Cambria Math" w:hAnsi="Cambria Math" w:cs="Arial"/>
                  <w:color w:val="000000"/>
                </w:rPr>
                <m:t>DCM</m:t>
              </m:r>
            </m:e>
            <m:sub>
              <m:r>
                <w:rPr>
                  <w:rFonts w:ascii="Cambria Math" w:hAnsi="Cambria Math" w:cs="Arial"/>
                  <w:color w:val="000000"/>
                </w:rPr>
                <m:t>ajustado</m:t>
              </m:r>
            </m:sub>
          </m:sSub>
          <m:r>
            <w:rPr>
              <w:rFonts w:ascii="Cambria Math" w:hAnsi="Cambria Math" w:cs="Arial"/>
              <w:color w:val="000000"/>
            </w:rPr>
            <m:t>=min</m:t>
          </m:r>
          <m:d>
            <m:dPr>
              <m:ctrlPr>
                <w:rPr>
                  <w:rFonts w:ascii="Cambria Math" w:hAnsi="Cambria Math" w:cs="Arial"/>
                  <w:i/>
                  <w:color w:val="000000"/>
                </w:rPr>
              </m:ctrlPr>
            </m:dPr>
            <m:e>
              <m:f>
                <m:fPr>
                  <m:ctrlPr>
                    <w:rPr>
                      <w:rFonts w:ascii="Cambria Math" w:hAnsi="Cambria Math" w:cs="Arial"/>
                      <w:i/>
                      <w:color w:val="000000"/>
                    </w:rPr>
                  </m:ctrlPr>
                </m:fPr>
                <m:num>
                  <m:sSub>
                    <m:sSubPr>
                      <m:ctrlPr>
                        <w:rPr>
                          <w:rFonts w:ascii="Cambria Math" w:hAnsi="Cambria Math" w:cs="Arial"/>
                          <w:i/>
                          <w:color w:val="000000"/>
                        </w:rPr>
                      </m:ctrlPr>
                    </m:sSubPr>
                    <m:e>
                      <m:r>
                        <w:rPr>
                          <w:rFonts w:ascii="Cambria Math" w:hAnsi="Cambria Math" w:cs="Arial"/>
                          <w:color w:val="000000"/>
                        </w:rPr>
                        <m:t>Qmax</m:t>
                      </m:r>
                    </m:e>
                    <m:sub>
                      <m:r>
                        <w:rPr>
                          <w:rFonts w:ascii="Cambria Math" w:hAnsi="Cambria Math" w:cs="Arial"/>
                          <w:color w:val="000000"/>
                        </w:rPr>
                        <m:t>r,d+1</m:t>
                      </m:r>
                    </m:sub>
                  </m:sSub>
                </m:num>
                <m:den>
                  <m:r>
                    <w:rPr>
                      <w:rFonts w:ascii="Cambria Math" w:hAnsi="Cambria Math" w:cs="Arial"/>
                      <w:color w:val="000000"/>
                    </w:rPr>
                    <m:t>24</m:t>
                  </m:r>
                </m:den>
              </m:f>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DR025</m:t>
                  </m:r>
                </m:e>
                <m:sub>
                  <m:r>
                    <w:rPr>
                      <w:rFonts w:ascii="Cambria Math" w:hAnsi="Cambria Math" w:cs="Arial"/>
                      <w:color w:val="000000"/>
                    </w:rPr>
                    <m:t>d+1</m:t>
                  </m:r>
                </m:sub>
              </m:sSub>
            </m:e>
          </m:d>
        </m:oMath>
      </m:oMathPara>
    </w:p>
    <w:p w:rsidR="00CD5279" w:rsidRPr="00CD5279" w:rsidRDefault="00CD5279" w:rsidP="00CD5279">
      <w:pPr>
        <w:tabs>
          <w:tab w:val="center" w:pos="4512"/>
          <w:tab w:val="left" w:pos="7088"/>
        </w:tabs>
        <w:suppressAutoHyphens/>
        <w:ind w:left="708" w:right="51"/>
        <w:jc w:val="both"/>
        <w:rPr>
          <w:rFonts w:ascii="Bookman Old Style" w:hAnsi="Bookman Old Style" w:cs="Arial"/>
          <w:color w:val="000000"/>
        </w:rPr>
      </w:pPr>
    </w:p>
    <w:p w:rsidR="003C119A" w:rsidRDefault="003C119A" w:rsidP="00D877BC">
      <w:pPr>
        <w:tabs>
          <w:tab w:val="center" w:pos="4512"/>
          <w:tab w:val="left" w:pos="7088"/>
        </w:tabs>
        <w:suppressAutoHyphens/>
        <w:ind w:left="0" w:right="51"/>
        <w:jc w:val="both"/>
        <w:rPr>
          <w:rFonts w:ascii="Bookman Old Style" w:hAnsi="Bookman Old Style" w:cs="Arial"/>
          <w:color w:val="000000"/>
        </w:rPr>
      </w:pPr>
    </w:p>
    <w:p w:rsidR="00A36802" w:rsidRDefault="00A36802" w:rsidP="00D877BC">
      <w:pPr>
        <w:tabs>
          <w:tab w:val="center" w:pos="4512"/>
          <w:tab w:val="left" w:pos="7088"/>
        </w:tabs>
        <w:suppressAutoHyphens/>
        <w:ind w:left="0" w:right="51"/>
        <w:jc w:val="both"/>
        <w:rPr>
          <w:rFonts w:ascii="Bookman Old Style" w:hAnsi="Bookman Old Style" w:cs="Arial"/>
          <w:color w:val="000000"/>
        </w:rPr>
      </w:pPr>
      <w:r w:rsidRPr="00A36802">
        <w:rPr>
          <w:rFonts w:ascii="Bookman Old Style" w:hAnsi="Bookman Old Style" w:cs="Arial"/>
          <w:b/>
          <w:color w:val="000000"/>
        </w:rPr>
        <w:t>Parágrafo 1</w:t>
      </w:r>
      <w:r>
        <w:rPr>
          <w:rFonts w:ascii="Bookman Old Style" w:hAnsi="Bookman Old Style" w:cs="Arial"/>
          <w:color w:val="000000"/>
        </w:rPr>
        <w:t>. El despacho de las unidades en pruebas se realizará con el valor de la DR025.</w:t>
      </w:r>
    </w:p>
    <w:p w:rsidR="00A36802" w:rsidRDefault="00A36802" w:rsidP="00D877BC">
      <w:pPr>
        <w:tabs>
          <w:tab w:val="center" w:pos="4512"/>
          <w:tab w:val="left" w:pos="7088"/>
        </w:tabs>
        <w:suppressAutoHyphens/>
        <w:ind w:left="0" w:right="51"/>
        <w:jc w:val="both"/>
        <w:rPr>
          <w:rFonts w:ascii="Bookman Old Style" w:hAnsi="Bookman Old Style" w:cs="Arial"/>
          <w:color w:val="000000"/>
        </w:rPr>
      </w:pPr>
    </w:p>
    <w:p w:rsidR="003C119A" w:rsidRDefault="00341CC8" w:rsidP="00D877BC">
      <w:pPr>
        <w:tabs>
          <w:tab w:val="center" w:pos="4512"/>
          <w:tab w:val="left" w:pos="7088"/>
        </w:tabs>
        <w:suppressAutoHyphens/>
        <w:ind w:left="0" w:right="51"/>
        <w:jc w:val="both"/>
        <w:rPr>
          <w:rFonts w:ascii="Bookman Old Style" w:hAnsi="Bookman Old Style" w:cs="Arial"/>
          <w:color w:val="000000"/>
        </w:rPr>
      </w:pPr>
      <w:r w:rsidRPr="00341CC8">
        <w:rPr>
          <w:rFonts w:ascii="Bookman Old Style" w:hAnsi="Bookman Old Style" w:cs="Arial"/>
          <w:b/>
          <w:color w:val="000000"/>
        </w:rPr>
        <w:t>Parágrafo</w:t>
      </w:r>
      <w:r w:rsidR="00A36802">
        <w:rPr>
          <w:rFonts w:ascii="Bookman Old Style" w:hAnsi="Bookman Old Style" w:cs="Arial"/>
          <w:b/>
          <w:color w:val="000000"/>
        </w:rPr>
        <w:t xml:space="preserve"> 2</w:t>
      </w:r>
      <w:r>
        <w:rPr>
          <w:rFonts w:ascii="Bookman Old Style" w:hAnsi="Bookman Old Style" w:cs="Arial"/>
          <w:color w:val="000000"/>
        </w:rPr>
        <w:t xml:space="preserve">. </w:t>
      </w:r>
      <w:r w:rsidR="009833A0">
        <w:rPr>
          <w:rFonts w:ascii="Bookman Old Style" w:hAnsi="Bookman Old Style" w:cs="Arial"/>
          <w:color w:val="000000"/>
        </w:rPr>
        <w:t>El CND hará las adecuaciones a su sistema de información que sean necesarias p</w:t>
      </w:r>
      <w:r>
        <w:rPr>
          <w:rFonts w:ascii="Bookman Old Style" w:hAnsi="Bookman Old Style" w:cs="Arial"/>
          <w:color w:val="000000"/>
        </w:rPr>
        <w:t xml:space="preserve">ara recibir las </w:t>
      </w:r>
      <w:r w:rsidR="009833A0">
        <w:rPr>
          <w:rFonts w:ascii="Bookman Old Style" w:hAnsi="Bookman Old Style" w:cs="Arial"/>
          <w:color w:val="000000"/>
        </w:rPr>
        <w:t xml:space="preserve">declaraciones de </w:t>
      </w:r>
      <w:r>
        <w:rPr>
          <w:rFonts w:ascii="Bookman Old Style" w:hAnsi="Bookman Old Style" w:cs="Arial"/>
          <w:color w:val="000000"/>
        </w:rPr>
        <w:t>disponibilidad señaladas en el presente artículo.</w:t>
      </w:r>
    </w:p>
    <w:p w:rsidR="00341CC8" w:rsidRDefault="00341CC8" w:rsidP="00D877BC">
      <w:pPr>
        <w:tabs>
          <w:tab w:val="center" w:pos="4512"/>
          <w:tab w:val="left" w:pos="7088"/>
        </w:tabs>
        <w:suppressAutoHyphens/>
        <w:ind w:left="0" w:right="51"/>
        <w:jc w:val="both"/>
        <w:rPr>
          <w:rFonts w:ascii="Bookman Old Style" w:hAnsi="Bookman Old Style" w:cs="Arial"/>
          <w:color w:val="000000"/>
        </w:rPr>
      </w:pPr>
    </w:p>
    <w:p w:rsidR="008949E5" w:rsidRDefault="008949E5" w:rsidP="008949E5">
      <w:pPr>
        <w:ind w:left="0"/>
        <w:jc w:val="both"/>
        <w:rPr>
          <w:rFonts w:ascii="Bookman Old Style" w:hAnsi="Bookman Old Style" w:cs="Arial"/>
          <w:color w:val="000000"/>
        </w:rPr>
      </w:pPr>
      <w:r>
        <w:rPr>
          <w:rFonts w:ascii="Bookman Old Style" w:hAnsi="Bookman Old Style" w:cs="Arial"/>
          <w:b/>
          <w:color w:val="000000"/>
        </w:rPr>
        <w:t xml:space="preserve">Artículo 3. Modificación del numeral ii. del Artículo 1 de la Resolución CREG 172 de 2015, modificado por el Artículo 1 de la Resolución CREG 028 de 2016. </w:t>
      </w:r>
      <w:r>
        <w:rPr>
          <w:rFonts w:ascii="Bookman Old Style" w:hAnsi="Bookman Old Style" w:cs="Arial"/>
          <w:color w:val="000000"/>
        </w:rPr>
        <w:t>El factor de reserva (∆E) del numeral ii. del Artículo 1 de la Resolución CREG 172 de 2015, será igual al Qmáx definido en el artículo 1 de la presente resolución.</w:t>
      </w:r>
    </w:p>
    <w:p w:rsidR="008949E5" w:rsidRDefault="008949E5" w:rsidP="00D877BC">
      <w:pPr>
        <w:tabs>
          <w:tab w:val="center" w:pos="4512"/>
          <w:tab w:val="left" w:pos="7088"/>
        </w:tabs>
        <w:suppressAutoHyphens/>
        <w:ind w:left="0" w:right="51"/>
        <w:jc w:val="both"/>
        <w:rPr>
          <w:rFonts w:ascii="Bookman Old Style" w:hAnsi="Bookman Old Style" w:cs="Arial"/>
          <w:color w:val="000000"/>
        </w:rPr>
      </w:pPr>
    </w:p>
    <w:p w:rsidR="008949E5" w:rsidRDefault="008949E5" w:rsidP="008949E5">
      <w:pPr>
        <w:tabs>
          <w:tab w:val="center" w:pos="4512"/>
          <w:tab w:val="left" w:pos="7088"/>
        </w:tabs>
        <w:suppressAutoHyphens/>
        <w:ind w:left="0" w:right="51"/>
        <w:jc w:val="both"/>
        <w:rPr>
          <w:rFonts w:ascii="Bookman Old Style" w:hAnsi="Bookman Old Style" w:cs="Arial"/>
          <w:color w:val="000000"/>
        </w:rPr>
      </w:pPr>
      <w:r w:rsidRPr="006E0D57">
        <w:rPr>
          <w:rFonts w:ascii="Bookman Old Style" w:hAnsi="Bookman Old Style" w:cs="Arial"/>
          <w:b/>
          <w:color w:val="000000"/>
        </w:rPr>
        <w:t xml:space="preserve">Artículo </w:t>
      </w:r>
      <w:r>
        <w:rPr>
          <w:rFonts w:ascii="Bookman Old Style" w:hAnsi="Bookman Old Style" w:cs="Arial"/>
          <w:b/>
          <w:color w:val="000000"/>
        </w:rPr>
        <w:t>4</w:t>
      </w:r>
      <w:r w:rsidRPr="006E0D57">
        <w:rPr>
          <w:rFonts w:ascii="Bookman Old Style" w:hAnsi="Bookman Old Style" w:cs="Arial"/>
          <w:b/>
          <w:color w:val="000000"/>
        </w:rPr>
        <w:t>. Precio de oferta a partir del inicio de aplicación de la cantidad máxima.</w:t>
      </w:r>
      <w:r>
        <w:rPr>
          <w:rFonts w:ascii="Bookman Old Style" w:hAnsi="Bookman Old Style" w:cs="Arial"/>
          <w:color w:val="000000"/>
        </w:rPr>
        <w:t xml:space="preserve"> El precio de oferta de plantas hidráulicas con embalse a partir del inicio de aplicación de la cantidad máxima y hasta que finalice, no podrán ser iguales o inferiores al precio de oferta de la térmica más costosa, adicionando el costo de arranque-parada dividido por 24. En caso que la oferta sea inferior a dicho valor, el CND la modificará por el precio límite de que trata la Resolución CREG 172 de 2015.</w:t>
      </w:r>
    </w:p>
    <w:p w:rsidR="008949E5" w:rsidRDefault="008949E5" w:rsidP="00D877BC">
      <w:pPr>
        <w:tabs>
          <w:tab w:val="center" w:pos="4512"/>
          <w:tab w:val="left" w:pos="7088"/>
        </w:tabs>
        <w:suppressAutoHyphens/>
        <w:ind w:left="0" w:right="51"/>
        <w:jc w:val="both"/>
        <w:rPr>
          <w:rFonts w:ascii="Bookman Old Style" w:hAnsi="Bookman Old Style" w:cs="Arial"/>
          <w:color w:val="000000"/>
        </w:rPr>
      </w:pPr>
    </w:p>
    <w:p w:rsidR="00026F9D" w:rsidRDefault="00FC174D" w:rsidP="00D877BC">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b/>
          <w:color w:val="000000"/>
        </w:rPr>
        <w:t xml:space="preserve">Artículo </w:t>
      </w:r>
      <w:r w:rsidR="008949E5">
        <w:rPr>
          <w:rFonts w:ascii="Bookman Old Style" w:hAnsi="Bookman Old Style" w:cs="Arial"/>
          <w:b/>
          <w:color w:val="000000"/>
        </w:rPr>
        <w:t>5</w:t>
      </w:r>
      <w:r>
        <w:rPr>
          <w:rFonts w:ascii="Bookman Old Style" w:hAnsi="Bookman Old Style" w:cs="Arial"/>
          <w:b/>
          <w:color w:val="000000"/>
        </w:rPr>
        <w:t>. Establézcase un procedimiento transitorio para el predespacho ideal definido</w:t>
      </w:r>
      <w:r w:rsidR="000657D8">
        <w:rPr>
          <w:rFonts w:ascii="Bookman Old Style" w:hAnsi="Bookman Old Style" w:cs="Arial"/>
          <w:b/>
          <w:color w:val="000000"/>
        </w:rPr>
        <w:t xml:space="preserve"> en el Anexo 2</w:t>
      </w:r>
      <w:r>
        <w:rPr>
          <w:rFonts w:ascii="Bookman Old Style" w:hAnsi="Bookman Old Style" w:cs="Arial"/>
          <w:b/>
          <w:color w:val="000000"/>
        </w:rPr>
        <w:t xml:space="preserve"> </w:t>
      </w:r>
      <w:r w:rsidR="000657D8">
        <w:rPr>
          <w:rFonts w:ascii="Bookman Old Style" w:hAnsi="Bookman Old Style" w:cs="Arial"/>
          <w:b/>
          <w:color w:val="000000"/>
        </w:rPr>
        <w:t>de</w:t>
      </w:r>
      <w:r>
        <w:rPr>
          <w:rFonts w:ascii="Bookman Old Style" w:hAnsi="Bookman Old Style" w:cs="Arial"/>
          <w:b/>
          <w:color w:val="000000"/>
        </w:rPr>
        <w:t xml:space="preserve"> la Resolución CREG 062 de</w:t>
      </w:r>
      <w:r w:rsidR="0040138C">
        <w:rPr>
          <w:rFonts w:ascii="Bookman Old Style" w:hAnsi="Bookman Old Style" w:cs="Arial"/>
          <w:b/>
          <w:color w:val="000000"/>
        </w:rPr>
        <w:t>l</w:t>
      </w:r>
      <w:r>
        <w:rPr>
          <w:rFonts w:ascii="Bookman Old Style" w:hAnsi="Bookman Old Style" w:cs="Arial"/>
          <w:b/>
          <w:color w:val="000000"/>
        </w:rPr>
        <w:t xml:space="preserve"> </w:t>
      </w:r>
      <w:r w:rsidR="0040138C">
        <w:rPr>
          <w:rFonts w:ascii="Bookman Old Style" w:hAnsi="Bookman Old Style" w:cs="Arial"/>
          <w:b/>
          <w:color w:val="000000"/>
        </w:rPr>
        <w:t>2000</w:t>
      </w:r>
      <w:r>
        <w:rPr>
          <w:rFonts w:ascii="Bookman Old Style" w:hAnsi="Bookman Old Style" w:cs="Arial"/>
          <w:b/>
          <w:color w:val="000000"/>
        </w:rPr>
        <w:t xml:space="preserve">. </w:t>
      </w:r>
      <w:r>
        <w:rPr>
          <w:rFonts w:ascii="Bookman Old Style" w:hAnsi="Bookman Old Style" w:cs="Arial"/>
          <w:color w:val="000000"/>
        </w:rPr>
        <w:t xml:space="preserve">El procedimiento transitorio para </w:t>
      </w:r>
      <w:r w:rsidR="0040138C">
        <w:rPr>
          <w:rFonts w:ascii="Bookman Old Style" w:hAnsi="Bookman Old Style" w:cs="Arial"/>
          <w:color w:val="000000"/>
        </w:rPr>
        <w:t>el predespacho ideal considera</w:t>
      </w:r>
      <w:r w:rsidR="00837D51">
        <w:rPr>
          <w:rFonts w:ascii="Bookman Old Style" w:hAnsi="Bookman Old Style" w:cs="Arial"/>
          <w:color w:val="000000"/>
        </w:rPr>
        <w:t>rá</w:t>
      </w:r>
      <w:r w:rsidR="0040138C">
        <w:rPr>
          <w:rFonts w:ascii="Bookman Old Style" w:hAnsi="Bookman Old Style" w:cs="Arial"/>
          <w:color w:val="000000"/>
        </w:rPr>
        <w:t xml:space="preserve"> que la disponibilidad horaria de</w:t>
      </w:r>
      <w:r w:rsidR="004D3592">
        <w:rPr>
          <w:rFonts w:ascii="Bookman Old Style" w:hAnsi="Bookman Old Style" w:cs="Arial"/>
          <w:color w:val="000000"/>
        </w:rPr>
        <w:t xml:space="preserve"> cada </w:t>
      </w:r>
      <w:r w:rsidR="0040138C">
        <w:rPr>
          <w:rFonts w:ascii="Bookman Old Style" w:hAnsi="Bookman Old Style" w:cs="Arial"/>
          <w:color w:val="000000"/>
        </w:rPr>
        <w:t xml:space="preserve">recurso DCM será valorada al precio de oferta del recurso, y el excedente de disponibilidad horaria hasta la disponibilidad DR025 de la planta será valorada al </w:t>
      </w:r>
      <w:r w:rsidR="007E105A">
        <w:rPr>
          <w:rFonts w:ascii="Bookman Old Style" w:hAnsi="Bookman Old Style" w:cs="Arial"/>
          <w:color w:val="000000"/>
        </w:rPr>
        <w:t>9</w:t>
      </w:r>
      <w:r w:rsidR="00702308">
        <w:rPr>
          <w:rFonts w:ascii="Bookman Old Style" w:hAnsi="Bookman Old Style" w:cs="Arial"/>
          <w:color w:val="000000"/>
        </w:rPr>
        <w:t>9</w:t>
      </w:r>
      <w:r w:rsidR="007E105A">
        <w:rPr>
          <w:rFonts w:ascii="Bookman Old Style" w:hAnsi="Bookman Old Style" w:cs="Arial"/>
          <w:color w:val="000000"/>
        </w:rPr>
        <w:t xml:space="preserve">% del </w:t>
      </w:r>
      <w:r w:rsidR="0040138C">
        <w:rPr>
          <w:rFonts w:ascii="Bookman Old Style" w:hAnsi="Bookman Old Style" w:cs="Arial"/>
          <w:color w:val="000000"/>
        </w:rPr>
        <w:t>primer escalón de racionamiento (CRO1) publicado por la UPME.</w:t>
      </w:r>
      <w:r w:rsidR="00026F9D">
        <w:rPr>
          <w:rFonts w:ascii="Bookman Old Style" w:hAnsi="Bookman Old Style" w:cs="Arial"/>
          <w:color w:val="000000"/>
        </w:rPr>
        <w:t xml:space="preserve"> </w:t>
      </w:r>
    </w:p>
    <w:p w:rsidR="00026F9D" w:rsidRDefault="00026F9D" w:rsidP="00D877BC">
      <w:pPr>
        <w:tabs>
          <w:tab w:val="center" w:pos="4512"/>
          <w:tab w:val="left" w:pos="7088"/>
        </w:tabs>
        <w:suppressAutoHyphens/>
        <w:ind w:left="0" w:right="51"/>
        <w:jc w:val="both"/>
        <w:rPr>
          <w:rFonts w:ascii="Bookman Old Style" w:hAnsi="Bookman Old Style" w:cs="Arial"/>
          <w:color w:val="000000"/>
        </w:rPr>
      </w:pPr>
    </w:p>
    <w:p w:rsidR="00FC174D" w:rsidRDefault="00026F9D" w:rsidP="00D877BC">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color w:val="000000"/>
        </w:rPr>
        <w:t xml:space="preserve">En caso de presentarse empates al </w:t>
      </w:r>
      <w:r w:rsidR="007E105A">
        <w:rPr>
          <w:rFonts w:ascii="Bookman Old Style" w:hAnsi="Bookman Old Style" w:cs="Arial"/>
          <w:color w:val="000000"/>
        </w:rPr>
        <w:t>9</w:t>
      </w:r>
      <w:r w:rsidR="00702308">
        <w:rPr>
          <w:rFonts w:ascii="Bookman Old Style" w:hAnsi="Bookman Old Style" w:cs="Arial"/>
          <w:color w:val="000000"/>
        </w:rPr>
        <w:t>9</w:t>
      </w:r>
      <w:r w:rsidR="007E105A">
        <w:rPr>
          <w:rFonts w:ascii="Bookman Old Style" w:hAnsi="Bookman Old Style" w:cs="Arial"/>
          <w:color w:val="000000"/>
        </w:rPr>
        <w:t xml:space="preserve">% </w:t>
      </w:r>
      <w:r w:rsidR="00702308">
        <w:rPr>
          <w:rFonts w:ascii="Bookman Old Style" w:hAnsi="Bookman Old Style" w:cs="Arial"/>
          <w:color w:val="000000"/>
        </w:rPr>
        <w:t xml:space="preserve">del </w:t>
      </w:r>
      <w:r>
        <w:rPr>
          <w:rFonts w:ascii="Bookman Old Style" w:hAnsi="Bookman Old Style" w:cs="Arial"/>
          <w:color w:val="000000"/>
        </w:rPr>
        <w:t>CRO1 se aplicará la regla de desempate definida en la Resolución CREG 172 de 2015.</w:t>
      </w:r>
    </w:p>
    <w:p w:rsidR="007E105A" w:rsidRDefault="007E105A" w:rsidP="00D877BC">
      <w:pPr>
        <w:tabs>
          <w:tab w:val="center" w:pos="4512"/>
          <w:tab w:val="left" w:pos="7088"/>
        </w:tabs>
        <w:suppressAutoHyphens/>
        <w:ind w:left="0" w:right="51"/>
        <w:jc w:val="both"/>
        <w:rPr>
          <w:rFonts w:ascii="Bookman Old Style" w:hAnsi="Bookman Old Style" w:cs="Arial"/>
          <w:color w:val="000000"/>
        </w:rPr>
      </w:pPr>
    </w:p>
    <w:p w:rsidR="007E105A" w:rsidRDefault="007E105A" w:rsidP="00D877BC">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color w:val="000000"/>
        </w:rPr>
        <w:lastRenderedPageBreak/>
        <w:t>La activación de la Respuesta de la Demanda (RD) de que trata el anexo 1 de la Resolución CREG 025 de 2016 se hará con el predepacho ideal que utiliza la disponibilidad DCM.</w:t>
      </w:r>
    </w:p>
    <w:p w:rsidR="00026F9D" w:rsidRDefault="00026F9D" w:rsidP="00D877BC">
      <w:pPr>
        <w:tabs>
          <w:tab w:val="center" w:pos="4512"/>
          <w:tab w:val="left" w:pos="7088"/>
        </w:tabs>
        <w:suppressAutoHyphens/>
        <w:ind w:left="0" w:right="51"/>
        <w:jc w:val="both"/>
        <w:rPr>
          <w:rFonts w:ascii="Bookman Old Style" w:hAnsi="Bookman Old Style" w:cs="Arial"/>
          <w:color w:val="000000"/>
        </w:rPr>
      </w:pPr>
    </w:p>
    <w:p w:rsidR="000E7668" w:rsidRPr="000E7668" w:rsidRDefault="000E7668" w:rsidP="00D877BC">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b/>
          <w:color w:val="000000"/>
        </w:rPr>
        <w:t>Parágrafo 1.</w:t>
      </w:r>
      <w:r>
        <w:rPr>
          <w:rFonts w:ascii="Bookman Old Style" w:hAnsi="Bookman Old Style" w:cs="Arial"/>
          <w:color w:val="000000"/>
        </w:rPr>
        <w:t xml:space="preserve"> El precio del presdespacho ideal que informe no podrá ser superior al precio límite de que trata la Resolución CREG 172 de 2015. </w:t>
      </w:r>
    </w:p>
    <w:p w:rsidR="000E7668" w:rsidRDefault="000E7668" w:rsidP="00D877BC">
      <w:pPr>
        <w:tabs>
          <w:tab w:val="center" w:pos="4512"/>
          <w:tab w:val="left" w:pos="7088"/>
        </w:tabs>
        <w:suppressAutoHyphens/>
        <w:ind w:left="0" w:right="51"/>
        <w:jc w:val="both"/>
        <w:rPr>
          <w:rFonts w:ascii="Bookman Old Style" w:hAnsi="Bookman Old Style" w:cs="Arial"/>
          <w:b/>
          <w:color w:val="000000"/>
        </w:rPr>
      </w:pPr>
    </w:p>
    <w:p w:rsidR="0034412F" w:rsidRDefault="0034412F" w:rsidP="00D877BC">
      <w:pPr>
        <w:tabs>
          <w:tab w:val="center" w:pos="4512"/>
          <w:tab w:val="left" w:pos="7088"/>
        </w:tabs>
        <w:suppressAutoHyphens/>
        <w:ind w:left="0" w:right="51"/>
        <w:jc w:val="both"/>
        <w:rPr>
          <w:rFonts w:ascii="Bookman Old Style" w:hAnsi="Bookman Old Style" w:cs="Arial"/>
          <w:color w:val="000000"/>
        </w:rPr>
      </w:pPr>
      <w:r w:rsidRPr="00341CC8">
        <w:rPr>
          <w:rFonts w:ascii="Bookman Old Style" w:hAnsi="Bookman Old Style" w:cs="Arial"/>
          <w:b/>
          <w:color w:val="000000"/>
        </w:rPr>
        <w:t>Parágrafo</w:t>
      </w:r>
      <w:r w:rsidR="000E7668">
        <w:rPr>
          <w:rFonts w:ascii="Bookman Old Style" w:hAnsi="Bookman Old Style" w:cs="Arial"/>
          <w:b/>
          <w:color w:val="000000"/>
        </w:rPr>
        <w:t xml:space="preserve"> 2</w:t>
      </w:r>
      <w:r>
        <w:rPr>
          <w:rFonts w:ascii="Bookman Old Style" w:hAnsi="Bookman Old Style" w:cs="Arial"/>
          <w:color w:val="000000"/>
        </w:rPr>
        <w:t xml:space="preserve">. El CND hará los ajustes </w:t>
      </w:r>
      <w:r w:rsidR="004D3592">
        <w:rPr>
          <w:rFonts w:ascii="Bookman Old Style" w:hAnsi="Bookman Old Style" w:cs="Arial"/>
          <w:color w:val="000000"/>
        </w:rPr>
        <w:t xml:space="preserve">al </w:t>
      </w:r>
      <w:r>
        <w:rPr>
          <w:rFonts w:ascii="Bookman Old Style" w:hAnsi="Bookman Old Style" w:cs="Arial"/>
          <w:color w:val="000000"/>
        </w:rPr>
        <w:t>modelo de</w:t>
      </w:r>
      <w:r w:rsidR="00C779B6">
        <w:rPr>
          <w:rFonts w:ascii="Bookman Old Style" w:hAnsi="Bookman Old Style" w:cs="Arial"/>
          <w:color w:val="000000"/>
        </w:rPr>
        <w:t>l</w:t>
      </w:r>
      <w:r>
        <w:rPr>
          <w:rFonts w:ascii="Bookman Old Style" w:hAnsi="Bookman Old Style" w:cs="Arial"/>
          <w:color w:val="000000"/>
        </w:rPr>
        <w:t xml:space="preserve"> </w:t>
      </w:r>
      <w:r w:rsidR="00C779B6">
        <w:rPr>
          <w:rFonts w:ascii="Bookman Old Style" w:hAnsi="Bookman Old Style" w:cs="Arial"/>
          <w:color w:val="000000"/>
        </w:rPr>
        <w:t>pre</w:t>
      </w:r>
      <w:r>
        <w:rPr>
          <w:rFonts w:ascii="Bookman Old Style" w:hAnsi="Bookman Old Style" w:cs="Arial"/>
          <w:color w:val="000000"/>
        </w:rPr>
        <w:t xml:space="preserve">despacho </w:t>
      </w:r>
      <w:r w:rsidR="00C779B6">
        <w:rPr>
          <w:rFonts w:ascii="Bookman Old Style" w:hAnsi="Bookman Old Style" w:cs="Arial"/>
          <w:color w:val="000000"/>
        </w:rPr>
        <w:t>ideal</w:t>
      </w:r>
      <w:r>
        <w:rPr>
          <w:rFonts w:ascii="Bookman Old Style" w:hAnsi="Bookman Old Style" w:cs="Arial"/>
          <w:color w:val="000000"/>
        </w:rPr>
        <w:t xml:space="preserve"> para reflejar la regla definida en el presente artículo.</w:t>
      </w:r>
    </w:p>
    <w:p w:rsidR="00026F9D" w:rsidRDefault="00026F9D" w:rsidP="00D877BC">
      <w:pPr>
        <w:tabs>
          <w:tab w:val="center" w:pos="4512"/>
          <w:tab w:val="left" w:pos="7088"/>
        </w:tabs>
        <w:suppressAutoHyphens/>
        <w:ind w:left="0" w:right="51"/>
        <w:jc w:val="both"/>
        <w:rPr>
          <w:rFonts w:ascii="Bookman Old Style" w:hAnsi="Bookman Old Style" w:cs="Arial"/>
          <w:color w:val="000000"/>
        </w:rPr>
      </w:pPr>
    </w:p>
    <w:p w:rsidR="008F610E" w:rsidRDefault="008F610E" w:rsidP="00D877BC">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b/>
          <w:color w:val="000000"/>
        </w:rPr>
        <w:t xml:space="preserve">Artículo </w:t>
      </w:r>
      <w:r w:rsidR="008949E5">
        <w:rPr>
          <w:rFonts w:ascii="Bookman Old Style" w:hAnsi="Bookman Old Style" w:cs="Arial"/>
          <w:b/>
          <w:color w:val="000000"/>
        </w:rPr>
        <w:t>6</w:t>
      </w:r>
      <w:r>
        <w:rPr>
          <w:rFonts w:ascii="Bookman Old Style" w:hAnsi="Bookman Old Style" w:cs="Arial"/>
          <w:b/>
          <w:color w:val="000000"/>
        </w:rPr>
        <w:t xml:space="preserve">. Establézcase un procedimiento transitorio para el despacho </w:t>
      </w:r>
      <w:r w:rsidR="0034412F">
        <w:rPr>
          <w:rFonts w:ascii="Bookman Old Style" w:hAnsi="Bookman Old Style" w:cs="Arial"/>
          <w:b/>
          <w:color w:val="000000"/>
        </w:rPr>
        <w:t>programado</w:t>
      </w:r>
      <w:r>
        <w:rPr>
          <w:rFonts w:ascii="Bookman Old Style" w:hAnsi="Bookman Old Style" w:cs="Arial"/>
          <w:b/>
          <w:color w:val="000000"/>
        </w:rPr>
        <w:t xml:space="preserve"> definido en</w:t>
      </w:r>
      <w:r w:rsidR="00AD3660">
        <w:rPr>
          <w:rFonts w:ascii="Bookman Old Style" w:hAnsi="Bookman Old Style" w:cs="Arial"/>
          <w:b/>
          <w:color w:val="000000"/>
        </w:rPr>
        <w:t xml:space="preserve"> el anexo 2 de</w:t>
      </w:r>
      <w:r>
        <w:rPr>
          <w:rFonts w:ascii="Bookman Old Style" w:hAnsi="Bookman Old Style" w:cs="Arial"/>
          <w:b/>
          <w:color w:val="000000"/>
        </w:rPr>
        <w:t xml:space="preserve"> la Resolución CREG </w:t>
      </w:r>
      <w:r w:rsidR="0034412F">
        <w:rPr>
          <w:rFonts w:ascii="Bookman Old Style" w:hAnsi="Bookman Old Style" w:cs="Arial"/>
          <w:b/>
          <w:color w:val="000000"/>
        </w:rPr>
        <w:t>062</w:t>
      </w:r>
      <w:r>
        <w:rPr>
          <w:rFonts w:ascii="Bookman Old Style" w:hAnsi="Bookman Old Style" w:cs="Arial"/>
          <w:b/>
          <w:color w:val="000000"/>
        </w:rPr>
        <w:t xml:space="preserve"> del </w:t>
      </w:r>
      <w:r w:rsidR="0034412F">
        <w:rPr>
          <w:rFonts w:ascii="Bookman Old Style" w:hAnsi="Bookman Old Style" w:cs="Arial"/>
          <w:b/>
          <w:color w:val="000000"/>
        </w:rPr>
        <w:t>2000</w:t>
      </w:r>
      <w:r>
        <w:rPr>
          <w:rFonts w:ascii="Bookman Old Style" w:hAnsi="Bookman Old Style" w:cs="Arial"/>
          <w:b/>
          <w:color w:val="000000"/>
        </w:rPr>
        <w:t xml:space="preserve">. </w:t>
      </w:r>
      <w:r>
        <w:rPr>
          <w:rFonts w:ascii="Bookman Old Style" w:hAnsi="Bookman Old Style" w:cs="Arial"/>
          <w:color w:val="000000"/>
        </w:rPr>
        <w:t xml:space="preserve">El procedimiento transitorio para el </w:t>
      </w:r>
      <w:r w:rsidR="0034412F">
        <w:rPr>
          <w:rFonts w:ascii="Bookman Old Style" w:hAnsi="Bookman Old Style" w:cs="Arial"/>
          <w:color w:val="000000"/>
        </w:rPr>
        <w:t>despacho programado</w:t>
      </w:r>
      <w:r>
        <w:rPr>
          <w:rFonts w:ascii="Bookman Old Style" w:hAnsi="Bookman Old Style" w:cs="Arial"/>
          <w:color w:val="000000"/>
        </w:rPr>
        <w:t xml:space="preserve"> considera</w:t>
      </w:r>
      <w:r w:rsidR="00837D51">
        <w:rPr>
          <w:rFonts w:ascii="Bookman Old Style" w:hAnsi="Bookman Old Style" w:cs="Arial"/>
          <w:color w:val="000000"/>
        </w:rPr>
        <w:t>rá</w:t>
      </w:r>
      <w:r>
        <w:rPr>
          <w:rFonts w:ascii="Bookman Old Style" w:hAnsi="Bookman Old Style" w:cs="Arial"/>
          <w:color w:val="000000"/>
        </w:rPr>
        <w:t xml:space="preserve"> que la disponibilidad horaria de</w:t>
      </w:r>
      <w:r w:rsidR="004D3592">
        <w:rPr>
          <w:rFonts w:ascii="Bookman Old Style" w:hAnsi="Bookman Old Style" w:cs="Arial"/>
          <w:color w:val="000000"/>
        </w:rPr>
        <w:t xml:space="preserve"> cada</w:t>
      </w:r>
      <w:r>
        <w:rPr>
          <w:rFonts w:ascii="Bookman Old Style" w:hAnsi="Bookman Old Style" w:cs="Arial"/>
          <w:color w:val="000000"/>
        </w:rPr>
        <w:t xml:space="preserve"> recurso DCM será valorada</w:t>
      </w:r>
      <w:r w:rsidR="00837D51">
        <w:rPr>
          <w:rFonts w:ascii="Bookman Old Style" w:hAnsi="Bookman Old Style" w:cs="Arial"/>
          <w:color w:val="000000"/>
        </w:rPr>
        <w:t xml:space="preserve"> </w:t>
      </w:r>
      <w:r>
        <w:rPr>
          <w:rFonts w:ascii="Bookman Old Style" w:hAnsi="Bookman Old Style" w:cs="Arial"/>
          <w:color w:val="000000"/>
        </w:rPr>
        <w:t xml:space="preserve">al precio de oferta del recurso y el excedente de disponibilidad horaria hasta la disponibilidad DR025 de la planta será valorada al </w:t>
      </w:r>
      <w:r w:rsidR="008949E5">
        <w:rPr>
          <w:rFonts w:ascii="Bookman Old Style" w:hAnsi="Bookman Old Style" w:cs="Arial"/>
          <w:color w:val="000000"/>
        </w:rPr>
        <w:t xml:space="preserve">99% del </w:t>
      </w:r>
      <w:r>
        <w:rPr>
          <w:rFonts w:ascii="Bookman Old Style" w:hAnsi="Bookman Old Style" w:cs="Arial"/>
          <w:color w:val="000000"/>
        </w:rPr>
        <w:t xml:space="preserve">primer escalón de racionamiento (CRO1) publicado por la UPME. </w:t>
      </w:r>
    </w:p>
    <w:p w:rsidR="008F610E" w:rsidRDefault="008F610E" w:rsidP="00D877BC">
      <w:pPr>
        <w:tabs>
          <w:tab w:val="center" w:pos="4512"/>
          <w:tab w:val="left" w:pos="7088"/>
        </w:tabs>
        <w:suppressAutoHyphens/>
        <w:ind w:left="0" w:right="51"/>
        <w:jc w:val="both"/>
        <w:rPr>
          <w:rFonts w:ascii="Bookman Old Style" w:hAnsi="Bookman Old Style" w:cs="Arial"/>
          <w:color w:val="000000"/>
        </w:rPr>
      </w:pPr>
    </w:p>
    <w:p w:rsidR="008F610E" w:rsidRDefault="008F610E" w:rsidP="00D877BC">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color w:val="000000"/>
        </w:rPr>
        <w:t xml:space="preserve">En caso de presentarse empates al </w:t>
      </w:r>
      <w:r w:rsidR="00723681">
        <w:rPr>
          <w:rFonts w:ascii="Bookman Old Style" w:hAnsi="Bookman Old Style" w:cs="Arial"/>
          <w:color w:val="000000"/>
        </w:rPr>
        <w:t xml:space="preserve">99%  del </w:t>
      </w:r>
      <w:r>
        <w:rPr>
          <w:rFonts w:ascii="Bookman Old Style" w:hAnsi="Bookman Old Style" w:cs="Arial"/>
          <w:color w:val="000000"/>
        </w:rPr>
        <w:t>CRO1 se aplicará la regla de desempate definida en la Resolución CREG 172 de 2015.</w:t>
      </w:r>
    </w:p>
    <w:p w:rsidR="008F610E" w:rsidRDefault="008F610E" w:rsidP="00D877BC">
      <w:pPr>
        <w:tabs>
          <w:tab w:val="center" w:pos="4512"/>
          <w:tab w:val="left" w:pos="7088"/>
        </w:tabs>
        <w:suppressAutoHyphens/>
        <w:ind w:left="0" w:right="51"/>
        <w:jc w:val="both"/>
        <w:rPr>
          <w:rFonts w:ascii="Bookman Old Style" w:hAnsi="Bookman Old Style" w:cs="Arial"/>
          <w:color w:val="000000"/>
        </w:rPr>
      </w:pPr>
    </w:p>
    <w:p w:rsidR="008F610E" w:rsidRDefault="008F610E" w:rsidP="00D877BC">
      <w:pPr>
        <w:tabs>
          <w:tab w:val="center" w:pos="4512"/>
          <w:tab w:val="left" w:pos="7088"/>
        </w:tabs>
        <w:suppressAutoHyphens/>
        <w:ind w:left="0" w:right="51"/>
        <w:jc w:val="both"/>
        <w:rPr>
          <w:rFonts w:ascii="Bookman Old Style" w:hAnsi="Bookman Old Style" w:cs="Arial"/>
          <w:color w:val="000000"/>
        </w:rPr>
      </w:pPr>
      <w:r w:rsidRPr="00341CC8">
        <w:rPr>
          <w:rFonts w:ascii="Bookman Old Style" w:hAnsi="Bookman Old Style" w:cs="Arial"/>
          <w:b/>
          <w:color w:val="000000"/>
        </w:rPr>
        <w:t>Parágrafo</w:t>
      </w:r>
      <w:r>
        <w:rPr>
          <w:rFonts w:ascii="Bookman Old Style" w:hAnsi="Bookman Old Style" w:cs="Arial"/>
          <w:color w:val="000000"/>
        </w:rPr>
        <w:t xml:space="preserve">. El CND hará los ajustes modelo de </w:t>
      </w:r>
      <w:r w:rsidR="0034412F">
        <w:rPr>
          <w:rFonts w:ascii="Bookman Old Style" w:hAnsi="Bookman Old Style" w:cs="Arial"/>
          <w:color w:val="000000"/>
        </w:rPr>
        <w:t>despacho programado</w:t>
      </w:r>
      <w:r>
        <w:rPr>
          <w:rFonts w:ascii="Bookman Old Style" w:hAnsi="Bookman Old Style" w:cs="Arial"/>
          <w:color w:val="000000"/>
        </w:rPr>
        <w:t xml:space="preserve"> para reflejar </w:t>
      </w:r>
      <w:r w:rsidR="0034412F">
        <w:rPr>
          <w:rFonts w:ascii="Bookman Old Style" w:hAnsi="Bookman Old Style" w:cs="Arial"/>
          <w:color w:val="000000"/>
        </w:rPr>
        <w:t>la regla</w:t>
      </w:r>
      <w:r>
        <w:rPr>
          <w:rFonts w:ascii="Bookman Old Style" w:hAnsi="Bookman Old Style" w:cs="Arial"/>
          <w:color w:val="000000"/>
        </w:rPr>
        <w:t xml:space="preserve"> </w:t>
      </w:r>
      <w:r w:rsidR="0034412F">
        <w:rPr>
          <w:rFonts w:ascii="Bookman Old Style" w:hAnsi="Bookman Old Style" w:cs="Arial"/>
          <w:color w:val="000000"/>
        </w:rPr>
        <w:t xml:space="preserve">definida </w:t>
      </w:r>
      <w:r>
        <w:rPr>
          <w:rFonts w:ascii="Bookman Old Style" w:hAnsi="Bookman Old Style" w:cs="Arial"/>
          <w:color w:val="000000"/>
        </w:rPr>
        <w:t>en el presente artículo.</w:t>
      </w:r>
    </w:p>
    <w:p w:rsidR="00FC174D" w:rsidRDefault="00FC174D" w:rsidP="00D877BC">
      <w:pPr>
        <w:tabs>
          <w:tab w:val="center" w:pos="4512"/>
          <w:tab w:val="left" w:pos="7088"/>
        </w:tabs>
        <w:suppressAutoHyphens/>
        <w:ind w:left="0" w:right="51"/>
        <w:jc w:val="both"/>
        <w:rPr>
          <w:rFonts w:ascii="Bookman Old Style" w:hAnsi="Bookman Old Style" w:cs="Arial"/>
          <w:color w:val="000000"/>
        </w:rPr>
      </w:pPr>
    </w:p>
    <w:p w:rsidR="00FC174D" w:rsidRDefault="0034412F" w:rsidP="00D877BC">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b/>
          <w:color w:val="000000"/>
        </w:rPr>
        <w:t xml:space="preserve">Artículo </w:t>
      </w:r>
      <w:r w:rsidR="008949E5">
        <w:rPr>
          <w:rFonts w:ascii="Bookman Old Style" w:hAnsi="Bookman Old Style" w:cs="Arial"/>
          <w:b/>
          <w:color w:val="000000"/>
        </w:rPr>
        <w:t>7</w:t>
      </w:r>
      <w:r>
        <w:rPr>
          <w:rFonts w:ascii="Bookman Old Style" w:hAnsi="Bookman Old Style" w:cs="Arial"/>
          <w:b/>
          <w:color w:val="000000"/>
        </w:rPr>
        <w:t xml:space="preserve">. Establézcase un procedimiento transitorio para </w:t>
      </w:r>
      <w:r w:rsidR="00FD54D9">
        <w:rPr>
          <w:rFonts w:ascii="Bookman Old Style" w:hAnsi="Bookman Old Style" w:cs="Arial"/>
          <w:b/>
          <w:color w:val="000000"/>
        </w:rPr>
        <w:t xml:space="preserve">cálculo de la disponibilidad comercial definida en la </w:t>
      </w:r>
      <w:r>
        <w:rPr>
          <w:rFonts w:ascii="Bookman Old Style" w:hAnsi="Bookman Old Style" w:cs="Arial"/>
          <w:b/>
          <w:color w:val="000000"/>
        </w:rPr>
        <w:t xml:space="preserve">Resolución CREG 024 del 1995. </w:t>
      </w:r>
      <w:r>
        <w:rPr>
          <w:rFonts w:ascii="Bookman Old Style" w:hAnsi="Bookman Old Style" w:cs="Arial"/>
          <w:color w:val="000000"/>
        </w:rPr>
        <w:t>El procedimiento transitorio considera</w:t>
      </w:r>
      <w:r w:rsidR="007955BE">
        <w:rPr>
          <w:rFonts w:ascii="Bookman Old Style" w:hAnsi="Bookman Old Style" w:cs="Arial"/>
          <w:color w:val="000000"/>
        </w:rPr>
        <w:t>rá</w:t>
      </w:r>
      <w:r>
        <w:rPr>
          <w:rFonts w:ascii="Bookman Old Style" w:hAnsi="Bookman Old Style" w:cs="Arial"/>
          <w:color w:val="000000"/>
        </w:rPr>
        <w:t xml:space="preserve"> que la disponibilidad</w:t>
      </w:r>
      <w:r w:rsidR="000B0DFE">
        <w:rPr>
          <w:rFonts w:ascii="Bookman Old Style" w:hAnsi="Bookman Old Style" w:cs="Arial"/>
          <w:color w:val="000000"/>
        </w:rPr>
        <w:t xml:space="preserve"> declarada utilizada</w:t>
      </w:r>
      <w:r w:rsidR="006A1C33">
        <w:rPr>
          <w:rFonts w:ascii="Bookman Old Style" w:hAnsi="Bookman Old Style" w:cs="Arial"/>
          <w:color w:val="000000"/>
        </w:rPr>
        <w:t xml:space="preserve"> </w:t>
      </w:r>
      <w:r w:rsidR="00D877BC">
        <w:rPr>
          <w:rFonts w:ascii="Bookman Old Style" w:hAnsi="Bookman Old Style" w:cs="Arial"/>
          <w:color w:val="000000"/>
        </w:rPr>
        <w:t>o disponibilidad programada</w:t>
      </w:r>
      <w:r w:rsidR="000B0DFE">
        <w:rPr>
          <w:rFonts w:ascii="Bookman Old Style" w:hAnsi="Bookman Old Style" w:cs="Arial"/>
          <w:color w:val="000000"/>
        </w:rPr>
        <w:t xml:space="preserve"> para el cálculo de la disponibilidad comercial </w:t>
      </w:r>
      <w:r w:rsidR="00BB4096">
        <w:rPr>
          <w:rFonts w:ascii="Bookman Old Style" w:hAnsi="Bookman Old Style" w:cs="Arial"/>
          <w:color w:val="000000"/>
        </w:rPr>
        <w:t xml:space="preserve">de las plantas hidráulicas con embalse </w:t>
      </w:r>
      <w:r w:rsidR="000B0DFE">
        <w:rPr>
          <w:rFonts w:ascii="Bookman Old Style" w:hAnsi="Bookman Old Style" w:cs="Arial"/>
          <w:color w:val="000000"/>
        </w:rPr>
        <w:t xml:space="preserve">para el despacho ideal </w:t>
      </w:r>
      <w:r>
        <w:rPr>
          <w:rFonts w:ascii="Bookman Old Style" w:hAnsi="Bookman Old Style" w:cs="Arial"/>
          <w:color w:val="000000"/>
        </w:rPr>
        <w:t>será:</w:t>
      </w:r>
    </w:p>
    <w:p w:rsidR="0034412F" w:rsidRDefault="0034412F" w:rsidP="00D877BC">
      <w:pPr>
        <w:tabs>
          <w:tab w:val="center" w:pos="4512"/>
          <w:tab w:val="left" w:pos="7088"/>
        </w:tabs>
        <w:suppressAutoHyphens/>
        <w:ind w:left="0" w:right="51"/>
        <w:jc w:val="both"/>
        <w:rPr>
          <w:rFonts w:ascii="Bookman Old Style" w:hAnsi="Bookman Old Style" w:cs="Arial"/>
          <w:color w:val="000000"/>
        </w:rPr>
      </w:pPr>
    </w:p>
    <w:p w:rsidR="000B0DFE" w:rsidRDefault="00F937CF" w:rsidP="00D877BC">
      <w:pPr>
        <w:tabs>
          <w:tab w:val="center" w:pos="4512"/>
          <w:tab w:val="left" w:pos="7088"/>
        </w:tabs>
        <w:suppressAutoHyphens/>
        <w:ind w:left="0" w:right="51"/>
        <w:jc w:val="both"/>
        <w:rPr>
          <w:rFonts w:ascii="Bookman Old Style" w:hAnsi="Bookman Old Style" w:cs="Arial"/>
          <w:color w:val="000000"/>
        </w:rPr>
      </w:pPr>
      <m:oMathPara>
        <m:oMath>
          <m:sSub>
            <m:sSubPr>
              <m:ctrlPr>
                <w:rPr>
                  <w:rFonts w:ascii="Cambria Math" w:hAnsi="Cambria Math" w:cs="Arial"/>
                  <w:i/>
                  <w:color w:val="000000"/>
                </w:rPr>
              </m:ctrlPr>
            </m:sSubPr>
            <m:e>
              <m:r>
                <w:rPr>
                  <w:rFonts w:ascii="Cambria Math" w:hAnsi="Cambria Math" w:cs="Arial"/>
                  <w:color w:val="000000"/>
                </w:rPr>
                <m:t>Disponibilidad programada</m:t>
              </m:r>
            </m:e>
            <m:sub>
              <m:r>
                <w:rPr>
                  <w:rFonts w:ascii="Cambria Math" w:hAnsi="Cambria Math" w:cs="Arial"/>
                  <w:color w:val="000000"/>
                </w:rPr>
                <m:t>r,h,do</m:t>
              </m:r>
            </m:sub>
          </m:sSub>
          <m:r>
            <w:rPr>
              <w:rFonts w:ascii="Cambria Math" w:hAnsi="Cambria Math" w:cs="Arial"/>
              <w:color w:val="000000"/>
            </w:rPr>
            <m:t>=</m:t>
          </m:r>
          <m:r>
            <m:rPr>
              <m:sty m:val="p"/>
            </m:rPr>
            <w:rPr>
              <w:rFonts w:ascii="Cambria Math" w:hAnsi="Cambria Math" w:cs="Arial"/>
              <w:color w:val="000000"/>
            </w:rPr>
            <m:t>max⁡</m:t>
          </m:r>
          <m:d>
            <m:dPr>
              <m:ctrlPr>
                <w:rPr>
                  <w:rFonts w:ascii="Cambria Math" w:hAnsi="Cambria Math" w:cs="Arial"/>
                  <w:i/>
                  <w:color w:val="000000"/>
                </w:rPr>
              </m:ctrlPr>
            </m:dPr>
            <m:e>
              <m:sSub>
                <m:sSubPr>
                  <m:ctrlPr>
                    <w:rPr>
                      <w:rFonts w:ascii="Cambria Math" w:hAnsi="Cambria Math" w:cs="Arial"/>
                      <w:i/>
                      <w:color w:val="000000"/>
                    </w:rPr>
                  </m:ctrlPr>
                </m:sSubPr>
                <m:e>
                  <m:r>
                    <w:rPr>
                      <w:rFonts w:ascii="Cambria Math" w:hAnsi="Cambria Math" w:cs="Arial"/>
                      <w:color w:val="000000"/>
                    </w:rPr>
                    <m:t>DCM</m:t>
                  </m:r>
                </m:e>
                <m:sub>
                  <m:r>
                    <w:rPr>
                      <w:rFonts w:ascii="Cambria Math" w:hAnsi="Cambria Math" w:cs="Arial"/>
                      <w:color w:val="000000"/>
                    </w:rPr>
                    <m:t>r,h,do</m:t>
                  </m:r>
                </m:sub>
              </m:sSub>
              <m:r>
                <w:rPr>
                  <w:rFonts w:ascii="Cambria Math" w:hAnsi="Cambria Math" w:cs="Arial"/>
                  <w:color w:val="000000"/>
                </w:rPr>
                <m:t>,</m:t>
              </m:r>
              <m:func>
                <m:funcPr>
                  <m:ctrlPr>
                    <w:rPr>
                      <w:rFonts w:ascii="Cambria Math" w:hAnsi="Cambria Math" w:cs="Arial"/>
                      <w:color w:val="000000"/>
                    </w:rPr>
                  </m:ctrlPr>
                </m:funcPr>
                <m:fName>
                  <m:r>
                    <m:rPr>
                      <m:sty m:val="p"/>
                    </m:rPr>
                    <w:rPr>
                      <w:rFonts w:ascii="Cambria Math" w:hAnsi="Cambria Math" w:cs="Arial"/>
                      <w:color w:val="000000"/>
                    </w:rPr>
                    <m:t>min</m:t>
                  </m:r>
                </m:fName>
                <m:e>
                  <m:d>
                    <m:dPr>
                      <m:ctrlPr>
                        <w:rPr>
                          <w:rFonts w:ascii="Cambria Math" w:hAnsi="Cambria Math" w:cs="Arial"/>
                          <w:i/>
                          <w:color w:val="000000"/>
                        </w:rPr>
                      </m:ctrlPr>
                    </m:dPr>
                    <m:e>
                      <m:sSub>
                        <m:sSubPr>
                          <m:ctrlPr>
                            <w:rPr>
                              <w:rFonts w:ascii="Cambria Math" w:hAnsi="Cambria Math" w:cs="Arial"/>
                              <w:i/>
                              <w:color w:val="000000"/>
                            </w:rPr>
                          </m:ctrlPr>
                        </m:sSubPr>
                        <m:e>
                          <m:r>
                            <w:rPr>
                              <w:rFonts w:ascii="Cambria Math" w:hAnsi="Cambria Math" w:cs="Arial"/>
                              <w:color w:val="000000"/>
                            </w:rPr>
                            <m:t>generación real</m:t>
                          </m:r>
                        </m:e>
                        <m:sub>
                          <m:r>
                            <w:rPr>
                              <w:rFonts w:ascii="Cambria Math" w:hAnsi="Cambria Math" w:cs="Arial"/>
                              <w:color w:val="000000"/>
                            </w:rPr>
                            <m:t>r,h,do</m:t>
                          </m:r>
                        </m:sub>
                      </m:sSub>
                      <m:r>
                        <w:rPr>
                          <w:rFonts w:ascii="Cambria Math" w:hAnsi="Cambria Math" w:cs="Arial"/>
                          <w:color w:val="000000"/>
                        </w:rPr>
                        <m:t xml:space="preserve">, </m:t>
                      </m:r>
                      <m:sSub>
                        <m:sSubPr>
                          <m:ctrlPr>
                            <w:rPr>
                              <w:rFonts w:ascii="Cambria Math" w:hAnsi="Cambria Math" w:cs="Arial"/>
                              <w:i/>
                              <w:color w:val="000000"/>
                            </w:rPr>
                          </m:ctrlPr>
                        </m:sSubPr>
                        <m:e>
                          <m:r>
                            <w:rPr>
                              <w:rFonts w:ascii="Cambria Math" w:hAnsi="Cambria Math" w:cs="Arial"/>
                              <w:color w:val="000000"/>
                            </w:rPr>
                            <m:t>DR025</m:t>
                          </m:r>
                        </m:e>
                        <m:sub>
                          <m:r>
                            <w:rPr>
                              <w:rFonts w:ascii="Cambria Math" w:hAnsi="Cambria Math" w:cs="Arial"/>
                              <w:color w:val="000000"/>
                            </w:rPr>
                            <m:t>r,h,do</m:t>
                          </m:r>
                        </m:sub>
                      </m:sSub>
                    </m:e>
                  </m:d>
                  <m:ctrlPr>
                    <w:rPr>
                      <w:rFonts w:ascii="Cambria Math" w:hAnsi="Cambria Math" w:cs="Arial"/>
                      <w:i/>
                      <w:color w:val="000000"/>
                    </w:rPr>
                  </m:ctrlPr>
                </m:e>
              </m:func>
            </m:e>
          </m:d>
        </m:oMath>
      </m:oMathPara>
    </w:p>
    <w:p w:rsidR="006A1C33" w:rsidRDefault="006A1C33" w:rsidP="00D877BC">
      <w:pPr>
        <w:tabs>
          <w:tab w:val="center" w:pos="4512"/>
          <w:tab w:val="left" w:pos="7088"/>
        </w:tabs>
        <w:suppressAutoHyphens/>
        <w:ind w:left="0" w:right="51"/>
        <w:jc w:val="both"/>
        <w:rPr>
          <w:rFonts w:ascii="Bookman Old Style" w:hAnsi="Bookman Old Style" w:cs="Arial"/>
          <w:color w:val="000000"/>
        </w:rPr>
      </w:pPr>
    </w:p>
    <w:p w:rsidR="006A1C33" w:rsidRDefault="006A1C33" w:rsidP="00D877BC">
      <w:pPr>
        <w:tabs>
          <w:tab w:val="center" w:pos="4512"/>
          <w:tab w:val="left" w:pos="7088"/>
        </w:tabs>
        <w:suppressAutoHyphens/>
        <w:ind w:left="0" w:right="51"/>
        <w:jc w:val="both"/>
        <w:rPr>
          <w:rFonts w:ascii="Bookman Old Style" w:hAnsi="Bookman Old Style" w:cs="Arial"/>
          <w:color w:val="000000"/>
        </w:rPr>
      </w:pPr>
    </w:p>
    <w:p w:rsidR="006A1C33" w:rsidRDefault="006A1C33" w:rsidP="00D877BC">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color w:val="000000"/>
        </w:rPr>
        <w:t>donde:</w:t>
      </w:r>
    </w:p>
    <w:p w:rsidR="006A1C33" w:rsidRDefault="006A1C33" w:rsidP="00D877BC">
      <w:pPr>
        <w:tabs>
          <w:tab w:val="center" w:pos="4512"/>
          <w:tab w:val="left" w:pos="7088"/>
        </w:tabs>
        <w:suppressAutoHyphens/>
        <w:ind w:left="0" w:right="51"/>
        <w:jc w:val="both"/>
        <w:rPr>
          <w:rFonts w:ascii="Bookman Old Style" w:hAnsi="Bookman Old Style" w:cs="Arial"/>
          <w:color w:val="000000"/>
        </w:rPr>
      </w:pPr>
    </w:p>
    <w:p w:rsidR="006A1C33" w:rsidRDefault="006A1C33" w:rsidP="00D877BC">
      <w:pPr>
        <w:tabs>
          <w:tab w:val="center" w:pos="4512"/>
          <w:tab w:val="left" w:pos="7088"/>
        </w:tabs>
        <w:suppressAutoHyphens/>
        <w:ind w:right="51" w:hanging="567"/>
        <w:jc w:val="both"/>
        <w:rPr>
          <w:rFonts w:ascii="Bookman Old Style" w:hAnsi="Bookman Old Style" w:cs="Arial"/>
          <w:color w:val="000000"/>
        </w:rPr>
      </w:pPr>
      <w:r>
        <w:rPr>
          <w:rFonts w:ascii="Bookman Old Style" w:hAnsi="Bookman Old Style" w:cs="Arial"/>
          <w:color w:val="000000"/>
        </w:rPr>
        <w:t xml:space="preserve">r: </w:t>
      </w:r>
      <w:r>
        <w:rPr>
          <w:rFonts w:ascii="Bookman Old Style" w:hAnsi="Bookman Old Style" w:cs="Arial"/>
          <w:color w:val="000000"/>
        </w:rPr>
        <w:tab/>
        <w:t>recurso de generación</w:t>
      </w:r>
    </w:p>
    <w:p w:rsidR="006A1C33" w:rsidRDefault="006A1C33" w:rsidP="00D877BC">
      <w:pPr>
        <w:tabs>
          <w:tab w:val="center" w:pos="4512"/>
          <w:tab w:val="left" w:pos="7088"/>
        </w:tabs>
        <w:suppressAutoHyphens/>
        <w:ind w:right="51" w:hanging="567"/>
        <w:jc w:val="both"/>
        <w:rPr>
          <w:rFonts w:ascii="Bookman Old Style" w:hAnsi="Bookman Old Style" w:cs="Arial"/>
          <w:color w:val="000000"/>
        </w:rPr>
      </w:pPr>
      <w:r>
        <w:rPr>
          <w:rFonts w:ascii="Bookman Old Style" w:hAnsi="Bookman Old Style" w:cs="Arial"/>
          <w:color w:val="000000"/>
        </w:rPr>
        <w:t xml:space="preserve">h: </w:t>
      </w:r>
      <w:r>
        <w:rPr>
          <w:rFonts w:ascii="Bookman Old Style" w:hAnsi="Bookman Old Style" w:cs="Arial"/>
          <w:color w:val="000000"/>
        </w:rPr>
        <w:tab/>
        <w:t>período horario</w:t>
      </w:r>
    </w:p>
    <w:p w:rsidR="0034412F" w:rsidRDefault="006A1C33" w:rsidP="00D877BC">
      <w:pPr>
        <w:tabs>
          <w:tab w:val="center" w:pos="4512"/>
          <w:tab w:val="left" w:pos="7088"/>
        </w:tabs>
        <w:suppressAutoHyphens/>
        <w:ind w:right="51" w:hanging="567"/>
        <w:jc w:val="both"/>
        <w:rPr>
          <w:rFonts w:ascii="Bookman Old Style" w:hAnsi="Bookman Old Style" w:cs="Arial"/>
          <w:color w:val="000000"/>
        </w:rPr>
      </w:pPr>
      <w:r>
        <w:rPr>
          <w:rFonts w:ascii="Bookman Old Style" w:hAnsi="Bookman Old Style" w:cs="Arial"/>
          <w:color w:val="000000"/>
        </w:rPr>
        <w:t>d</w:t>
      </w:r>
      <w:r w:rsidR="003572ED">
        <w:rPr>
          <w:rFonts w:ascii="Bookman Old Style" w:hAnsi="Bookman Old Style" w:cs="Arial"/>
          <w:color w:val="000000"/>
        </w:rPr>
        <w:t>o</w:t>
      </w:r>
      <w:r>
        <w:rPr>
          <w:rFonts w:ascii="Bookman Old Style" w:hAnsi="Bookman Old Style" w:cs="Arial"/>
          <w:color w:val="000000"/>
        </w:rPr>
        <w:t xml:space="preserve">: </w:t>
      </w:r>
      <w:r>
        <w:rPr>
          <w:rFonts w:ascii="Bookman Old Style" w:hAnsi="Bookman Old Style" w:cs="Arial"/>
          <w:color w:val="000000"/>
        </w:rPr>
        <w:tab/>
        <w:t>día</w:t>
      </w:r>
      <w:r w:rsidR="00D877BC">
        <w:rPr>
          <w:rFonts w:ascii="Bookman Old Style" w:hAnsi="Bookman Old Style" w:cs="Arial"/>
          <w:color w:val="000000"/>
        </w:rPr>
        <w:t xml:space="preserve"> de</w:t>
      </w:r>
      <w:r w:rsidR="008C6D05">
        <w:rPr>
          <w:rFonts w:ascii="Bookman Old Style" w:hAnsi="Bookman Old Style" w:cs="Arial"/>
          <w:color w:val="000000"/>
        </w:rPr>
        <w:t xml:space="preserve"> operación</w:t>
      </w:r>
    </w:p>
    <w:p w:rsidR="006A1C33" w:rsidRDefault="006A1C33" w:rsidP="00D877BC">
      <w:pPr>
        <w:tabs>
          <w:tab w:val="center" w:pos="4512"/>
          <w:tab w:val="left" w:pos="7088"/>
        </w:tabs>
        <w:suppressAutoHyphens/>
        <w:ind w:left="0" w:right="51"/>
        <w:jc w:val="both"/>
        <w:rPr>
          <w:rFonts w:ascii="Bookman Old Style" w:hAnsi="Bookman Old Style" w:cs="Arial"/>
          <w:b/>
          <w:color w:val="000000"/>
        </w:rPr>
      </w:pPr>
    </w:p>
    <w:p w:rsidR="00055A90" w:rsidRDefault="00055A90" w:rsidP="00D877BC">
      <w:pPr>
        <w:tabs>
          <w:tab w:val="center" w:pos="4512"/>
          <w:tab w:val="left" w:pos="7088"/>
        </w:tabs>
        <w:suppressAutoHyphens/>
        <w:ind w:left="0" w:right="51"/>
        <w:jc w:val="both"/>
        <w:rPr>
          <w:rFonts w:ascii="Bookman Old Style" w:hAnsi="Bookman Old Style" w:cs="Arial"/>
          <w:color w:val="000000"/>
        </w:rPr>
      </w:pPr>
      <w:r w:rsidRPr="00055A90">
        <w:rPr>
          <w:rFonts w:ascii="Bookman Old Style" w:hAnsi="Bookman Old Style" w:cs="Arial"/>
          <w:b/>
          <w:color w:val="000000"/>
        </w:rPr>
        <w:t xml:space="preserve">Artículo </w:t>
      </w:r>
      <w:r w:rsidR="00E30485">
        <w:rPr>
          <w:rFonts w:ascii="Bookman Old Style" w:hAnsi="Bookman Old Style" w:cs="Arial"/>
          <w:b/>
          <w:color w:val="000000"/>
        </w:rPr>
        <w:t>8</w:t>
      </w:r>
      <w:r w:rsidRPr="00055A90">
        <w:rPr>
          <w:rFonts w:ascii="Bookman Old Style" w:hAnsi="Bookman Old Style" w:cs="Arial"/>
          <w:b/>
          <w:color w:val="000000"/>
        </w:rPr>
        <w:t xml:space="preserve">. </w:t>
      </w:r>
      <w:r w:rsidR="00AC372F">
        <w:rPr>
          <w:rFonts w:ascii="Bookman Old Style" w:hAnsi="Bookman Old Style" w:cs="Arial"/>
          <w:b/>
          <w:color w:val="000000"/>
        </w:rPr>
        <w:t xml:space="preserve">Información del precio de oferta de la planta térmica más costosa. </w:t>
      </w:r>
      <w:r>
        <w:rPr>
          <w:rFonts w:ascii="Bookman Old Style" w:hAnsi="Bookman Old Style" w:cs="Arial"/>
          <w:color w:val="000000"/>
        </w:rPr>
        <w:t xml:space="preserve">Durante la aplicación de la cantidad máxima de que trata la presente resolución, </w:t>
      </w:r>
      <w:r w:rsidR="00AC372F">
        <w:rPr>
          <w:rFonts w:ascii="Bookman Old Style" w:hAnsi="Bookman Old Style" w:cs="Arial"/>
          <w:color w:val="000000"/>
        </w:rPr>
        <w:t xml:space="preserve">el </w:t>
      </w:r>
      <w:r>
        <w:rPr>
          <w:rFonts w:ascii="Bookman Old Style" w:hAnsi="Bookman Old Style" w:cs="Arial"/>
          <w:color w:val="000000"/>
        </w:rPr>
        <w:t xml:space="preserve">CND </w:t>
      </w:r>
      <w:r w:rsidR="00AC372F">
        <w:rPr>
          <w:rFonts w:ascii="Bookman Old Style" w:hAnsi="Bookman Old Style" w:cs="Arial"/>
          <w:color w:val="000000"/>
        </w:rPr>
        <w:t>informará el precio de oferta de la planta térmica más costosa, adicionando el costo de arranque-parada dividido por 24.</w:t>
      </w:r>
      <w:r>
        <w:rPr>
          <w:rFonts w:ascii="Bookman Old Style" w:hAnsi="Bookman Old Style" w:cs="Arial"/>
          <w:color w:val="000000"/>
        </w:rPr>
        <w:t xml:space="preserve"> </w:t>
      </w:r>
    </w:p>
    <w:p w:rsidR="006E0D57" w:rsidRDefault="006E0D57" w:rsidP="00D877BC">
      <w:pPr>
        <w:ind w:left="0"/>
        <w:jc w:val="both"/>
        <w:rPr>
          <w:rFonts w:ascii="Bookman Old Style" w:hAnsi="Bookman Old Style" w:cs="Arial"/>
          <w:b/>
          <w:color w:val="000000"/>
        </w:rPr>
      </w:pPr>
    </w:p>
    <w:p w:rsidR="006D4537" w:rsidRDefault="006D4537" w:rsidP="00D877BC">
      <w:pPr>
        <w:ind w:left="0"/>
        <w:jc w:val="both"/>
        <w:rPr>
          <w:rFonts w:ascii="Bookman Old Style" w:hAnsi="Bookman Old Style" w:cs="Arial"/>
          <w:b/>
          <w:color w:val="000000"/>
        </w:rPr>
      </w:pPr>
    </w:p>
    <w:p w:rsidR="00FF5B11" w:rsidRDefault="00FF5B11" w:rsidP="00D877BC">
      <w:pPr>
        <w:ind w:left="0"/>
        <w:jc w:val="both"/>
        <w:rPr>
          <w:rFonts w:ascii="Bookman Old Style" w:hAnsi="Bookman Old Style" w:cs="Arial"/>
          <w:color w:val="000000"/>
        </w:rPr>
      </w:pPr>
      <w:r>
        <w:rPr>
          <w:rFonts w:ascii="Bookman Old Style" w:hAnsi="Bookman Old Style" w:cs="Arial"/>
          <w:b/>
          <w:color w:val="000000"/>
        </w:rPr>
        <w:t xml:space="preserve">Artículo </w:t>
      </w:r>
      <w:r w:rsidR="00E30485">
        <w:rPr>
          <w:rFonts w:ascii="Bookman Old Style" w:hAnsi="Bookman Old Style" w:cs="Arial"/>
          <w:b/>
          <w:color w:val="000000"/>
        </w:rPr>
        <w:t>9</w:t>
      </w:r>
      <w:r>
        <w:rPr>
          <w:rFonts w:ascii="Bookman Old Style" w:hAnsi="Bookman Old Style" w:cs="Arial"/>
          <w:b/>
          <w:color w:val="000000"/>
        </w:rPr>
        <w:t>. Adiciónese al numeral 4.1 C</w:t>
      </w:r>
      <w:r w:rsidR="002F1C13">
        <w:rPr>
          <w:rFonts w:ascii="Bookman Old Style" w:hAnsi="Bookman Old Style" w:cs="Arial"/>
          <w:b/>
          <w:color w:val="000000"/>
        </w:rPr>
        <w:t>ausas</w:t>
      </w:r>
      <w:r>
        <w:rPr>
          <w:rFonts w:ascii="Bookman Old Style" w:hAnsi="Bookman Old Style" w:cs="Arial"/>
          <w:b/>
          <w:color w:val="000000"/>
        </w:rPr>
        <w:t xml:space="preserve"> </w:t>
      </w:r>
      <w:r w:rsidR="002F1C13">
        <w:rPr>
          <w:rFonts w:ascii="Bookman Old Style" w:hAnsi="Bookman Old Style" w:cs="Arial"/>
          <w:b/>
          <w:color w:val="000000"/>
        </w:rPr>
        <w:t>del</w:t>
      </w:r>
      <w:r>
        <w:rPr>
          <w:rFonts w:ascii="Bookman Old Style" w:hAnsi="Bookman Old Style" w:cs="Arial"/>
          <w:b/>
          <w:color w:val="000000"/>
        </w:rPr>
        <w:t xml:space="preserve"> </w:t>
      </w:r>
      <w:r w:rsidR="002F1C13">
        <w:rPr>
          <w:rFonts w:ascii="Bookman Old Style" w:hAnsi="Bookman Old Style" w:cs="Arial"/>
          <w:b/>
          <w:color w:val="000000"/>
        </w:rPr>
        <w:t>Resdespacho</w:t>
      </w:r>
      <w:r>
        <w:rPr>
          <w:rFonts w:ascii="Bookman Old Style" w:hAnsi="Bookman Old Style" w:cs="Arial"/>
          <w:b/>
          <w:color w:val="000000"/>
        </w:rPr>
        <w:t xml:space="preserve"> del Código de Operación, establecido en la Resolución CREG 025 de 1995. </w:t>
      </w:r>
      <w:r>
        <w:rPr>
          <w:rFonts w:ascii="Bookman Old Style" w:hAnsi="Bookman Old Style" w:cs="Arial"/>
          <w:color w:val="000000"/>
        </w:rPr>
        <w:t>Se adiciona la siguiente causal de redespacho al numeral 4.1</w:t>
      </w:r>
      <w:r w:rsidR="004D3D1F" w:rsidRPr="004D3D1F">
        <w:rPr>
          <w:rFonts w:ascii="Bookman Old Style" w:hAnsi="Bookman Old Style" w:cs="Arial"/>
          <w:b/>
          <w:color w:val="000000"/>
        </w:rPr>
        <w:t xml:space="preserve"> </w:t>
      </w:r>
      <w:r w:rsidR="002B6273">
        <w:rPr>
          <w:rFonts w:ascii="Bookman Old Style" w:hAnsi="Bookman Old Style" w:cs="Arial"/>
          <w:b/>
          <w:color w:val="000000"/>
        </w:rPr>
        <w:t>Causas del Re</w:t>
      </w:r>
      <w:r w:rsidR="004D3D1F">
        <w:rPr>
          <w:rFonts w:ascii="Bookman Old Style" w:hAnsi="Bookman Old Style" w:cs="Arial"/>
          <w:b/>
          <w:color w:val="000000"/>
        </w:rPr>
        <w:t>despacho</w:t>
      </w:r>
      <w:r>
        <w:rPr>
          <w:rFonts w:ascii="Bookman Old Style" w:hAnsi="Bookman Old Style" w:cs="Arial"/>
          <w:color w:val="000000"/>
        </w:rPr>
        <w:t xml:space="preserve"> del Código de Operación, Resolución CREG 025 de 1995:</w:t>
      </w:r>
    </w:p>
    <w:p w:rsidR="00FF5B11" w:rsidRDefault="00FF5B11" w:rsidP="00D877BC">
      <w:pPr>
        <w:tabs>
          <w:tab w:val="center" w:pos="4512"/>
          <w:tab w:val="left" w:pos="7088"/>
        </w:tabs>
        <w:suppressAutoHyphens/>
        <w:ind w:left="0" w:right="51"/>
        <w:jc w:val="both"/>
        <w:rPr>
          <w:rFonts w:ascii="Bookman Old Style" w:hAnsi="Bookman Old Style" w:cs="Arial"/>
          <w:color w:val="000000"/>
        </w:rPr>
      </w:pPr>
    </w:p>
    <w:p w:rsidR="009A33C1" w:rsidRDefault="00FF5B11" w:rsidP="002D2E52">
      <w:pPr>
        <w:tabs>
          <w:tab w:val="center" w:pos="4512"/>
          <w:tab w:val="left" w:pos="7088"/>
        </w:tabs>
        <w:suppressAutoHyphens/>
        <w:ind w:left="708" w:right="51"/>
        <w:jc w:val="both"/>
        <w:rPr>
          <w:rFonts w:ascii="Bookman Old Style" w:hAnsi="Bookman Old Style" w:cs="Arial"/>
          <w:i/>
          <w:color w:val="000000"/>
        </w:rPr>
      </w:pPr>
      <w:r>
        <w:rPr>
          <w:rFonts w:ascii="Bookman Old Style" w:hAnsi="Bookman Old Style" w:cs="Arial"/>
          <w:i/>
          <w:color w:val="000000"/>
        </w:rPr>
        <w:lastRenderedPageBreak/>
        <w:t xml:space="preserve">Aumento en disponibilidad de una planta de generación hidráulica de forma parcial en alguna unidad o en todas sus unidades de generación, declarada por un agente generador, sin que se limite a requerimientos de seguridad eléctrica del SIN. </w:t>
      </w:r>
      <w:r w:rsidRPr="004A698E">
        <w:rPr>
          <w:rFonts w:ascii="Bookman Old Style" w:hAnsi="Bookman Old Style" w:cs="Arial"/>
          <w:i/>
          <w:color w:val="000000"/>
        </w:rPr>
        <w:t xml:space="preserve">En estos casos </w:t>
      </w:r>
      <w:r>
        <w:rPr>
          <w:rFonts w:ascii="Bookman Old Style" w:hAnsi="Bookman Old Style" w:cs="Arial"/>
          <w:i/>
          <w:color w:val="000000"/>
        </w:rPr>
        <w:t xml:space="preserve">también </w:t>
      </w:r>
      <w:r w:rsidRPr="004A698E">
        <w:rPr>
          <w:rFonts w:ascii="Bookman Old Style" w:hAnsi="Bookman Old Style" w:cs="Arial"/>
          <w:i/>
          <w:color w:val="000000"/>
        </w:rPr>
        <w:t xml:space="preserve">se considerará </w:t>
      </w:r>
      <w:r>
        <w:rPr>
          <w:rFonts w:ascii="Bookman Old Style" w:hAnsi="Bookman Old Style" w:cs="Arial"/>
          <w:i/>
          <w:color w:val="000000"/>
        </w:rPr>
        <w:t xml:space="preserve">aumento de disponibilidad de una unidad o todas sus unidades de generación sí estas hubieran estado indisponibles y se considerará </w:t>
      </w:r>
      <w:r w:rsidRPr="004A698E">
        <w:rPr>
          <w:rFonts w:ascii="Bookman Old Style" w:hAnsi="Bookman Old Style" w:cs="Arial"/>
          <w:i/>
          <w:color w:val="000000"/>
        </w:rPr>
        <w:t xml:space="preserve">el precio de oferta declarado inicialmente </w:t>
      </w:r>
      <w:r>
        <w:rPr>
          <w:rFonts w:ascii="Bookman Old Style" w:hAnsi="Bookman Old Style" w:cs="Arial"/>
          <w:i/>
          <w:color w:val="000000"/>
        </w:rPr>
        <w:t xml:space="preserve">al Despacho Económico </w:t>
      </w:r>
      <w:r w:rsidRPr="004A698E">
        <w:rPr>
          <w:rFonts w:ascii="Bookman Old Style" w:hAnsi="Bookman Old Style" w:cs="Arial"/>
          <w:i/>
          <w:color w:val="000000"/>
        </w:rPr>
        <w:t>por el respectivo agente</w:t>
      </w:r>
      <w:r>
        <w:rPr>
          <w:rFonts w:ascii="Bookman Old Style" w:hAnsi="Bookman Old Style" w:cs="Arial"/>
          <w:i/>
          <w:color w:val="000000"/>
        </w:rPr>
        <w:t>. El agente deberá informar al CND si modifica la rampa declarada inicialmente al Despacho Económico.</w:t>
      </w:r>
    </w:p>
    <w:p w:rsidR="009A33C1" w:rsidRPr="006D4537" w:rsidRDefault="009A33C1" w:rsidP="002D2E52">
      <w:pPr>
        <w:tabs>
          <w:tab w:val="center" w:pos="4512"/>
          <w:tab w:val="left" w:pos="7088"/>
        </w:tabs>
        <w:suppressAutoHyphens/>
        <w:ind w:left="708" w:right="51"/>
        <w:jc w:val="both"/>
        <w:rPr>
          <w:rFonts w:ascii="Bookman Old Style" w:hAnsi="Bookman Old Style" w:cs="Arial"/>
          <w:color w:val="000000"/>
          <w:sz w:val="18"/>
        </w:rPr>
      </w:pPr>
    </w:p>
    <w:p w:rsidR="009A33C1" w:rsidRDefault="00FF5B11" w:rsidP="002D2E52">
      <w:pPr>
        <w:tabs>
          <w:tab w:val="center" w:pos="4512"/>
          <w:tab w:val="left" w:pos="7088"/>
        </w:tabs>
        <w:suppressAutoHyphens/>
        <w:ind w:left="708" w:right="51"/>
        <w:jc w:val="both"/>
        <w:rPr>
          <w:rFonts w:ascii="Bookman Old Style" w:hAnsi="Bookman Old Style" w:cs="Arial"/>
          <w:i/>
          <w:color w:val="000000"/>
        </w:rPr>
      </w:pPr>
      <w:r>
        <w:rPr>
          <w:rFonts w:ascii="Bookman Old Style" w:hAnsi="Bookman Old Style" w:cs="Arial"/>
          <w:i/>
          <w:color w:val="000000"/>
        </w:rPr>
        <w:t xml:space="preserve">Para el caso en que un agente haya informado como causal de redespacho la indisponibilidad total de alguna unidad o de varias unidades de generación de la planta hidráulica, podrá aumentar parcialmente la disponibilidad de dichas unidades de acuerdo con esta causal. </w:t>
      </w:r>
    </w:p>
    <w:p w:rsidR="00FF5B11" w:rsidRDefault="00FF5B11" w:rsidP="00D877BC">
      <w:pPr>
        <w:tabs>
          <w:tab w:val="center" w:pos="4512"/>
          <w:tab w:val="left" w:pos="7088"/>
        </w:tabs>
        <w:suppressAutoHyphens/>
        <w:ind w:left="0" w:right="51"/>
        <w:jc w:val="both"/>
        <w:rPr>
          <w:rFonts w:ascii="Bookman Old Style" w:hAnsi="Bookman Old Style" w:cs="Arial"/>
          <w:color w:val="000000"/>
        </w:rPr>
      </w:pPr>
    </w:p>
    <w:p w:rsidR="00F254D1" w:rsidRDefault="00F254D1" w:rsidP="00D877BC">
      <w:pPr>
        <w:ind w:left="0"/>
        <w:jc w:val="both"/>
        <w:rPr>
          <w:rFonts w:ascii="Bookman Old Style" w:hAnsi="Bookman Old Style" w:cs="Arial"/>
          <w:color w:val="000000"/>
        </w:rPr>
      </w:pPr>
      <w:r>
        <w:rPr>
          <w:rFonts w:ascii="Bookman Old Style" w:hAnsi="Bookman Old Style" w:cs="Arial"/>
          <w:b/>
          <w:color w:val="000000"/>
        </w:rPr>
        <w:t xml:space="preserve">Artículo </w:t>
      </w:r>
      <w:r w:rsidR="00055A90">
        <w:rPr>
          <w:rFonts w:ascii="Bookman Old Style" w:hAnsi="Bookman Old Style" w:cs="Arial"/>
          <w:b/>
          <w:color w:val="000000"/>
        </w:rPr>
        <w:t>1</w:t>
      </w:r>
      <w:r w:rsidR="00E30485">
        <w:rPr>
          <w:rFonts w:ascii="Bookman Old Style" w:hAnsi="Bookman Old Style" w:cs="Arial"/>
          <w:b/>
          <w:color w:val="000000"/>
        </w:rPr>
        <w:t>0</w:t>
      </w:r>
      <w:r>
        <w:rPr>
          <w:rFonts w:ascii="Bookman Old Style" w:hAnsi="Bookman Old Style" w:cs="Arial"/>
          <w:b/>
          <w:color w:val="000000"/>
        </w:rPr>
        <w:t xml:space="preserve">. Plazo </w:t>
      </w:r>
      <w:r w:rsidR="00520212">
        <w:rPr>
          <w:rFonts w:ascii="Bookman Old Style" w:hAnsi="Bookman Old Style" w:cs="Arial"/>
          <w:b/>
          <w:color w:val="000000"/>
        </w:rPr>
        <w:t xml:space="preserve">máximo </w:t>
      </w:r>
      <w:r>
        <w:rPr>
          <w:rFonts w:ascii="Bookman Old Style" w:hAnsi="Bookman Old Style" w:cs="Arial"/>
          <w:b/>
          <w:color w:val="000000"/>
        </w:rPr>
        <w:t>para implementar los ajuste</w:t>
      </w:r>
      <w:r w:rsidR="00520212">
        <w:rPr>
          <w:rFonts w:ascii="Bookman Old Style" w:hAnsi="Bookman Old Style" w:cs="Arial"/>
          <w:b/>
          <w:color w:val="000000"/>
        </w:rPr>
        <w:t>s</w:t>
      </w:r>
      <w:r>
        <w:rPr>
          <w:rFonts w:ascii="Bookman Old Style" w:hAnsi="Bookman Old Style" w:cs="Arial"/>
          <w:b/>
          <w:color w:val="000000"/>
        </w:rPr>
        <w:t xml:space="preserve"> por el CND. </w:t>
      </w:r>
      <w:r>
        <w:rPr>
          <w:rFonts w:ascii="Bookman Old Style" w:hAnsi="Bookman Old Style" w:cs="Arial"/>
          <w:color w:val="000000"/>
        </w:rPr>
        <w:t xml:space="preserve">El </w:t>
      </w:r>
      <w:r w:rsidR="00F54273">
        <w:rPr>
          <w:rFonts w:ascii="Bookman Old Style" w:hAnsi="Bookman Old Style" w:cs="Arial"/>
          <w:color w:val="000000"/>
        </w:rPr>
        <w:t xml:space="preserve">CND tendrá un </w:t>
      </w:r>
      <w:r>
        <w:rPr>
          <w:rFonts w:ascii="Bookman Old Style" w:hAnsi="Bookman Old Style" w:cs="Arial"/>
          <w:color w:val="000000"/>
        </w:rPr>
        <w:t xml:space="preserve">plazo </w:t>
      </w:r>
      <w:r w:rsidR="00520212">
        <w:rPr>
          <w:rFonts w:ascii="Bookman Old Style" w:hAnsi="Bookman Old Style" w:cs="Arial"/>
          <w:color w:val="000000"/>
        </w:rPr>
        <w:t xml:space="preserve">máximo </w:t>
      </w:r>
      <w:r>
        <w:rPr>
          <w:rFonts w:ascii="Bookman Old Style" w:hAnsi="Bookman Old Style" w:cs="Arial"/>
          <w:color w:val="000000"/>
        </w:rPr>
        <w:t xml:space="preserve">de siete (7) días calendario después de </w:t>
      </w:r>
      <w:r w:rsidR="00F54273">
        <w:rPr>
          <w:rFonts w:ascii="Bookman Old Style" w:hAnsi="Bookman Old Style" w:cs="Arial"/>
          <w:color w:val="000000"/>
        </w:rPr>
        <w:t xml:space="preserve">la </w:t>
      </w:r>
      <w:r>
        <w:rPr>
          <w:rFonts w:ascii="Bookman Old Style" w:hAnsi="Bookman Old Style" w:cs="Arial"/>
          <w:color w:val="000000"/>
        </w:rPr>
        <w:t>entrada en vigencia de la presente resolución</w:t>
      </w:r>
      <w:r w:rsidR="00F54273" w:rsidRPr="00F54273">
        <w:rPr>
          <w:rFonts w:ascii="Bookman Old Style" w:hAnsi="Bookman Old Style" w:cs="Arial"/>
          <w:color w:val="000000"/>
        </w:rPr>
        <w:t xml:space="preserve"> </w:t>
      </w:r>
      <w:r w:rsidR="00F54273">
        <w:rPr>
          <w:rFonts w:ascii="Bookman Old Style" w:hAnsi="Bookman Old Style" w:cs="Arial"/>
          <w:color w:val="000000"/>
        </w:rPr>
        <w:t>para implementar los ajustes señalados en ella</w:t>
      </w:r>
      <w:r>
        <w:rPr>
          <w:rFonts w:ascii="Bookman Old Style" w:hAnsi="Bookman Old Style" w:cs="Arial"/>
          <w:color w:val="000000"/>
        </w:rPr>
        <w:t>.</w:t>
      </w:r>
    </w:p>
    <w:p w:rsidR="00FF5B11" w:rsidRDefault="00FF5B11" w:rsidP="00D877BC">
      <w:pPr>
        <w:tabs>
          <w:tab w:val="center" w:pos="4512"/>
          <w:tab w:val="left" w:pos="7088"/>
        </w:tabs>
        <w:suppressAutoHyphens/>
        <w:ind w:left="0" w:right="51"/>
        <w:jc w:val="both"/>
        <w:rPr>
          <w:rFonts w:ascii="Bookman Old Style" w:hAnsi="Bookman Old Style" w:cs="Arial"/>
          <w:color w:val="000000"/>
        </w:rPr>
      </w:pPr>
    </w:p>
    <w:p w:rsidR="00B46031" w:rsidRDefault="002E0C73" w:rsidP="00D877BC">
      <w:pPr>
        <w:tabs>
          <w:tab w:val="center" w:pos="709"/>
        </w:tabs>
        <w:suppressAutoHyphens/>
        <w:ind w:left="0" w:right="51"/>
        <w:jc w:val="both"/>
        <w:rPr>
          <w:rFonts w:ascii="Bookman Old Style" w:hAnsi="Bookman Old Style" w:cs="Arial"/>
          <w:color w:val="000000"/>
          <w:lang w:val="es-CO"/>
        </w:rPr>
      </w:pPr>
      <w:r w:rsidRPr="00C14A4F">
        <w:rPr>
          <w:rFonts w:ascii="Bookman Old Style" w:hAnsi="Bookman Old Style" w:cs="Arial"/>
          <w:b/>
          <w:color w:val="000000"/>
          <w:lang w:val="es-CO"/>
        </w:rPr>
        <w:t xml:space="preserve">Artículo </w:t>
      </w:r>
      <w:r w:rsidR="00F254D1">
        <w:rPr>
          <w:rFonts w:ascii="Bookman Old Style" w:hAnsi="Bookman Old Style" w:cs="Arial"/>
          <w:b/>
          <w:color w:val="000000"/>
          <w:lang w:val="es-CO"/>
        </w:rPr>
        <w:t>1</w:t>
      </w:r>
      <w:r w:rsidR="00E30485">
        <w:rPr>
          <w:rFonts w:ascii="Bookman Old Style" w:hAnsi="Bookman Old Style" w:cs="Arial"/>
          <w:b/>
          <w:color w:val="000000"/>
          <w:lang w:val="es-CO"/>
        </w:rPr>
        <w:t>1</w:t>
      </w:r>
      <w:r w:rsidRPr="00C14A4F">
        <w:rPr>
          <w:rFonts w:ascii="Bookman Old Style" w:hAnsi="Bookman Old Style" w:cs="Arial"/>
          <w:b/>
          <w:color w:val="000000"/>
          <w:lang w:val="es-CO"/>
        </w:rPr>
        <w:t xml:space="preserve">. </w:t>
      </w:r>
      <w:r>
        <w:rPr>
          <w:rFonts w:ascii="Bookman Old Style" w:hAnsi="Bookman Old Style" w:cs="Arial"/>
          <w:b/>
          <w:color w:val="000000"/>
          <w:lang w:val="es-CO"/>
        </w:rPr>
        <w:t>Vigencia.</w:t>
      </w:r>
      <w:r>
        <w:rPr>
          <w:rFonts w:ascii="Bookman Old Style" w:hAnsi="Bookman Old Style" w:cs="Arial"/>
          <w:color w:val="000000"/>
          <w:lang w:val="es-CO"/>
        </w:rPr>
        <w:t xml:space="preserve"> </w:t>
      </w:r>
      <w:r w:rsidR="00160677">
        <w:rPr>
          <w:rFonts w:ascii="Bookman Old Style" w:hAnsi="Bookman Old Style" w:cs="Arial"/>
          <w:color w:val="000000"/>
          <w:lang w:val="es-CO"/>
        </w:rPr>
        <w:t>Esta R</w:t>
      </w:r>
      <w:r>
        <w:rPr>
          <w:rFonts w:ascii="Bookman Old Style" w:hAnsi="Bookman Old Style" w:cs="Arial"/>
          <w:color w:val="000000"/>
          <w:lang w:val="es-CO"/>
        </w:rPr>
        <w:t xml:space="preserve">esolución </w:t>
      </w:r>
      <w:r w:rsidR="006D3475">
        <w:rPr>
          <w:rFonts w:ascii="Bookman Old Style" w:hAnsi="Bookman Old Style" w:cs="Arial"/>
          <w:color w:val="000000"/>
          <w:lang w:val="es-CO"/>
        </w:rPr>
        <w:t>r</w:t>
      </w:r>
      <w:r w:rsidR="00FD75F1">
        <w:rPr>
          <w:rFonts w:ascii="Bookman Old Style" w:hAnsi="Bookman Old Style" w:cs="Arial"/>
          <w:color w:val="000000"/>
          <w:lang w:val="es-CO"/>
        </w:rPr>
        <w:t xml:space="preserve">ige </w:t>
      </w:r>
      <w:r w:rsidR="00160677">
        <w:rPr>
          <w:rFonts w:ascii="Bookman Old Style" w:hAnsi="Bookman Old Style" w:cs="Arial"/>
          <w:color w:val="000000"/>
          <w:lang w:val="es-CO"/>
        </w:rPr>
        <w:t xml:space="preserve">a partir de la fecha de su </w:t>
      </w:r>
      <w:r>
        <w:rPr>
          <w:rFonts w:ascii="Bookman Old Style" w:hAnsi="Bookman Old Style" w:cs="Arial"/>
          <w:color w:val="000000"/>
          <w:lang w:val="es-CO"/>
        </w:rPr>
        <w:t xml:space="preserve">publicación en el </w:t>
      </w:r>
      <w:r w:rsidRPr="00E42E08">
        <w:rPr>
          <w:rFonts w:ascii="Bookman Old Style" w:hAnsi="Bookman Old Style" w:cs="Arial"/>
          <w:i/>
          <w:color w:val="000000"/>
          <w:lang w:val="es-CO"/>
        </w:rPr>
        <w:t>Diario Oficial</w:t>
      </w:r>
      <w:r w:rsidR="00FD75F1">
        <w:rPr>
          <w:rFonts w:ascii="Bookman Old Style" w:hAnsi="Bookman Old Style" w:cs="Arial"/>
          <w:color w:val="000000"/>
          <w:lang w:val="es-CO"/>
        </w:rPr>
        <w:t xml:space="preserve"> </w:t>
      </w:r>
      <w:r>
        <w:rPr>
          <w:rFonts w:ascii="Bookman Old Style" w:hAnsi="Bookman Old Style" w:cs="Arial"/>
          <w:color w:val="000000"/>
          <w:lang w:val="es-CO"/>
        </w:rPr>
        <w:t xml:space="preserve">y </w:t>
      </w:r>
      <w:r w:rsidR="00160677">
        <w:rPr>
          <w:rFonts w:ascii="Bookman Old Style" w:hAnsi="Bookman Old Style" w:cs="Arial"/>
          <w:color w:val="000000"/>
          <w:lang w:val="es-CO"/>
        </w:rPr>
        <w:t>su aplicació</w:t>
      </w:r>
      <w:r w:rsidR="00520212">
        <w:rPr>
          <w:rFonts w:ascii="Bookman Old Style" w:hAnsi="Bookman Old Style" w:cs="Arial"/>
          <w:color w:val="000000"/>
          <w:lang w:val="es-CO"/>
        </w:rPr>
        <w:t xml:space="preserve">n iniciará para el despacho del día siguiente de cumplirse la condición que define </w:t>
      </w:r>
      <w:r w:rsidR="004D3592">
        <w:rPr>
          <w:rFonts w:ascii="Bookman Old Style" w:hAnsi="Bookman Old Style" w:cs="Arial"/>
          <w:color w:val="000000"/>
          <w:lang w:val="es-CO"/>
        </w:rPr>
        <w:t>el criterio</w:t>
      </w:r>
      <w:r w:rsidR="0023491C">
        <w:rPr>
          <w:rFonts w:ascii="Bookman Old Style" w:hAnsi="Bookman Old Style" w:cs="Arial"/>
          <w:color w:val="000000"/>
          <w:lang w:val="es-CO"/>
        </w:rPr>
        <w:t xml:space="preserve"> operativo</w:t>
      </w:r>
      <w:r w:rsidR="004D3592">
        <w:rPr>
          <w:rFonts w:ascii="Bookman Old Style" w:hAnsi="Bookman Old Style" w:cs="Arial"/>
          <w:color w:val="000000"/>
          <w:lang w:val="es-CO"/>
        </w:rPr>
        <w:t xml:space="preserve"> definido por el C</w:t>
      </w:r>
      <w:r w:rsidR="00910BE5">
        <w:rPr>
          <w:rFonts w:ascii="Bookman Old Style" w:hAnsi="Bookman Old Style" w:cs="Arial"/>
          <w:color w:val="000000"/>
          <w:lang w:val="es-CO"/>
        </w:rPr>
        <w:t>NO</w:t>
      </w:r>
      <w:r w:rsidR="004D3592">
        <w:rPr>
          <w:rFonts w:ascii="Bookman Old Style" w:hAnsi="Bookman Old Style" w:cs="Arial"/>
          <w:color w:val="000000"/>
          <w:lang w:val="es-CO"/>
        </w:rPr>
        <w:t xml:space="preserve"> según el artículo 6 de esta resolución</w:t>
      </w:r>
      <w:r w:rsidR="00520212">
        <w:rPr>
          <w:rFonts w:ascii="Bookman Old Style" w:hAnsi="Bookman Old Style" w:cs="Arial"/>
          <w:color w:val="000000"/>
          <w:lang w:val="es-CO"/>
        </w:rPr>
        <w:t>. Si la condición del CNO se cumple antes de que el CND haya terminado los ajustes, la aplicación iniciará el día siguiente de que el CND haya terminado los ajustes</w:t>
      </w:r>
      <w:r w:rsidR="00160677">
        <w:rPr>
          <w:rFonts w:ascii="Bookman Old Style" w:hAnsi="Bookman Old Style" w:cs="Arial"/>
          <w:color w:val="000000"/>
          <w:lang w:val="es-CO"/>
        </w:rPr>
        <w:t>.</w:t>
      </w:r>
    </w:p>
    <w:p w:rsidR="007E0A73" w:rsidRDefault="007E0A73" w:rsidP="00D877BC">
      <w:pPr>
        <w:tabs>
          <w:tab w:val="center" w:pos="709"/>
        </w:tabs>
        <w:suppressAutoHyphens/>
        <w:ind w:left="0" w:right="51"/>
        <w:jc w:val="both"/>
        <w:rPr>
          <w:rFonts w:ascii="Bookman Old Style" w:hAnsi="Bookman Old Style" w:cs="Arial"/>
          <w:color w:val="000000"/>
          <w:lang w:val="es-CO"/>
        </w:rPr>
      </w:pPr>
    </w:p>
    <w:p w:rsidR="007E0A73" w:rsidRDefault="00F54273" w:rsidP="00D877BC">
      <w:pPr>
        <w:tabs>
          <w:tab w:val="center" w:pos="709"/>
        </w:tabs>
        <w:suppressAutoHyphens/>
        <w:ind w:left="0" w:right="51"/>
        <w:jc w:val="both"/>
        <w:rPr>
          <w:rFonts w:ascii="Bookman Old Style" w:hAnsi="Bookman Old Style" w:cs="Arial"/>
          <w:color w:val="000000"/>
          <w:lang w:val="es-CO"/>
        </w:rPr>
      </w:pPr>
      <w:r>
        <w:rPr>
          <w:rFonts w:ascii="Bookman Old Style" w:hAnsi="Bookman Old Style" w:cs="Arial"/>
          <w:color w:val="000000"/>
          <w:lang w:val="es-CO"/>
        </w:rPr>
        <w:t xml:space="preserve">De conformidad con el Decreto 2108 de 2015 </w:t>
      </w:r>
      <w:r w:rsidR="00FE3EBF">
        <w:rPr>
          <w:rFonts w:ascii="Bookman Old Style" w:hAnsi="Bookman Old Style" w:cs="Arial"/>
          <w:color w:val="000000"/>
          <w:lang w:val="es-CO"/>
        </w:rPr>
        <w:t>l</w:t>
      </w:r>
      <w:r w:rsidR="00520212">
        <w:rPr>
          <w:rFonts w:ascii="Bookman Old Style" w:hAnsi="Bookman Old Style" w:cs="Arial"/>
          <w:color w:val="000000"/>
          <w:lang w:val="es-CO"/>
        </w:rPr>
        <w:t>a presente resolución tendrá una vigencia de seis (6) meses</w:t>
      </w:r>
      <w:r>
        <w:rPr>
          <w:rFonts w:ascii="Bookman Old Style" w:hAnsi="Bookman Old Style" w:cs="Arial"/>
          <w:color w:val="000000"/>
          <w:lang w:val="es-CO"/>
        </w:rPr>
        <w:t>,</w:t>
      </w:r>
      <w:r w:rsidR="00520212">
        <w:rPr>
          <w:rFonts w:ascii="Bookman Old Style" w:hAnsi="Bookman Old Style" w:cs="Arial"/>
          <w:color w:val="000000"/>
          <w:lang w:val="es-CO"/>
        </w:rPr>
        <w:t xml:space="preserve"> prorrogables, </w:t>
      </w:r>
      <w:r w:rsidRPr="00F54273">
        <w:rPr>
          <w:rFonts w:ascii="Bookman Old Style" w:hAnsi="Bookman Old Style" w:cs="Arial"/>
          <w:color w:val="000000"/>
        </w:rPr>
        <w:t>o hasta cuando se superen las circunstancias que originaron su adopción, lo cual será determinado por la CR</w:t>
      </w:r>
      <w:r>
        <w:rPr>
          <w:rFonts w:ascii="Bookman Old Style" w:hAnsi="Bookman Old Style" w:cs="Arial"/>
          <w:color w:val="000000"/>
        </w:rPr>
        <w:t>EG mediante acto administrativo</w:t>
      </w:r>
      <w:r w:rsidR="00520212">
        <w:rPr>
          <w:rFonts w:ascii="Bookman Old Style" w:hAnsi="Bookman Old Style" w:cs="Arial"/>
          <w:color w:val="000000"/>
          <w:lang w:val="es-CO"/>
        </w:rPr>
        <w:t xml:space="preserve">. </w:t>
      </w:r>
    </w:p>
    <w:p w:rsidR="00BE6C76" w:rsidRDefault="00BE6C76" w:rsidP="00D877BC">
      <w:pPr>
        <w:tabs>
          <w:tab w:val="center" w:pos="709"/>
        </w:tabs>
        <w:suppressAutoHyphens/>
        <w:ind w:left="0" w:right="51"/>
        <w:jc w:val="both"/>
        <w:rPr>
          <w:rFonts w:ascii="Bookman Old Style" w:hAnsi="Bookman Old Style" w:cs="Arial"/>
          <w:color w:val="000000"/>
          <w:lang w:val="es-CO"/>
        </w:rPr>
      </w:pPr>
    </w:p>
    <w:p w:rsidR="00BE6C76" w:rsidRDefault="00BE6C76" w:rsidP="00BE6C76">
      <w:pPr>
        <w:tabs>
          <w:tab w:val="center" w:pos="4512"/>
          <w:tab w:val="left" w:pos="7088"/>
        </w:tabs>
        <w:suppressAutoHyphens/>
        <w:ind w:left="0" w:right="51"/>
        <w:jc w:val="both"/>
        <w:rPr>
          <w:rFonts w:ascii="Bookman Old Style" w:hAnsi="Bookman Old Style" w:cs="Arial"/>
          <w:color w:val="000000"/>
        </w:rPr>
      </w:pPr>
      <w:r w:rsidRPr="00441E65">
        <w:rPr>
          <w:rFonts w:ascii="Bookman Old Style" w:hAnsi="Bookman Old Style" w:cs="Arial"/>
          <w:b/>
          <w:color w:val="000000"/>
          <w:lang w:val="es-CO"/>
        </w:rPr>
        <w:t>Parágrafo</w:t>
      </w:r>
      <w:r>
        <w:rPr>
          <w:rFonts w:ascii="Bookman Old Style" w:hAnsi="Bookman Old Style" w:cs="Arial"/>
          <w:color w:val="000000"/>
          <w:lang w:val="es-CO"/>
        </w:rPr>
        <w:t xml:space="preserve">: </w:t>
      </w:r>
      <w:r>
        <w:rPr>
          <w:rFonts w:ascii="Bookman Old Style" w:hAnsi="Bookman Old Style" w:cs="Arial"/>
          <w:color w:val="000000"/>
        </w:rPr>
        <w:t>El CNO definirá, en un plazo de tres (3) días calendario después de la entrada en vigencia de la presente resolución,  un criterio operativo a partir del cual se debe dar inicio y finalización a la aplicación de lo definido en la presente resolución.</w:t>
      </w:r>
    </w:p>
    <w:p w:rsidR="00BE6C76" w:rsidRDefault="00BE6C76" w:rsidP="00BE6C76">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color w:val="000000"/>
        </w:rPr>
        <w:t xml:space="preserve"> </w:t>
      </w:r>
    </w:p>
    <w:p w:rsidR="00BE6C76" w:rsidRPr="00262E08" w:rsidRDefault="00BE6C76" w:rsidP="00BE6C76">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color w:val="000000"/>
        </w:rPr>
        <w:t>El criterio operativo con su documento soporte deberá ser informado al Ministerio de Minas y Energía y la Comisión de Regulación de Energía y Gas.</w:t>
      </w:r>
    </w:p>
    <w:p w:rsidR="00BE6C76" w:rsidRPr="00441E65" w:rsidRDefault="00BE6C76" w:rsidP="00D877BC">
      <w:pPr>
        <w:tabs>
          <w:tab w:val="center" w:pos="709"/>
        </w:tabs>
        <w:suppressAutoHyphens/>
        <w:ind w:left="0" w:right="51"/>
        <w:jc w:val="both"/>
        <w:rPr>
          <w:rFonts w:ascii="Bookman Old Style" w:hAnsi="Bookman Old Style" w:cs="Arial"/>
          <w:color w:val="000000"/>
        </w:rPr>
      </w:pPr>
    </w:p>
    <w:p w:rsidR="00661E64" w:rsidRPr="00C435C3" w:rsidRDefault="00661E64" w:rsidP="00661E64">
      <w:pPr>
        <w:jc w:val="center"/>
        <w:rPr>
          <w:rFonts w:ascii="Bookman Old Style" w:hAnsi="Bookman Old Style"/>
          <w:b/>
        </w:rPr>
      </w:pPr>
      <w:r w:rsidRPr="00C435C3">
        <w:rPr>
          <w:rFonts w:ascii="Bookman Old Style" w:hAnsi="Bookman Old Style"/>
          <w:b/>
        </w:rPr>
        <w:t>PU</w:t>
      </w:r>
      <w:r w:rsidR="003D709F">
        <w:rPr>
          <w:rFonts w:ascii="Bookman Old Style" w:hAnsi="Bookman Old Style"/>
          <w:b/>
        </w:rPr>
        <w:t>B</w:t>
      </w:r>
      <w:r w:rsidRPr="00C435C3">
        <w:rPr>
          <w:rFonts w:ascii="Bookman Old Style" w:hAnsi="Bookman Old Style"/>
          <w:b/>
        </w:rPr>
        <w:t>LÍQUESE Y CÚMPLASE</w:t>
      </w:r>
    </w:p>
    <w:p w:rsidR="006D4537" w:rsidRDefault="006D4537" w:rsidP="006D4537">
      <w:pPr>
        <w:ind w:left="0"/>
        <w:rPr>
          <w:rFonts w:ascii="Bookman Old Style" w:hAnsi="Bookman Old Style"/>
        </w:rPr>
      </w:pPr>
    </w:p>
    <w:p w:rsidR="00FD75F1" w:rsidRDefault="006D4537" w:rsidP="006D4537">
      <w:pPr>
        <w:ind w:left="0"/>
        <w:rPr>
          <w:rFonts w:ascii="Bookman Old Style" w:hAnsi="Bookman Old Style"/>
        </w:rPr>
      </w:pPr>
      <w:r>
        <w:rPr>
          <w:rFonts w:ascii="Bookman Old Style" w:hAnsi="Bookman Old Style"/>
        </w:rPr>
        <w:t xml:space="preserve">Dada en Bogotá, D.C, a </w:t>
      </w:r>
    </w:p>
    <w:p w:rsidR="00FA28B4" w:rsidRDefault="00FA28B4" w:rsidP="00661E64">
      <w:pPr>
        <w:ind w:left="0"/>
        <w:rPr>
          <w:rFonts w:ascii="Bookman Old Style" w:hAnsi="Bookman Old Style"/>
        </w:rPr>
      </w:pPr>
    </w:p>
    <w:p w:rsidR="00F94B49" w:rsidRDefault="00F94B49" w:rsidP="00661E64">
      <w:pPr>
        <w:ind w:left="0"/>
        <w:rPr>
          <w:rFonts w:ascii="Bookman Old Style" w:hAnsi="Bookman Old Style"/>
        </w:rPr>
      </w:pPr>
    </w:p>
    <w:p w:rsidR="00F94B49" w:rsidRDefault="00F94B49" w:rsidP="00661E64">
      <w:pPr>
        <w:ind w:left="0"/>
        <w:rPr>
          <w:rFonts w:ascii="Bookman Old Style" w:hAnsi="Bookman Old Style"/>
        </w:rPr>
      </w:pPr>
    </w:p>
    <w:p w:rsidR="00F94B49" w:rsidRDefault="00F94B49" w:rsidP="00661E64">
      <w:pPr>
        <w:ind w:left="0"/>
        <w:rPr>
          <w:rFonts w:ascii="Bookman Old Style" w:hAnsi="Bookman Old Style"/>
        </w:rPr>
      </w:pPr>
    </w:p>
    <w:tbl>
      <w:tblPr>
        <w:tblW w:w="9570" w:type="dxa"/>
        <w:jc w:val="right"/>
        <w:tblLayout w:type="fixed"/>
        <w:tblCellMar>
          <w:left w:w="70" w:type="dxa"/>
          <w:right w:w="70" w:type="dxa"/>
        </w:tblCellMar>
        <w:tblLook w:val="04A0" w:firstRow="1" w:lastRow="0" w:firstColumn="1" w:lastColumn="0" w:noHBand="0" w:noVBand="1"/>
      </w:tblPr>
      <w:tblGrid>
        <w:gridCol w:w="5531"/>
        <w:gridCol w:w="4039"/>
      </w:tblGrid>
      <w:tr w:rsidR="00FC7584" w:rsidTr="002D2E52">
        <w:trPr>
          <w:jc w:val="right"/>
        </w:trPr>
        <w:tc>
          <w:tcPr>
            <w:tcW w:w="5531" w:type="dxa"/>
            <w:hideMark/>
          </w:tcPr>
          <w:p w:rsidR="002A007E" w:rsidRDefault="002A007E" w:rsidP="00801206">
            <w:pPr>
              <w:ind w:left="0"/>
              <w:jc w:val="center"/>
              <w:rPr>
                <w:rFonts w:ascii="Bookman Old Style" w:hAnsi="Bookman Old Style" w:cs="Arial"/>
                <w:b/>
                <w:spacing w:val="-3"/>
                <w:lang w:val="es-ES_tradnl"/>
              </w:rPr>
            </w:pPr>
            <w:r>
              <w:rPr>
                <w:rFonts w:ascii="Bookman Old Style" w:hAnsi="Bookman Old Style" w:cs="Arial"/>
                <w:b/>
                <w:spacing w:val="-3"/>
              </w:rPr>
              <w:t>CARLOS FERNANDO ERASO</w:t>
            </w:r>
            <w:r w:rsidR="00801206">
              <w:rPr>
                <w:rFonts w:ascii="Bookman Old Style" w:hAnsi="Bookman Old Style" w:cs="Arial"/>
                <w:b/>
                <w:spacing w:val="-3"/>
              </w:rPr>
              <w:t xml:space="preserve"> </w:t>
            </w:r>
            <w:r>
              <w:rPr>
                <w:rFonts w:ascii="Bookman Old Style" w:hAnsi="Bookman Old Style" w:cs="Arial"/>
                <w:b/>
                <w:spacing w:val="-3"/>
              </w:rPr>
              <w:t>CALERO</w:t>
            </w:r>
          </w:p>
        </w:tc>
        <w:tc>
          <w:tcPr>
            <w:tcW w:w="4039" w:type="dxa"/>
            <w:hideMark/>
          </w:tcPr>
          <w:p w:rsidR="002A007E" w:rsidRPr="002A007E" w:rsidRDefault="00405267" w:rsidP="00801206">
            <w:pPr>
              <w:tabs>
                <w:tab w:val="left" w:pos="4413"/>
              </w:tabs>
              <w:ind w:left="161" w:right="142"/>
              <w:jc w:val="center"/>
              <w:rPr>
                <w:rFonts w:ascii="Bookman Old Style" w:hAnsi="Bookman Old Style" w:cs="Arial"/>
                <w:spacing w:val="-3"/>
                <w:lang w:val="es-ES_tradnl"/>
              </w:rPr>
            </w:pPr>
            <w:r>
              <w:rPr>
                <w:rFonts w:ascii="Bookman Old Style" w:hAnsi="Bookman Old Style" w:cs="Arial"/>
                <w:b/>
                <w:spacing w:val="-3"/>
                <w:sz w:val="22"/>
                <w:lang w:val="es-ES_tradnl"/>
              </w:rPr>
              <w:t>JORGE PINTO NOLLA</w:t>
            </w:r>
          </w:p>
        </w:tc>
      </w:tr>
      <w:tr w:rsidR="00FC7584" w:rsidTr="002D2E52">
        <w:trPr>
          <w:jc w:val="right"/>
        </w:trPr>
        <w:tc>
          <w:tcPr>
            <w:tcW w:w="5531" w:type="dxa"/>
            <w:hideMark/>
          </w:tcPr>
          <w:p w:rsidR="002A007E" w:rsidRDefault="002A007E" w:rsidP="002A007E">
            <w:pPr>
              <w:ind w:left="0"/>
              <w:jc w:val="center"/>
              <w:rPr>
                <w:rFonts w:ascii="Bookman Old Style" w:hAnsi="Bookman Old Style" w:cs="Arial"/>
                <w:spacing w:val="-3"/>
                <w:lang w:val="es-ES_tradnl"/>
              </w:rPr>
            </w:pPr>
            <w:r>
              <w:rPr>
                <w:rFonts w:ascii="Bookman Old Style" w:hAnsi="Bookman Old Style" w:cs="Arial"/>
                <w:spacing w:val="-3"/>
                <w:lang w:val="es-ES_tradnl"/>
              </w:rPr>
              <w:t>Viceministro de Energía</w:t>
            </w:r>
          </w:p>
          <w:p w:rsidR="00FC7584" w:rsidRDefault="002A007E" w:rsidP="002A007E">
            <w:pPr>
              <w:ind w:left="0"/>
              <w:jc w:val="center"/>
              <w:rPr>
                <w:rFonts w:ascii="Bookman Old Style" w:hAnsi="Bookman Old Style" w:cs="Arial"/>
                <w:spacing w:val="-3"/>
                <w:lang w:val="es-ES_tradnl"/>
              </w:rPr>
            </w:pPr>
            <w:r>
              <w:rPr>
                <w:rFonts w:ascii="Bookman Old Style" w:hAnsi="Bookman Old Style" w:cs="Arial"/>
                <w:spacing w:val="-3"/>
                <w:lang w:val="es-ES_tradnl"/>
              </w:rPr>
              <w:t xml:space="preserve">Delegado de la </w:t>
            </w:r>
            <w:r w:rsidR="00FC7584">
              <w:rPr>
                <w:rFonts w:ascii="Bookman Old Style" w:hAnsi="Bookman Old Style" w:cs="Arial"/>
                <w:spacing w:val="-3"/>
                <w:lang w:val="es-ES_tradnl"/>
              </w:rPr>
              <w:t>Ministr</w:t>
            </w:r>
            <w:r>
              <w:rPr>
                <w:rFonts w:ascii="Bookman Old Style" w:hAnsi="Bookman Old Style" w:cs="Arial"/>
                <w:spacing w:val="-3"/>
                <w:lang w:val="es-ES_tradnl"/>
              </w:rPr>
              <w:t>a</w:t>
            </w:r>
            <w:r w:rsidR="00FC7584">
              <w:rPr>
                <w:rFonts w:ascii="Bookman Old Style" w:hAnsi="Bookman Old Style" w:cs="Arial"/>
                <w:spacing w:val="-3"/>
                <w:lang w:val="es-ES_tradnl"/>
              </w:rPr>
              <w:t xml:space="preserve"> de Minas y Energía</w:t>
            </w:r>
            <w:r>
              <w:rPr>
                <w:rFonts w:ascii="Bookman Old Style" w:hAnsi="Bookman Old Style" w:cs="Arial"/>
                <w:spacing w:val="-3"/>
                <w:lang w:val="es-ES_tradnl"/>
              </w:rPr>
              <w:t xml:space="preserve"> (E)</w:t>
            </w:r>
          </w:p>
        </w:tc>
        <w:tc>
          <w:tcPr>
            <w:tcW w:w="4039" w:type="dxa"/>
            <w:hideMark/>
          </w:tcPr>
          <w:p w:rsidR="00FC7584" w:rsidRDefault="00801206" w:rsidP="002A007E">
            <w:pPr>
              <w:jc w:val="center"/>
              <w:rPr>
                <w:rFonts w:ascii="Bookman Old Style" w:hAnsi="Bookman Old Style" w:cs="Arial"/>
                <w:spacing w:val="-3"/>
                <w:lang w:val="es-ES_tradnl"/>
              </w:rPr>
            </w:pPr>
            <w:r w:rsidRPr="002A007E">
              <w:rPr>
                <w:rFonts w:ascii="Bookman Old Style" w:hAnsi="Bookman Old Style" w:cs="Arial"/>
                <w:spacing w:val="-3"/>
                <w:lang w:val="es-ES_tradnl"/>
              </w:rPr>
              <w:t>Director Ejecutivo</w:t>
            </w:r>
          </w:p>
        </w:tc>
      </w:tr>
      <w:tr w:rsidR="00FC7584" w:rsidTr="002D2E52">
        <w:trPr>
          <w:jc w:val="right"/>
        </w:trPr>
        <w:tc>
          <w:tcPr>
            <w:tcW w:w="5531" w:type="dxa"/>
            <w:hideMark/>
          </w:tcPr>
          <w:p w:rsidR="00FC7584" w:rsidRDefault="00FC7584" w:rsidP="002A007E">
            <w:pPr>
              <w:ind w:left="0"/>
              <w:jc w:val="center"/>
              <w:rPr>
                <w:rFonts w:ascii="Bookman Old Style" w:hAnsi="Bookman Old Style" w:cs="Arial"/>
                <w:spacing w:val="-3"/>
              </w:rPr>
            </w:pPr>
            <w:r>
              <w:rPr>
                <w:rFonts w:ascii="Bookman Old Style" w:hAnsi="Bookman Old Style" w:cs="Arial"/>
                <w:spacing w:val="-3"/>
              </w:rPr>
              <w:t>Presidente</w:t>
            </w:r>
          </w:p>
        </w:tc>
        <w:tc>
          <w:tcPr>
            <w:tcW w:w="4039" w:type="dxa"/>
          </w:tcPr>
          <w:p w:rsidR="00FC7584" w:rsidRDefault="00FC7584" w:rsidP="00176D01">
            <w:pPr>
              <w:rPr>
                <w:rFonts w:ascii="Bookman Old Style" w:hAnsi="Bookman Old Style" w:cs="Arial"/>
                <w:spacing w:val="-3"/>
              </w:rPr>
            </w:pPr>
          </w:p>
        </w:tc>
      </w:tr>
    </w:tbl>
    <w:p w:rsidR="002A7E68" w:rsidRDefault="002A7E68" w:rsidP="000741B7">
      <w:pPr>
        <w:ind w:left="0"/>
        <w:rPr>
          <w:rFonts w:ascii="Bookman Old Style" w:hAnsi="Bookman Old Style"/>
          <w:b/>
          <w:lang w:val="es-CO"/>
        </w:rPr>
      </w:pPr>
    </w:p>
    <w:sectPr w:rsidR="002A7E68"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8C8" w:rsidRDefault="007E18C8">
      <w:r>
        <w:separator/>
      </w:r>
    </w:p>
  </w:endnote>
  <w:endnote w:type="continuationSeparator" w:id="0">
    <w:p w:rsidR="007E18C8" w:rsidRDefault="007E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8C8" w:rsidRDefault="007E18C8">
      <w:r>
        <w:separator/>
      </w:r>
    </w:p>
  </w:footnote>
  <w:footnote w:type="continuationSeparator" w:id="0">
    <w:p w:rsidR="007E18C8" w:rsidRDefault="007E1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D01" w:rsidRDefault="00176D01" w:rsidP="00951F79">
    <w:pPr>
      <w:pStyle w:val="Ttulo1"/>
      <w:ind w:right="6"/>
      <w:jc w:val="left"/>
      <w:rPr>
        <w:rFonts w:ascii="Bookman Old Style" w:hAnsi="Bookman Old Style" w:cs="Arial"/>
        <w:b w:val="0"/>
        <w:sz w:val="22"/>
        <w:szCs w:val="22"/>
      </w:rPr>
    </w:pPr>
  </w:p>
  <w:p w:rsidR="00176D01" w:rsidRPr="00951F79" w:rsidRDefault="00176D01"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009A33C1"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009A33C1" w:rsidRPr="00654384">
      <w:rPr>
        <w:rFonts w:ascii="Bookman Old Style" w:hAnsi="Bookman Old Style" w:cs="Arial"/>
        <w:b w:val="0"/>
        <w:sz w:val="22"/>
        <w:szCs w:val="22"/>
      </w:rPr>
      <w:fldChar w:fldCharType="separate"/>
    </w:r>
    <w:r w:rsidR="00F937CF">
      <w:rPr>
        <w:rFonts w:ascii="Bookman Old Style" w:hAnsi="Bookman Old Style" w:cs="Arial"/>
        <w:b w:val="0"/>
        <w:noProof/>
        <w:sz w:val="22"/>
        <w:szCs w:val="22"/>
      </w:rPr>
      <w:t>7</w:t>
    </w:r>
    <w:r w:rsidR="009A33C1"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F937CF">
      <w:fldChar w:fldCharType="begin"/>
    </w:r>
    <w:r w:rsidR="00F937CF">
      <w:instrText xml:space="preserve"> NUMPAGES  \* MERGEFORMAT </w:instrText>
    </w:r>
    <w:r w:rsidR="00F937CF">
      <w:fldChar w:fldCharType="separate"/>
    </w:r>
    <w:r w:rsidR="00F937CF" w:rsidRPr="00F937CF">
      <w:rPr>
        <w:rFonts w:ascii="Bookman Old Style" w:hAnsi="Bookman Old Style" w:cs="Arial"/>
        <w:b w:val="0"/>
        <w:noProof/>
        <w:sz w:val="22"/>
        <w:szCs w:val="22"/>
      </w:rPr>
      <w:t>7</w:t>
    </w:r>
    <w:r w:rsidR="00F937CF">
      <w:rPr>
        <w:rFonts w:ascii="Bookman Old Style" w:hAnsi="Bookman Old Style" w:cs="Arial"/>
        <w:b w:val="0"/>
        <w:noProof/>
        <w:sz w:val="22"/>
        <w:szCs w:val="22"/>
      </w:rPr>
      <w:fldChar w:fldCharType="end"/>
    </w:r>
  </w:p>
  <w:p w:rsidR="00176D01" w:rsidRDefault="000905B1"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02A94372" wp14:editId="328D21D7">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176D01" w:rsidRPr="00E42E08" w:rsidRDefault="00176D01" w:rsidP="00E42E08">
    <w:pPr>
      <w:ind w:left="0"/>
      <w:jc w:val="center"/>
      <w:rPr>
        <w:rFonts w:ascii="Bookman Old Style" w:hAnsi="Bookman Old Style"/>
        <w:sz w:val="22"/>
        <w:szCs w:val="22"/>
      </w:rPr>
    </w:pPr>
    <w:r w:rsidRPr="00E42E08">
      <w:rPr>
        <w:rFonts w:ascii="Bookman Old Style" w:hAnsi="Bookman Old Style"/>
        <w:sz w:val="22"/>
        <w:szCs w:val="22"/>
      </w:rPr>
      <w:t xml:space="preserve">Por la cual se modifica </w:t>
    </w:r>
    <w:r w:rsidR="006F1378">
      <w:rPr>
        <w:rFonts w:ascii="Bookman Old Style" w:hAnsi="Bookman Old Style"/>
        <w:sz w:val="22"/>
        <w:szCs w:val="22"/>
      </w:rPr>
      <w:t>transitoriamente la declaración de l</w:t>
    </w:r>
    <w:r w:rsidR="008949E5">
      <w:rPr>
        <w:rFonts w:ascii="Bookman Old Style" w:hAnsi="Bookman Old Style"/>
        <w:sz w:val="22"/>
        <w:szCs w:val="22"/>
      </w:rPr>
      <w:t>a</w:t>
    </w:r>
    <w:r w:rsidR="006F1378">
      <w:rPr>
        <w:rFonts w:ascii="Bookman Old Style" w:hAnsi="Bookman Old Style"/>
        <w:sz w:val="22"/>
        <w:szCs w:val="22"/>
      </w:rPr>
      <w:t xml:space="preserve"> disponibilidad </w:t>
    </w:r>
    <w:r w:rsidRPr="00E42E08">
      <w:rPr>
        <w:rFonts w:ascii="Bookman Old Style" w:hAnsi="Bookman Old Style"/>
        <w:sz w:val="22"/>
        <w:szCs w:val="22"/>
      </w:rPr>
      <w:t xml:space="preserve"> </w:t>
    </w:r>
    <w:r w:rsidR="006F1378">
      <w:rPr>
        <w:rFonts w:ascii="Bookman Old Style" w:hAnsi="Bookman Old Style"/>
        <w:sz w:val="22"/>
        <w:szCs w:val="22"/>
      </w:rPr>
      <w:t xml:space="preserve">por los agentes generadores </w:t>
    </w:r>
    <w:r w:rsidRPr="00E42E08">
      <w:rPr>
        <w:rFonts w:ascii="Bookman Old Style" w:hAnsi="Bookman Old Style"/>
        <w:sz w:val="22"/>
        <w:szCs w:val="22"/>
      </w:rPr>
      <w:t>en el Mercado de Energía Mayorista</w:t>
    </w:r>
  </w:p>
  <w:p w:rsidR="00176D01" w:rsidRPr="00E42E08" w:rsidRDefault="00176D01" w:rsidP="00AD01E4">
    <w:pPr>
      <w:pBdr>
        <w:bottom w:val="single" w:sz="4" w:space="1" w:color="auto"/>
      </w:pBdr>
      <w:ind w:left="142" w:right="148"/>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D01" w:rsidRDefault="00176D01"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176D01" w:rsidRDefault="00176D01">
    <w:pPr>
      <w:pStyle w:val="Encabezado"/>
      <w:jc w:val="center"/>
      <w:rPr>
        <w:rFonts w:ascii="Arial" w:hAnsi="Arial" w:cs="Arial"/>
        <w:spacing w:val="20"/>
        <w:sz w:val="20"/>
      </w:rPr>
    </w:pPr>
  </w:p>
  <w:p w:rsidR="00176D01" w:rsidRDefault="000905B1"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240A000F"/>
    <w:lvl w:ilvl="0">
      <w:start w:val="1"/>
      <w:numFmt w:val="decimal"/>
      <w:lvlText w:val="%1."/>
      <w:lvlJc w:val="left"/>
      <w:pPr>
        <w:ind w:left="360" w:hanging="360"/>
      </w:p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0EB67EB"/>
    <w:multiLevelType w:val="hybridMultilevel"/>
    <w:tmpl w:val="E7BA616C"/>
    <w:lvl w:ilvl="0" w:tplc="240A001B">
      <w:start w:val="1"/>
      <w:numFmt w:val="lowerRoman"/>
      <w:lvlText w:val="%1."/>
      <w:lvlJc w:val="right"/>
      <w:pPr>
        <w:ind w:left="795" w:hanging="360"/>
      </w:pPr>
    </w:lvl>
    <w:lvl w:ilvl="1" w:tplc="240A0019" w:tentative="1">
      <w:start w:val="1"/>
      <w:numFmt w:val="lowerLetter"/>
      <w:lvlText w:val="%2."/>
      <w:lvlJc w:val="left"/>
      <w:pPr>
        <w:ind w:left="1515" w:hanging="360"/>
      </w:pPr>
    </w:lvl>
    <w:lvl w:ilvl="2" w:tplc="240A001B" w:tentative="1">
      <w:start w:val="1"/>
      <w:numFmt w:val="lowerRoman"/>
      <w:lvlText w:val="%3."/>
      <w:lvlJc w:val="right"/>
      <w:pPr>
        <w:ind w:left="2235" w:hanging="180"/>
      </w:pPr>
    </w:lvl>
    <w:lvl w:ilvl="3" w:tplc="240A000F" w:tentative="1">
      <w:start w:val="1"/>
      <w:numFmt w:val="decimal"/>
      <w:lvlText w:val="%4."/>
      <w:lvlJc w:val="left"/>
      <w:pPr>
        <w:ind w:left="2955" w:hanging="360"/>
      </w:pPr>
    </w:lvl>
    <w:lvl w:ilvl="4" w:tplc="240A0019" w:tentative="1">
      <w:start w:val="1"/>
      <w:numFmt w:val="lowerLetter"/>
      <w:lvlText w:val="%5."/>
      <w:lvlJc w:val="left"/>
      <w:pPr>
        <w:ind w:left="3675" w:hanging="360"/>
      </w:pPr>
    </w:lvl>
    <w:lvl w:ilvl="5" w:tplc="240A001B" w:tentative="1">
      <w:start w:val="1"/>
      <w:numFmt w:val="lowerRoman"/>
      <w:lvlText w:val="%6."/>
      <w:lvlJc w:val="right"/>
      <w:pPr>
        <w:ind w:left="4395" w:hanging="180"/>
      </w:pPr>
    </w:lvl>
    <w:lvl w:ilvl="6" w:tplc="240A000F" w:tentative="1">
      <w:start w:val="1"/>
      <w:numFmt w:val="decimal"/>
      <w:lvlText w:val="%7."/>
      <w:lvlJc w:val="left"/>
      <w:pPr>
        <w:ind w:left="5115" w:hanging="360"/>
      </w:pPr>
    </w:lvl>
    <w:lvl w:ilvl="7" w:tplc="240A0019" w:tentative="1">
      <w:start w:val="1"/>
      <w:numFmt w:val="lowerLetter"/>
      <w:lvlText w:val="%8."/>
      <w:lvlJc w:val="left"/>
      <w:pPr>
        <w:ind w:left="5835" w:hanging="360"/>
      </w:pPr>
    </w:lvl>
    <w:lvl w:ilvl="8" w:tplc="240A001B" w:tentative="1">
      <w:start w:val="1"/>
      <w:numFmt w:val="lowerRoman"/>
      <w:lvlText w:val="%9."/>
      <w:lvlJc w:val="right"/>
      <w:pPr>
        <w:ind w:left="6555" w:hanging="180"/>
      </w:pPr>
    </w:lvl>
  </w:abstractNum>
  <w:abstractNum w:abstractNumId="3">
    <w:nsid w:val="04AB3AA4"/>
    <w:multiLevelType w:val="hybridMultilevel"/>
    <w:tmpl w:val="B74EAE22"/>
    <w:lvl w:ilvl="0" w:tplc="DFDCBF14">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A050C49"/>
    <w:multiLevelType w:val="hybridMultilevel"/>
    <w:tmpl w:val="2B582504"/>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0D0A6709"/>
    <w:multiLevelType w:val="hybridMultilevel"/>
    <w:tmpl w:val="A37ECB4A"/>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6E088022">
      <w:start w:val="1"/>
      <w:numFmt w:val="lowerLetter"/>
      <w:lvlText w:val="%3)"/>
      <w:lvlJc w:val="left"/>
      <w:pPr>
        <w:ind w:left="2688" w:hanging="708"/>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1017452"/>
    <w:multiLevelType w:val="hybridMultilevel"/>
    <w:tmpl w:val="80909A14"/>
    <w:lvl w:ilvl="0" w:tplc="EFC62378">
      <w:start w:val="4"/>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4A36E7D"/>
    <w:multiLevelType w:val="hybridMultilevel"/>
    <w:tmpl w:val="2488E722"/>
    <w:lvl w:ilvl="0" w:tplc="240A001B">
      <w:start w:val="1"/>
      <w:numFmt w:val="lowerRoman"/>
      <w:lvlText w:val="%1."/>
      <w:lvlJc w:val="righ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A0A3314"/>
    <w:multiLevelType w:val="hybridMultilevel"/>
    <w:tmpl w:val="68E45E3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B7C13C5"/>
    <w:multiLevelType w:val="hybridMultilevel"/>
    <w:tmpl w:val="58DC41FA"/>
    <w:lvl w:ilvl="0" w:tplc="952E9F34">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06C0A92"/>
    <w:multiLevelType w:val="hybridMultilevel"/>
    <w:tmpl w:val="4110539C"/>
    <w:lvl w:ilvl="0" w:tplc="240A0019">
      <w:start w:val="1"/>
      <w:numFmt w:val="lowerLetter"/>
      <w:lvlText w:val="%1."/>
      <w:lvlJc w:val="left"/>
      <w:pPr>
        <w:tabs>
          <w:tab w:val="num" w:pos="540"/>
        </w:tabs>
        <w:ind w:left="540" w:hanging="540"/>
      </w:pPr>
      <w:rPr>
        <w:rFonts w:hint="default"/>
      </w:rPr>
    </w:lvl>
    <w:lvl w:ilvl="1" w:tplc="240A001B"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11">
    <w:nsid w:val="24981B75"/>
    <w:multiLevelType w:val="hybridMultilevel"/>
    <w:tmpl w:val="FC26D358"/>
    <w:lvl w:ilvl="0" w:tplc="2F2C3B4C">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64138B1"/>
    <w:multiLevelType w:val="hybridMultilevel"/>
    <w:tmpl w:val="0EA29D4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8F156D0"/>
    <w:multiLevelType w:val="hybridMultilevel"/>
    <w:tmpl w:val="80ACAFB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92931E4"/>
    <w:multiLevelType w:val="multilevel"/>
    <w:tmpl w:val="64EC2B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C2A7ABB"/>
    <w:multiLevelType w:val="hybridMultilevel"/>
    <w:tmpl w:val="6148705C"/>
    <w:lvl w:ilvl="0" w:tplc="9C108C4A">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2C421E0B"/>
    <w:multiLevelType w:val="hybridMultilevel"/>
    <w:tmpl w:val="8ADC8D4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nsid w:val="2DA13F37"/>
    <w:multiLevelType w:val="hybridMultilevel"/>
    <w:tmpl w:val="DABA9F78"/>
    <w:lvl w:ilvl="0" w:tplc="7E54C4EE">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5C341BF"/>
    <w:multiLevelType w:val="hybridMultilevel"/>
    <w:tmpl w:val="16A4D9A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95F2D30"/>
    <w:multiLevelType w:val="hybridMultilevel"/>
    <w:tmpl w:val="89C6DBC0"/>
    <w:lvl w:ilvl="0" w:tplc="240A0019">
      <w:start w:val="1"/>
      <w:numFmt w:val="lowerLetter"/>
      <w:lvlText w:val="%1."/>
      <w:lvlJc w:val="lef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20">
    <w:nsid w:val="3A8F4CE5"/>
    <w:multiLevelType w:val="hybridMultilevel"/>
    <w:tmpl w:val="485C71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80944F9"/>
    <w:multiLevelType w:val="hybridMultilevel"/>
    <w:tmpl w:val="79BA72EA"/>
    <w:lvl w:ilvl="0" w:tplc="240A001B">
      <w:start w:val="1"/>
      <w:numFmt w:val="lowerRoman"/>
      <w:lvlText w:val="%1."/>
      <w:lvlJc w:val="right"/>
      <w:pPr>
        <w:ind w:left="720" w:hanging="360"/>
      </w:pPr>
      <w:rPr>
        <w:b/>
      </w:rPr>
    </w:lvl>
    <w:lvl w:ilvl="1" w:tplc="B630F2DC">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21821C3"/>
    <w:multiLevelType w:val="hybridMultilevel"/>
    <w:tmpl w:val="D480E740"/>
    <w:lvl w:ilvl="0" w:tplc="5A4C74E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52B52B59"/>
    <w:multiLevelType w:val="hybridMultilevel"/>
    <w:tmpl w:val="6AE4204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nsid w:val="62784F5E"/>
    <w:multiLevelType w:val="hybridMultilevel"/>
    <w:tmpl w:val="127A4170"/>
    <w:lvl w:ilvl="0" w:tplc="D2F8F01A">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67A02633"/>
    <w:multiLevelType w:val="hybridMultilevel"/>
    <w:tmpl w:val="4EC41BDE"/>
    <w:lvl w:ilvl="0" w:tplc="C0CCEA12">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68EF546C"/>
    <w:multiLevelType w:val="hybridMultilevel"/>
    <w:tmpl w:val="DB90D272"/>
    <w:lvl w:ilvl="0" w:tplc="BEE02D62">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nsid w:val="6A187318"/>
    <w:multiLevelType w:val="hybridMultilevel"/>
    <w:tmpl w:val="5554FEB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nsid w:val="6CDC0E7D"/>
    <w:multiLevelType w:val="hybridMultilevel"/>
    <w:tmpl w:val="34DC6078"/>
    <w:lvl w:ilvl="0" w:tplc="240A001B">
      <w:start w:val="1"/>
      <w:numFmt w:val="lowerRoman"/>
      <w:lvlText w:val="%1."/>
      <w:lvlJc w:val="righ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E075CA2"/>
    <w:multiLevelType w:val="hybridMultilevel"/>
    <w:tmpl w:val="68EEEF5E"/>
    <w:lvl w:ilvl="0" w:tplc="240A001B">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4484591"/>
    <w:multiLevelType w:val="hybridMultilevel"/>
    <w:tmpl w:val="1AB4CB5A"/>
    <w:lvl w:ilvl="0" w:tplc="BD50335E">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5B45B47"/>
    <w:multiLevelType w:val="hybridMultilevel"/>
    <w:tmpl w:val="DA8CDE1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7637649C"/>
    <w:multiLevelType w:val="hybridMultilevel"/>
    <w:tmpl w:val="067E6CC4"/>
    <w:lvl w:ilvl="0" w:tplc="4836D33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97D030D"/>
    <w:multiLevelType w:val="hybridMultilevel"/>
    <w:tmpl w:val="5F2C7678"/>
    <w:lvl w:ilvl="0" w:tplc="8446F66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7E7655B3"/>
    <w:multiLevelType w:val="hybridMultilevel"/>
    <w:tmpl w:val="BDB202E0"/>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abstractNumId w:val="1"/>
  </w:num>
  <w:num w:numId="2">
    <w:abstractNumId w:val="0"/>
  </w:num>
  <w:num w:numId="3">
    <w:abstractNumId w:val="29"/>
  </w:num>
  <w:num w:numId="4">
    <w:abstractNumId w:val="28"/>
  </w:num>
  <w:num w:numId="5">
    <w:abstractNumId w:val="34"/>
  </w:num>
  <w:num w:numId="6">
    <w:abstractNumId w:val="5"/>
  </w:num>
  <w:num w:numId="7">
    <w:abstractNumId w:val="12"/>
  </w:num>
  <w:num w:numId="8">
    <w:abstractNumId w:val="14"/>
  </w:num>
  <w:num w:numId="9">
    <w:abstractNumId w:val="30"/>
  </w:num>
  <w:num w:numId="10">
    <w:abstractNumId w:val="10"/>
  </w:num>
  <w:num w:numId="11">
    <w:abstractNumId w:val="16"/>
  </w:num>
  <w:num w:numId="12">
    <w:abstractNumId w:val="27"/>
  </w:num>
  <w:num w:numId="13">
    <w:abstractNumId w:val="25"/>
  </w:num>
  <w:num w:numId="14">
    <w:abstractNumId w:val="6"/>
  </w:num>
  <w:num w:numId="15">
    <w:abstractNumId w:val="22"/>
  </w:num>
  <w:num w:numId="16">
    <w:abstractNumId w:val="4"/>
  </w:num>
  <w:num w:numId="17">
    <w:abstractNumId w:val="8"/>
  </w:num>
  <w:num w:numId="18">
    <w:abstractNumId w:val="24"/>
  </w:num>
  <w:num w:numId="19">
    <w:abstractNumId w:val="19"/>
  </w:num>
  <w:num w:numId="20">
    <w:abstractNumId w:val="32"/>
  </w:num>
  <w:num w:numId="21">
    <w:abstractNumId w:val="17"/>
  </w:num>
  <w:num w:numId="22">
    <w:abstractNumId w:val="9"/>
  </w:num>
  <w:num w:numId="23">
    <w:abstractNumId w:val="21"/>
  </w:num>
  <w:num w:numId="24">
    <w:abstractNumId w:val="33"/>
  </w:num>
  <w:num w:numId="25">
    <w:abstractNumId w:val="11"/>
  </w:num>
  <w:num w:numId="26">
    <w:abstractNumId w:val="23"/>
  </w:num>
  <w:num w:numId="27">
    <w:abstractNumId w:val="15"/>
  </w:num>
  <w:num w:numId="28">
    <w:abstractNumId w:val="26"/>
  </w:num>
  <w:num w:numId="29">
    <w:abstractNumId w:val="2"/>
  </w:num>
  <w:num w:numId="30">
    <w:abstractNumId w:val="18"/>
  </w:num>
  <w:num w:numId="31">
    <w:abstractNumId w:val="3"/>
  </w:num>
  <w:num w:numId="32">
    <w:abstractNumId w:val="20"/>
  </w:num>
  <w:num w:numId="33">
    <w:abstractNumId w:val="7"/>
  </w:num>
  <w:num w:numId="34">
    <w:abstractNumId w:val="13"/>
  </w:num>
  <w:num w:numId="35">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5FE"/>
    <w:rsid w:val="000025F1"/>
    <w:rsid w:val="000055D4"/>
    <w:rsid w:val="000065C7"/>
    <w:rsid w:val="00006AE2"/>
    <w:rsid w:val="000076A1"/>
    <w:rsid w:val="000078E0"/>
    <w:rsid w:val="00011C27"/>
    <w:rsid w:val="00012259"/>
    <w:rsid w:val="000131B5"/>
    <w:rsid w:val="00021A70"/>
    <w:rsid w:val="0002357E"/>
    <w:rsid w:val="00025383"/>
    <w:rsid w:val="00026F9D"/>
    <w:rsid w:val="00030A84"/>
    <w:rsid w:val="000313A0"/>
    <w:rsid w:val="00031B7E"/>
    <w:rsid w:val="00033DC6"/>
    <w:rsid w:val="000357DA"/>
    <w:rsid w:val="00035ECB"/>
    <w:rsid w:val="00045D3D"/>
    <w:rsid w:val="00053B50"/>
    <w:rsid w:val="00055A90"/>
    <w:rsid w:val="00055D3E"/>
    <w:rsid w:val="00056D36"/>
    <w:rsid w:val="000575A6"/>
    <w:rsid w:val="000577EC"/>
    <w:rsid w:val="00057B80"/>
    <w:rsid w:val="00060CB0"/>
    <w:rsid w:val="00063657"/>
    <w:rsid w:val="0006410B"/>
    <w:rsid w:val="000657D8"/>
    <w:rsid w:val="000706E3"/>
    <w:rsid w:val="000741B7"/>
    <w:rsid w:val="00076680"/>
    <w:rsid w:val="00076A1D"/>
    <w:rsid w:val="0008073E"/>
    <w:rsid w:val="00087C09"/>
    <w:rsid w:val="000905B1"/>
    <w:rsid w:val="0009093A"/>
    <w:rsid w:val="00091CDB"/>
    <w:rsid w:val="00091E4D"/>
    <w:rsid w:val="000931F8"/>
    <w:rsid w:val="00094C28"/>
    <w:rsid w:val="000953A8"/>
    <w:rsid w:val="00096FE2"/>
    <w:rsid w:val="00097331"/>
    <w:rsid w:val="000A0268"/>
    <w:rsid w:val="000A0B7F"/>
    <w:rsid w:val="000A19AC"/>
    <w:rsid w:val="000A5DC5"/>
    <w:rsid w:val="000B0DFE"/>
    <w:rsid w:val="000B0FF1"/>
    <w:rsid w:val="000B2C69"/>
    <w:rsid w:val="000B2EC9"/>
    <w:rsid w:val="000B3D44"/>
    <w:rsid w:val="000B4486"/>
    <w:rsid w:val="000B6074"/>
    <w:rsid w:val="000C1CA5"/>
    <w:rsid w:val="000C7FE5"/>
    <w:rsid w:val="000D0827"/>
    <w:rsid w:val="000D26F8"/>
    <w:rsid w:val="000D2BBA"/>
    <w:rsid w:val="000D3F4B"/>
    <w:rsid w:val="000D69DE"/>
    <w:rsid w:val="000D7CEC"/>
    <w:rsid w:val="000D7E5E"/>
    <w:rsid w:val="000E4151"/>
    <w:rsid w:val="000E52BB"/>
    <w:rsid w:val="000E7668"/>
    <w:rsid w:val="000F3D98"/>
    <w:rsid w:val="000F487C"/>
    <w:rsid w:val="0010144E"/>
    <w:rsid w:val="0011058F"/>
    <w:rsid w:val="00112A91"/>
    <w:rsid w:val="001214C4"/>
    <w:rsid w:val="0012276C"/>
    <w:rsid w:val="00125C5D"/>
    <w:rsid w:val="001317DA"/>
    <w:rsid w:val="0013526C"/>
    <w:rsid w:val="001405C6"/>
    <w:rsid w:val="00141013"/>
    <w:rsid w:val="00142C86"/>
    <w:rsid w:val="0014344F"/>
    <w:rsid w:val="0014618C"/>
    <w:rsid w:val="00147DF3"/>
    <w:rsid w:val="00152AB8"/>
    <w:rsid w:val="00160677"/>
    <w:rsid w:val="00162E66"/>
    <w:rsid w:val="001640E6"/>
    <w:rsid w:val="00164BCE"/>
    <w:rsid w:val="00166C3F"/>
    <w:rsid w:val="00174A24"/>
    <w:rsid w:val="00176D01"/>
    <w:rsid w:val="00182A27"/>
    <w:rsid w:val="00185A78"/>
    <w:rsid w:val="001866F9"/>
    <w:rsid w:val="00187AA3"/>
    <w:rsid w:val="00191AD7"/>
    <w:rsid w:val="00192CBF"/>
    <w:rsid w:val="00192FF1"/>
    <w:rsid w:val="00194893"/>
    <w:rsid w:val="00195EB8"/>
    <w:rsid w:val="00196C74"/>
    <w:rsid w:val="001A5F1B"/>
    <w:rsid w:val="001B1433"/>
    <w:rsid w:val="001B1C22"/>
    <w:rsid w:val="001B1D58"/>
    <w:rsid w:val="001B293C"/>
    <w:rsid w:val="001B34C6"/>
    <w:rsid w:val="001B53A4"/>
    <w:rsid w:val="001B5904"/>
    <w:rsid w:val="001B7105"/>
    <w:rsid w:val="001C6406"/>
    <w:rsid w:val="001C6D96"/>
    <w:rsid w:val="001C7514"/>
    <w:rsid w:val="001D0A0E"/>
    <w:rsid w:val="001D7832"/>
    <w:rsid w:val="001E05E9"/>
    <w:rsid w:val="001E53FD"/>
    <w:rsid w:val="001E6BF8"/>
    <w:rsid w:val="001E7781"/>
    <w:rsid w:val="001F1BA7"/>
    <w:rsid w:val="00202498"/>
    <w:rsid w:val="00203559"/>
    <w:rsid w:val="002043B4"/>
    <w:rsid w:val="00205DDC"/>
    <w:rsid w:val="00205EC3"/>
    <w:rsid w:val="002064D8"/>
    <w:rsid w:val="00207B62"/>
    <w:rsid w:val="00210DC1"/>
    <w:rsid w:val="00211D34"/>
    <w:rsid w:val="00213F26"/>
    <w:rsid w:val="00214F04"/>
    <w:rsid w:val="0022170F"/>
    <w:rsid w:val="002234CD"/>
    <w:rsid w:val="00226BE9"/>
    <w:rsid w:val="00227902"/>
    <w:rsid w:val="002301FE"/>
    <w:rsid w:val="0023044C"/>
    <w:rsid w:val="00230FBA"/>
    <w:rsid w:val="00231BFA"/>
    <w:rsid w:val="002342A3"/>
    <w:rsid w:val="0023491C"/>
    <w:rsid w:val="00240E51"/>
    <w:rsid w:val="0024138E"/>
    <w:rsid w:val="00244E04"/>
    <w:rsid w:val="00251033"/>
    <w:rsid w:val="0025113E"/>
    <w:rsid w:val="002556A6"/>
    <w:rsid w:val="00262413"/>
    <w:rsid w:val="00262E08"/>
    <w:rsid w:val="00264F30"/>
    <w:rsid w:val="00266CD6"/>
    <w:rsid w:val="00267BBC"/>
    <w:rsid w:val="00272F3D"/>
    <w:rsid w:val="00275DAB"/>
    <w:rsid w:val="00283C59"/>
    <w:rsid w:val="00287F21"/>
    <w:rsid w:val="002A007E"/>
    <w:rsid w:val="002A22B6"/>
    <w:rsid w:val="002A2AB3"/>
    <w:rsid w:val="002A326B"/>
    <w:rsid w:val="002A3CD9"/>
    <w:rsid w:val="002A622C"/>
    <w:rsid w:val="002A6428"/>
    <w:rsid w:val="002A6911"/>
    <w:rsid w:val="002A782A"/>
    <w:rsid w:val="002A7E68"/>
    <w:rsid w:val="002B11E2"/>
    <w:rsid w:val="002B1E2E"/>
    <w:rsid w:val="002B24B8"/>
    <w:rsid w:val="002B5912"/>
    <w:rsid w:val="002B6273"/>
    <w:rsid w:val="002C0354"/>
    <w:rsid w:val="002C30E0"/>
    <w:rsid w:val="002C31A9"/>
    <w:rsid w:val="002C47DA"/>
    <w:rsid w:val="002C6239"/>
    <w:rsid w:val="002D2E52"/>
    <w:rsid w:val="002D3A8E"/>
    <w:rsid w:val="002D3AE9"/>
    <w:rsid w:val="002D4510"/>
    <w:rsid w:val="002D6BD5"/>
    <w:rsid w:val="002D723C"/>
    <w:rsid w:val="002E0C73"/>
    <w:rsid w:val="002E40ED"/>
    <w:rsid w:val="002E5A6A"/>
    <w:rsid w:val="002F02BA"/>
    <w:rsid w:val="002F0734"/>
    <w:rsid w:val="002F1C13"/>
    <w:rsid w:val="002F1D14"/>
    <w:rsid w:val="002F46E7"/>
    <w:rsid w:val="002F471C"/>
    <w:rsid w:val="002F4C2E"/>
    <w:rsid w:val="002F6CF1"/>
    <w:rsid w:val="00301E31"/>
    <w:rsid w:val="00302176"/>
    <w:rsid w:val="003057F3"/>
    <w:rsid w:val="00306523"/>
    <w:rsid w:val="003101DA"/>
    <w:rsid w:val="00314757"/>
    <w:rsid w:val="00314837"/>
    <w:rsid w:val="003163BC"/>
    <w:rsid w:val="00317E66"/>
    <w:rsid w:val="003211CE"/>
    <w:rsid w:val="0032789E"/>
    <w:rsid w:val="00330A28"/>
    <w:rsid w:val="00331C7F"/>
    <w:rsid w:val="0034073A"/>
    <w:rsid w:val="00341CC8"/>
    <w:rsid w:val="0034412F"/>
    <w:rsid w:val="00344373"/>
    <w:rsid w:val="00345679"/>
    <w:rsid w:val="00351057"/>
    <w:rsid w:val="0035403A"/>
    <w:rsid w:val="003572ED"/>
    <w:rsid w:val="0036394B"/>
    <w:rsid w:val="00366894"/>
    <w:rsid w:val="00366DB6"/>
    <w:rsid w:val="0036749E"/>
    <w:rsid w:val="003709B5"/>
    <w:rsid w:val="00371889"/>
    <w:rsid w:val="003759C2"/>
    <w:rsid w:val="0039319D"/>
    <w:rsid w:val="00396726"/>
    <w:rsid w:val="00397365"/>
    <w:rsid w:val="00397EE6"/>
    <w:rsid w:val="003A250F"/>
    <w:rsid w:val="003A31F6"/>
    <w:rsid w:val="003A4DDA"/>
    <w:rsid w:val="003B6640"/>
    <w:rsid w:val="003B752B"/>
    <w:rsid w:val="003C119A"/>
    <w:rsid w:val="003C12B7"/>
    <w:rsid w:val="003C3447"/>
    <w:rsid w:val="003C389E"/>
    <w:rsid w:val="003C3E73"/>
    <w:rsid w:val="003C4403"/>
    <w:rsid w:val="003C4C80"/>
    <w:rsid w:val="003C7BB8"/>
    <w:rsid w:val="003D0673"/>
    <w:rsid w:val="003D076C"/>
    <w:rsid w:val="003D2014"/>
    <w:rsid w:val="003D3E22"/>
    <w:rsid w:val="003D709F"/>
    <w:rsid w:val="003E439A"/>
    <w:rsid w:val="003E4E07"/>
    <w:rsid w:val="003E78B5"/>
    <w:rsid w:val="003F055B"/>
    <w:rsid w:val="003F6F00"/>
    <w:rsid w:val="003F786C"/>
    <w:rsid w:val="0040138C"/>
    <w:rsid w:val="00401668"/>
    <w:rsid w:val="00405267"/>
    <w:rsid w:val="0040747C"/>
    <w:rsid w:val="004126E8"/>
    <w:rsid w:val="00412BC0"/>
    <w:rsid w:val="004140B9"/>
    <w:rsid w:val="0041473D"/>
    <w:rsid w:val="00415BAB"/>
    <w:rsid w:val="00415ED2"/>
    <w:rsid w:val="004161C6"/>
    <w:rsid w:val="0042068C"/>
    <w:rsid w:val="00422314"/>
    <w:rsid w:val="00423B5E"/>
    <w:rsid w:val="00424BF4"/>
    <w:rsid w:val="00425617"/>
    <w:rsid w:val="0042633F"/>
    <w:rsid w:val="00433002"/>
    <w:rsid w:val="00433CCA"/>
    <w:rsid w:val="00440C04"/>
    <w:rsid w:val="00441102"/>
    <w:rsid w:val="004412D3"/>
    <w:rsid w:val="00441E65"/>
    <w:rsid w:val="00443127"/>
    <w:rsid w:val="0044318E"/>
    <w:rsid w:val="00443B35"/>
    <w:rsid w:val="00445F7E"/>
    <w:rsid w:val="00447509"/>
    <w:rsid w:val="004477B7"/>
    <w:rsid w:val="00471070"/>
    <w:rsid w:val="0047122B"/>
    <w:rsid w:val="00473B7A"/>
    <w:rsid w:val="004756AE"/>
    <w:rsid w:val="00495466"/>
    <w:rsid w:val="00495D61"/>
    <w:rsid w:val="004960E9"/>
    <w:rsid w:val="004968BF"/>
    <w:rsid w:val="00497047"/>
    <w:rsid w:val="004A2C5F"/>
    <w:rsid w:val="004A2E88"/>
    <w:rsid w:val="004A33FB"/>
    <w:rsid w:val="004A5305"/>
    <w:rsid w:val="004A7930"/>
    <w:rsid w:val="004B082F"/>
    <w:rsid w:val="004B1081"/>
    <w:rsid w:val="004B2A42"/>
    <w:rsid w:val="004B2A6F"/>
    <w:rsid w:val="004B517C"/>
    <w:rsid w:val="004B67F7"/>
    <w:rsid w:val="004C1248"/>
    <w:rsid w:val="004C1DE8"/>
    <w:rsid w:val="004C33BE"/>
    <w:rsid w:val="004C3733"/>
    <w:rsid w:val="004D0342"/>
    <w:rsid w:val="004D3592"/>
    <w:rsid w:val="004D3D1F"/>
    <w:rsid w:val="004D7634"/>
    <w:rsid w:val="004D7AAC"/>
    <w:rsid w:val="004E22D9"/>
    <w:rsid w:val="004E361F"/>
    <w:rsid w:val="004E4630"/>
    <w:rsid w:val="004E5334"/>
    <w:rsid w:val="004E611A"/>
    <w:rsid w:val="004F1673"/>
    <w:rsid w:val="004F3640"/>
    <w:rsid w:val="004F39AF"/>
    <w:rsid w:val="004F71A7"/>
    <w:rsid w:val="004F7338"/>
    <w:rsid w:val="0050140D"/>
    <w:rsid w:val="005029F7"/>
    <w:rsid w:val="00502BA6"/>
    <w:rsid w:val="00504ADC"/>
    <w:rsid w:val="00506327"/>
    <w:rsid w:val="00507134"/>
    <w:rsid w:val="00511C52"/>
    <w:rsid w:val="0051695A"/>
    <w:rsid w:val="00520212"/>
    <w:rsid w:val="00522C8E"/>
    <w:rsid w:val="005243ED"/>
    <w:rsid w:val="00524932"/>
    <w:rsid w:val="00524F2E"/>
    <w:rsid w:val="00525579"/>
    <w:rsid w:val="005300D3"/>
    <w:rsid w:val="00535967"/>
    <w:rsid w:val="005369A9"/>
    <w:rsid w:val="00537E6C"/>
    <w:rsid w:val="005401CC"/>
    <w:rsid w:val="00541254"/>
    <w:rsid w:val="0054160C"/>
    <w:rsid w:val="00543CB7"/>
    <w:rsid w:val="00544F82"/>
    <w:rsid w:val="00546A11"/>
    <w:rsid w:val="005509D2"/>
    <w:rsid w:val="0055152C"/>
    <w:rsid w:val="00551CA0"/>
    <w:rsid w:val="0055526D"/>
    <w:rsid w:val="005576BC"/>
    <w:rsid w:val="00557D4D"/>
    <w:rsid w:val="00566DFC"/>
    <w:rsid w:val="005701E8"/>
    <w:rsid w:val="00577A2E"/>
    <w:rsid w:val="00580106"/>
    <w:rsid w:val="00582F38"/>
    <w:rsid w:val="00586025"/>
    <w:rsid w:val="00591E18"/>
    <w:rsid w:val="005920DF"/>
    <w:rsid w:val="00593190"/>
    <w:rsid w:val="00593C4F"/>
    <w:rsid w:val="005946A8"/>
    <w:rsid w:val="005A2B4D"/>
    <w:rsid w:val="005A4407"/>
    <w:rsid w:val="005A59EF"/>
    <w:rsid w:val="005A7814"/>
    <w:rsid w:val="005A7FBC"/>
    <w:rsid w:val="005B1C7E"/>
    <w:rsid w:val="005C3F2A"/>
    <w:rsid w:val="005C5B63"/>
    <w:rsid w:val="005C5E40"/>
    <w:rsid w:val="005C6976"/>
    <w:rsid w:val="005C6EAC"/>
    <w:rsid w:val="005E17F4"/>
    <w:rsid w:val="005E2A46"/>
    <w:rsid w:val="005F6F41"/>
    <w:rsid w:val="00602C57"/>
    <w:rsid w:val="00605E26"/>
    <w:rsid w:val="006062AF"/>
    <w:rsid w:val="00611A0B"/>
    <w:rsid w:val="00613BDC"/>
    <w:rsid w:val="006141A4"/>
    <w:rsid w:val="00614D01"/>
    <w:rsid w:val="00625DC6"/>
    <w:rsid w:val="00633E7A"/>
    <w:rsid w:val="00636B5E"/>
    <w:rsid w:val="00640382"/>
    <w:rsid w:val="0064391D"/>
    <w:rsid w:val="00651821"/>
    <w:rsid w:val="006537A6"/>
    <w:rsid w:val="0065404A"/>
    <w:rsid w:val="00654384"/>
    <w:rsid w:val="00661E64"/>
    <w:rsid w:val="006658E3"/>
    <w:rsid w:val="0066698F"/>
    <w:rsid w:val="006675CD"/>
    <w:rsid w:val="0066789E"/>
    <w:rsid w:val="0067206E"/>
    <w:rsid w:val="00676709"/>
    <w:rsid w:val="00680722"/>
    <w:rsid w:val="00683722"/>
    <w:rsid w:val="00684B48"/>
    <w:rsid w:val="00684D9B"/>
    <w:rsid w:val="0068510A"/>
    <w:rsid w:val="006939BD"/>
    <w:rsid w:val="006940C6"/>
    <w:rsid w:val="0069444C"/>
    <w:rsid w:val="00694D7C"/>
    <w:rsid w:val="00695F80"/>
    <w:rsid w:val="00696155"/>
    <w:rsid w:val="0069740D"/>
    <w:rsid w:val="00697556"/>
    <w:rsid w:val="0069756D"/>
    <w:rsid w:val="006978D7"/>
    <w:rsid w:val="006A0FBE"/>
    <w:rsid w:val="006A1C33"/>
    <w:rsid w:val="006A24FF"/>
    <w:rsid w:val="006A3E15"/>
    <w:rsid w:val="006A57CA"/>
    <w:rsid w:val="006A629B"/>
    <w:rsid w:val="006B4647"/>
    <w:rsid w:val="006B4C2B"/>
    <w:rsid w:val="006B50AF"/>
    <w:rsid w:val="006B5F53"/>
    <w:rsid w:val="006B6194"/>
    <w:rsid w:val="006B6D47"/>
    <w:rsid w:val="006C0D13"/>
    <w:rsid w:val="006C145F"/>
    <w:rsid w:val="006C1EDD"/>
    <w:rsid w:val="006C2D16"/>
    <w:rsid w:val="006C5AFE"/>
    <w:rsid w:val="006C6C91"/>
    <w:rsid w:val="006C76B0"/>
    <w:rsid w:val="006D0D2D"/>
    <w:rsid w:val="006D33A1"/>
    <w:rsid w:val="006D3475"/>
    <w:rsid w:val="006D4537"/>
    <w:rsid w:val="006D71E0"/>
    <w:rsid w:val="006E0D57"/>
    <w:rsid w:val="006E1564"/>
    <w:rsid w:val="006E4859"/>
    <w:rsid w:val="006E6274"/>
    <w:rsid w:val="006F05C5"/>
    <w:rsid w:val="006F1378"/>
    <w:rsid w:val="006F22B5"/>
    <w:rsid w:val="006F36F7"/>
    <w:rsid w:val="006F6D95"/>
    <w:rsid w:val="00702308"/>
    <w:rsid w:val="00704093"/>
    <w:rsid w:val="0070527B"/>
    <w:rsid w:val="00706F13"/>
    <w:rsid w:val="007072E8"/>
    <w:rsid w:val="0071210F"/>
    <w:rsid w:val="007124F3"/>
    <w:rsid w:val="00713D6C"/>
    <w:rsid w:val="007142E0"/>
    <w:rsid w:val="0071618D"/>
    <w:rsid w:val="0072010C"/>
    <w:rsid w:val="00723681"/>
    <w:rsid w:val="00725FA4"/>
    <w:rsid w:val="0072680F"/>
    <w:rsid w:val="00727B7B"/>
    <w:rsid w:val="007343EA"/>
    <w:rsid w:val="00734A2A"/>
    <w:rsid w:val="0073555D"/>
    <w:rsid w:val="00736A6B"/>
    <w:rsid w:val="0073712A"/>
    <w:rsid w:val="00737EE1"/>
    <w:rsid w:val="00737F10"/>
    <w:rsid w:val="00740446"/>
    <w:rsid w:val="00742503"/>
    <w:rsid w:val="00742B65"/>
    <w:rsid w:val="007438A9"/>
    <w:rsid w:val="007447C0"/>
    <w:rsid w:val="0074491E"/>
    <w:rsid w:val="00747121"/>
    <w:rsid w:val="00750E4E"/>
    <w:rsid w:val="0076247A"/>
    <w:rsid w:val="00765AF4"/>
    <w:rsid w:val="0076768F"/>
    <w:rsid w:val="00771817"/>
    <w:rsid w:val="00775964"/>
    <w:rsid w:val="007765FE"/>
    <w:rsid w:val="00777516"/>
    <w:rsid w:val="00785DCD"/>
    <w:rsid w:val="00792978"/>
    <w:rsid w:val="00794E2E"/>
    <w:rsid w:val="007955BE"/>
    <w:rsid w:val="00795BFB"/>
    <w:rsid w:val="0079603D"/>
    <w:rsid w:val="007B2079"/>
    <w:rsid w:val="007B2756"/>
    <w:rsid w:val="007B2760"/>
    <w:rsid w:val="007B5922"/>
    <w:rsid w:val="007B616A"/>
    <w:rsid w:val="007C1157"/>
    <w:rsid w:val="007C652E"/>
    <w:rsid w:val="007C6982"/>
    <w:rsid w:val="007D0057"/>
    <w:rsid w:val="007E058B"/>
    <w:rsid w:val="007E0A73"/>
    <w:rsid w:val="007E105A"/>
    <w:rsid w:val="007E1530"/>
    <w:rsid w:val="007E18C8"/>
    <w:rsid w:val="007E5749"/>
    <w:rsid w:val="007E60EC"/>
    <w:rsid w:val="007F0A17"/>
    <w:rsid w:val="007F24DF"/>
    <w:rsid w:val="007F7175"/>
    <w:rsid w:val="00801206"/>
    <w:rsid w:val="00801BF8"/>
    <w:rsid w:val="00805E3F"/>
    <w:rsid w:val="008066F0"/>
    <w:rsid w:val="00806C01"/>
    <w:rsid w:val="00807050"/>
    <w:rsid w:val="00812DCC"/>
    <w:rsid w:val="008148CC"/>
    <w:rsid w:val="0081575C"/>
    <w:rsid w:val="008211A4"/>
    <w:rsid w:val="00822D8E"/>
    <w:rsid w:val="008277AE"/>
    <w:rsid w:val="00833E79"/>
    <w:rsid w:val="00834DC9"/>
    <w:rsid w:val="008355C5"/>
    <w:rsid w:val="00837D51"/>
    <w:rsid w:val="00841210"/>
    <w:rsid w:val="008419FE"/>
    <w:rsid w:val="00845EFB"/>
    <w:rsid w:val="00854351"/>
    <w:rsid w:val="00855F3F"/>
    <w:rsid w:val="00867F69"/>
    <w:rsid w:val="00872A77"/>
    <w:rsid w:val="00873150"/>
    <w:rsid w:val="00875920"/>
    <w:rsid w:val="0087657D"/>
    <w:rsid w:val="00876AEA"/>
    <w:rsid w:val="00876CA9"/>
    <w:rsid w:val="008807D5"/>
    <w:rsid w:val="00880832"/>
    <w:rsid w:val="0088328A"/>
    <w:rsid w:val="00883AFD"/>
    <w:rsid w:val="00886EE1"/>
    <w:rsid w:val="0088727D"/>
    <w:rsid w:val="008925C9"/>
    <w:rsid w:val="00893C17"/>
    <w:rsid w:val="008949E5"/>
    <w:rsid w:val="008954C9"/>
    <w:rsid w:val="00897C75"/>
    <w:rsid w:val="008A645A"/>
    <w:rsid w:val="008A64E3"/>
    <w:rsid w:val="008A6CC8"/>
    <w:rsid w:val="008B00E6"/>
    <w:rsid w:val="008B194E"/>
    <w:rsid w:val="008B31DB"/>
    <w:rsid w:val="008B4E2F"/>
    <w:rsid w:val="008B573C"/>
    <w:rsid w:val="008B6788"/>
    <w:rsid w:val="008C1130"/>
    <w:rsid w:val="008C21B0"/>
    <w:rsid w:val="008C2C5A"/>
    <w:rsid w:val="008C33D8"/>
    <w:rsid w:val="008C56A2"/>
    <w:rsid w:val="008C6D05"/>
    <w:rsid w:val="008D0E4E"/>
    <w:rsid w:val="008D18E6"/>
    <w:rsid w:val="008D2B41"/>
    <w:rsid w:val="008D2EE0"/>
    <w:rsid w:val="008D2FF2"/>
    <w:rsid w:val="008D502B"/>
    <w:rsid w:val="008D7A9B"/>
    <w:rsid w:val="008E0060"/>
    <w:rsid w:val="008E3AA1"/>
    <w:rsid w:val="008E3EFF"/>
    <w:rsid w:val="008E7091"/>
    <w:rsid w:val="008E734C"/>
    <w:rsid w:val="008E76AC"/>
    <w:rsid w:val="008F21F6"/>
    <w:rsid w:val="008F27EB"/>
    <w:rsid w:val="008F2B56"/>
    <w:rsid w:val="008F610E"/>
    <w:rsid w:val="008F6F4D"/>
    <w:rsid w:val="00904856"/>
    <w:rsid w:val="00905646"/>
    <w:rsid w:val="00905CA9"/>
    <w:rsid w:val="00905CFA"/>
    <w:rsid w:val="00906440"/>
    <w:rsid w:val="00910BE5"/>
    <w:rsid w:val="00910DEB"/>
    <w:rsid w:val="00913ADF"/>
    <w:rsid w:val="00913DC8"/>
    <w:rsid w:val="00914601"/>
    <w:rsid w:val="00916168"/>
    <w:rsid w:val="00916D61"/>
    <w:rsid w:val="00922962"/>
    <w:rsid w:val="00924A40"/>
    <w:rsid w:val="00927FD7"/>
    <w:rsid w:val="0093009C"/>
    <w:rsid w:val="00935660"/>
    <w:rsid w:val="00946544"/>
    <w:rsid w:val="00946A97"/>
    <w:rsid w:val="009503E6"/>
    <w:rsid w:val="0095126F"/>
    <w:rsid w:val="00951F79"/>
    <w:rsid w:val="00952614"/>
    <w:rsid w:val="0095531F"/>
    <w:rsid w:val="009625F2"/>
    <w:rsid w:val="00963DA8"/>
    <w:rsid w:val="00964F16"/>
    <w:rsid w:val="00965C0B"/>
    <w:rsid w:val="00970485"/>
    <w:rsid w:val="00974AB5"/>
    <w:rsid w:val="00975314"/>
    <w:rsid w:val="0097632B"/>
    <w:rsid w:val="009763E9"/>
    <w:rsid w:val="00976BB8"/>
    <w:rsid w:val="00980FED"/>
    <w:rsid w:val="00981C84"/>
    <w:rsid w:val="00982465"/>
    <w:rsid w:val="009833A0"/>
    <w:rsid w:val="009841D5"/>
    <w:rsid w:val="0098706D"/>
    <w:rsid w:val="00992A19"/>
    <w:rsid w:val="009935FB"/>
    <w:rsid w:val="00994994"/>
    <w:rsid w:val="009952B5"/>
    <w:rsid w:val="00995A1B"/>
    <w:rsid w:val="009A2368"/>
    <w:rsid w:val="009A33C1"/>
    <w:rsid w:val="009A7B7F"/>
    <w:rsid w:val="009A7E9E"/>
    <w:rsid w:val="009B09AF"/>
    <w:rsid w:val="009B27A6"/>
    <w:rsid w:val="009B6691"/>
    <w:rsid w:val="009C3BEE"/>
    <w:rsid w:val="009C6998"/>
    <w:rsid w:val="009D2BC7"/>
    <w:rsid w:val="009E7022"/>
    <w:rsid w:val="009F1672"/>
    <w:rsid w:val="009F2FD4"/>
    <w:rsid w:val="009F4118"/>
    <w:rsid w:val="009F4A54"/>
    <w:rsid w:val="009F4BEC"/>
    <w:rsid w:val="009F5874"/>
    <w:rsid w:val="009F6F54"/>
    <w:rsid w:val="00A00382"/>
    <w:rsid w:val="00A029A9"/>
    <w:rsid w:val="00A065FA"/>
    <w:rsid w:val="00A07C83"/>
    <w:rsid w:val="00A152C7"/>
    <w:rsid w:val="00A165DC"/>
    <w:rsid w:val="00A25FD7"/>
    <w:rsid w:val="00A26CC4"/>
    <w:rsid w:val="00A278E9"/>
    <w:rsid w:val="00A27B6F"/>
    <w:rsid w:val="00A310EC"/>
    <w:rsid w:val="00A36802"/>
    <w:rsid w:val="00A43AFF"/>
    <w:rsid w:val="00A43CA4"/>
    <w:rsid w:val="00A44B63"/>
    <w:rsid w:val="00A46AC7"/>
    <w:rsid w:val="00A51E6A"/>
    <w:rsid w:val="00A60C08"/>
    <w:rsid w:val="00A755E7"/>
    <w:rsid w:val="00A75B79"/>
    <w:rsid w:val="00A7793A"/>
    <w:rsid w:val="00A90071"/>
    <w:rsid w:val="00A918E9"/>
    <w:rsid w:val="00A923AA"/>
    <w:rsid w:val="00A93BB1"/>
    <w:rsid w:val="00A978D0"/>
    <w:rsid w:val="00AA34DE"/>
    <w:rsid w:val="00AA4CC7"/>
    <w:rsid w:val="00AA5E8E"/>
    <w:rsid w:val="00AA63BE"/>
    <w:rsid w:val="00AB2C5F"/>
    <w:rsid w:val="00AB3051"/>
    <w:rsid w:val="00AB3E43"/>
    <w:rsid w:val="00AB6CA7"/>
    <w:rsid w:val="00AC0A02"/>
    <w:rsid w:val="00AC3213"/>
    <w:rsid w:val="00AC372F"/>
    <w:rsid w:val="00AD01E4"/>
    <w:rsid w:val="00AD0858"/>
    <w:rsid w:val="00AD0BD2"/>
    <w:rsid w:val="00AD3660"/>
    <w:rsid w:val="00AD4B14"/>
    <w:rsid w:val="00AE1881"/>
    <w:rsid w:val="00AE2BC9"/>
    <w:rsid w:val="00AE7340"/>
    <w:rsid w:val="00AE7643"/>
    <w:rsid w:val="00AE7FD5"/>
    <w:rsid w:val="00AF0BCC"/>
    <w:rsid w:val="00AF1BBD"/>
    <w:rsid w:val="00AF221E"/>
    <w:rsid w:val="00AF2491"/>
    <w:rsid w:val="00AF2EDE"/>
    <w:rsid w:val="00AF4880"/>
    <w:rsid w:val="00B004BE"/>
    <w:rsid w:val="00B01240"/>
    <w:rsid w:val="00B01CD6"/>
    <w:rsid w:val="00B10207"/>
    <w:rsid w:val="00B1360B"/>
    <w:rsid w:val="00B141E7"/>
    <w:rsid w:val="00B1534C"/>
    <w:rsid w:val="00B153A4"/>
    <w:rsid w:val="00B15D06"/>
    <w:rsid w:val="00B242E5"/>
    <w:rsid w:val="00B26CA0"/>
    <w:rsid w:val="00B311C3"/>
    <w:rsid w:val="00B351B4"/>
    <w:rsid w:val="00B353B4"/>
    <w:rsid w:val="00B35F71"/>
    <w:rsid w:val="00B40971"/>
    <w:rsid w:val="00B447E5"/>
    <w:rsid w:val="00B46031"/>
    <w:rsid w:val="00B468CA"/>
    <w:rsid w:val="00B46BCA"/>
    <w:rsid w:val="00B478AA"/>
    <w:rsid w:val="00B53A10"/>
    <w:rsid w:val="00B634EA"/>
    <w:rsid w:val="00B642EA"/>
    <w:rsid w:val="00B65873"/>
    <w:rsid w:val="00B65E78"/>
    <w:rsid w:val="00B70245"/>
    <w:rsid w:val="00B70679"/>
    <w:rsid w:val="00B70AB3"/>
    <w:rsid w:val="00B71BE8"/>
    <w:rsid w:val="00B75E93"/>
    <w:rsid w:val="00B7644C"/>
    <w:rsid w:val="00B76574"/>
    <w:rsid w:val="00B77653"/>
    <w:rsid w:val="00B8290B"/>
    <w:rsid w:val="00B84776"/>
    <w:rsid w:val="00B84C2A"/>
    <w:rsid w:val="00B87806"/>
    <w:rsid w:val="00B87EC9"/>
    <w:rsid w:val="00B91B77"/>
    <w:rsid w:val="00B97E6D"/>
    <w:rsid w:val="00BA25F6"/>
    <w:rsid w:val="00BA3CCB"/>
    <w:rsid w:val="00BA7C4B"/>
    <w:rsid w:val="00BB02A5"/>
    <w:rsid w:val="00BB08A8"/>
    <w:rsid w:val="00BB1822"/>
    <w:rsid w:val="00BB4096"/>
    <w:rsid w:val="00BB6211"/>
    <w:rsid w:val="00BC38FD"/>
    <w:rsid w:val="00BC4506"/>
    <w:rsid w:val="00BC4C75"/>
    <w:rsid w:val="00BC5B7E"/>
    <w:rsid w:val="00BC5C7E"/>
    <w:rsid w:val="00BC7A94"/>
    <w:rsid w:val="00BC7E5B"/>
    <w:rsid w:val="00BD1DD4"/>
    <w:rsid w:val="00BE4720"/>
    <w:rsid w:val="00BE6C76"/>
    <w:rsid w:val="00BF3A7F"/>
    <w:rsid w:val="00BF5B71"/>
    <w:rsid w:val="00C004F1"/>
    <w:rsid w:val="00C01E61"/>
    <w:rsid w:val="00C034CB"/>
    <w:rsid w:val="00C050A4"/>
    <w:rsid w:val="00C051A8"/>
    <w:rsid w:val="00C054BC"/>
    <w:rsid w:val="00C0581F"/>
    <w:rsid w:val="00C100E9"/>
    <w:rsid w:val="00C103D3"/>
    <w:rsid w:val="00C10BF5"/>
    <w:rsid w:val="00C13020"/>
    <w:rsid w:val="00C14A4F"/>
    <w:rsid w:val="00C165F2"/>
    <w:rsid w:val="00C1677E"/>
    <w:rsid w:val="00C16EF4"/>
    <w:rsid w:val="00C17897"/>
    <w:rsid w:val="00C2797E"/>
    <w:rsid w:val="00C409D5"/>
    <w:rsid w:val="00C40D09"/>
    <w:rsid w:val="00C4282F"/>
    <w:rsid w:val="00C429E2"/>
    <w:rsid w:val="00C435C3"/>
    <w:rsid w:val="00C45836"/>
    <w:rsid w:val="00C462FD"/>
    <w:rsid w:val="00C502C0"/>
    <w:rsid w:val="00C5095A"/>
    <w:rsid w:val="00C51B82"/>
    <w:rsid w:val="00C527FD"/>
    <w:rsid w:val="00C54A65"/>
    <w:rsid w:val="00C6234B"/>
    <w:rsid w:val="00C63EAE"/>
    <w:rsid w:val="00C73260"/>
    <w:rsid w:val="00C7629F"/>
    <w:rsid w:val="00C779B6"/>
    <w:rsid w:val="00C8049D"/>
    <w:rsid w:val="00C81C75"/>
    <w:rsid w:val="00C83553"/>
    <w:rsid w:val="00C8661B"/>
    <w:rsid w:val="00C87143"/>
    <w:rsid w:val="00C87D79"/>
    <w:rsid w:val="00C9105E"/>
    <w:rsid w:val="00C91212"/>
    <w:rsid w:val="00C91F76"/>
    <w:rsid w:val="00C95CAF"/>
    <w:rsid w:val="00C9746F"/>
    <w:rsid w:val="00C97FB3"/>
    <w:rsid w:val="00CA139A"/>
    <w:rsid w:val="00CA2899"/>
    <w:rsid w:val="00CA3A3D"/>
    <w:rsid w:val="00CA642F"/>
    <w:rsid w:val="00CA7617"/>
    <w:rsid w:val="00CA77FB"/>
    <w:rsid w:val="00CB16DA"/>
    <w:rsid w:val="00CB379B"/>
    <w:rsid w:val="00CB3997"/>
    <w:rsid w:val="00CB5DD0"/>
    <w:rsid w:val="00CC0D34"/>
    <w:rsid w:val="00CC239F"/>
    <w:rsid w:val="00CC36C0"/>
    <w:rsid w:val="00CC445F"/>
    <w:rsid w:val="00CC4ED2"/>
    <w:rsid w:val="00CC51D4"/>
    <w:rsid w:val="00CC5F73"/>
    <w:rsid w:val="00CC65DA"/>
    <w:rsid w:val="00CD2B14"/>
    <w:rsid w:val="00CD5279"/>
    <w:rsid w:val="00CD5E2B"/>
    <w:rsid w:val="00CD5F07"/>
    <w:rsid w:val="00CD713C"/>
    <w:rsid w:val="00CD7676"/>
    <w:rsid w:val="00CE00F2"/>
    <w:rsid w:val="00CE263F"/>
    <w:rsid w:val="00CF0D18"/>
    <w:rsid w:val="00CF21B9"/>
    <w:rsid w:val="00CF39E4"/>
    <w:rsid w:val="00CF4FF3"/>
    <w:rsid w:val="00CF5F5B"/>
    <w:rsid w:val="00CF6BF9"/>
    <w:rsid w:val="00D03800"/>
    <w:rsid w:val="00D065D3"/>
    <w:rsid w:val="00D14C94"/>
    <w:rsid w:val="00D22290"/>
    <w:rsid w:val="00D22776"/>
    <w:rsid w:val="00D23890"/>
    <w:rsid w:val="00D24EA0"/>
    <w:rsid w:val="00D275D7"/>
    <w:rsid w:val="00D27969"/>
    <w:rsid w:val="00D3164A"/>
    <w:rsid w:val="00D318DC"/>
    <w:rsid w:val="00D321BF"/>
    <w:rsid w:val="00D342A6"/>
    <w:rsid w:val="00D3463A"/>
    <w:rsid w:val="00D35E58"/>
    <w:rsid w:val="00D365E8"/>
    <w:rsid w:val="00D36D1A"/>
    <w:rsid w:val="00D3780B"/>
    <w:rsid w:val="00D404D9"/>
    <w:rsid w:val="00D4080E"/>
    <w:rsid w:val="00D40BEF"/>
    <w:rsid w:val="00D448CB"/>
    <w:rsid w:val="00D45CA6"/>
    <w:rsid w:val="00D45DF6"/>
    <w:rsid w:val="00D464BF"/>
    <w:rsid w:val="00D53201"/>
    <w:rsid w:val="00D53E26"/>
    <w:rsid w:val="00D56709"/>
    <w:rsid w:val="00D60BE4"/>
    <w:rsid w:val="00D66356"/>
    <w:rsid w:val="00D66E45"/>
    <w:rsid w:val="00D73472"/>
    <w:rsid w:val="00D73BCE"/>
    <w:rsid w:val="00D80DDD"/>
    <w:rsid w:val="00D82A14"/>
    <w:rsid w:val="00D8712E"/>
    <w:rsid w:val="00D877BC"/>
    <w:rsid w:val="00D967A6"/>
    <w:rsid w:val="00DA2C97"/>
    <w:rsid w:val="00DA3E0B"/>
    <w:rsid w:val="00DA3F77"/>
    <w:rsid w:val="00DA4BEB"/>
    <w:rsid w:val="00DA4DEB"/>
    <w:rsid w:val="00DA6B91"/>
    <w:rsid w:val="00DB0499"/>
    <w:rsid w:val="00DB44E6"/>
    <w:rsid w:val="00DB4889"/>
    <w:rsid w:val="00DC2DC9"/>
    <w:rsid w:val="00DC4F83"/>
    <w:rsid w:val="00DC5BAA"/>
    <w:rsid w:val="00DD00B3"/>
    <w:rsid w:val="00DD4F0E"/>
    <w:rsid w:val="00DE515A"/>
    <w:rsid w:val="00DE65E0"/>
    <w:rsid w:val="00DF0BF0"/>
    <w:rsid w:val="00DF3CA2"/>
    <w:rsid w:val="00DF3E56"/>
    <w:rsid w:val="00DF3EE6"/>
    <w:rsid w:val="00DF50B8"/>
    <w:rsid w:val="00DF6D85"/>
    <w:rsid w:val="00E01463"/>
    <w:rsid w:val="00E0316A"/>
    <w:rsid w:val="00E05E0A"/>
    <w:rsid w:val="00E060BE"/>
    <w:rsid w:val="00E069DE"/>
    <w:rsid w:val="00E06AEF"/>
    <w:rsid w:val="00E10794"/>
    <w:rsid w:val="00E130FE"/>
    <w:rsid w:val="00E159AB"/>
    <w:rsid w:val="00E15B9C"/>
    <w:rsid w:val="00E15EA9"/>
    <w:rsid w:val="00E23B97"/>
    <w:rsid w:val="00E23C2B"/>
    <w:rsid w:val="00E272A9"/>
    <w:rsid w:val="00E30485"/>
    <w:rsid w:val="00E33561"/>
    <w:rsid w:val="00E33FA3"/>
    <w:rsid w:val="00E42E08"/>
    <w:rsid w:val="00E449B9"/>
    <w:rsid w:val="00E46432"/>
    <w:rsid w:val="00E46BB3"/>
    <w:rsid w:val="00E52189"/>
    <w:rsid w:val="00E52279"/>
    <w:rsid w:val="00E534CF"/>
    <w:rsid w:val="00E53D0C"/>
    <w:rsid w:val="00E57E49"/>
    <w:rsid w:val="00E57FA9"/>
    <w:rsid w:val="00E60C09"/>
    <w:rsid w:val="00E61367"/>
    <w:rsid w:val="00E61576"/>
    <w:rsid w:val="00E621F9"/>
    <w:rsid w:val="00E63388"/>
    <w:rsid w:val="00E65658"/>
    <w:rsid w:val="00E70BF1"/>
    <w:rsid w:val="00E71132"/>
    <w:rsid w:val="00E7546B"/>
    <w:rsid w:val="00E76D75"/>
    <w:rsid w:val="00E81CB4"/>
    <w:rsid w:val="00E8585B"/>
    <w:rsid w:val="00E85F95"/>
    <w:rsid w:val="00E86F6A"/>
    <w:rsid w:val="00E920F7"/>
    <w:rsid w:val="00E93137"/>
    <w:rsid w:val="00E943AE"/>
    <w:rsid w:val="00E950FB"/>
    <w:rsid w:val="00E95942"/>
    <w:rsid w:val="00E971C6"/>
    <w:rsid w:val="00E97940"/>
    <w:rsid w:val="00EA142B"/>
    <w:rsid w:val="00EA24A6"/>
    <w:rsid w:val="00EA3F15"/>
    <w:rsid w:val="00EA472E"/>
    <w:rsid w:val="00EA67AE"/>
    <w:rsid w:val="00EA7847"/>
    <w:rsid w:val="00EB1590"/>
    <w:rsid w:val="00EB1657"/>
    <w:rsid w:val="00EB4C2F"/>
    <w:rsid w:val="00EB72BA"/>
    <w:rsid w:val="00EB7EFA"/>
    <w:rsid w:val="00EC5AAB"/>
    <w:rsid w:val="00ED0E88"/>
    <w:rsid w:val="00EE2E6E"/>
    <w:rsid w:val="00EE463E"/>
    <w:rsid w:val="00EE534C"/>
    <w:rsid w:val="00EF0AFF"/>
    <w:rsid w:val="00EF21E1"/>
    <w:rsid w:val="00F0055F"/>
    <w:rsid w:val="00F026F9"/>
    <w:rsid w:val="00F03DF9"/>
    <w:rsid w:val="00F0759E"/>
    <w:rsid w:val="00F13E8E"/>
    <w:rsid w:val="00F16A43"/>
    <w:rsid w:val="00F16BFC"/>
    <w:rsid w:val="00F16EC7"/>
    <w:rsid w:val="00F22ACC"/>
    <w:rsid w:val="00F254D1"/>
    <w:rsid w:val="00F27297"/>
    <w:rsid w:val="00F31B8B"/>
    <w:rsid w:val="00F33387"/>
    <w:rsid w:val="00F34756"/>
    <w:rsid w:val="00F4236B"/>
    <w:rsid w:val="00F430A1"/>
    <w:rsid w:val="00F44040"/>
    <w:rsid w:val="00F45114"/>
    <w:rsid w:val="00F45541"/>
    <w:rsid w:val="00F46780"/>
    <w:rsid w:val="00F50250"/>
    <w:rsid w:val="00F505A9"/>
    <w:rsid w:val="00F52A2D"/>
    <w:rsid w:val="00F52DA3"/>
    <w:rsid w:val="00F54273"/>
    <w:rsid w:val="00F573C3"/>
    <w:rsid w:val="00F616A3"/>
    <w:rsid w:val="00F6430F"/>
    <w:rsid w:val="00F67D3A"/>
    <w:rsid w:val="00F71CDA"/>
    <w:rsid w:val="00F7694F"/>
    <w:rsid w:val="00F76A7C"/>
    <w:rsid w:val="00F77FDF"/>
    <w:rsid w:val="00F80280"/>
    <w:rsid w:val="00F80FD4"/>
    <w:rsid w:val="00F821A3"/>
    <w:rsid w:val="00F82CA4"/>
    <w:rsid w:val="00F83667"/>
    <w:rsid w:val="00F87256"/>
    <w:rsid w:val="00F90E62"/>
    <w:rsid w:val="00F9314A"/>
    <w:rsid w:val="00F937CF"/>
    <w:rsid w:val="00F93D24"/>
    <w:rsid w:val="00F940B2"/>
    <w:rsid w:val="00F946D0"/>
    <w:rsid w:val="00F94704"/>
    <w:rsid w:val="00F94B49"/>
    <w:rsid w:val="00FA1BB9"/>
    <w:rsid w:val="00FA1C49"/>
    <w:rsid w:val="00FA211C"/>
    <w:rsid w:val="00FA28B4"/>
    <w:rsid w:val="00FA2B45"/>
    <w:rsid w:val="00FA34FD"/>
    <w:rsid w:val="00FA4E1D"/>
    <w:rsid w:val="00FA6DB0"/>
    <w:rsid w:val="00FB0E6D"/>
    <w:rsid w:val="00FB4010"/>
    <w:rsid w:val="00FC174D"/>
    <w:rsid w:val="00FC3705"/>
    <w:rsid w:val="00FC4907"/>
    <w:rsid w:val="00FC58EF"/>
    <w:rsid w:val="00FC7584"/>
    <w:rsid w:val="00FD2694"/>
    <w:rsid w:val="00FD2EE5"/>
    <w:rsid w:val="00FD33DF"/>
    <w:rsid w:val="00FD3677"/>
    <w:rsid w:val="00FD54D9"/>
    <w:rsid w:val="00FD75F1"/>
    <w:rsid w:val="00FE1B4B"/>
    <w:rsid w:val="00FE39D7"/>
    <w:rsid w:val="00FE3EBF"/>
    <w:rsid w:val="00FF1CDE"/>
    <w:rsid w:val="00FF3D49"/>
    <w:rsid w:val="00FF5B11"/>
    <w:rsid w:val="00FF5D55"/>
    <w:rsid w:val="00FF6A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uiPriority w:val="99"/>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uiPriority w:val="99"/>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uiPriority w:val="99"/>
    <w:semiHidden/>
    <w:unhideWhenUsed/>
    <w:rsid w:val="00471070"/>
    <w:rPr>
      <w:sz w:val="20"/>
      <w:szCs w:val="20"/>
    </w:rPr>
  </w:style>
  <w:style w:type="character" w:customStyle="1" w:styleId="TextocomentarioCar">
    <w:name w:val="Texto comentario Car"/>
    <w:link w:val="Textocomentario"/>
    <w:uiPriority w:val="99"/>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paragraph" w:styleId="Mapadeldocumento">
    <w:name w:val="Document Map"/>
    <w:basedOn w:val="Normal"/>
    <w:link w:val="MapadeldocumentoCar"/>
    <w:uiPriority w:val="99"/>
    <w:semiHidden/>
    <w:unhideWhenUsed/>
    <w:rsid w:val="006A6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A629B"/>
    <w:rPr>
      <w:rFonts w:ascii="Tahoma" w:hAnsi="Tahoma" w:cs="Tahoma"/>
      <w:sz w:val="16"/>
      <w:szCs w:val="16"/>
      <w:lang w:val="es-ES" w:eastAsia="es-ES"/>
    </w:rPr>
  </w:style>
  <w:style w:type="character" w:styleId="Textodelmarcadordeposicin">
    <w:name w:val="Placeholder Text"/>
    <w:basedOn w:val="Fuentedeprrafopredeter"/>
    <w:uiPriority w:val="99"/>
    <w:semiHidden/>
    <w:rsid w:val="0066789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uiPriority w:val="99"/>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uiPriority w:val="99"/>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uiPriority w:val="99"/>
    <w:semiHidden/>
    <w:unhideWhenUsed/>
    <w:rsid w:val="00471070"/>
    <w:rPr>
      <w:sz w:val="20"/>
      <w:szCs w:val="20"/>
    </w:rPr>
  </w:style>
  <w:style w:type="character" w:customStyle="1" w:styleId="TextocomentarioCar">
    <w:name w:val="Texto comentario Car"/>
    <w:link w:val="Textocomentario"/>
    <w:uiPriority w:val="99"/>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paragraph" w:styleId="Mapadeldocumento">
    <w:name w:val="Document Map"/>
    <w:basedOn w:val="Normal"/>
    <w:link w:val="MapadeldocumentoCar"/>
    <w:uiPriority w:val="99"/>
    <w:semiHidden/>
    <w:unhideWhenUsed/>
    <w:rsid w:val="006A6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A629B"/>
    <w:rPr>
      <w:rFonts w:ascii="Tahoma" w:hAnsi="Tahoma" w:cs="Tahoma"/>
      <w:sz w:val="16"/>
      <w:szCs w:val="16"/>
      <w:lang w:val="es-ES" w:eastAsia="es-ES"/>
    </w:rPr>
  </w:style>
  <w:style w:type="character" w:styleId="Textodelmarcadordeposicin">
    <w:name w:val="Placeholder Text"/>
    <w:basedOn w:val="Fuentedeprrafopredeter"/>
    <w:uiPriority w:val="99"/>
    <w:semiHidden/>
    <w:rsid w:val="006678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3334">
      <w:bodyDiv w:val="1"/>
      <w:marLeft w:val="0"/>
      <w:marRight w:val="0"/>
      <w:marTop w:val="0"/>
      <w:marBottom w:val="0"/>
      <w:divBdr>
        <w:top w:val="none" w:sz="0" w:space="0" w:color="auto"/>
        <w:left w:val="none" w:sz="0" w:space="0" w:color="auto"/>
        <w:bottom w:val="none" w:sz="0" w:space="0" w:color="auto"/>
        <w:right w:val="none" w:sz="0" w:space="0" w:color="auto"/>
      </w:divBdr>
    </w:div>
    <w:div w:id="442923938">
      <w:bodyDiv w:val="1"/>
      <w:marLeft w:val="0"/>
      <w:marRight w:val="0"/>
      <w:marTop w:val="0"/>
      <w:marBottom w:val="0"/>
      <w:divBdr>
        <w:top w:val="none" w:sz="0" w:space="0" w:color="auto"/>
        <w:left w:val="none" w:sz="0" w:space="0" w:color="auto"/>
        <w:bottom w:val="none" w:sz="0" w:space="0" w:color="auto"/>
        <w:right w:val="none" w:sz="0" w:space="0" w:color="auto"/>
      </w:divBdr>
    </w:div>
    <w:div w:id="1330475220">
      <w:bodyDiv w:val="1"/>
      <w:marLeft w:val="0"/>
      <w:marRight w:val="0"/>
      <w:marTop w:val="0"/>
      <w:marBottom w:val="0"/>
      <w:divBdr>
        <w:top w:val="none" w:sz="0" w:space="0" w:color="auto"/>
        <w:left w:val="none" w:sz="0" w:space="0" w:color="auto"/>
        <w:bottom w:val="none" w:sz="0" w:space="0" w:color="auto"/>
        <w:right w:val="none" w:sz="0" w:space="0" w:color="auto"/>
      </w:divBdr>
    </w:div>
    <w:div w:id="1581984772">
      <w:bodyDiv w:val="1"/>
      <w:marLeft w:val="0"/>
      <w:marRight w:val="0"/>
      <w:marTop w:val="0"/>
      <w:marBottom w:val="0"/>
      <w:divBdr>
        <w:top w:val="none" w:sz="0" w:space="0" w:color="auto"/>
        <w:left w:val="none" w:sz="0" w:space="0" w:color="auto"/>
        <w:bottom w:val="none" w:sz="0" w:space="0" w:color="auto"/>
        <w:right w:val="none" w:sz="0" w:space="0" w:color="auto"/>
      </w:divBdr>
    </w:div>
    <w:div w:id="2069954635">
      <w:bodyDiv w:val="1"/>
      <w:marLeft w:val="0"/>
      <w:marRight w:val="0"/>
      <w:marTop w:val="0"/>
      <w:marBottom w:val="0"/>
      <w:divBdr>
        <w:top w:val="none" w:sz="0" w:space="0" w:color="auto"/>
        <w:left w:val="none" w:sz="0" w:space="0" w:color="auto"/>
        <w:bottom w:val="none" w:sz="0" w:space="0" w:color="auto"/>
        <w:right w:val="none" w:sz="0" w:space="0" w:color="auto"/>
      </w:divBdr>
    </w:div>
    <w:div w:id="213066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97B25-F67A-44E6-B652-14FCB59B0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7</Pages>
  <Words>2638</Words>
  <Characters>14510</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2016-04-05T23:09:00Z</cp:lastPrinted>
  <dcterms:created xsi:type="dcterms:W3CDTF">2016-04-14T20:03:00Z</dcterms:created>
  <dcterms:modified xsi:type="dcterms:W3CDTF">2016-04-14T20:03:00Z</dcterms:modified>
</cp:coreProperties>
</file>