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D4" w:rsidRPr="00B4326E" w:rsidRDefault="006D400C" w:rsidP="009029D4">
      <w:pPr>
        <w:pStyle w:val="Encabezado"/>
        <w:tabs>
          <w:tab w:val="clear" w:pos="8504"/>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60288" fillcolor="#0c9">
            <v:imagedata r:id="rId9" o:title=""/>
          </v:shape>
          <o:OLEObject Type="Embed" ProgID="PBrush" ShapeID="_x0000_s1026" DrawAspect="Content" ObjectID="_1429340149" r:id="rId10"/>
        </w:pict>
      </w:r>
    </w:p>
    <w:p w:rsidR="009029D4" w:rsidRPr="00B4326E" w:rsidRDefault="009029D4" w:rsidP="009029D4">
      <w:pPr>
        <w:pStyle w:val="Encabezado"/>
        <w:tabs>
          <w:tab w:val="clear" w:pos="8504"/>
          <w:tab w:val="right" w:pos="9356"/>
        </w:tabs>
        <w:ind w:left="0"/>
        <w:jc w:val="both"/>
        <w:rPr>
          <w:rFonts w:ascii="Bookman Old Style" w:hAnsi="Bookman Old Style"/>
          <w:szCs w:val="24"/>
        </w:rPr>
      </w:pPr>
    </w:p>
    <w:p w:rsidR="009029D4" w:rsidRPr="00B4326E" w:rsidRDefault="009029D4" w:rsidP="009029D4">
      <w:pPr>
        <w:pStyle w:val="Ttulo4"/>
        <w:tabs>
          <w:tab w:val="right" w:pos="9356"/>
        </w:tabs>
        <w:ind w:left="0"/>
        <w:rPr>
          <w:rFonts w:ascii="Bookman Old Style" w:hAnsi="Bookman Old Style"/>
          <w:b w:val="0"/>
          <w:bCs/>
          <w:sz w:val="24"/>
          <w:szCs w:val="24"/>
        </w:rPr>
      </w:pPr>
    </w:p>
    <w:p w:rsidR="009029D4" w:rsidRPr="00B4326E" w:rsidRDefault="009029D4" w:rsidP="009029D4">
      <w:pPr>
        <w:pStyle w:val="Ttulo4"/>
        <w:tabs>
          <w:tab w:val="right" w:pos="9356"/>
        </w:tabs>
        <w:ind w:left="0"/>
        <w:rPr>
          <w:rFonts w:ascii="Bookman Old Style" w:hAnsi="Bookman Old Style"/>
          <w:b w:val="0"/>
          <w:bCs/>
          <w:noProof/>
          <w:sz w:val="24"/>
          <w:szCs w:val="24"/>
          <w:lang w:val="es-ES"/>
        </w:rPr>
      </w:pPr>
      <w:r w:rsidRPr="00B4326E">
        <w:rPr>
          <w:rFonts w:ascii="Bookman Old Style" w:hAnsi="Bookman Old Style"/>
          <w:b w:val="0"/>
          <w:bCs/>
          <w:sz w:val="24"/>
          <w:szCs w:val="24"/>
        </w:rPr>
        <w:t>Ministerio de Minas y Energía</w:t>
      </w:r>
    </w:p>
    <w:p w:rsidR="009029D4" w:rsidRPr="00B4326E" w:rsidRDefault="009029D4" w:rsidP="009029D4">
      <w:pPr>
        <w:pStyle w:val="Ttulo4"/>
        <w:tabs>
          <w:tab w:val="right" w:pos="9356"/>
        </w:tabs>
        <w:ind w:left="0"/>
        <w:rPr>
          <w:rFonts w:ascii="Bookman Old Style" w:hAnsi="Bookman Old Style"/>
          <w:b w:val="0"/>
          <w:bCs/>
          <w:sz w:val="24"/>
          <w:szCs w:val="24"/>
        </w:rPr>
      </w:pPr>
    </w:p>
    <w:p w:rsidR="009029D4" w:rsidRPr="00B4326E" w:rsidRDefault="009029D4" w:rsidP="009029D4">
      <w:pPr>
        <w:pStyle w:val="Ttulo3"/>
        <w:tabs>
          <w:tab w:val="right" w:pos="9356"/>
        </w:tabs>
        <w:ind w:left="0"/>
        <w:rPr>
          <w:rFonts w:ascii="Bookman Old Style" w:hAnsi="Bookman Old Style" w:cs="Arial"/>
          <w:spacing w:val="20"/>
          <w:szCs w:val="24"/>
        </w:rPr>
      </w:pPr>
      <w:r w:rsidRPr="00B4326E">
        <w:rPr>
          <w:rFonts w:ascii="Bookman Old Style" w:hAnsi="Bookman Old Style" w:cs="Arial"/>
          <w:spacing w:val="20"/>
          <w:szCs w:val="24"/>
        </w:rPr>
        <w:t>COMISIÓN DE REGULACIÓN DE ENERGÍA Y GAS</w:t>
      </w:r>
    </w:p>
    <w:p w:rsidR="009029D4" w:rsidRPr="00B4326E" w:rsidRDefault="009029D4" w:rsidP="009029D4">
      <w:pPr>
        <w:pStyle w:val="Ttulo5"/>
        <w:tabs>
          <w:tab w:val="right" w:pos="9356"/>
        </w:tabs>
        <w:ind w:left="0"/>
        <w:rPr>
          <w:rFonts w:ascii="Bookman Old Style" w:hAnsi="Bookman Old Style"/>
          <w:sz w:val="24"/>
          <w:szCs w:val="24"/>
        </w:rPr>
      </w:pPr>
    </w:p>
    <w:p w:rsidR="009029D4" w:rsidRPr="00B4326E" w:rsidRDefault="009029D4" w:rsidP="009029D4">
      <w:pPr>
        <w:pStyle w:val="Ttulo5"/>
        <w:tabs>
          <w:tab w:val="right" w:pos="9356"/>
        </w:tabs>
        <w:ind w:left="0"/>
        <w:rPr>
          <w:rFonts w:ascii="Bookman Old Style" w:hAnsi="Bookman Old Style"/>
          <w:sz w:val="24"/>
          <w:szCs w:val="24"/>
        </w:rPr>
      </w:pPr>
    </w:p>
    <w:p w:rsidR="009029D4" w:rsidRPr="00B4326E" w:rsidRDefault="009029D4" w:rsidP="009029D4">
      <w:pPr>
        <w:pStyle w:val="Ttulo5"/>
        <w:tabs>
          <w:tab w:val="right" w:pos="9356"/>
        </w:tabs>
        <w:ind w:left="0"/>
        <w:rPr>
          <w:rFonts w:ascii="Bookman Old Style" w:hAnsi="Bookman Old Style"/>
          <w:sz w:val="24"/>
          <w:szCs w:val="24"/>
        </w:rPr>
      </w:pPr>
      <w:r w:rsidRPr="00B4326E">
        <w:rPr>
          <w:rFonts w:ascii="Bookman Old Style" w:hAnsi="Bookman Old Style"/>
          <w:sz w:val="24"/>
          <w:szCs w:val="24"/>
        </w:rPr>
        <w:t>RESOLUCIÓN No.                   DE 2013</w:t>
      </w:r>
    </w:p>
    <w:p w:rsidR="009029D4" w:rsidRPr="00B4326E" w:rsidRDefault="009029D4" w:rsidP="009029D4">
      <w:pPr>
        <w:tabs>
          <w:tab w:val="right" w:pos="9356"/>
        </w:tabs>
        <w:ind w:left="0"/>
        <w:jc w:val="center"/>
        <w:rPr>
          <w:rFonts w:ascii="Bookman Old Style" w:hAnsi="Bookman Old Style" w:cs="Arial"/>
          <w:b/>
          <w:snapToGrid w:val="0"/>
          <w:color w:val="000000"/>
          <w:lang w:val="es-ES_tradnl"/>
        </w:rPr>
      </w:pPr>
    </w:p>
    <w:p w:rsidR="009029D4" w:rsidRPr="00B4326E" w:rsidRDefault="009029D4" w:rsidP="009029D4">
      <w:pPr>
        <w:pStyle w:val="Ttulo3"/>
        <w:tabs>
          <w:tab w:val="right" w:pos="9356"/>
        </w:tabs>
        <w:ind w:left="0"/>
        <w:rPr>
          <w:rFonts w:ascii="Bookman Old Style" w:hAnsi="Bookman Old Style"/>
          <w:b w:val="0"/>
          <w:szCs w:val="24"/>
        </w:rPr>
      </w:pPr>
      <w:r w:rsidRPr="00B4326E">
        <w:rPr>
          <w:rFonts w:ascii="Bookman Old Style" w:hAnsi="Bookman Old Style"/>
          <w:b w:val="0"/>
          <w:szCs w:val="24"/>
        </w:rPr>
        <w:t>(                                  )</w:t>
      </w:r>
    </w:p>
    <w:p w:rsidR="009029D4" w:rsidRPr="00B4326E" w:rsidRDefault="009029D4" w:rsidP="009029D4">
      <w:pPr>
        <w:tabs>
          <w:tab w:val="right" w:pos="9356"/>
        </w:tabs>
        <w:ind w:left="0"/>
        <w:jc w:val="center"/>
        <w:rPr>
          <w:rFonts w:ascii="Bookman Old Style" w:hAnsi="Bookman Old Style"/>
          <w:lang w:val="es-ES_tradnl"/>
        </w:rPr>
      </w:pPr>
    </w:p>
    <w:p w:rsidR="009029D4" w:rsidRDefault="009029D4" w:rsidP="009029D4">
      <w:pPr>
        <w:tabs>
          <w:tab w:val="right" w:pos="9356"/>
        </w:tabs>
        <w:ind w:left="0"/>
        <w:jc w:val="center"/>
        <w:rPr>
          <w:rFonts w:ascii="Bookman Old Style" w:hAnsi="Bookman Old Style"/>
          <w:lang w:val="es-ES_tradnl"/>
        </w:rPr>
      </w:pPr>
    </w:p>
    <w:p w:rsidR="005901DF" w:rsidRDefault="005901DF" w:rsidP="009029D4">
      <w:pPr>
        <w:ind w:left="0"/>
        <w:jc w:val="center"/>
        <w:rPr>
          <w:rFonts w:ascii="Bookman Old Style" w:hAnsi="Bookman Old Style"/>
          <w:bCs/>
          <w:lang w:val="es-CO"/>
        </w:rPr>
      </w:pPr>
    </w:p>
    <w:p w:rsidR="005901DF" w:rsidRDefault="005901DF" w:rsidP="009029D4">
      <w:pPr>
        <w:ind w:left="0"/>
        <w:jc w:val="center"/>
        <w:rPr>
          <w:rFonts w:ascii="Bookman Old Style" w:hAnsi="Bookman Old Style"/>
          <w:bCs/>
          <w:lang w:val="es-CO"/>
        </w:rPr>
      </w:pPr>
    </w:p>
    <w:p w:rsidR="009029D4" w:rsidRPr="00B4326E" w:rsidRDefault="009029D4" w:rsidP="009029D4">
      <w:pPr>
        <w:ind w:left="0"/>
        <w:jc w:val="center"/>
        <w:rPr>
          <w:rFonts w:ascii="Bookman Old Style" w:hAnsi="Bookman Old Style"/>
          <w:bCs/>
          <w:lang w:val="es-CO"/>
        </w:rPr>
      </w:pPr>
      <w:r w:rsidRPr="00B4326E">
        <w:rPr>
          <w:rFonts w:ascii="Bookman Old Style" w:hAnsi="Bookman Old Style"/>
          <w:bCs/>
          <w:lang w:val="es-CO"/>
        </w:rPr>
        <w:t xml:space="preserve">Por la cual se resuelve el recurso de reposición interpuesto en </w:t>
      </w:r>
      <w:r>
        <w:rPr>
          <w:rFonts w:ascii="Bookman Old Style" w:hAnsi="Bookman Old Style"/>
          <w:bCs/>
          <w:lang w:val="es-CO"/>
        </w:rPr>
        <w:t>contra de la Resolución CREG 146</w:t>
      </w:r>
      <w:r w:rsidRPr="00B4326E">
        <w:rPr>
          <w:rFonts w:ascii="Bookman Old Style" w:hAnsi="Bookman Old Style"/>
          <w:bCs/>
          <w:lang w:val="es-CO"/>
        </w:rPr>
        <w:t xml:space="preserve"> de 201</w:t>
      </w:r>
      <w:r>
        <w:rPr>
          <w:rFonts w:ascii="Bookman Old Style" w:hAnsi="Bookman Old Style"/>
          <w:bCs/>
          <w:lang w:val="es-CO"/>
        </w:rPr>
        <w:t>2, “Por la cual se establecen</w:t>
      </w:r>
      <w:r w:rsidRPr="00B4326E">
        <w:rPr>
          <w:rFonts w:ascii="Bookman Old Style" w:hAnsi="Bookman Old Style"/>
          <w:bCs/>
          <w:lang w:val="es-CO"/>
        </w:rPr>
        <w:t xml:space="preserve"> los cargos regulados para el sistema regional de transporte </w:t>
      </w:r>
      <w:r>
        <w:rPr>
          <w:rFonts w:ascii="Bookman Old Style" w:hAnsi="Bookman Old Style"/>
          <w:bCs/>
          <w:lang w:val="es-CO"/>
        </w:rPr>
        <w:t>Yolombó</w:t>
      </w:r>
      <w:r w:rsidRPr="00B4326E">
        <w:rPr>
          <w:rFonts w:ascii="Bookman Old Style" w:hAnsi="Bookman Old Style"/>
          <w:bCs/>
          <w:lang w:val="es-CO"/>
        </w:rPr>
        <w:t>, según solicitud de la Transportadora de Metano E.S.P. S.A., Transmetano E.S.P. S.A.”</w:t>
      </w:r>
    </w:p>
    <w:p w:rsidR="009029D4" w:rsidRPr="00B4326E" w:rsidRDefault="009029D4" w:rsidP="009029D4">
      <w:pPr>
        <w:ind w:left="0"/>
        <w:jc w:val="center"/>
        <w:rPr>
          <w:rFonts w:ascii="Bookman Old Style" w:hAnsi="Bookman Old Style"/>
          <w:bCs/>
          <w:lang w:val="es-CO"/>
        </w:rPr>
      </w:pPr>
    </w:p>
    <w:p w:rsidR="009029D4" w:rsidRDefault="009029D4" w:rsidP="009029D4">
      <w:pPr>
        <w:ind w:left="0"/>
        <w:rPr>
          <w:rFonts w:ascii="Bookman Old Style" w:hAnsi="Bookman Old Style"/>
        </w:rPr>
      </w:pPr>
    </w:p>
    <w:p w:rsidR="005901DF" w:rsidRPr="00B4326E" w:rsidRDefault="005901DF" w:rsidP="009029D4">
      <w:pPr>
        <w:ind w:left="0"/>
        <w:rPr>
          <w:rFonts w:ascii="Bookman Old Style" w:hAnsi="Bookman Old Style"/>
        </w:rPr>
      </w:pPr>
    </w:p>
    <w:p w:rsidR="009029D4" w:rsidRPr="00B4326E" w:rsidRDefault="009029D4" w:rsidP="009029D4">
      <w:pPr>
        <w:ind w:left="0"/>
        <w:jc w:val="center"/>
        <w:rPr>
          <w:rFonts w:ascii="Bookman Old Style" w:hAnsi="Bookman Old Style"/>
          <w:b/>
        </w:rPr>
      </w:pPr>
      <w:r w:rsidRPr="00B4326E">
        <w:rPr>
          <w:rFonts w:ascii="Bookman Old Style" w:hAnsi="Bookman Old Style"/>
          <w:b/>
        </w:rPr>
        <w:t>LA COMISIÓN DE REGULACIÓN DE ENERGÍA Y GAS</w:t>
      </w:r>
    </w:p>
    <w:p w:rsidR="009029D4" w:rsidRPr="00B4326E" w:rsidRDefault="009029D4" w:rsidP="009029D4">
      <w:pPr>
        <w:ind w:left="0"/>
        <w:rPr>
          <w:rFonts w:ascii="Bookman Old Style" w:hAnsi="Bookman Old Style"/>
        </w:rPr>
      </w:pPr>
    </w:p>
    <w:p w:rsidR="009029D4" w:rsidRPr="00B4326E" w:rsidRDefault="009029D4" w:rsidP="009029D4">
      <w:pPr>
        <w:ind w:left="0"/>
        <w:rPr>
          <w:rFonts w:ascii="Bookman Old Style" w:hAnsi="Bookman Old Style"/>
        </w:rPr>
      </w:pPr>
    </w:p>
    <w:p w:rsidR="009029D4" w:rsidRPr="00B4326E" w:rsidRDefault="009029D4" w:rsidP="009029D4">
      <w:pPr>
        <w:ind w:left="0"/>
        <w:jc w:val="center"/>
        <w:rPr>
          <w:rFonts w:ascii="Bookman Old Style" w:hAnsi="Bookman Old Style"/>
        </w:rPr>
      </w:pPr>
      <w:r w:rsidRPr="00B4326E">
        <w:rPr>
          <w:rFonts w:ascii="Bookman Old Style" w:hAnsi="Bookman Old Style" w:cs="Arial"/>
          <w:bCs/>
          <w:spacing w:val="-3"/>
        </w:rPr>
        <w:t>En ejercicio de sus atribuciones legales, en especial de las conferidas por la Ley 142 de 1994, y en desarrollo del Decreto 2253 de 1994, y</w:t>
      </w:r>
    </w:p>
    <w:p w:rsidR="009029D4" w:rsidRPr="0016046A" w:rsidRDefault="009029D4" w:rsidP="009029D4">
      <w:pPr>
        <w:ind w:left="0"/>
        <w:rPr>
          <w:rFonts w:ascii="Bookman Old Style" w:hAnsi="Bookman Old Style"/>
          <w:sz w:val="18"/>
        </w:rPr>
      </w:pPr>
    </w:p>
    <w:p w:rsidR="009029D4" w:rsidRPr="00B4326E" w:rsidRDefault="009029D4" w:rsidP="009029D4">
      <w:pPr>
        <w:ind w:left="0"/>
        <w:rPr>
          <w:rFonts w:ascii="Bookman Old Style" w:hAnsi="Bookman Old Style"/>
        </w:rPr>
      </w:pPr>
    </w:p>
    <w:p w:rsidR="009029D4" w:rsidRPr="00B4326E" w:rsidRDefault="009029D4" w:rsidP="009029D4">
      <w:pPr>
        <w:ind w:left="0"/>
        <w:jc w:val="center"/>
        <w:rPr>
          <w:rFonts w:ascii="Bookman Old Style" w:hAnsi="Bookman Old Style"/>
          <w:b/>
        </w:rPr>
      </w:pPr>
      <w:r w:rsidRPr="00B4326E">
        <w:rPr>
          <w:rFonts w:ascii="Bookman Old Style" w:hAnsi="Bookman Old Style"/>
          <w:b/>
        </w:rPr>
        <w:t>C O N S I D E R A N D O  Q U E:</w:t>
      </w:r>
    </w:p>
    <w:p w:rsidR="009029D4" w:rsidRPr="00B4326E" w:rsidRDefault="009029D4" w:rsidP="009029D4">
      <w:pPr>
        <w:ind w:left="0"/>
        <w:jc w:val="center"/>
        <w:rPr>
          <w:rFonts w:ascii="Bookman Old Style" w:hAnsi="Bookman Old Style"/>
          <w:b/>
        </w:rPr>
      </w:pPr>
    </w:p>
    <w:p w:rsidR="009029D4" w:rsidRPr="0016046A" w:rsidRDefault="009029D4" w:rsidP="009029D4">
      <w:pPr>
        <w:ind w:left="0"/>
        <w:jc w:val="both"/>
        <w:rPr>
          <w:rFonts w:ascii="Bookman Old Style" w:hAnsi="Bookman Old Style" w:cs="Arial"/>
          <w:sz w:val="18"/>
        </w:rPr>
      </w:pPr>
    </w:p>
    <w:p w:rsidR="009029D4" w:rsidRPr="00B4326E" w:rsidRDefault="009029D4" w:rsidP="009029D4">
      <w:pPr>
        <w:numPr>
          <w:ilvl w:val="0"/>
          <w:numId w:val="1"/>
        </w:numPr>
        <w:tabs>
          <w:tab w:val="left" w:pos="567"/>
        </w:tabs>
        <w:ind w:left="0" w:firstLine="0"/>
        <w:jc w:val="both"/>
        <w:rPr>
          <w:rFonts w:ascii="Bookman Old Style" w:hAnsi="Bookman Old Style" w:cs="Arial"/>
          <w:b/>
        </w:rPr>
      </w:pPr>
      <w:r w:rsidRPr="00B4326E">
        <w:rPr>
          <w:rFonts w:ascii="Bookman Old Style" w:hAnsi="Bookman Old Style" w:cs="Arial"/>
          <w:b/>
        </w:rPr>
        <w:t>ANTECEDENTES</w:t>
      </w:r>
    </w:p>
    <w:p w:rsidR="009029D4" w:rsidRPr="00B4326E" w:rsidRDefault="009029D4" w:rsidP="009029D4">
      <w:pPr>
        <w:ind w:left="0"/>
        <w:jc w:val="both"/>
        <w:rPr>
          <w:rFonts w:ascii="Bookman Old Style" w:hAnsi="Bookman Old Style" w:cs="Arial"/>
        </w:rPr>
      </w:pPr>
    </w:p>
    <w:p w:rsidR="009029D4" w:rsidRPr="00B4326E" w:rsidRDefault="009029D4" w:rsidP="009029D4">
      <w:pPr>
        <w:tabs>
          <w:tab w:val="left" w:pos="426"/>
        </w:tabs>
        <w:ind w:left="0"/>
        <w:jc w:val="both"/>
        <w:rPr>
          <w:rFonts w:ascii="Bookman Old Style" w:hAnsi="Bookman Old Style"/>
          <w:i/>
          <w:iCs/>
        </w:rPr>
      </w:pPr>
      <w:r w:rsidRPr="00B4326E">
        <w:rPr>
          <w:rFonts w:ascii="Bookman Old Style" w:hAnsi="Bookman Old Style"/>
        </w:rPr>
        <w:t>De acuerdo con lo establecido en el artículo 14.28 de la Ley 142 de 1994, la actividad de transporte de gas natural es una actividad complementaria del servicio público domiciliario de gas combustible.</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ind w:left="0"/>
        <w:jc w:val="both"/>
        <w:rPr>
          <w:rFonts w:ascii="Bookman Old Style" w:hAnsi="Bookman Old Style"/>
        </w:rPr>
      </w:pPr>
      <w:r w:rsidRPr="00B4326E">
        <w:rPr>
          <w:rFonts w:ascii="Bookman Old Style" w:hAnsi="Bookman Old Style"/>
        </w:rPr>
        <w:t>Según lo dispuesto por el artículo 28 de la Ley 142 de 1994, la construcción y operación de redes para el transporte de gas, así como el señalamiento de las tarifas por su uso, se regirán exclusivamente por esta Ley.</w:t>
      </w:r>
    </w:p>
    <w:p w:rsidR="009029D4" w:rsidRPr="00B4326E" w:rsidRDefault="009029D4" w:rsidP="009029D4">
      <w:pPr>
        <w:ind w:left="0"/>
        <w:jc w:val="both"/>
        <w:rPr>
          <w:rFonts w:ascii="Bookman Old Style" w:hAnsi="Bookman Old Style"/>
        </w:rPr>
      </w:pPr>
    </w:p>
    <w:p w:rsidR="009029D4" w:rsidRPr="00B4326E" w:rsidRDefault="009029D4" w:rsidP="009029D4">
      <w:pPr>
        <w:ind w:left="0"/>
        <w:jc w:val="both"/>
        <w:rPr>
          <w:rFonts w:ascii="Bookman Old Style" w:hAnsi="Bookman Old Style"/>
        </w:rPr>
      </w:pPr>
      <w:r w:rsidRPr="00B4326E">
        <w:rPr>
          <w:rFonts w:ascii="Bookman Old Style" w:hAnsi="Bookman Old Style"/>
        </w:rPr>
        <w:t>El artículo 73.11 de la Ley 142 de 1994 atribuyó a la Comisión de Regulación de Energía y Gas la competencia para establecer las fórmulas para la fijación de las tarifas del servicio público domiciliario de gas combustible.</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ind w:left="0"/>
        <w:jc w:val="both"/>
        <w:rPr>
          <w:rFonts w:ascii="Bookman Old Style" w:hAnsi="Bookman Old Style"/>
        </w:rPr>
      </w:pPr>
      <w:r w:rsidRPr="00B4326E">
        <w:rPr>
          <w:rFonts w:ascii="Bookman Old Style" w:hAnsi="Bookman Old Style"/>
        </w:rPr>
        <w:t>Mediante la Resolución CREG 126 de 2010</w:t>
      </w:r>
      <w:r w:rsidRPr="006875CB">
        <w:rPr>
          <w:rFonts w:ascii="Bookman Old Style" w:hAnsi="Bookman Old Style"/>
        </w:rPr>
        <w:t xml:space="preserve">, en adelante la </w:t>
      </w:r>
      <w:r w:rsidRPr="006875CB">
        <w:rPr>
          <w:rFonts w:ascii="Bookman Old Style" w:hAnsi="Bookman Old Style"/>
          <w:i/>
        </w:rPr>
        <w:t>metodología</w:t>
      </w:r>
      <w:r w:rsidRPr="006875CB">
        <w:rPr>
          <w:rFonts w:ascii="Bookman Old Style" w:hAnsi="Bookman Old Style"/>
        </w:rPr>
        <w:t>,</w:t>
      </w:r>
      <w:r w:rsidRPr="00B4326E">
        <w:rPr>
          <w:rFonts w:ascii="Bookman Old Style" w:hAnsi="Bookman Old Style"/>
        </w:rPr>
        <w:t xml:space="preserve"> la Comisión de Regulación de Energía y Gas estableció los criterios generales para la remuneración del servicio de transporte de gas natural y el esquema general de cargos del Sistema Nacional de Transporte, y dictó otras disposiciones en materia de transporte de gas natural.</w:t>
      </w:r>
    </w:p>
    <w:p w:rsidR="009029D4" w:rsidRPr="00B4326E" w:rsidRDefault="009029D4" w:rsidP="009029D4">
      <w:pPr>
        <w:pStyle w:val="Textoindependiente2"/>
        <w:spacing w:after="0" w:line="240" w:lineRule="auto"/>
        <w:ind w:left="0"/>
        <w:jc w:val="both"/>
        <w:rPr>
          <w:rFonts w:ascii="Bookman Old Style" w:hAnsi="Bookman Old Style"/>
        </w:rPr>
      </w:pPr>
    </w:p>
    <w:p w:rsidR="005901DF" w:rsidRDefault="005901DF" w:rsidP="009029D4">
      <w:pPr>
        <w:pStyle w:val="Textoindependiente2"/>
        <w:spacing w:after="0" w:line="240" w:lineRule="auto"/>
        <w:ind w:left="0"/>
        <w:jc w:val="both"/>
        <w:rPr>
          <w:rFonts w:ascii="Bookman Old Style" w:hAnsi="Bookman Old Style"/>
        </w:rPr>
      </w:pPr>
    </w:p>
    <w:p w:rsidR="009029D4"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El artículo 25 de la Resolución CREG 126 de 2010 determina las normas aplicables a las extensiones de la red tipo II de transporte, cuya definición se establece en el artículo 22 de la misma Resolución.</w:t>
      </w:r>
    </w:p>
    <w:p w:rsidR="005901DF" w:rsidRPr="00B4326E" w:rsidRDefault="005901DF" w:rsidP="009029D4">
      <w:pPr>
        <w:pStyle w:val="Textoindependiente2"/>
        <w:spacing w:after="0" w:line="240" w:lineRule="auto"/>
        <w:ind w:left="0"/>
        <w:jc w:val="both"/>
        <w:rPr>
          <w:rFonts w:ascii="Bookman Old Style" w:hAnsi="Bookman Old Style"/>
        </w:rPr>
      </w:pPr>
    </w:p>
    <w:p w:rsidR="009029D4" w:rsidRPr="007C4063"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La Transportadora de Metano E.S.P. S.A., Transmetano E.S.P. S.A. (en </w:t>
      </w:r>
      <w:r w:rsidRPr="007C4063">
        <w:rPr>
          <w:rFonts w:ascii="Bookman Old Style" w:hAnsi="Bookman Old Style"/>
        </w:rPr>
        <w:t xml:space="preserve">adelante Transmetano), de acuerdo con la </w:t>
      </w:r>
      <w:r w:rsidRPr="007A1664">
        <w:rPr>
          <w:rFonts w:ascii="Bookman Old Style" w:hAnsi="Bookman Old Style"/>
          <w:i/>
        </w:rPr>
        <w:t>metodología</w:t>
      </w:r>
      <w:r w:rsidRPr="007C4063">
        <w:rPr>
          <w:rFonts w:ascii="Bookman Old Style" w:hAnsi="Bookman Old Style"/>
        </w:rPr>
        <w:t xml:space="preserve"> establecida en la Resolución CREG 126 de 2010, mediante comunicación con radicación CREG No. E</w:t>
      </w:r>
      <w:r w:rsidR="007C4063" w:rsidRPr="007C4063">
        <w:rPr>
          <w:rFonts w:ascii="Bookman Old Style" w:hAnsi="Bookman Old Style"/>
        </w:rPr>
        <w:t>-2011-004756</w:t>
      </w:r>
      <w:r w:rsidRPr="007C4063">
        <w:rPr>
          <w:rFonts w:ascii="Bookman Old Style" w:hAnsi="Bookman Old Style"/>
        </w:rPr>
        <w:t>, formuló una solicitud de aprobación de cargos para el sistema regional de transporte Yolombó.</w:t>
      </w:r>
    </w:p>
    <w:p w:rsidR="009029D4" w:rsidRPr="007C4063"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7C4063">
        <w:rPr>
          <w:rFonts w:ascii="Bookman Old Style" w:hAnsi="Bookman Old Style"/>
        </w:rPr>
        <w:t>La Comisión de Regulación</w:t>
      </w:r>
      <w:r w:rsidRPr="00B4326E">
        <w:rPr>
          <w:rFonts w:ascii="Bookman Old Style" w:hAnsi="Bookman Old Style"/>
        </w:rPr>
        <w:t xml:space="preserve"> de Energía y Gas se ciñó al procedimiento establecido en la Resolución CREG 126 de 2010 y, según la </w:t>
      </w:r>
      <w:r w:rsidRPr="00353079">
        <w:rPr>
          <w:rFonts w:ascii="Bookman Old Style" w:hAnsi="Bookman Old Style"/>
          <w:i/>
        </w:rPr>
        <w:t>metodología</w:t>
      </w:r>
      <w:r w:rsidRPr="00B4326E">
        <w:rPr>
          <w:rFonts w:ascii="Bookman Old Style" w:hAnsi="Bookman Old Style"/>
        </w:rPr>
        <w:t xml:space="preserve"> allí contemplada y </w:t>
      </w:r>
      <w:r>
        <w:rPr>
          <w:rFonts w:ascii="Bookman Old Style" w:hAnsi="Bookman Old Style"/>
        </w:rPr>
        <w:t>la</w:t>
      </w:r>
      <w:r w:rsidRPr="00B4326E">
        <w:rPr>
          <w:rFonts w:ascii="Bookman Old Style" w:hAnsi="Bookman Old Style"/>
        </w:rPr>
        <w:t xml:space="preserve"> información disponible en la Comisión, efectuó los cálculos tarifarios correspondientes y fijó los cargos para el sistema regional de transporte </w:t>
      </w:r>
      <w:r>
        <w:rPr>
          <w:rFonts w:ascii="Bookman Old Style" w:hAnsi="Bookman Old Style"/>
        </w:rPr>
        <w:t>Yolombó mediante la Resolución CREG 146</w:t>
      </w:r>
      <w:r w:rsidRPr="00B4326E">
        <w:rPr>
          <w:rFonts w:ascii="Bookman Old Style" w:hAnsi="Bookman Old Style"/>
        </w:rPr>
        <w:t xml:space="preserve"> de 2012.</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077783">
        <w:rPr>
          <w:rFonts w:ascii="Bookman Old Style" w:hAnsi="Bookman Old Style"/>
        </w:rPr>
        <w:t xml:space="preserve">Una vez notificado el acto administrativo en mención, y estando dentro del término legal para hacerlo, Transmetano interpuso recurso de reposición mediante comunicación radicada el día </w:t>
      </w:r>
      <w:r w:rsidR="00077783" w:rsidRPr="00077783">
        <w:rPr>
          <w:rFonts w:ascii="Bookman Old Style" w:hAnsi="Bookman Old Style"/>
        </w:rPr>
        <w:t>29</w:t>
      </w:r>
      <w:r w:rsidRPr="00077783">
        <w:rPr>
          <w:rFonts w:ascii="Bookman Old Style" w:hAnsi="Bookman Old Style"/>
        </w:rPr>
        <w:t xml:space="preserve"> de enero de 2013 bajo el número E-2013-</w:t>
      </w:r>
      <w:r w:rsidR="00077783" w:rsidRPr="00077783">
        <w:rPr>
          <w:rFonts w:ascii="Bookman Old Style" w:hAnsi="Bookman Old Style"/>
        </w:rPr>
        <w:t>000659</w:t>
      </w:r>
      <w:r w:rsidRPr="00077783">
        <w:rPr>
          <w:rFonts w:ascii="Bookman Old Style" w:hAnsi="Bookman Old Style"/>
        </w:rPr>
        <w:t>.</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numPr>
          <w:ilvl w:val="0"/>
          <w:numId w:val="1"/>
        </w:numPr>
        <w:tabs>
          <w:tab w:val="left" w:pos="567"/>
        </w:tabs>
        <w:ind w:left="0" w:firstLine="0"/>
        <w:jc w:val="both"/>
        <w:rPr>
          <w:rFonts w:ascii="Bookman Old Style" w:hAnsi="Bookman Old Style" w:cs="Arial"/>
          <w:b/>
        </w:rPr>
      </w:pPr>
      <w:r w:rsidRPr="00B4326E">
        <w:rPr>
          <w:rFonts w:ascii="Bookman Old Style" w:hAnsi="Bookman Old Style" w:cs="Arial"/>
          <w:b/>
        </w:rPr>
        <w:t>EL RECURSO INTERPUESTO</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numPr>
          <w:ilvl w:val="0"/>
          <w:numId w:val="4"/>
        </w:numPr>
        <w:tabs>
          <w:tab w:val="left" w:pos="567"/>
        </w:tabs>
        <w:spacing w:after="0" w:line="240" w:lineRule="auto"/>
        <w:ind w:left="0" w:firstLine="0"/>
        <w:jc w:val="both"/>
        <w:rPr>
          <w:rFonts w:ascii="Bookman Old Style" w:hAnsi="Bookman Old Style"/>
          <w:b/>
        </w:rPr>
      </w:pPr>
      <w:r w:rsidRPr="00B4326E">
        <w:rPr>
          <w:rFonts w:ascii="Bookman Old Style" w:hAnsi="Bookman Old Style"/>
          <w:b/>
        </w:rPr>
        <w:t>Las peticiones de la recurrente</w:t>
      </w:r>
    </w:p>
    <w:p w:rsidR="009029D4" w:rsidRPr="00B4326E" w:rsidRDefault="009029D4" w:rsidP="009029D4">
      <w:pPr>
        <w:pStyle w:val="Textoindependiente2"/>
        <w:spacing w:after="0" w:line="240" w:lineRule="auto"/>
        <w:ind w:left="0"/>
        <w:jc w:val="both"/>
        <w:rPr>
          <w:rFonts w:ascii="Bookman Old Style" w:hAnsi="Bookman Old Style"/>
          <w:b/>
        </w:rPr>
      </w:pPr>
    </w:p>
    <w:p w:rsidR="009029D4" w:rsidRPr="00077783"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A </w:t>
      </w:r>
      <w:r w:rsidRPr="00077783">
        <w:rPr>
          <w:rFonts w:ascii="Bookman Old Style" w:hAnsi="Bookman Old Style"/>
        </w:rPr>
        <w:t>continuación se transcriben las peticiones de la recurrente:</w:t>
      </w:r>
    </w:p>
    <w:p w:rsidR="009029D4" w:rsidRPr="00077783" w:rsidRDefault="009029D4" w:rsidP="009029D4">
      <w:pPr>
        <w:pStyle w:val="Textoindependiente2"/>
        <w:spacing w:after="0" w:line="240" w:lineRule="auto"/>
        <w:ind w:left="0"/>
        <w:jc w:val="both"/>
        <w:rPr>
          <w:rFonts w:ascii="Bookman Old Style" w:hAnsi="Bookman Old Style"/>
          <w:b/>
          <w:i/>
        </w:rPr>
      </w:pPr>
    </w:p>
    <w:p w:rsidR="009029D4" w:rsidRPr="00077783" w:rsidRDefault="009029D4"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r w:rsidRPr="00077783">
        <w:rPr>
          <w:rFonts w:ascii="Bookman Old Style" w:hAnsi="Bookman Old Style" w:cs="Times New Roman"/>
          <w:i/>
          <w:sz w:val="22"/>
          <w:szCs w:val="22"/>
          <w:lang w:val="es-ES" w:eastAsia="es-ES"/>
        </w:rPr>
        <w:t>“1. Que se apruebe el esquema de estampilla, en consideración a la naturaleza del gasoducto, y en caso que la solicitud no sea aceptada, pedimos que se incluya tanto la decisión del regulador como su justificación.</w:t>
      </w:r>
    </w:p>
    <w:p w:rsidR="009029D4" w:rsidRPr="00077783" w:rsidRDefault="009029D4" w:rsidP="009029D4">
      <w:pPr>
        <w:pStyle w:val="Style13"/>
        <w:shd w:val="clear" w:color="auto" w:fill="auto"/>
        <w:spacing w:line="240" w:lineRule="auto"/>
        <w:ind w:right="284" w:firstLine="0"/>
        <w:rPr>
          <w:rFonts w:ascii="Bookman Old Style" w:hAnsi="Bookman Old Style" w:cs="Times New Roman"/>
          <w:b/>
          <w:bCs/>
          <w:i/>
          <w:sz w:val="22"/>
          <w:szCs w:val="22"/>
          <w:lang w:val="es-ES" w:eastAsia="es-ES"/>
        </w:rPr>
      </w:pPr>
    </w:p>
    <w:p w:rsidR="009029D4" w:rsidRPr="00077783" w:rsidRDefault="009029D4"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r w:rsidRPr="00077783">
        <w:rPr>
          <w:rFonts w:ascii="Bookman Old Style" w:hAnsi="Bookman Old Style" w:cs="Times New Roman"/>
          <w:bCs/>
          <w:i/>
          <w:sz w:val="22"/>
          <w:szCs w:val="22"/>
          <w:lang w:val="es-ES" w:eastAsia="es-ES"/>
        </w:rPr>
        <w:t>2</w:t>
      </w:r>
      <w:r w:rsidRPr="00077783">
        <w:rPr>
          <w:rFonts w:ascii="Bookman Old Style" w:hAnsi="Bookman Old Style" w:cs="Times New Roman"/>
          <w:b/>
          <w:bCs/>
          <w:i/>
          <w:sz w:val="22"/>
          <w:szCs w:val="22"/>
          <w:lang w:val="es-ES" w:eastAsia="es-ES"/>
        </w:rPr>
        <w:t>.</w:t>
      </w:r>
      <w:r w:rsidR="00077783" w:rsidRPr="00077783">
        <w:rPr>
          <w:rFonts w:ascii="Bookman Old Style" w:hAnsi="Bookman Old Style" w:cs="Times New Roman"/>
          <w:i/>
          <w:sz w:val="22"/>
          <w:szCs w:val="22"/>
          <w:lang w:val="es-ES" w:eastAsia="es-ES"/>
        </w:rPr>
        <w:t xml:space="preserve"> Que se reconozca que </w:t>
      </w:r>
      <w:r w:rsidR="005E532C">
        <w:rPr>
          <w:rFonts w:ascii="Bookman Old Style" w:hAnsi="Bookman Old Style" w:cs="Times New Roman"/>
          <w:i/>
          <w:sz w:val="22"/>
          <w:szCs w:val="22"/>
          <w:lang w:val="es-ES" w:eastAsia="es-ES"/>
        </w:rPr>
        <w:t xml:space="preserve">0, </w:t>
      </w:r>
      <w:r w:rsidR="00077783" w:rsidRPr="00077783">
        <w:rPr>
          <w:rFonts w:ascii="Bookman Old Style" w:hAnsi="Bookman Old Style" w:cs="Times New Roman"/>
          <w:i/>
          <w:sz w:val="22"/>
          <w:szCs w:val="22"/>
          <w:lang w:val="es-ES" w:eastAsia="es-ES"/>
        </w:rPr>
        <w:t xml:space="preserve">262 </w:t>
      </w:r>
      <w:r w:rsidRPr="00077783">
        <w:rPr>
          <w:rFonts w:ascii="Bookman Old Style" w:hAnsi="Bookman Old Style" w:cs="Times New Roman"/>
          <w:i/>
          <w:sz w:val="22"/>
          <w:szCs w:val="22"/>
          <w:lang w:val="es-ES" w:eastAsia="es-ES"/>
        </w:rPr>
        <w:t>Km del trazado del gasoducto se construirán en terreno extremo y, por consiguiente, se ajuste el valor de la inversión a reconocer, modificando el</w:t>
      </w:r>
      <w:r w:rsidR="00077783" w:rsidRPr="00077783">
        <w:rPr>
          <w:rFonts w:ascii="Bookman Old Style" w:hAnsi="Bookman Old Style" w:cs="Times New Roman"/>
          <w:i/>
          <w:sz w:val="22"/>
          <w:szCs w:val="22"/>
          <w:lang w:val="es-ES" w:eastAsia="es-ES"/>
        </w:rPr>
        <w:t xml:space="preserve"> artículo 4 de la Resolución 146</w:t>
      </w:r>
      <w:r w:rsidRPr="00077783">
        <w:rPr>
          <w:rFonts w:ascii="Bookman Old Style" w:hAnsi="Bookman Old Style" w:cs="Times New Roman"/>
          <w:i/>
          <w:sz w:val="22"/>
          <w:szCs w:val="22"/>
          <w:lang w:val="es-ES" w:eastAsia="es-ES"/>
        </w:rPr>
        <w:t xml:space="preserve"> de 2012.</w:t>
      </w:r>
    </w:p>
    <w:p w:rsidR="009029D4" w:rsidRPr="00077783" w:rsidRDefault="009029D4"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9029D4" w:rsidRPr="00077783" w:rsidRDefault="005E532C"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r>
        <w:rPr>
          <w:rFonts w:ascii="Bookman Old Style" w:hAnsi="Bookman Old Style" w:cs="Times New Roman"/>
          <w:i/>
          <w:sz w:val="22"/>
          <w:szCs w:val="22"/>
          <w:lang w:val="es-ES" w:eastAsia="es-ES"/>
        </w:rPr>
        <w:t>3</w:t>
      </w:r>
      <w:r w:rsidR="009029D4" w:rsidRPr="00077783">
        <w:rPr>
          <w:rFonts w:ascii="Bookman Old Style" w:hAnsi="Bookman Old Style" w:cs="Times New Roman"/>
          <w:i/>
          <w:sz w:val="22"/>
          <w:szCs w:val="22"/>
          <w:lang w:val="es-ES" w:eastAsia="es-ES"/>
        </w:rPr>
        <w:t>. Que se reconozca como valor de l</w:t>
      </w:r>
      <w:r w:rsidR="00077783" w:rsidRPr="00077783">
        <w:rPr>
          <w:rFonts w:ascii="Bookman Old Style" w:hAnsi="Bookman Old Style" w:cs="Times New Roman"/>
          <w:i/>
          <w:sz w:val="22"/>
          <w:szCs w:val="22"/>
          <w:lang w:val="es-ES" w:eastAsia="es-ES"/>
        </w:rPr>
        <w:t>a inversión la suma de US$957.</w:t>
      </w:r>
      <w:r w:rsidR="009029D4" w:rsidRPr="00077783">
        <w:rPr>
          <w:rFonts w:ascii="Bookman Old Style" w:hAnsi="Bookman Old Style" w:cs="Times New Roman"/>
          <w:i/>
          <w:sz w:val="22"/>
          <w:szCs w:val="22"/>
          <w:lang w:val="es-ES" w:eastAsia="es-ES"/>
        </w:rPr>
        <w:t>000 dólares.</w:t>
      </w:r>
    </w:p>
    <w:p w:rsidR="009029D4" w:rsidRPr="00077783" w:rsidRDefault="009029D4"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9029D4" w:rsidRPr="00077783" w:rsidRDefault="005E532C"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r>
        <w:rPr>
          <w:rFonts w:ascii="Bookman Old Style" w:hAnsi="Bookman Old Style" w:cs="Times New Roman"/>
          <w:i/>
          <w:sz w:val="22"/>
          <w:szCs w:val="22"/>
          <w:lang w:val="es-ES" w:eastAsia="es-ES"/>
        </w:rPr>
        <w:t>4</w:t>
      </w:r>
      <w:r w:rsidR="009029D4" w:rsidRPr="00077783">
        <w:rPr>
          <w:rFonts w:ascii="Bookman Old Style" w:hAnsi="Bookman Old Style" w:cs="Times New Roman"/>
          <w:i/>
          <w:sz w:val="22"/>
          <w:szCs w:val="22"/>
          <w:lang w:val="es-ES" w:eastAsia="es-ES"/>
        </w:rPr>
        <w:t>. Que al reconocerse un mayor valor de la Inversión, se solicita se modifique el</w:t>
      </w:r>
      <w:r w:rsidR="00077783" w:rsidRPr="00077783">
        <w:rPr>
          <w:rFonts w:ascii="Bookman Old Style" w:hAnsi="Bookman Old Style" w:cs="Times New Roman"/>
          <w:i/>
          <w:sz w:val="22"/>
          <w:szCs w:val="22"/>
          <w:lang w:val="es-ES" w:eastAsia="es-ES"/>
        </w:rPr>
        <w:t xml:space="preserve"> artículo 7 de la Resolución 146 </w:t>
      </w:r>
      <w:r w:rsidR="009029D4" w:rsidRPr="00077783">
        <w:rPr>
          <w:rFonts w:ascii="Bookman Old Style" w:hAnsi="Bookman Old Style" w:cs="Times New Roman"/>
          <w:i/>
          <w:sz w:val="22"/>
          <w:szCs w:val="22"/>
          <w:lang w:val="es-ES" w:eastAsia="es-ES"/>
        </w:rPr>
        <w:t xml:space="preserve"> de 2012, en el sentido de que las parejas de cargos regulados reflejen el valor ajustado de la inversión.</w:t>
      </w:r>
    </w:p>
    <w:p w:rsidR="009029D4" w:rsidRPr="00077783" w:rsidRDefault="009029D4"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9029D4" w:rsidRPr="00077783" w:rsidRDefault="005E532C"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r>
        <w:rPr>
          <w:rFonts w:ascii="Bookman Old Style" w:hAnsi="Bookman Old Style" w:cs="Times New Roman"/>
          <w:i/>
          <w:sz w:val="22"/>
          <w:szCs w:val="22"/>
          <w:lang w:val="es-ES" w:eastAsia="es-ES"/>
        </w:rPr>
        <w:t>5</w:t>
      </w:r>
      <w:r w:rsidR="009029D4" w:rsidRPr="00077783">
        <w:rPr>
          <w:rFonts w:ascii="Bookman Old Style" w:hAnsi="Bookman Old Style" w:cs="Times New Roman"/>
          <w:i/>
          <w:sz w:val="22"/>
          <w:szCs w:val="22"/>
          <w:lang w:val="es-ES" w:eastAsia="es-ES"/>
        </w:rPr>
        <w:t>. Que se acepten y decreten como pruebas de la existencia del terreno extremo en el trazado del gasoducto los siguientes documentos:</w:t>
      </w:r>
    </w:p>
    <w:p w:rsidR="009029D4" w:rsidRPr="00077783" w:rsidRDefault="009029D4"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9029D4" w:rsidRPr="00077783" w:rsidRDefault="009029D4" w:rsidP="009029D4">
      <w:pPr>
        <w:pStyle w:val="Style13"/>
        <w:numPr>
          <w:ilvl w:val="0"/>
          <w:numId w:val="2"/>
        </w:numPr>
        <w:shd w:val="clear" w:color="auto" w:fill="auto"/>
        <w:spacing w:line="240" w:lineRule="auto"/>
        <w:ind w:left="1134" w:firstLine="0"/>
        <w:rPr>
          <w:rFonts w:ascii="Bookman Old Style" w:hAnsi="Bookman Old Style" w:cs="Times New Roman"/>
          <w:i/>
          <w:sz w:val="22"/>
          <w:szCs w:val="22"/>
          <w:lang w:val="es-ES" w:eastAsia="es-ES"/>
        </w:rPr>
      </w:pPr>
      <w:r w:rsidRPr="00077783">
        <w:rPr>
          <w:rFonts w:ascii="Bookman Old Style" w:hAnsi="Bookman Old Style" w:cs="Times New Roman"/>
          <w:i/>
          <w:sz w:val="22"/>
          <w:szCs w:val="22"/>
          <w:lang w:val="es-ES" w:eastAsia="es-ES"/>
        </w:rPr>
        <w:t>376-30-TOP-01-1. Informe de levantamientos topográficos.</w:t>
      </w:r>
    </w:p>
    <w:p w:rsidR="009029D4" w:rsidRPr="00077783" w:rsidRDefault="00077783" w:rsidP="009029D4">
      <w:pPr>
        <w:pStyle w:val="Style13"/>
        <w:numPr>
          <w:ilvl w:val="0"/>
          <w:numId w:val="2"/>
        </w:numPr>
        <w:shd w:val="clear" w:color="auto" w:fill="auto"/>
        <w:spacing w:line="240" w:lineRule="auto"/>
        <w:ind w:left="1134" w:firstLine="0"/>
        <w:rPr>
          <w:rFonts w:ascii="Bookman Old Style" w:hAnsi="Bookman Old Style" w:cs="Times New Roman"/>
          <w:i/>
          <w:sz w:val="22"/>
          <w:szCs w:val="22"/>
          <w:lang w:val="es-ES" w:eastAsia="es-ES"/>
        </w:rPr>
      </w:pPr>
      <w:r w:rsidRPr="00077783">
        <w:rPr>
          <w:rFonts w:ascii="Bookman Old Style" w:hAnsi="Bookman Old Style" w:cs="Times New Roman"/>
          <w:i/>
          <w:sz w:val="22"/>
          <w:szCs w:val="22"/>
          <w:lang w:val="es-ES" w:eastAsia="es-ES"/>
        </w:rPr>
        <w:t>Planos No. 376-30-D-03</w:t>
      </w:r>
      <w:r w:rsidR="006057AC">
        <w:rPr>
          <w:rFonts w:ascii="Bookman Old Style" w:hAnsi="Bookman Old Style" w:cs="Times New Roman"/>
          <w:i/>
          <w:sz w:val="22"/>
          <w:szCs w:val="22"/>
          <w:lang w:val="es-ES" w:eastAsia="es-ES"/>
        </w:rPr>
        <w:t xml:space="preserve"> </w:t>
      </w:r>
      <w:r w:rsidR="009029D4" w:rsidRPr="00077783">
        <w:rPr>
          <w:rFonts w:ascii="Bookman Old Style" w:hAnsi="Bookman Old Style" w:cs="Times New Roman"/>
          <w:i/>
          <w:sz w:val="22"/>
          <w:szCs w:val="22"/>
          <w:lang w:val="es-ES" w:eastAsia="es-ES"/>
        </w:rPr>
        <w:t xml:space="preserve">Trazado del Ramal </w:t>
      </w:r>
      <w:r w:rsidRPr="00077783">
        <w:rPr>
          <w:rFonts w:ascii="Bookman Old Style" w:hAnsi="Bookman Old Style" w:cs="Times New Roman"/>
          <w:i/>
          <w:sz w:val="22"/>
          <w:szCs w:val="22"/>
          <w:lang w:val="es-ES" w:eastAsia="es-ES"/>
        </w:rPr>
        <w:t>a Yolombó</w:t>
      </w:r>
      <w:r w:rsidR="009029D4" w:rsidRPr="00077783">
        <w:rPr>
          <w:rFonts w:ascii="Bookman Old Style" w:hAnsi="Bookman Old Style" w:cs="Times New Roman"/>
          <w:i/>
          <w:sz w:val="22"/>
          <w:szCs w:val="22"/>
          <w:lang w:val="es-ES" w:eastAsia="es-ES"/>
        </w:rPr>
        <w:t xml:space="preserve"> entre KO+000 y </w:t>
      </w:r>
      <w:r w:rsidRPr="00077783">
        <w:rPr>
          <w:rFonts w:ascii="Bookman Old Style" w:hAnsi="Bookman Old Style" w:cs="Times New Roman"/>
          <w:i/>
          <w:sz w:val="22"/>
          <w:szCs w:val="22"/>
          <w:lang w:val="es-ES" w:eastAsia="es-ES"/>
        </w:rPr>
        <w:t>K3+839,79</w:t>
      </w:r>
      <w:r w:rsidR="009029D4" w:rsidRPr="00077783">
        <w:rPr>
          <w:rFonts w:ascii="Bookman Old Style" w:hAnsi="Bookman Old Style" w:cs="Times New Roman"/>
          <w:i/>
          <w:sz w:val="22"/>
          <w:szCs w:val="22"/>
          <w:lang w:val="es-ES" w:eastAsia="es-ES"/>
        </w:rPr>
        <w:t>. Planta - Perfil.</w:t>
      </w:r>
    </w:p>
    <w:p w:rsidR="009029D4" w:rsidRDefault="009029D4" w:rsidP="009029D4">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9029D4" w:rsidRPr="00077783" w:rsidRDefault="005E532C" w:rsidP="008A679C">
      <w:pPr>
        <w:pStyle w:val="Style13"/>
        <w:shd w:val="clear" w:color="auto" w:fill="auto"/>
        <w:tabs>
          <w:tab w:val="left" w:pos="851"/>
        </w:tabs>
        <w:spacing w:line="240" w:lineRule="auto"/>
        <w:ind w:left="567" w:firstLine="0"/>
        <w:rPr>
          <w:rFonts w:ascii="Bookman Old Style" w:hAnsi="Bookman Old Style" w:cs="Times New Roman"/>
          <w:i/>
          <w:sz w:val="22"/>
          <w:szCs w:val="22"/>
          <w:lang w:val="es-ES" w:eastAsia="es-ES"/>
        </w:rPr>
      </w:pPr>
      <w:r>
        <w:rPr>
          <w:rFonts w:ascii="Bookman Old Style" w:hAnsi="Bookman Old Style" w:cs="Times New Roman"/>
          <w:i/>
          <w:sz w:val="22"/>
          <w:szCs w:val="22"/>
          <w:lang w:val="es-ES" w:eastAsia="es-ES"/>
        </w:rPr>
        <w:t>6</w:t>
      </w:r>
      <w:r w:rsidR="008A679C">
        <w:rPr>
          <w:rFonts w:ascii="Bookman Old Style" w:hAnsi="Bookman Old Style" w:cs="Times New Roman"/>
          <w:i/>
          <w:sz w:val="22"/>
          <w:szCs w:val="22"/>
          <w:lang w:val="es-ES" w:eastAsia="es-ES"/>
        </w:rPr>
        <w:t xml:space="preserve">. </w:t>
      </w:r>
      <w:r w:rsidR="009029D4" w:rsidRPr="00077783">
        <w:rPr>
          <w:rFonts w:ascii="Bookman Old Style" w:hAnsi="Bookman Old Style" w:cs="Times New Roman"/>
          <w:i/>
          <w:sz w:val="22"/>
          <w:szCs w:val="22"/>
          <w:lang w:val="es-ES" w:eastAsia="es-ES"/>
        </w:rPr>
        <w:t xml:space="preserve">Que en ningún momento se disminuya el valor de la inversión del gasoducto </w:t>
      </w:r>
      <w:r w:rsidR="00077783" w:rsidRPr="00077783">
        <w:rPr>
          <w:rFonts w:ascii="Bookman Old Style" w:hAnsi="Bookman Old Style" w:cs="Times New Roman"/>
          <w:i/>
          <w:sz w:val="22"/>
          <w:szCs w:val="22"/>
          <w:lang w:val="es-ES" w:eastAsia="es-ES"/>
        </w:rPr>
        <w:t>decretado en la Resolución 146</w:t>
      </w:r>
      <w:r w:rsidR="009029D4" w:rsidRPr="00077783">
        <w:rPr>
          <w:rFonts w:ascii="Bookman Old Style" w:hAnsi="Bookman Old Style" w:cs="Times New Roman"/>
          <w:i/>
          <w:sz w:val="22"/>
          <w:szCs w:val="22"/>
          <w:lang w:val="es-ES" w:eastAsia="es-ES"/>
        </w:rPr>
        <w:t xml:space="preserve"> de 2012.”</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Default="009029D4" w:rsidP="0016046A">
      <w:pPr>
        <w:pStyle w:val="Textoindependiente2"/>
        <w:spacing w:after="0" w:line="240" w:lineRule="auto"/>
        <w:ind w:left="0"/>
        <w:jc w:val="both"/>
        <w:rPr>
          <w:rFonts w:ascii="Bookman Old Style" w:hAnsi="Bookman Old Style"/>
        </w:rPr>
      </w:pPr>
      <w:r w:rsidRPr="00B4326E">
        <w:rPr>
          <w:rFonts w:ascii="Bookman Old Style" w:hAnsi="Bookman Old Style"/>
        </w:rPr>
        <w:lastRenderedPageBreak/>
        <w:t>Los argumentos que sustentan las solicitudes de la recurrente se resumen en los siguientes literales:</w:t>
      </w:r>
    </w:p>
    <w:p w:rsidR="005901DF" w:rsidRPr="00B4326E" w:rsidRDefault="005901DF" w:rsidP="0016046A">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numPr>
          <w:ilvl w:val="0"/>
          <w:numId w:val="4"/>
        </w:numPr>
        <w:tabs>
          <w:tab w:val="left" w:pos="567"/>
        </w:tabs>
        <w:spacing w:after="0" w:line="240" w:lineRule="auto"/>
        <w:ind w:left="0" w:firstLine="0"/>
        <w:jc w:val="both"/>
        <w:rPr>
          <w:rFonts w:ascii="Bookman Old Style" w:hAnsi="Bookman Old Style"/>
          <w:b/>
          <w:lang w:val="es-CO"/>
        </w:rPr>
      </w:pPr>
      <w:r w:rsidRPr="00B4326E">
        <w:rPr>
          <w:rFonts w:ascii="Bookman Old Style" w:hAnsi="Bookman Old Style"/>
          <w:b/>
          <w:lang w:val="es-CO"/>
        </w:rPr>
        <w:t>Argumentos fácticos y jurídicos en que se sustenta el recurso</w:t>
      </w:r>
    </w:p>
    <w:p w:rsidR="009029D4" w:rsidRPr="00B4326E" w:rsidRDefault="009029D4" w:rsidP="009029D4">
      <w:pPr>
        <w:ind w:left="0"/>
        <w:jc w:val="both"/>
        <w:rPr>
          <w:rFonts w:ascii="Bookman Old Style" w:hAnsi="Bookman Old Style"/>
          <w:lang w:val="es-CO"/>
        </w:rPr>
      </w:pPr>
    </w:p>
    <w:p w:rsidR="009029D4" w:rsidRPr="00B4326E" w:rsidRDefault="009029D4" w:rsidP="009029D4">
      <w:pPr>
        <w:pStyle w:val="Textoindependiente2"/>
        <w:numPr>
          <w:ilvl w:val="0"/>
          <w:numId w:val="5"/>
        </w:numPr>
        <w:tabs>
          <w:tab w:val="left" w:pos="567"/>
        </w:tabs>
        <w:spacing w:after="0" w:line="240" w:lineRule="auto"/>
        <w:ind w:left="0" w:firstLine="0"/>
        <w:jc w:val="both"/>
        <w:rPr>
          <w:rFonts w:ascii="Bookman Old Style" w:hAnsi="Bookman Old Style"/>
          <w:b/>
          <w:lang w:val="es-CO"/>
        </w:rPr>
      </w:pPr>
      <w:r w:rsidRPr="00B4326E">
        <w:rPr>
          <w:rFonts w:ascii="Bookman Old Style" w:hAnsi="Bookman Old Style"/>
          <w:b/>
          <w:lang w:val="es-CO"/>
        </w:rPr>
        <w:t>Respecto de la diferencia entre la solicitud tarifaria y la decisión final de la CREG</w:t>
      </w:r>
    </w:p>
    <w:p w:rsidR="009029D4" w:rsidRPr="00B4326E" w:rsidRDefault="009029D4" w:rsidP="009029D4">
      <w:pPr>
        <w:ind w:left="0"/>
        <w:jc w:val="both"/>
        <w:rPr>
          <w:rFonts w:ascii="Bookman Old Style" w:hAnsi="Bookman Old Style"/>
        </w:rPr>
      </w:pPr>
    </w:p>
    <w:p w:rsidR="009029D4" w:rsidRPr="00B4326E" w:rsidRDefault="009029D4" w:rsidP="009029D4">
      <w:pPr>
        <w:ind w:left="0"/>
        <w:jc w:val="both"/>
        <w:rPr>
          <w:rFonts w:ascii="Bookman Old Style" w:hAnsi="Bookman Old Style"/>
        </w:rPr>
      </w:pPr>
      <w:r w:rsidRPr="00B4326E">
        <w:rPr>
          <w:rFonts w:ascii="Bookman Old Style" w:hAnsi="Bookman Old Style"/>
        </w:rPr>
        <w:t>El primer argumento expuesto por la recurrente hace referencia a que la decisión proferida por la Co</w:t>
      </w:r>
      <w:r>
        <w:rPr>
          <w:rFonts w:ascii="Bookman Old Style" w:hAnsi="Bookman Old Style"/>
        </w:rPr>
        <w:t>misión en la Resolución CREG 146</w:t>
      </w:r>
      <w:r w:rsidRPr="00B4326E">
        <w:rPr>
          <w:rFonts w:ascii="Bookman Old Style" w:hAnsi="Bookman Old Style"/>
        </w:rPr>
        <w:t xml:space="preserve"> de 2012 no corresponde a la forma en que Transmetano realizó la solicitud.</w:t>
      </w:r>
    </w:p>
    <w:p w:rsidR="009029D4" w:rsidRPr="00B4326E" w:rsidRDefault="009029D4" w:rsidP="009029D4">
      <w:pPr>
        <w:ind w:left="0"/>
        <w:jc w:val="both"/>
        <w:rPr>
          <w:rFonts w:ascii="Bookman Old Style" w:hAnsi="Bookman Old Style"/>
        </w:rPr>
      </w:pPr>
    </w:p>
    <w:p w:rsidR="009029D4" w:rsidRPr="00077783" w:rsidRDefault="009029D4" w:rsidP="009029D4">
      <w:pPr>
        <w:ind w:left="0"/>
        <w:jc w:val="both"/>
        <w:rPr>
          <w:rFonts w:ascii="Bookman Old Style" w:hAnsi="Bookman Old Style"/>
        </w:rPr>
      </w:pPr>
      <w:r w:rsidRPr="00B4326E">
        <w:rPr>
          <w:rFonts w:ascii="Bookman Old Style" w:hAnsi="Bookman Old Style"/>
        </w:rPr>
        <w:t xml:space="preserve">La recurrente manifiesta que si bien la Comisión aplicó lo dispuesto en la </w:t>
      </w:r>
      <w:r w:rsidRPr="00BF755C">
        <w:rPr>
          <w:rFonts w:ascii="Bookman Old Style" w:hAnsi="Bookman Old Style"/>
          <w:i/>
        </w:rPr>
        <w:t>metodología</w:t>
      </w:r>
      <w:r w:rsidRPr="00B4326E">
        <w:rPr>
          <w:rFonts w:ascii="Bookman Old Style" w:hAnsi="Bookman Old Style"/>
        </w:rPr>
        <w:t xml:space="preserve"> de la Resolución CREG 126 de 2010, al no aprobar los cargos de acuerdo con la f</w:t>
      </w:r>
      <w:r w:rsidRPr="00077783">
        <w:rPr>
          <w:rFonts w:ascii="Bookman Old Style" w:hAnsi="Bookman Old Style"/>
        </w:rPr>
        <w:t xml:space="preserve">orma en que estos fueron </w:t>
      </w:r>
      <w:r w:rsidR="007A1664">
        <w:rPr>
          <w:rFonts w:ascii="Bookman Old Style" w:hAnsi="Bookman Old Style"/>
        </w:rPr>
        <w:t>solicitados se incrementaron</w:t>
      </w:r>
      <w:r w:rsidRPr="00077783">
        <w:rPr>
          <w:rFonts w:ascii="Bookman Old Style" w:hAnsi="Bookman Old Style"/>
        </w:rPr>
        <w:t xml:space="preserve"> injustificadamente las tarifas de los usuarios del sistema de transporte, dándoles un trato diferente a nivel tarifario respecto de los demás usuarios del sistema de transporte que atiende Transmetano, generando una violación al principio de neutralidad. En relación con lo anterior manifiesta:</w:t>
      </w:r>
    </w:p>
    <w:p w:rsidR="009029D4" w:rsidRPr="00077783" w:rsidRDefault="009029D4" w:rsidP="009029D4">
      <w:pPr>
        <w:ind w:left="0"/>
        <w:jc w:val="both"/>
        <w:rPr>
          <w:rFonts w:ascii="Bookman Old Style" w:hAnsi="Bookman Old Style"/>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 xml:space="preserve">“Tal y como se desprende del texto de la oferta presentada por TRANSMETANO, dentro de la urna concebida por la CREG para la construcción del gasoducto de </w:t>
      </w:r>
      <w:r w:rsidR="00077783" w:rsidRPr="00077783">
        <w:rPr>
          <w:rFonts w:ascii="Bookman Old Style" w:hAnsi="Bookman Old Style"/>
          <w:i/>
          <w:sz w:val="22"/>
          <w:szCs w:val="22"/>
        </w:rPr>
        <w:t>Yolombó</w:t>
      </w:r>
      <w:r w:rsidRPr="00077783">
        <w:rPr>
          <w:rFonts w:ascii="Bookman Old Style" w:hAnsi="Bookman Old Style"/>
          <w:i/>
          <w:sz w:val="22"/>
          <w:szCs w:val="22"/>
        </w:rPr>
        <w:t xml:space="preserve"> y otros, ésta se basó en prestar el servicio con una tarifa estampilla de todo el sistema de TRANSMETANO, lo que garantizaría tanto la recuperación de la inversión, como la prestación del servicio a una tarifa razonable, igual para todos los municipios del área de influencia del gasoducto.</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En la Resolución que se repone, se desconoce la propuesta de la estampilla, sin explicar las razones y por tanto sin la motivación requerida, dejando de lado los parámetros del mecanismo diseñado en la Resolución 126 de 2010, todo lo cual se explica a continuación:</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Para efectos de definir la tarifa de transporte de un gasoducto, la CREG recurrió a varios mecanismos, que se diferencian entre sí, por el nivel de intervención del regulador en la fijación de la tarifa.</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La CREG sin embargo, involucró dentro del mecanismo de asignación de derechos para construir y operar la infraestructura de transporte, la facultad de revisar la tarifa propuesta, cuando ésta no fuera el resultado de la competencia, es decir, cuando no existiera más de un propuesta válida, que permitiera revelar el valor adecuado de la tarifa.</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El regulador se reservó para sí, la facultad de determinar si la tarifa reflejaba un valor eficiente, y por tanto, si las inversiones que se incluían correspondían o no con los parámetros de eficiencia.</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 xml:space="preserve">En el caso que nos ocupa, si bien la CREG evaluó el gasoducto </w:t>
      </w:r>
      <w:r w:rsidR="00077783" w:rsidRPr="00077783">
        <w:rPr>
          <w:rFonts w:ascii="Bookman Old Style" w:hAnsi="Bookman Old Style"/>
          <w:i/>
          <w:sz w:val="22"/>
          <w:szCs w:val="22"/>
        </w:rPr>
        <w:t>Yolombó</w:t>
      </w:r>
      <w:r w:rsidRPr="00077783">
        <w:rPr>
          <w:rFonts w:ascii="Bookman Old Style" w:hAnsi="Bookman Old Style"/>
          <w:i/>
          <w:sz w:val="22"/>
          <w:szCs w:val="22"/>
        </w:rPr>
        <w:t xml:space="preserve"> conforme a los parámetros establecidos en el Anexo I de la Resolución 126 de 2010 y los criterios adicionales que tuvo a bien considerar, incrementó la tarifa propuesta por </w:t>
      </w:r>
      <w:r w:rsidRPr="00077783">
        <w:rPr>
          <w:rFonts w:ascii="Bookman Old Style" w:hAnsi="Bookman Old Style"/>
          <w:i/>
          <w:sz w:val="22"/>
          <w:szCs w:val="22"/>
        </w:rPr>
        <w:lastRenderedPageBreak/>
        <w:t xml:space="preserve">el transportador, sin ninguna razón que así lo justifique, afectando así de manera negativa el interés de los usuarios. </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 xml:space="preserve">TRANSMETANO como transportador de la región de Antioquia y conocedor del mercado, propuso que la tarifa a aplicar a </w:t>
      </w:r>
      <w:r w:rsidR="00077783" w:rsidRPr="00077783">
        <w:rPr>
          <w:rFonts w:ascii="Bookman Old Style" w:hAnsi="Bookman Old Style"/>
          <w:i/>
          <w:sz w:val="22"/>
          <w:szCs w:val="22"/>
        </w:rPr>
        <w:t>Yolombó</w:t>
      </w:r>
      <w:r w:rsidRPr="00077783">
        <w:rPr>
          <w:rFonts w:ascii="Bookman Old Style" w:hAnsi="Bookman Old Style"/>
          <w:i/>
          <w:sz w:val="22"/>
          <w:szCs w:val="22"/>
        </w:rPr>
        <w:t xml:space="preserve"> fuera estampilla, es decir la misma tarifa aplicable para el resto de usuarios del departamento, asunto que se sustentó no solo en una evaluación del servicio, sino además, en:</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El cumplimiento del criterio de costo unitario de prestación del servicio de gas natural inferior al costo unitario de prestación de servicio de gas licuado de petróleo.</w:t>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ab/>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 xml:space="preserve">Así mismo, considerando que en el mercado relevante de </w:t>
      </w:r>
      <w:r w:rsidR="00077783" w:rsidRPr="00077783">
        <w:rPr>
          <w:rFonts w:ascii="Bookman Old Style" w:hAnsi="Bookman Old Style"/>
          <w:i/>
          <w:sz w:val="22"/>
          <w:szCs w:val="22"/>
        </w:rPr>
        <w:t>Yolombó</w:t>
      </w:r>
      <w:r w:rsidRPr="00077783">
        <w:rPr>
          <w:rFonts w:ascii="Bookman Old Style" w:hAnsi="Bookman Old Style"/>
          <w:i/>
          <w:sz w:val="22"/>
          <w:szCs w:val="22"/>
        </w:rPr>
        <w:t xml:space="preserve"> no existen otras poblaciones, así como tampoco existe más de un comercializador en la zona, la propuesta de estampilla garantiza que no se incumpla con el criterio de neutralidad regulatorio, previsto dentro de la misma Resolución 126 de 2010.</w:t>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ab/>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Sin embargo, a pesar de lo anterior, el regulador en la Resolución que se repone, no tuvo en consideración ni la solicitud tarifaria, ni tampoco los criterios mencionados, y se abstuvo de aceptar la estampilla, por motivos que no fueron justificados dentro del texto del acto administrativo.</w:t>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ab/>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 xml:space="preserve">La decisión del regulador, por el contrario, derivó en la determinación de una tarifa especial para </w:t>
      </w:r>
      <w:r w:rsidR="00077783" w:rsidRPr="00077783">
        <w:rPr>
          <w:rFonts w:ascii="Bookman Old Style" w:hAnsi="Bookman Old Style"/>
          <w:i/>
          <w:sz w:val="22"/>
          <w:szCs w:val="22"/>
        </w:rPr>
        <w:t>Yolombó</w:t>
      </w:r>
      <w:r w:rsidRPr="00077783">
        <w:rPr>
          <w:rFonts w:ascii="Bookman Old Style" w:hAnsi="Bookman Old Style"/>
          <w:i/>
          <w:sz w:val="22"/>
          <w:szCs w:val="22"/>
        </w:rPr>
        <w:t>, que los usuarios deben pagar en adición a la tarifa de transporte de TRANSMETANO, desde donde se desprende el ramal respectivo, con las implicaciones de tarifa final al usuario que este tipo de medidas genera.</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Desde el punto de vista de la teoría regulatoria, resulta importante recordar que la señal por distancia es deseable cuando se quiere introducir comportamientos racionales de los usuarios, respecto de la ubicación de la infraestructura. Esta señal que es particularmente deseable, cuando las conexiones de usuarios causan estrés a la infraestructura, y por lo mismo, sobrecostos. Sin embargo, una señal por distancia, como opuesto a la señal estampilla, no tiene mayor sentido cuando la demanda no puede determinar su ubicación.</w:t>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ab/>
      </w: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 xml:space="preserve">El gasoducto de Transmetano desde sus inicios se diseñó para que atendiera las poblaciones dentro de su área de influencia –Antioquia- demandas éstas que fueron consideradas para la construcción del gasoducto existente. La demanda asociada a la población del municipio de </w:t>
      </w:r>
      <w:r w:rsidR="00077783" w:rsidRPr="00077783">
        <w:rPr>
          <w:rFonts w:ascii="Bookman Old Style" w:hAnsi="Bookman Old Style"/>
          <w:i/>
          <w:sz w:val="22"/>
          <w:szCs w:val="22"/>
        </w:rPr>
        <w:t>Yolombó</w:t>
      </w:r>
      <w:r w:rsidRPr="00077783">
        <w:rPr>
          <w:rFonts w:ascii="Bookman Old Style" w:hAnsi="Bookman Old Style"/>
          <w:i/>
          <w:sz w:val="22"/>
          <w:szCs w:val="22"/>
        </w:rPr>
        <w:t xml:space="preserve"> es fundamentalmente regulada de manera que no es posible que ésta -la demanda- escoja el sitio de la conexión.</w:t>
      </w:r>
    </w:p>
    <w:p w:rsidR="009029D4" w:rsidRPr="00077783" w:rsidRDefault="009029D4" w:rsidP="009029D4">
      <w:pPr>
        <w:widowControl w:val="0"/>
        <w:jc w:val="both"/>
        <w:rPr>
          <w:rFonts w:ascii="Bookman Old Style" w:hAnsi="Bookman Old Style"/>
          <w:i/>
          <w:sz w:val="22"/>
          <w:szCs w:val="22"/>
        </w:rPr>
      </w:pPr>
    </w:p>
    <w:p w:rsidR="009029D4" w:rsidRDefault="009029D4" w:rsidP="00077783">
      <w:pPr>
        <w:widowControl w:val="0"/>
        <w:jc w:val="both"/>
        <w:rPr>
          <w:rFonts w:ascii="Bookman Old Style" w:hAnsi="Bookman Old Style"/>
          <w:i/>
          <w:sz w:val="22"/>
          <w:szCs w:val="22"/>
        </w:rPr>
      </w:pPr>
      <w:r w:rsidRPr="00077783">
        <w:rPr>
          <w:rFonts w:ascii="Bookman Old Style" w:hAnsi="Bookman Old Style"/>
          <w:i/>
          <w:sz w:val="22"/>
          <w:szCs w:val="22"/>
        </w:rPr>
        <w:t xml:space="preserve">Dadas las características de demanda, la vocación del gasoducto </w:t>
      </w:r>
      <w:r w:rsidR="00077783" w:rsidRPr="00077783">
        <w:rPr>
          <w:rFonts w:ascii="Bookman Old Style" w:hAnsi="Bookman Old Style"/>
          <w:i/>
          <w:sz w:val="22"/>
          <w:szCs w:val="22"/>
        </w:rPr>
        <w:t>Yolombó</w:t>
      </w:r>
      <w:r w:rsidRPr="00077783">
        <w:rPr>
          <w:rFonts w:ascii="Bookman Old Style" w:hAnsi="Bookman Old Style"/>
          <w:i/>
          <w:sz w:val="22"/>
          <w:szCs w:val="22"/>
        </w:rPr>
        <w:t xml:space="preserve"> al cumplimiento de lo dispuesto en el parágrafo del artículo 25 de la Resolución 126 de 2010, se solicitó a la CREG una tarifa estampilla, que permitiera no solo la prestación del servicio a esa población de Antioquia a una tarifa razonable, sino para evitar diferencias entre los usuarios residenciales atendidos por la misma empresa en el mismo departamento. La decisión de la CREG que se repone mediante el presente documento, implica que los usuarios de </w:t>
      </w:r>
      <w:r w:rsidR="00077783" w:rsidRPr="00077783">
        <w:rPr>
          <w:rFonts w:ascii="Bookman Old Style" w:hAnsi="Bookman Old Style"/>
          <w:i/>
          <w:sz w:val="22"/>
          <w:szCs w:val="22"/>
        </w:rPr>
        <w:t>Yolombó</w:t>
      </w:r>
      <w:r w:rsidRPr="00077783">
        <w:rPr>
          <w:rFonts w:ascii="Bookman Old Style" w:hAnsi="Bookman Old Style"/>
          <w:i/>
          <w:sz w:val="22"/>
          <w:szCs w:val="22"/>
        </w:rPr>
        <w:t>, paguen una tarifa muy superior al resto de los usuarios del departamento.</w:t>
      </w:r>
    </w:p>
    <w:p w:rsidR="005901DF" w:rsidRPr="00077783" w:rsidRDefault="005901DF" w:rsidP="00077783">
      <w:pPr>
        <w:widowControl w:val="0"/>
        <w:jc w:val="both"/>
        <w:rPr>
          <w:rFonts w:ascii="Bookman Old Style" w:hAnsi="Bookman Old Style"/>
          <w:i/>
          <w:sz w:val="22"/>
          <w:szCs w:val="22"/>
        </w:rPr>
      </w:pPr>
    </w:p>
    <w:p w:rsidR="009029D4" w:rsidRDefault="009029D4" w:rsidP="0016046A">
      <w:pPr>
        <w:widowControl w:val="0"/>
        <w:jc w:val="both"/>
        <w:rPr>
          <w:rFonts w:ascii="Bookman Old Style" w:hAnsi="Bookman Old Style"/>
          <w:i/>
          <w:sz w:val="22"/>
          <w:szCs w:val="22"/>
        </w:rPr>
      </w:pPr>
      <w:r w:rsidRPr="00077783">
        <w:rPr>
          <w:rFonts w:ascii="Bookman Old Style" w:hAnsi="Bookman Old Style"/>
          <w:i/>
          <w:sz w:val="22"/>
          <w:szCs w:val="22"/>
        </w:rPr>
        <w:t xml:space="preserve">Ahora bien, es importante anotar que el regulador, tuvo a su consideración la propuesta de servicio de transporte para el municipio de </w:t>
      </w:r>
      <w:r w:rsidR="00077783" w:rsidRPr="00077783">
        <w:rPr>
          <w:rFonts w:ascii="Bookman Old Style" w:hAnsi="Bookman Old Style"/>
          <w:i/>
          <w:sz w:val="22"/>
          <w:szCs w:val="22"/>
        </w:rPr>
        <w:t>Yolombó</w:t>
      </w:r>
      <w:r w:rsidRPr="00077783">
        <w:rPr>
          <w:rFonts w:ascii="Bookman Old Style" w:hAnsi="Bookman Old Style"/>
          <w:i/>
          <w:sz w:val="22"/>
          <w:szCs w:val="22"/>
        </w:rPr>
        <w:t xml:space="preserve"> y otras poblaciones, antes de la decisión sobre la tarifa actual de transporte de gas de Transmetano, por lo que la solicitud hacía todo el sentido, desde el punto de vista </w:t>
      </w:r>
      <w:r w:rsidRPr="00077783">
        <w:rPr>
          <w:rFonts w:ascii="Bookman Old Style" w:hAnsi="Bookman Old Style"/>
          <w:i/>
          <w:sz w:val="22"/>
          <w:szCs w:val="22"/>
        </w:rPr>
        <w:lastRenderedPageBreak/>
        <w:t>del manejo que podía tener el regulador frente al objetivo.”</w:t>
      </w:r>
    </w:p>
    <w:p w:rsidR="005901DF" w:rsidRPr="005901DF" w:rsidRDefault="005901DF" w:rsidP="0016046A">
      <w:pPr>
        <w:widowControl w:val="0"/>
        <w:jc w:val="both"/>
        <w:rPr>
          <w:rFonts w:ascii="Bookman Old Style" w:hAnsi="Bookman Old Style"/>
          <w:sz w:val="20"/>
          <w:szCs w:val="22"/>
        </w:rPr>
      </w:pPr>
    </w:p>
    <w:p w:rsidR="009029D4" w:rsidRPr="00B4326E" w:rsidRDefault="009029D4" w:rsidP="009029D4">
      <w:pPr>
        <w:numPr>
          <w:ilvl w:val="0"/>
          <w:numId w:val="5"/>
        </w:numPr>
        <w:tabs>
          <w:tab w:val="left" w:pos="567"/>
        </w:tabs>
        <w:ind w:left="0" w:firstLine="0"/>
        <w:jc w:val="both"/>
        <w:rPr>
          <w:rFonts w:ascii="Bookman Old Style" w:hAnsi="Bookman Old Style"/>
          <w:b/>
          <w:lang w:val="es-CO"/>
        </w:rPr>
      </w:pPr>
      <w:r w:rsidRPr="00B4326E">
        <w:rPr>
          <w:rFonts w:ascii="Bookman Old Style" w:hAnsi="Bookman Old Style"/>
          <w:b/>
          <w:lang w:val="es-CO"/>
        </w:rPr>
        <w:t>Respecto de la decisión contenida en el</w:t>
      </w:r>
      <w:r w:rsidR="00077783">
        <w:rPr>
          <w:rFonts w:ascii="Bookman Old Style" w:hAnsi="Bookman Old Style"/>
          <w:b/>
          <w:lang w:val="es-CO"/>
        </w:rPr>
        <w:t xml:space="preserve"> artículo 4 de la Resolución 146</w:t>
      </w:r>
      <w:r w:rsidRPr="00B4326E">
        <w:rPr>
          <w:rFonts w:ascii="Bookman Old Style" w:hAnsi="Bookman Old Style"/>
          <w:b/>
          <w:lang w:val="es-CO"/>
        </w:rPr>
        <w:t xml:space="preserve"> de 2012</w:t>
      </w:r>
    </w:p>
    <w:p w:rsidR="009029D4" w:rsidRPr="005901DF" w:rsidRDefault="009029D4" w:rsidP="009029D4">
      <w:pPr>
        <w:ind w:left="0"/>
        <w:jc w:val="both"/>
        <w:rPr>
          <w:rFonts w:ascii="Bookman Old Style" w:hAnsi="Bookman Old Style"/>
          <w:sz w:val="22"/>
        </w:rPr>
      </w:pPr>
    </w:p>
    <w:p w:rsidR="009029D4" w:rsidRPr="00077783" w:rsidRDefault="009029D4" w:rsidP="009029D4">
      <w:pPr>
        <w:ind w:left="0"/>
        <w:jc w:val="both"/>
        <w:rPr>
          <w:rFonts w:ascii="Bookman Old Style" w:hAnsi="Bookman Old Style"/>
        </w:rPr>
      </w:pPr>
      <w:r w:rsidRPr="00B4326E">
        <w:rPr>
          <w:rFonts w:ascii="Bookman Old Style" w:hAnsi="Bookman Old Style"/>
        </w:rPr>
        <w:t>La recurrente discute la valoración hecha en el artí</w:t>
      </w:r>
      <w:r>
        <w:rPr>
          <w:rFonts w:ascii="Bookman Old Style" w:hAnsi="Bookman Old Style"/>
        </w:rPr>
        <w:t>culo 4 de la Resolución CREG 146</w:t>
      </w:r>
      <w:r w:rsidRPr="00B4326E">
        <w:rPr>
          <w:rFonts w:ascii="Bookman Old Style" w:hAnsi="Bookman Old Style"/>
        </w:rPr>
        <w:t xml:space="preserve"> de 2012, ya que considera que la Comisión dentro de los criterios para la valoración de dicha inversión no tuvo en cuenta la presencia de terreno extremo en el trazado, esto a pesar de que Transmetano en respuesta a los requerimientos hechos por la Comisión durante el trámite de la actuación manifestó la presencia de terreno extremo, soportado con los levantamientos topográficos y los planos correspondientes durante la etapa de diseño del trazado del ramal a </w:t>
      </w:r>
      <w:r w:rsidRPr="00077783">
        <w:rPr>
          <w:rFonts w:ascii="Bookman Old Style" w:hAnsi="Bookman Old Style"/>
        </w:rPr>
        <w:t>Yolombó. Esto expone la recurrente:</w:t>
      </w:r>
    </w:p>
    <w:p w:rsidR="009029D4" w:rsidRPr="005901DF" w:rsidRDefault="009029D4" w:rsidP="009029D4">
      <w:pPr>
        <w:ind w:left="0"/>
        <w:jc w:val="both"/>
        <w:rPr>
          <w:rFonts w:ascii="Bookman Old Style" w:hAnsi="Bookman Old Style"/>
          <w:sz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“Como se observa, Transmetano no sol</w:t>
      </w:r>
      <w:r w:rsidR="00077783" w:rsidRPr="00077783">
        <w:rPr>
          <w:rFonts w:ascii="Bookman Old Style" w:hAnsi="Bookman Old Style"/>
          <w:i/>
          <w:sz w:val="22"/>
          <w:szCs w:val="22"/>
        </w:rPr>
        <w:t>o informa a la CREG que de los 3,9</w:t>
      </w:r>
      <w:r w:rsidRPr="00077783">
        <w:rPr>
          <w:rFonts w:ascii="Bookman Old Style" w:hAnsi="Bookman Old Style"/>
          <w:i/>
          <w:sz w:val="22"/>
          <w:szCs w:val="22"/>
        </w:rPr>
        <w:t xml:space="preserve">Km del gasoducto </w:t>
      </w:r>
      <w:r w:rsidR="00077783" w:rsidRPr="00077783">
        <w:rPr>
          <w:rFonts w:ascii="Bookman Old Style" w:hAnsi="Bookman Old Style"/>
          <w:i/>
          <w:sz w:val="22"/>
          <w:szCs w:val="22"/>
        </w:rPr>
        <w:t xml:space="preserve">Yolombó, 0,262 </w:t>
      </w:r>
      <w:r w:rsidRPr="00077783">
        <w:rPr>
          <w:rFonts w:ascii="Bookman Old Style" w:hAnsi="Bookman Old Style"/>
          <w:i/>
          <w:sz w:val="22"/>
          <w:szCs w:val="22"/>
        </w:rPr>
        <w:t>Km se encontrarán en terrenos con pendientes superiores al 30% (terreno extremo) sino que señala los documentos que soportan o prueban dicha afirmación, pruebas idóneas para evidenciar la existencia del terreno extremo en el trazado del gasoducto. Los documentos referenciados son:</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‘Informe de levantamientos topográficos (376-30-TOP-01-1)</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w:t>
      </w:r>
    </w:p>
    <w:p w:rsidR="009029D4" w:rsidRPr="00077783" w:rsidRDefault="009029D4" w:rsidP="009029D4">
      <w:pPr>
        <w:widowControl w:val="0"/>
        <w:jc w:val="both"/>
        <w:rPr>
          <w:rFonts w:ascii="Bookman Old Style" w:hAnsi="Bookman Old Style"/>
          <w:i/>
          <w:sz w:val="22"/>
          <w:szCs w:val="22"/>
        </w:rPr>
      </w:pPr>
    </w:p>
    <w:p w:rsidR="009029D4" w:rsidRDefault="006057AC" w:rsidP="009029D4">
      <w:pPr>
        <w:widowControl w:val="0"/>
        <w:jc w:val="both"/>
        <w:rPr>
          <w:rFonts w:ascii="Bookman Old Style" w:hAnsi="Bookman Old Style"/>
          <w:i/>
          <w:sz w:val="22"/>
          <w:szCs w:val="22"/>
        </w:rPr>
      </w:pPr>
      <w:r>
        <w:rPr>
          <w:rFonts w:ascii="Bookman Old Style" w:hAnsi="Bookman Old Style"/>
          <w:i/>
          <w:sz w:val="22"/>
          <w:szCs w:val="22"/>
        </w:rPr>
        <w:t>•</w:t>
      </w:r>
      <w:r>
        <w:rPr>
          <w:rFonts w:ascii="Bookman Old Style" w:hAnsi="Bookman Old Style"/>
          <w:i/>
          <w:sz w:val="22"/>
          <w:szCs w:val="22"/>
        </w:rPr>
        <w:tab/>
        <w:t>Planos No. 376-30-D-03</w:t>
      </w:r>
      <w:r w:rsidR="00077783" w:rsidRPr="00077783">
        <w:rPr>
          <w:rFonts w:ascii="Bookman Old Style" w:hAnsi="Bookman Old Style"/>
          <w:i/>
          <w:sz w:val="22"/>
          <w:szCs w:val="22"/>
        </w:rPr>
        <w:t xml:space="preserve">. Trazado del Ramal a </w:t>
      </w:r>
      <w:r>
        <w:rPr>
          <w:rFonts w:ascii="Bookman Old Style" w:hAnsi="Bookman Old Style"/>
          <w:i/>
          <w:sz w:val="22"/>
          <w:szCs w:val="22"/>
        </w:rPr>
        <w:t>Yolombó</w:t>
      </w:r>
      <w:r w:rsidR="00077783" w:rsidRPr="00077783">
        <w:rPr>
          <w:rFonts w:ascii="Bookman Old Style" w:hAnsi="Bookman Old Style"/>
          <w:i/>
          <w:sz w:val="22"/>
          <w:szCs w:val="22"/>
        </w:rPr>
        <w:t xml:space="preserve"> </w:t>
      </w:r>
      <w:r w:rsidRPr="006057AC">
        <w:rPr>
          <w:rFonts w:ascii="Bookman Old Style" w:hAnsi="Bookman Old Style"/>
          <w:i/>
          <w:sz w:val="22"/>
          <w:szCs w:val="22"/>
        </w:rPr>
        <w:t>entre KO+000 y K3+839,79. Planta - Perfil.</w:t>
      </w:r>
    </w:p>
    <w:p w:rsidR="006057AC" w:rsidRPr="00077783" w:rsidRDefault="006057AC"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Por consiguiente, se considera que la CREG debe tomar dichas pruebas como idóneas para demostrar la existencia del terreno extremo toda vez que ellas conducen a establecer la verdad sobre los hechos materia del proceso y gozan de las características de ser pertinentes, conducentes y necesarias para fundamentar y probar a la CREG las afirmaciones de Transmetano, ya que con ellas se establecen los reales costos en que se incurrirá en la construcción del gasoducto por encontrarse en terreno extremo y, por consiguiente, la forma en que debe ser reconocida vía tarifa.</w:t>
      </w:r>
    </w:p>
    <w:p w:rsidR="009029D4" w:rsidRPr="005901DF" w:rsidRDefault="009029D4" w:rsidP="009029D4">
      <w:pPr>
        <w:widowControl w:val="0"/>
        <w:jc w:val="both"/>
        <w:rPr>
          <w:rFonts w:ascii="Bookman Old Style" w:hAnsi="Bookman Old Style"/>
          <w:i/>
          <w:sz w:val="20"/>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Así mismo, podrá la CREG solicitar la práctica de las pruebas que considere idóneas para probar lo afirmado por la empresa en los documentos que soportan o prueban dicha afirmación, siendo los mismos, el Informe de levantamientos topográficos (376-30-TOP-01-1) y los planos del gasoducto (No. 376-</w:t>
      </w:r>
      <w:r w:rsidR="00077783" w:rsidRPr="00077783">
        <w:rPr>
          <w:rFonts w:ascii="Bookman Old Style" w:hAnsi="Bookman Old Style"/>
          <w:i/>
          <w:sz w:val="22"/>
          <w:szCs w:val="22"/>
        </w:rPr>
        <w:t>30-0-03</w:t>
      </w:r>
      <w:r w:rsidRPr="00077783">
        <w:rPr>
          <w:rFonts w:ascii="Bookman Old Style" w:hAnsi="Bookman Old Style"/>
          <w:i/>
          <w:sz w:val="22"/>
          <w:szCs w:val="22"/>
        </w:rPr>
        <w:t>), los cuales se anexan para efectos de evidenciar la existencia del terreno extremo en el trazado del gasoducto.</w:t>
      </w:r>
    </w:p>
    <w:p w:rsidR="009029D4" w:rsidRPr="005901DF" w:rsidRDefault="009029D4" w:rsidP="009029D4">
      <w:pPr>
        <w:widowControl w:val="0"/>
        <w:jc w:val="both"/>
        <w:rPr>
          <w:rFonts w:ascii="Bookman Old Style" w:hAnsi="Bookman Old Style"/>
          <w:i/>
          <w:sz w:val="20"/>
          <w:szCs w:val="22"/>
        </w:rPr>
      </w:pPr>
    </w:p>
    <w:p w:rsidR="009029D4" w:rsidRPr="00B4326E"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De las pruebas que se aportan al presente escrito, y que en su momento se relacionaron en el oficio 6. 001259 del 24 de septiembre de 2012, se evidencia que existen pendientes mayores al 30% y, por consiguiente se trata de terreno extremo, situación que inexorablemente conlleva a que para su construcción se requiere de recursos adicionales a los que tradicionalmente se emplean cuando se va a construir en terrenos que no son extremos.”</w:t>
      </w:r>
    </w:p>
    <w:p w:rsidR="009029D4" w:rsidRPr="005901DF" w:rsidRDefault="009029D4" w:rsidP="009029D4">
      <w:pPr>
        <w:ind w:left="0"/>
        <w:jc w:val="both"/>
        <w:rPr>
          <w:rFonts w:ascii="Bookman Old Style" w:hAnsi="Bookman Old Style"/>
          <w:sz w:val="22"/>
        </w:rPr>
      </w:pPr>
    </w:p>
    <w:p w:rsidR="009029D4" w:rsidRDefault="009029D4" w:rsidP="009029D4">
      <w:pPr>
        <w:ind w:left="0"/>
        <w:jc w:val="both"/>
        <w:rPr>
          <w:rFonts w:ascii="Bookman Old Style" w:hAnsi="Bookman Old Style"/>
        </w:rPr>
      </w:pPr>
      <w:r w:rsidRPr="00B4326E">
        <w:rPr>
          <w:rFonts w:ascii="Bookman Old Style" w:hAnsi="Bookman Old Style"/>
        </w:rPr>
        <w:t>Finalmente, luego de citar las consideraciones hechas en el documento s</w:t>
      </w:r>
      <w:r>
        <w:rPr>
          <w:rFonts w:ascii="Bookman Old Style" w:hAnsi="Bookman Old Style"/>
        </w:rPr>
        <w:t>oporte de la Resolución CREG 146</w:t>
      </w:r>
      <w:r w:rsidRPr="00B4326E">
        <w:rPr>
          <w:rFonts w:ascii="Bookman Old Style" w:hAnsi="Bookman Old Style"/>
        </w:rPr>
        <w:t xml:space="preserve"> de 2012, la recurrente concluye lo siguiente en relación con </w:t>
      </w:r>
      <w:r w:rsidRPr="00077783">
        <w:rPr>
          <w:rFonts w:ascii="Bookman Old Style" w:hAnsi="Bookman Old Style"/>
        </w:rPr>
        <w:t>el objeto del recurso, para lo cual manifiesta lo siguiente:</w:t>
      </w:r>
    </w:p>
    <w:p w:rsidR="005901DF" w:rsidRPr="005901DF" w:rsidRDefault="005901DF" w:rsidP="009029D4">
      <w:pPr>
        <w:ind w:left="0"/>
        <w:jc w:val="both"/>
        <w:rPr>
          <w:rFonts w:ascii="Bookman Old Style" w:hAnsi="Bookman Old Style"/>
          <w:sz w:val="22"/>
        </w:rPr>
      </w:pPr>
    </w:p>
    <w:p w:rsidR="006E7CD8" w:rsidRDefault="006E7CD8"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“Lo anterior significa que para la CREG ya es un hecho probado que la construcción de un gasoducto en un terreno extremo implica la utilización de recursos especiales así como mayores costos, pues en sus palabras, es 203% veces más costoso.</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Por consiguiente, se entiende que la prueba requerida por la CREG no es la de los recursos especiales que requiere la construcción de un gasoducto en terreno extremo sino la tendiente a verificar que efectivamente el trazado del gasoducto se encuentre en un terreno extremo, es decir con pendientes iguales o superiores al 30%, Prueba esta última que se adjunta al presente recurso.”</w:t>
      </w:r>
    </w:p>
    <w:p w:rsidR="009029D4" w:rsidRPr="005901DF" w:rsidRDefault="009029D4" w:rsidP="009029D4">
      <w:pPr>
        <w:widowControl w:val="0"/>
        <w:ind w:left="0"/>
        <w:jc w:val="both"/>
        <w:rPr>
          <w:rFonts w:ascii="Bookman Old Style" w:hAnsi="Bookman Old Style"/>
          <w:i/>
          <w:sz w:val="22"/>
        </w:rPr>
      </w:pPr>
    </w:p>
    <w:p w:rsidR="009029D4" w:rsidRPr="00077783" w:rsidRDefault="009029D4" w:rsidP="009029D4">
      <w:pPr>
        <w:pStyle w:val="Textoindependiente2"/>
        <w:numPr>
          <w:ilvl w:val="0"/>
          <w:numId w:val="4"/>
        </w:numPr>
        <w:tabs>
          <w:tab w:val="left" w:pos="567"/>
        </w:tabs>
        <w:spacing w:after="0" w:line="240" w:lineRule="auto"/>
        <w:ind w:left="0" w:firstLine="0"/>
        <w:jc w:val="both"/>
        <w:rPr>
          <w:rFonts w:ascii="Bookman Old Style" w:hAnsi="Bookman Old Style"/>
          <w:b/>
        </w:rPr>
      </w:pPr>
      <w:r w:rsidRPr="00077783">
        <w:rPr>
          <w:rFonts w:ascii="Bookman Old Style" w:hAnsi="Bookman Old Style"/>
          <w:b/>
        </w:rPr>
        <w:t>Las pruebas aportadas y solicitadas por la recurrente</w:t>
      </w:r>
    </w:p>
    <w:p w:rsidR="009029D4" w:rsidRPr="005901DF" w:rsidRDefault="009029D4" w:rsidP="009029D4">
      <w:pPr>
        <w:ind w:left="0"/>
        <w:jc w:val="both"/>
        <w:rPr>
          <w:rFonts w:ascii="Bookman Old Style" w:hAnsi="Bookman Old Style"/>
          <w:sz w:val="22"/>
        </w:rPr>
      </w:pPr>
    </w:p>
    <w:p w:rsidR="009029D4" w:rsidRPr="00077783" w:rsidRDefault="009029D4" w:rsidP="009029D4">
      <w:pPr>
        <w:ind w:left="0"/>
        <w:jc w:val="both"/>
        <w:rPr>
          <w:rFonts w:ascii="Bookman Old Style" w:hAnsi="Bookman Old Style"/>
        </w:rPr>
      </w:pPr>
      <w:r w:rsidRPr="00077783">
        <w:rPr>
          <w:rFonts w:ascii="Bookman Old Style" w:hAnsi="Bookman Old Style"/>
        </w:rPr>
        <w:t>Para soportar los argumentos y consideraciones presentados por la recurrente ésta plantea las siguientes pruebas y hace las siguientes solicitudes:</w:t>
      </w:r>
    </w:p>
    <w:p w:rsidR="009029D4" w:rsidRPr="006E7CD8" w:rsidRDefault="009029D4" w:rsidP="009029D4">
      <w:pPr>
        <w:ind w:left="0"/>
        <w:jc w:val="both"/>
        <w:rPr>
          <w:rFonts w:ascii="Bookman Old Style" w:hAnsi="Bookman Old Style"/>
          <w:sz w:val="32"/>
        </w:rPr>
      </w:pPr>
      <w:bookmarkStart w:id="1" w:name="bookmark23"/>
    </w:p>
    <w:p w:rsidR="009029D4" w:rsidRPr="00077783" w:rsidRDefault="009029D4" w:rsidP="009029D4">
      <w:pPr>
        <w:widowControl w:val="0"/>
        <w:jc w:val="both"/>
        <w:rPr>
          <w:rFonts w:ascii="Bookman Old Style" w:hAnsi="Bookman Old Style"/>
          <w:b/>
          <w:i/>
          <w:sz w:val="22"/>
          <w:szCs w:val="22"/>
        </w:rPr>
      </w:pPr>
      <w:r w:rsidRPr="00077783">
        <w:rPr>
          <w:rFonts w:ascii="Bookman Old Style" w:hAnsi="Bookman Old Style"/>
          <w:i/>
          <w:sz w:val="22"/>
          <w:szCs w:val="22"/>
        </w:rPr>
        <w:t>“</w:t>
      </w:r>
      <w:r w:rsidRPr="00077783">
        <w:rPr>
          <w:rFonts w:ascii="Bookman Old Style" w:hAnsi="Bookman Old Style"/>
          <w:b/>
          <w:i/>
          <w:sz w:val="22"/>
          <w:szCs w:val="22"/>
        </w:rPr>
        <w:t>1. Pruebas documentales</w:t>
      </w:r>
      <w:bookmarkEnd w:id="1"/>
    </w:p>
    <w:p w:rsidR="009029D4" w:rsidRPr="00077783" w:rsidRDefault="009029D4" w:rsidP="009029D4">
      <w:pPr>
        <w:widowControl w:val="0"/>
        <w:jc w:val="both"/>
        <w:rPr>
          <w:rFonts w:ascii="Bookman Old Style" w:hAnsi="Bookman Old Style"/>
          <w:b/>
          <w:i/>
          <w:sz w:val="22"/>
          <w:szCs w:val="22"/>
        </w:rPr>
      </w:pPr>
    </w:p>
    <w:p w:rsidR="009029D4" w:rsidRPr="00077783"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Solicitamos a la CREG, se sirva tener y decretar como prueba, para probar la existencia del terreno extremo, los siguientes documentos:</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numPr>
          <w:ilvl w:val="0"/>
          <w:numId w:val="6"/>
        </w:numPr>
        <w:ind w:left="567" w:firstLine="0"/>
        <w:jc w:val="both"/>
        <w:rPr>
          <w:rFonts w:ascii="Bookman Old Style" w:hAnsi="Bookman Old Style"/>
          <w:i/>
          <w:sz w:val="22"/>
          <w:szCs w:val="22"/>
        </w:rPr>
      </w:pPr>
      <w:r w:rsidRPr="00077783">
        <w:rPr>
          <w:rFonts w:ascii="Bookman Old Style" w:hAnsi="Bookman Old Style"/>
          <w:i/>
          <w:sz w:val="22"/>
          <w:szCs w:val="22"/>
        </w:rPr>
        <w:t>376-30-TOP-01-1. Informe de levantamientos topográficos.</w:t>
      </w:r>
    </w:p>
    <w:p w:rsidR="00077783" w:rsidRPr="00077783" w:rsidRDefault="00077783" w:rsidP="00077783">
      <w:pPr>
        <w:widowControl w:val="0"/>
        <w:numPr>
          <w:ilvl w:val="0"/>
          <w:numId w:val="6"/>
        </w:numPr>
        <w:ind w:left="567" w:firstLine="0"/>
        <w:jc w:val="both"/>
        <w:rPr>
          <w:rFonts w:ascii="Bookman Old Style" w:hAnsi="Bookman Old Style"/>
          <w:i/>
          <w:sz w:val="22"/>
          <w:szCs w:val="22"/>
        </w:rPr>
      </w:pPr>
      <w:r w:rsidRPr="00077783">
        <w:rPr>
          <w:rFonts w:ascii="Bookman Old Style" w:hAnsi="Bookman Old Style"/>
          <w:i/>
          <w:sz w:val="22"/>
          <w:szCs w:val="22"/>
        </w:rPr>
        <w:t xml:space="preserve">Planos No. 376-30-D-04 y 376-30-D-05. Trazado del Ramal a </w:t>
      </w:r>
      <w:r w:rsidR="00BD2484">
        <w:rPr>
          <w:rFonts w:ascii="Bookman Old Style" w:hAnsi="Bookman Old Style"/>
          <w:i/>
          <w:sz w:val="22"/>
          <w:szCs w:val="22"/>
        </w:rPr>
        <w:t xml:space="preserve">Yolombó </w:t>
      </w:r>
      <w:r w:rsidRPr="00077783">
        <w:rPr>
          <w:rFonts w:ascii="Bookman Old Style" w:hAnsi="Bookman Old Style"/>
          <w:i/>
          <w:sz w:val="22"/>
          <w:szCs w:val="22"/>
        </w:rPr>
        <w:t>entre KO+000 y K4+258,48. Planta - Perfil</w:t>
      </w:r>
    </w:p>
    <w:p w:rsidR="009029D4" w:rsidRPr="00077783" w:rsidRDefault="009029D4" w:rsidP="009029D4">
      <w:pPr>
        <w:widowControl w:val="0"/>
        <w:jc w:val="both"/>
        <w:rPr>
          <w:rFonts w:ascii="Bookman Old Style" w:hAnsi="Bookman Old Style"/>
          <w:i/>
          <w:sz w:val="22"/>
          <w:szCs w:val="22"/>
        </w:rPr>
      </w:pPr>
    </w:p>
    <w:p w:rsidR="009029D4" w:rsidRPr="00077783" w:rsidRDefault="009029D4" w:rsidP="009029D4">
      <w:pPr>
        <w:widowControl w:val="0"/>
        <w:numPr>
          <w:ilvl w:val="0"/>
          <w:numId w:val="7"/>
        </w:numPr>
        <w:ind w:left="567" w:firstLine="0"/>
        <w:jc w:val="both"/>
        <w:rPr>
          <w:rFonts w:ascii="Bookman Old Style" w:hAnsi="Bookman Old Style"/>
          <w:b/>
          <w:i/>
          <w:sz w:val="22"/>
          <w:szCs w:val="22"/>
        </w:rPr>
      </w:pPr>
      <w:bookmarkStart w:id="2" w:name="bookmark25"/>
      <w:r w:rsidRPr="00077783">
        <w:rPr>
          <w:rFonts w:ascii="Bookman Old Style" w:hAnsi="Bookman Old Style"/>
          <w:b/>
          <w:i/>
          <w:sz w:val="22"/>
          <w:szCs w:val="22"/>
        </w:rPr>
        <w:t>Pruebas de oficio por parte de la CREG</w:t>
      </w:r>
      <w:bookmarkEnd w:id="2"/>
    </w:p>
    <w:p w:rsidR="009029D4" w:rsidRPr="00077783" w:rsidRDefault="009029D4" w:rsidP="009029D4">
      <w:pPr>
        <w:widowControl w:val="0"/>
        <w:jc w:val="both"/>
        <w:rPr>
          <w:rFonts w:ascii="Bookman Old Style" w:hAnsi="Bookman Old Style"/>
          <w:b/>
          <w:i/>
          <w:sz w:val="22"/>
          <w:szCs w:val="22"/>
        </w:rPr>
      </w:pPr>
    </w:p>
    <w:p w:rsidR="009029D4" w:rsidRPr="00B4326E" w:rsidRDefault="009029D4" w:rsidP="009029D4">
      <w:pPr>
        <w:widowControl w:val="0"/>
        <w:jc w:val="both"/>
        <w:rPr>
          <w:rFonts w:ascii="Bookman Old Style" w:hAnsi="Bookman Old Style"/>
          <w:i/>
          <w:sz w:val="22"/>
          <w:szCs w:val="22"/>
        </w:rPr>
      </w:pPr>
      <w:r w:rsidRPr="00077783">
        <w:rPr>
          <w:rFonts w:ascii="Bookman Old Style" w:hAnsi="Bookman Old Style"/>
          <w:i/>
          <w:sz w:val="22"/>
          <w:szCs w:val="22"/>
        </w:rPr>
        <w:t>Si la CREG lo considera pertinente, que decrete las pruebas de oficio que considere idóneas para demostrar la existencia del terreno extremo.”</w:t>
      </w:r>
    </w:p>
    <w:p w:rsidR="009029D4" w:rsidRPr="006E7CD8" w:rsidRDefault="009029D4" w:rsidP="009029D4">
      <w:pPr>
        <w:ind w:left="0"/>
        <w:jc w:val="both"/>
        <w:rPr>
          <w:rFonts w:ascii="Bookman Old Style" w:hAnsi="Bookman Old Style"/>
          <w:sz w:val="20"/>
        </w:rPr>
      </w:pPr>
    </w:p>
    <w:p w:rsidR="009029D4" w:rsidRPr="00B4326E" w:rsidRDefault="009029D4" w:rsidP="009029D4">
      <w:pPr>
        <w:numPr>
          <w:ilvl w:val="0"/>
          <w:numId w:val="1"/>
        </w:numPr>
        <w:ind w:left="0" w:firstLine="0"/>
        <w:jc w:val="both"/>
        <w:rPr>
          <w:rFonts w:ascii="Bookman Old Style" w:hAnsi="Bookman Old Style" w:cs="Arial"/>
          <w:b/>
        </w:rPr>
      </w:pPr>
      <w:r w:rsidRPr="00B4326E">
        <w:rPr>
          <w:rFonts w:ascii="Bookman Old Style" w:hAnsi="Bookman Old Style" w:cs="Arial"/>
          <w:b/>
        </w:rPr>
        <w:t>ANÁLISIS DE LOS ARGUMENTOS Y LAS PETICIONES DE LA RECURRENTE</w:t>
      </w:r>
    </w:p>
    <w:p w:rsidR="009029D4" w:rsidRPr="006E7CD8" w:rsidRDefault="009029D4" w:rsidP="009029D4">
      <w:pPr>
        <w:ind w:left="0"/>
        <w:jc w:val="both"/>
        <w:rPr>
          <w:rFonts w:ascii="Bookman Old Style" w:hAnsi="Bookman Old Style"/>
          <w:sz w:val="32"/>
        </w:rPr>
      </w:pPr>
    </w:p>
    <w:p w:rsidR="009029D4" w:rsidRPr="00B4326E" w:rsidRDefault="009029D4" w:rsidP="009029D4">
      <w:pPr>
        <w:numPr>
          <w:ilvl w:val="0"/>
          <w:numId w:val="8"/>
        </w:numPr>
        <w:ind w:left="0" w:firstLine="0"/>
        <w:jc w:val="both"/>
        <w:rPr>
          <w:rFonts w:ascii="Bookman Old Style" w:hAnsi="Bookman Old Style"/>
          <w:b/>
          <w:lang w:val="es-CO"/>
        </w:rPr>
      </w:pPr>
      <w:r w:rsidRPr="00B4326E">
        <w:rPr>
          <w:rFonts w:ascii="Bookman Old Style" w:hAnsi="Bookman Old Style"/>
          <w:b/>
          <w:lang w:val="es-CO"/>
        </w:rPr>
        <w:t>Que se apruebe el esquema de estampilla, en consideración a la naturaleza del gasoducto, y en caso que la solicitud no sea aceptada, pedimos que se incluya tanto la decisión del regulador como su justificación</w:t>
      </w:r>
    </w:p>
    <w:p w:rsidR="009029D4" w:rsidRPr="00B4326E" w:rsidRDefault="009029D4" w:rsidP="009029D4">
      <w:pPr>
        <w:ind w:left="0"/>
        <w:jc w:val="both"/>
        <w:rPr>
          <w:rFonts w:ascii="Bookman Old Style" w:hAnsi="Bookman Old Style"/>
        </w:rPr>
      </w:pPr>
    </w:p>
    <w:p w:rsidR="009029D4"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Teniendo en cuenta la </w:t>
      </w:r>
      <w:r w:rsidRPr="007A1664">
        <w:rPr>
          <w:rFonts w:ascii="Bookman Old Style" w:hAnsi="Bookman Old Style"/>
          <w:i/>
        </w:rPr>
        <w:t>metodología</w:t>
      </w:r>
      <w:r w:rsidRPr="00B4326E">
        <w:rPr>
          <w:rFonts w:ascii="Bookman Old Style" w:hAnsi="Bookman Old Style"/>
        </w:rPr>
        <w:t xml:space="preserve"> prevista en la Resolución CREG 126 de 2010, existen dos argumentos que no permiten que prosperen las consideraciones de la recurrente</w:t>
      </w:r>
      <w:r>
        <w:rPr>
          <w:rFonts w:ascii="Bookman Old Style" w:hAnsi="Bookman Old Style"/>
        </w:rPr>
        <w:t>. E</w:t>
      </w:r>
      <w:r w:rsidRPr="00B4326E">
        <w:rPr>
          <w:rFonts w:ascii="Bookman Old Style" w:hAnsi="Bookman Old Style"/>
        </w:rPr>
        <w:t>l primero desde el punto de vista procedimental y el segundo desde el punto de vista sustancial, los cuales son conexos y concordantes en su aplicación.</w:t>
      </w:r>
    </w:p>
    <w:p w:rsidR="006E7CD8" w:rsidRPr="00B4326E" w:rsidRDefault="006E7CD8" w:rsidP="009029D4">
      <w:pPr>
        <w:pStyle w:val="Textoindependiente2"/>
        <w:spacing w:after="0" w:line="240" w:lineRule="auto"/>
        <w:ind w:left="0"/>
        <w:jc w:val="both"/>
        <w:rPr>
          <w:rFonts w:ascii="Bookman Old Style" w:hAnsi="Bookman Old Style"/>
        </w:rPr>
      </w:pPr>
    </w:p>
    <w:p w:rsidR="009029D4"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Desde el punto de vista procedimental la solicitud de cargos para los gasoductos tipo II se debe sujetar a la aplicación de la </w:t>
      </w:r>
      <w:r w:rsidRPr="00353079">
        <w:rPr>
          <w:rFonts w:ascii="Bookman Old Style" w:hAnsi="Bookman Old Style"/>
          <w:i/>
        </w:rPr>
        <w:t>metodología</w:t>
      </w:r>
      <w:r w:rsidRPr="00B4326E">
        <w:rPr>
          <w:rFonts w:ascii="Bookman Old Style" w:hAnsi="Bookman Old Style"/>
        </w:rPr>
        <w:t xml:space="preserve"> prevista en la Resolución CREG 126 de 2010, de la cual hace parte el procedimiento previsto en el artículo 25 de ese acto administrativo.</w:t>
      </w:r>
    </w:p>
    <w:p w:rsidR="005901DF" w:rsidRPr="005901DF" w:rsidRDefault="005901DF" w:rsidP="009029D4">
      <w:pPr>
        <w:pStyle w:val="Textoindependiente2"/>
        <w:spacing w:after="0" w:line="240" w:lineRule="auto"/>
        <w:ind w:left="0"/>
        <w:jc w:val="both"/>
        <w:rPr>
          <w:rFonts w:ascii="Bookman Old Style" w:hAnsi="Bookman Old Style"/>
          <w:sz w:val="18"/>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Cualquier solicitud de aprobación de cargos regulados para un gasoducto tipo II ha de ser acorde con el objeto de la actuación administrativa, la cual en este </w:t>
      </w:r>
      <w:r w:rsidRPr="00B4326E">
        <w:rPr>
          <w:rFonts w:ascii="Bookman Old Style" w:hAnsi="Bookman Old Style"/>
        </w:rPr>
        <w:lastRenderedPageBreak/>
        <w:t xml:space="preserve">caso corresponde a la aprobación de los cargos para la actividad de transporte de gas natural sustentada en los principios tarifarios previstos en el artículo 87 de la Ley 142 de 1994, reconociendo costos eficientes soportados en criterios de comparación previstos en la </w:t>
      </w:r>
      <w:r w:rsidRPr="00353079">
        <w:rPr>
          <w:rFonts w:ascii="Bookman Old Style" w:hAnsi="Bookman Old Style"/>
          <w:i/>
        </w:rPr>
        <w:t>metodología</w:t>
      </w:r>
      <w:r w:rsidRPr="00B4326E">
        <w:rPr>
          <w:rFonts w:ascii="Bookman Old Style" w:hAnsi="Bookman Old Style"/>
        </w:rPr>
        <w:t xml:space="preserve"> y de acuerdo con el procedimiento previsto en el artículo 25 de la Resolución CREG 126 de 2010, toda vez que allí se establecen las reglas para su aplicación, las cuales no se sujetan a la voluntad de la empresa solicitante.</w:t>
      </w:r>
    </w:p>
    <w:p w:rsidR="009029D4" w:rsidRPr="005901DF" w:rsidRDefault="009029D4" w:rsidP="009029D4">
      <w:pPr>
        <w:pStyle w:val="Textoindependiente2"/>
        <w:spacing w:after="0" w:line="240" w:lineRule="auto"/>
        <w:ind w:left="0"/>
        <w:jc w:val="both"/>
        <w:rPr>
          <w:rFonts w:ascii="Bookman Old Style" w:hAnsi="Bookman Old Style"/>
          <w:sz w:val="18"/>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 acuerdo con esto, la </w:t>
      </w:r>
      <w:r w:rsidRPr="00353079">
        <w:rPr>
          <w:rFonts w:ascii="Bookman Old Style" w:hAnsi="Bookman Old Style"/>
          <w:i/>
        </w:rPr>
        <w:t>metodología</w:t>
      </w:r>
      <w:r w:rsidRPr="00B4326E">
        <w:rPr>
          <w:rFonts w:ascii="Bookman Old Style" w:hAnsi="Bookman Old Style"/>
        </w:rPr>
        <w:t xml:space="preserve"> no prevé que las empresas puedan solicitar el cargo estampillado o condicionar su aplicación a dicha circunstancia, toda vez que la posibilidad de aplicar una tarifa estampillada se sujeta a lo dispuesto en el parágrafo 4 del artículo 25 de la </w:t>
      </w:r>
      <w:r w:rsidRPr="00BF755C">
        <w:rPr>
          <w:rFonts w:ascii="Bookman Old Style" w:hAnsi="Bookman Old Style"/>
          <w:i/>
        </w:rPr>
        <w:t>metodología</w:t>
      </w:r>
      <w:r w:rsidRPr="00B4326E">
        <w:rPr>
          <w:rFonts w:ascii="Bookman Old Style" w:hAnsi="Bookman Old Style"/>
        </w:rPr>
        <w:t>, el cual parte de la aprobación de un cargo soportado en costos eficientes.</w:t>
      </w:r>
    </w:p>
    <w:p w:rsidR="009029D4" w:rsidRPr="005901DF" w:rsidRDefault="009029D4" w:rsidP="009029D4">
      <w:pPr>
        <w:pStyle w:val="Textoindependiente2"/>
        <w:spacing w:after="0" w:line="240" w:lineRule="auto"/>
        <w:ind w:left="0"/>
        <w:jc w:val="both"/>
        <w:rPr>
          <w:rFonts w:ascii="Bookman Old Style" w:hAnsi="Bookman Old Style"/>
          <w:sz w:val="20"/>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La solicitud de aprobación de cargos hecha por la empresa Transmetano para el sistema regional de transporte </w:t>
      </w:r>
      <w:r>
        <w:rPr>
          <w:rFonts w:ascii="Bookman Old Style" w:hAnsi="Bookman Old Style"/>
        </w:rPr>
        <w:t>Yolombó</w:t>
      </w:r>
      <w:r w:rsidRPr="00B4326E">
        <w:rPr>
          <w:rFonts w:ascii="Bookman Old Style" w:hAnsi="Bookman Old Style"/>
        </w:rPr>
        <w:t xml:space="preserve"> desconoce la aplicación de la </w:t>
      </w:r>
      <w:r w:rsidRPr="00353079">
        <w:rPr>
          <w:rFonts w:ascii="Bookman Old Style" w:hAnsi="Bookman Old Style"/>
          <w:i/>
        </w:rPr>
        <w:t>metodología</w:t>
      </w:r>
      <w:r w:rsidRPr="00B4326E">
        <w:rPr>
          <w:rFonts w:ascii="Bookman Old Style" w:hAnsi="Bookman Old Style"/>
        </w:rPr>
        <w:t xml:space="preserve"> en cuanto a su procedimiento, ya que la posibilidad de que la tarifa sea estampillada se evalúa por parte de la Comisión con posterioridad a la aprobación de los cargos cuando se determine el cumplimiento de los presupuestos sustanciales previstos en la </w:t>
      </w:r>
      <w:r w:rsidRPr="007A1664">
        <w:rPr>
          <w:rFonts w:ascii="Bookman Old Style" w:hAnsi="Bookman Old Style"/>
          <w:i/>
        </w:rPr>
        <w:t>metodología</w:t>
      </w:r>
      <w:r w:rsidRPr="00B4326E">
        <w:rPr>
          <w:rFonts w:ascii="Bookman Old Style" w:hAnsi="Bookman Old Style"/>
        </w:rPr>
        <w:t xml:space="preserve">, en especial el parágrafo 4 del artículo 25 de la </w:t>
      </w:r>
      <w:r w:rsidRPr="007A1664">
        <w:rPr>
          <w:rFonts w:ascii="Bookman Old Style" w:hAnsi="Bookman Old Style"/>
          <w:i/>
        </w:rPr>
        <w:t>metodología</w:t>
      </w:r>
      <w:r w:rsidRPr="00B4326E">
        <w:rPr>
          <w:rFonts w:ascii="Bookman Old Style" w:hAnsi="Bookman Old Style"/>
        </w:rPr>
        <w:t>, el cual establece lo siguiente:</w:t>
      </w:r>
    </w:p>
    <w:p w:rsidR="009029D4" w:rsidRPr="005901DF" w:rsidRDefault="009029D4" w:rsidP="009029D4">
      <w:pPr>
        <w:ind w:left="0"/>
        <w:jc w:val="both"/>
        <w:rPr>
          <w:rFonts w:ascii="Bookman Old Style" w:hAnsi="Bookman Old Style"/>
          <w:sz w:val="18"/>
        </w:rPr>
      </w:pPr>
    </w:p>
    <w:p w:rsidR="009029D4" w:rsidRPr="00B4326E" w:rsidRDefault="009029D4" w:rsidP="009029D4">
      <w:pPr>
        <w:widowControl w:val="0"/>
        <w:jc w:val="both"/>
        <w:rPr>
          <w:rFonts w:ascii="Bookman Old Style" w:hAnsi="Bookman Old Style"/>
          <w:i/>
          <w:sz w:val="22"/>
          <w:szCs w:val="22"/>
        </w:rPr>
      </w:pPr>
      <w:r w:rsidRPr="00B4326E">
        <w:rPr>
          <w:rFonts w:ascii="Bookman Old Style" w:hAnsi="Bookman Old Style"/>
          <w:i/>
          <w:sz w:val="22"/>
          <w:szCs w:val="22"/>
        </w:rPr>
        <w:t>“</w:t>
      </w:r>
      <w:r w:rsidRPr="00B4326E">
        <w:rPr>
          <w:rFonts w:ascii="Bookman Old Style" w:hAnsi="Bookman Old Style"/>
          <w:b/>
          <w:i/>
          <w:sz w:val="22"/>
          <w:szCs w:val="22"/>
        </w:rPr>
        <w:t>Parágrafo 4.</w:t>
      </w:r>
      <w:r w:rsidRPr="00B4326E">
        <w:rPr>
          <w:rFonts w:ascii="Bookman Old Style" w:hAnsi="Bookman Old Style"/>
          <w:i/>
          <w:sz w:val="22"/>
          <w:szCs w:val="22"/>
        </w:rPr>
        <w:t xml:space="preserve"> La CREG podrá incluir inversiones en extensiones de la red tipo II de transporte dentro del cálculo tarifario de tramos o grupos de gasoductos existentes para los cuales la CREG apruebe cargos regulados cuando el costo unitario de prestación del servicio de gas natural, estimado para la demanda asociada a extensiones de red tipo II, sea inferior al costo unitario de prestación del servicio de gas licuado del petróleo, estimado para la misma demanda. </w:t>
      </w:r>
    </w:p>
    <w:p w:rsidR="009029D4" w:rsidRPr="005901DF" w:rsidRDefault="009029D4" w:rsidP="009029D4">
      <w:pPr>
        <w:widowControl w:val="0"/>
        <w:jc w:val="both"/>
        <w:rPr>
          <w:rFonts w:ascii="Bookman Old Style" w:hAnsi="Bookman Old Style"/>
          <w:i/>
          <w:sz w:val="18"/>
          <w:szCs w:val="22"/>
        </w:rPr>
      </w:pPr>
    </w:p>
    <w:p w:rsidR="009029D4" w:rsidRPr="00B4326E" w:rsidRDefault="009029D4" w:rsidP="009029D4">
      <w:pPr>
        <w:widowControl w:val="0"/>
        <w:jc w:val="both"/>
        <w:rPr>
          <w:rFonts w:ascii="Bookman Old Style" w:hAnsi="Bookman Old Style"/>
          <w:i/>
          <w:sz w:val="22"/>
          <w:szCs w:val="22"/>
        </w:rPr>
      </w:pPr>
      <w:r w:rsidRPr="00B4326E">
        <w:rPr>
          <w:rFonts w:ascii="Bookman Old Style" w:hAnsi="Bookman Old Style"/>
          <w:i/>
          <w:sz w:val="22"/>
          <w:szCs w:val="22"/>
        </w:rPr>
        <w:t>En todo caso, la CREG no aplicará el criterio establecido en este parágrafo si la inclusión de las inversiones en extensiones de la red tipo II de transporte compromete la neutralidad entre los agentes que prestan el servicio en el área geográfica de influencia del proyecto.</w:t>
      </w:r>
    </w:p>
    <w:p w:rsidR="009029D4" w:rsidRPr="005901DF" w:rsidRDefault="009029D4" w:rsidP="009029D4">
      <w:pPr>
        <w:widowControl w:val="0"/>
        <w:jc w:val="both"/>
        <w:rPr>
          <w:rFonts w:ascii="Bookman Old Style" w:hAnsi="Bookman Old Style"/>
          <w:i/>
          <w:sz w:val="16"/>
          <w:szCs w:val="22"/>
        </w:rPr>
      </w:pPr>
    </w:p>
    <w:p w:rsidR="009029D4" w:rsidRPr="00B4326E" w:rsidRDefault="009029D4" w:rsidP="009029D4">
      <w:pPr>
        <w:widowControl w:val="0"/>
        <w:jc w:val="both"/>
        <w:rPr>
          <w:rFonts w:ascii="Bookman Old Style" w:hAnsi="Bookman Old Style"/>
          <w:i/>
          <w:sz w:val="22"/>
          <w:szCs w:val="22"/>
        </w:rPr>
      </w:pPr>
      <w:r w:rsidRPr="00B4326E">
        <w:rPr>
          <w:rFonts w:ascii="Bookman Old Style" w:hAnsi="Bookman Old Style"/>
          <w:i/>
          <w:sz w:val="22"/>
          <w:szCs w:val="22"/>
        </w:rPr>
        <w:t xml:space="preserve">Para efectos de estas estimaciones, la CREG utilizará la mejor información disponible, la cual incluirá, entre otros, información histórica de las diferentes componentes de la tarifa, información estadística por áreas geográficas, etc. Las estimaciones de costo unitario de prestación del servicio se harán teniendo en cuenta costos eficientes de tal forma que no se descontarán aportes que entes gubernamentales hagan para la construcción de gasoductos de red tipo II de transporte. </w:t>
      </w:r>
    </w:p>
    <w:p w:rsidR="009029D4" w:rsidRPr="005901DF" w:rsidRDefault="009029D4" w:rsidP="009029D4">
      <w:pPr>
        <w:widowControl w:val="0"/>
        <w:jc w:val="both"/>
        <w:rPr>
          <w:rFonts w:ascii="Bookman Old Style" w:hAnsi="Bookman Old Style"/>
          <w:i/>
          <w:sz w:val="16"/>
          <w:szCs w:val="22"/>
        </w:rPr>
      </w:pPr>
    </w:p>
    <w:p w:rsidR="009029D4" w:rsidRPr="00B4326E" w:rsidRDefault="009029D4" w:rsidP="009029D4">
      <w:pPr>
        <w:widowControl w:val="0"/>
        <w:jc w:val="both"/>
        <w:rPr>
          <w:rFonts w:ascii="Bookman Old Style" w:hAnsi="Bookman Old Style"/>
          <w:i/>
          <w:sz w:val="22"/>
          <w:szCs w:val="22"/>
        </w:rPr>
      </w:pPr>
      <w:r w:rsidRPr="00B4326E">
        <w:rPr>
          <w:rFonts w:ascii="Bookman Old Style" w:hAnsi="Bookman Old Style"/>
          <w:i/>
          <w:sz w:val="22"/>
          <w:szCs w:val="22"/>
        </w:rPr>
        <w:t xml:space="preserve">Las tarifas de transporte se modificarán cada vez que se incluyan inversiones de red tipo II de transporte en el cálculo tarifario de tramos o grupos de gasoductos existentes. </w:t>
      </w:r>
    </w:p>
    <w:p w:rsidR="009029D4" w:rsidRPr="005901DF" w:rsidRDefault="009029D4" w:rsidP="009029D4">
      <w:pPr>
        <w:widowControl w:val="0"/>
        <w:jc w:val="both"/>
        <w:rPr>
          <w:rFonts w:ascii="Bookman Old Style" w:hAnsi="Bookman Old Style"/>
          <w:i/>
          <w:sz w:val="2"/>
          <w:szCs w:val="22"/>
        </w:rPr>
      </w:pPr>
    </w:p>
    <w:p w:rsidR="009029D4" w:rsidRPr="00B4326E" w:rsidRDefault="009029D4" w:rsidP="009029D4">
      <w:pPr>
        <w:widowControl w:val="0"/>
        <w:jc w:val="both"/>
        <w:rPr>
          <w:rFonts w:ascii="Bookman Old Style" w:hAnsi="Bookman Old Style"/>
          <w:i/>
          <w:sz w:val="22"/>
          <w:szCs w:val="22"/>
        </w:rPr>
      </w:pPr>
      <w:r w:rsidRPr="00B4326E">
        <w:rPr>
          <w:rFonts w:ascii="Bookman Old Style" w:hAnsi="Bookman Old Style"/>
          <w:i/>
          <w:sz w:val="22"/>
          <w:szCs w:val="22"/>
        </w:rPr>
        <w:t>Mediante resolución de carácter general posterior, la CREG establecerá los mecanismos que permitan realizar el balance de cuentas y giro de recursos entre empresas transportadoras y distribuidoras de gas natural aplicable cuando la CREG incluya inversiones en extensiones de la red tipo II de transporte, realizadas por distribuidores, dentro del cálculo tarifario de tramos o grupos de gasoductos existentes.”</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Al momento de hacer la solicitud de cargos para el sistema de transporte </w:t>
      </w:r>
      <w:r>
        <w:rPr>
          <w:rFonts w:ascii="Bookman Old Style" w:hAnsi="Bookman Old Style"/>
        </w:rPr>
        <w:t>Yolombó</w:t>
      </w:r>
      <w:r w:rsidRPr="00B4326E">
        <w:rPr>
          <w:rFonts w:ascii="Bookman Old Style" w:hAnsi="Bookman Old Style"/>
        </w:rPr>
        <w:t xml:space="preserve">, Transmetano conocía las reglas de juego aplicables para la </w:t>
      </w:r>
      <w:r w:rsidRPr="00B4326E">
        <w:rPr>
          <w:rFonts w:ascii="Bookman Old Style" w:hAnsi="Bookman Old Style"/>
        </w:rPr>
        <w:lastRenderedPageBreak/>
        <w:t>aprobación de los cargos, incluyendo la posibilidad de estampillar dicha tarifa dentro de la solicitud de acuerdo con lo previsto en la Resolución CREG 126 de 2010.</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E70BF2" w:rsidRDefault="009029D4" w:rsidP="009029D4">
      <w:pPr>
        <w:pStyle w:val="Textoindependiente2"/>
        <w:spacing w:after="0" w:line="240" w:lineRule="auto"/>
        <w:ind w:left="0"/>
        <w:jc w:val="both"/>
        <w:rPr>
          <w:rFonts w:ascii="Bookman Old Style" w:hAnsi="Bookman Old Style"/>
        </w:rPr>
      </w:pPr>
      <w:r w:rsidRPr="00E70BF2">
        <w:rPr>
          <w:rFonts w:ascii="Bookman Old Style" w:hAnsi="Bookman Old Style"/>
        </w:rPr>
        <w:t xml:space="preserve">Así mismo, la aplicación de estas reglas previstas en la </w:t>
      </w:r>
      <w:r w:rsidRPr="00E70BF2">
        <w:rPr>
          <w:rFonts w:ascii="Bookman Old Style" w:hAnsi="Bookman Old Style"/>
          <w:i/>
        </w:rPr>
        <w:t xml:space="preserve">metodología </w:t>
      </w:r>
      <w:r w:rsidRPr="00E70BF2">
        <w:rPr>
          <w:rFonts w:ascii="Bookman Old Style" w:hAnsi="Bookman Old Style"/>
        </w:rPr>
        <w:t xml:space="preserve">se encuentra sujeta a lo dispuesto en el artículo 126 de la Ley 142 de 1994, razón por la cual no se puede desconocer lo consagrado en esta disposición, a fin de exceptuar su aplicación o modificar el alcance de esta norma para el caso de la solicitud de cargos de transporte hecha por Transmetano para el sistema regional de transporte </w:t>
      </w:r>
      <w:r>
        <w:rPr>
          <w:rFonts w:ascii="Bookman Old Style" w:hAnsi="Bookman Old Style"/>
        </w:rPr>
        <w:t>Yolombó</w:t>
      </w:r>
      <w:r w:rsidRPr="00E70BF2">
        <w:rPr>
          <w:rFonts w:ascii="Bookman Old Style" w:hAnsi="Bookman Old Style"/>
        </w:rPr>
        <w:t xml:space="preserve"> en relación con la aplicación de la estampilla</w:t>
      </w:r>
      <w:r>
        <w:rPr>
          <w:rFonts w:ascii="Bookman Old Style" w:hAnsi="Bookman Old Style"/>
        </w:rPr>
        <w:t>.</w:t>
      </w:r>
    </w:p>
    <w:p w:rsidR="009029D4" w:rsidRDefault="009029D4" w:rsidP="009029D4">
      <w:pPr>
        <w:pStyle w:val="Textoindependiente2"/>
        <w:spacing w:after="0" w:line="240" w:lineRule="auto"/>
        <w:ind w:left="0"/>
        <w:jc w:val="both"/>
        <w:rPr>
          <w:rFonts w:ascii="Bookman Old Style" w:hAnsi="Bookman Old Style"/>
        </w:rPr>
      </w:pPr>
    </w:p>
    <w:p w:rsidR="009029D4" w:rsidRPr="00E70BF2" w:rsidRDefault="009029D4" w:rsidP="009029D4">
      <w:pPr>
        <w:pStyle w:val="Textoindependiente2"/>
        <w:spacing w:after="0" w:line="240" w:lineRule="auto"/>
        <w:ind w:left="0"/>
        <w:jc w:val="both"/>
        <w:rPr>
          <w:rFonts w:ascii="Bookman Old Style" w:hAnsi="Bookman Old Style"/>
        </w:rPr>
      </w:pPr>
      <w:r w:rsidRPr="00E70BF2">
        <w:rPr>
          <w:rFonts w:ascii="Bookman Old Style" w:hAnsi="Bookman Old Style"/>
        </w:rPr>
        <w:t xml:space="preserve">Las metodologías de la Resoluciones CREG 001 de 2000 y 126 de 2010 han tenido en cuenta los criterios tarifarios previstos en el artículo 87 de la Ley 142 de 1994, donde la señal de distancia ha sido considerada como la mejor aproximación a una tarifa basada en costos eficientes. Sin embargo, las reglas en cuanto al procedimiento y la aplicación de una tarifa estampillada fueron modificadas con la </w:t>
      </w:r>
      <w:r w:rsidRPr="00E70BF2">
        <w:rPr>
          <w:rFonts w:ascii="Bookman Old Style" w:hAnsi="Bookman Old Style"/>
          <w:i/>
        </w:rPr>
        <w:t>metodología</w:t>
      </w:r>
      <w:r w:rsidRPr="00E70BF2">
        <w:rPr>
          <w:rFonts w:ascii="Bookman Old Style" w:hAnsi="Bookman Old Style"/>
        </w:rPr>
        <w:t xml:space="preserve"> prevista en la Resolución CREG 126 de 2010, atendiendo a este criterio de eficiencia.</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Esto es concordante con la atribución con la que cuenta la Comisión de modificar las metodologías previstas para la aplicación de las tarifas, incluyendo la actividad de transporte, sujeta a los principios y criterios en la Ley 142 de 1994.</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De acuerdo con lo anterior, la Comisión ha sido coherente en su posición en relación con la vigencia de las tarifas y la sujeción a lo dispuesto en las metodologías tarifarias para la aprobación de los cargos, incluyendo la actividad de transporte de gas natural. Por esta razón se han rechazado aquellas solicitudes y revisiones que se sustentan por fuera de los criterios y procedimientos establecidos en la metodología de transporte, de las cuales hacen parte aquellas relacionadas con las estampillas en la actividad de transporte de gas natural.</w:t>
      </w:r>
    </w:p>
    <w:p w:rsidR="00A83678" w:rsidRPr="00B4326E" w:rsidRDefault="00A83678" w:rsidP="009029D4">
      <w:pPr>
        <w:pStyle w:val="Textoindependiente2"/>
        <w:spacing w:after="0" w:line="240" w:lineRule="auto"/>
        <w:ind w:left="0"/>
        <w:jc w:val="both"/>
        <w:rPr>
          <w:rFonts w:ascii="Bookman Old Style" w:hAnsi="Bookman Old Style"/>
        </w:rPr>
      </w:pPr>
    </w:p>
    <w:p w:rsidR="009029D4"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Estas consideraciones fueron expuestas a la recurrente en otras actuaciones administrativas precedentes, como fue el caso de la solicitud tarifaria que t</w:t>
      </w:r>
      <w:r>
        <w:rPr>
          <w:rFonts w:ascii="Bookman Old Style" w:hAnsi="Bookman Old Style"/>
        </w:rPr>
        <w:t>e</w:t>
      </w:r>
      <w:r w:rsidRPr="00B4326E">
        <w:rPr>
          <w:rFonts w:ascii="Bookman Old Style" w:hAnsi="Bookman Old Style"/>
        </w:rPr>
        <w:t>rmin</w:t>
      </w:r>
      <w:r>
        <w:rPr>
          <w:rFonts w:ascii="Bookman Old Style" w:hAnsi="Bookman Old Style"/>
        </w:rPr>
        <w:t>ó</w:t>
      </w:r>
      <w:r w:rsidRPr="00B4326E">
        <w:rPr>
          <w:rFonts w:ascii="Bookman Old Style" w:hAnsi="Bookman Old Style"/>
        </w:rPr>
        <w:t xml:space="preserve"> con la expedición de la Resolución CREG 062 de 2009,</w:t>
      </w:r>
      <w:r w:rsidRPr="00B4326E">
        <w:rPr>
          <w:rFonts w:ascii="Bookman Old Style" w:hAnsi="Bookman Old Style"/>
          <w:vertAlign w:val="superscript"/>
        </w:rPr>
        <w:footnoteReference w:id="1"/>
      </w:r>
      <w:r w:rsidRPr="00B4326E">
        <w:rPr>
          <w:rFonts w:ascii="Bookman Old Style" w:hAnsi="Bookman Old Style"/>
          <w:vertAlign w:val="superscript"/>
        </w:rPr>
        <w:t xml:space="preserve"> </w:t>
      </w:r>
      <w:r w:rsidRPr="00B4326E">
        <w:rPr>
          <w:rFonts w:ascii="Bookman Old Style" w:hAnsi="Bookman Old Style"/>
        </w:rPr>
        <w:t>en relación con una solicitud de actualización de los cargos aprobados por fuera de lo dispuesto en la metodología de la Resolución CREG 001 de 2000.</w:t>
      </w:r>
    </w:p>
    <w:p w:rsidR="005901DF" w:rsidRPr="00B4326E" w:rsidRDefault="005901DF"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Allí se pretendían modificar los cargos regulados para el sistema de transporte de Transmetano, estampillando la inversión existente, argumentando la inclusión dentro de la inversión base de una inversión no prevista en el Programa de Nuevas Inversiones, situación</w:t>
      </w:r>
      <w:r>
        <w:rPr>
          <w:rFonts w:ascii="Bookman Old Style" w:hAnsi="Bookman Old Style"/>
        </w:rPr>
        <w:t xml:space="preserve"> que</w:t>
      </w:r>
      <w:r w:rsidRPr="00B4326E">
        <w:rPr>
          <w:rFonts w:ascii="Bookman Old Style" w:hAnsi="Bookman Old Style"/>
        </w:rPr>
        <w:t xml:space="preserve"> iba en contra de lo dispuesto en el artículo 126 de la Ley 142 de 1994, así como de la regulación prevista en la Resolución CREG 001 de 2000.</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 la misma forma se realizaba una solicitud similar a la expuesta en los argumentos del presente recurso de reposición, al justificar una aplicación </w:t>
      </w:r>
      <w:r w:rsidRPr="00B4326E">
        <w:rPr>
          <w:rFonts w:ascii="Bookman Old Style" w:hAnsi="Bookman Old Style"/>
        </w:rPr>
        <w:lastRenderedPageBreak/>
        <w:t>descontextualizada de los principios de solidaridad y libre competencia en materia de servicios públicos a fin de estampillar los cargos aprobados, pretendiendo que a través de una decisión de la Comisión se reconociera que la inversión a incluir debía ser tenida en cuenta como inversión existente en el próximo periodo tarifario estampillando todas la inversiones efectuadas.</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Es por esto que los criterios que alega la recurrente como sustento para la aplicación de la estampilla para el gasoducto </w:t>
      </w:r>
      <w:r>
        <w:rPr>
          <w:rFonts w:ascii="Bookman Old Style" w:hAnsi="Bookman Old Style"/>
        </w:rPr>
        <w:t>Yolombó</w:t>
      </w:r>
      <w:r w:rsidRPr="00B4326E">
        <w:rPr>
          <w:rFonts w:ascii="Bookman Old Style" w:hAnsi="Bookman Old Style"/>
        </w:rPr>
        <w:t xml:space="preserve"> no fueron desconocidos por la Comisión, sino que por el contrario los mismos no son aplicables dentro de la presente actuación administrativa, ya que para determinar el costo eficiente y el ca</w:t>
      </w:r>
      <w:r>
        <w:rPr>
          <w:rFonts w:ascii="Bookman Old Style" w:hAnsi="Bookman Old Style"/>
        </w:rPr>
        <w:t>r</w:t>
      </w:r>
      <w:r w:rsidRPr="00B4326E">
        <w:rPr>
          <w:rFonts w:ascii="Bookman Old Style" w:hAnsi="Bookman Old Style"/>
        </w:rPr>
        <w:t>go que se debe aprobar para el gasoducto, no se analiza si el mismo ha de ser estampillado.</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 acuerdo con lo expuesto, la actual </w:t>
      </w:r>
      <w:r w:rsidRPr="00353079">
        <w:rPr>
          <w:rFonts w:ascii="Bookman Old Style" w:hAnsi="Bookman Old Style"/>
          <w:i/>
        </w:rPr>
        <w:t>metodología</w:t>
      </w:r>
      <w:r w:rsidRPr="00B4326E">
        <w:rPr>
          <w:rFonts w:ascii="Bookman Old Style" w:hAnsi="Bookman Old Style"/>
        </w:rPr>
        <w:t xml:space="preserve"> tarifaria para la actividad de transporte no permite realizar una solicitud tarifaria en la que se condicione su aprobación a que dicha tarifa sea estampillada, ya que el procedimiento aplicable es el previsto en el parágrafo 4 del artículo 25 de la Resolución CREG 126 de 2010.</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Ahora bien, desde el punto de vista sustancial y en relación con el argumento de la recurrente relativo a que la Comisión al aprobar los cargos para el sistema de transporte </w:t>
      </w:r>
      <w:r>
        <w:rPr>
          <w:rFonts w:ascii="Bookman Old Style" w:hAnsi="Bookman Old Style"/>
        </w:rPr>
        <w:t>Yolombó</w:t>
      </w:r>
      <w:r w:rsidRPr="00B4326E">
        <w:rPr>
          <w:rFonts w:ascii="Bookman Old Style" w:hAnsi="Bookman Old Style"/>
        </w:rPr>
        <w:t xml:space="preserve"> está dando a sus usuarios un tratamiento tarifario diferente al que le ha dado a los demás usuarios del sistema de transporte de Transmetano, se debe señalar que esa afirmación no es procedente t</w:t>
      </w:r>
      <w:r>
        <w:rPr>
          <w:rFonts w:ascii="Bookman Old Style" w:hAnsi="Bookman Old Style"/>
        </w:rPr>
        <w:t>en</w:t>
      </w:r>
      <w:r w:rsidRPr="00B4326E">
        <w:rPr>
          <w:rFonts w:ascii="Bookman Old Style" w:hAnsi="Bookman Old Style"/>
        </w:rPr>
        <w:t>iendo en cuenta las siguientes consideraciones.</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En primer lugar, este argumento no se dirige a justificar la presunta existencia de un trato discriminatorio o que atenta contra el criterio de neutralidad previsto en el artículo 87 de la Ley 142 de 1994</w:t>
      </w:r>
      <w:r>
        <w:rPr>
          <w:rFonts w:ascii="Bookman Old Style" w:hAnsi="Bookman Old Style"/>
        </w:rPr>
        <w:t>. Por el contrario, lo que pretende la empresa es justificar que la aplicación que ésta realice del cargo ap</w:t>
      </w:r>
      <w:r w:rsidR="006057AC">
        <w:rPr>
          <w:rFonts w:ascii="Bookman Old Style" w:hAnsi="Bookman Old Style"/>
        </w:rPr>
        <w:t>robado en la Resolución CREG 146</w:t>
      </w:r>
      <w:r>
        <w:rPr>
          <w:rFonts w:ascii="Bookman Old Style" w:hAnsi="Bookman Old Style"/>
        </w:rPr>
        <w:t xml:space="preserve"> de 2012 a los usuarios del gasoducto Yolombó se hace con base en una presunta actuación arbitraria de la Comisión,</w:t>
      </w:r>
      <w:r w:rsidRPr="00B4326E">
        <w:rPr>
          <w:rFonts w:ascii="Bookman Old Style" w:hAnsi="Bookman Old Style"/>
        </w:rPr>
        <w:t xml:space="preserve"> </w:t>
      </w:r>
      <w:r>
        <w:rPr>
          <w:rFonts w:ascii="Bookman Old Style" w:hAnsi="Bookman Old Style"/>
        </w:rPr>
        <w:t>así como</w:t>
      </w:r>
      <w:r w:rsidRPr="00B4326E">
        <w:rPr>
          <w:rFonts w:ascii="Bookman Old Style" w:hAnsi="Bookman Old Style"/>
        </w:rPr>
        <w:t xml:space="preserve"> discutir la legalidad de la </w:t>
      </w:r>
      <w:r w:rsidRPr="007A1664">
        <w:rPr>
          <w:rFonts w:ascii="Bookman Old Style" w:hAnsi="Bookman Old Style"/>
          <w:i/>
        </w:rPr>
        <w:t>metodología</w:t>
      </w:r>
      <w:r w:rsidRPr="00B4326E">
        <w:rPr>
          <w:rFonts w:ascii="Bookman Old Style" w:hAnsi="Bookman Old Style"/>
        </w:rPr>
        <w:t xml:space="preserve"> prevista en la Resolución CREG 126 de 2010 en cuanto a la forma en que se aplica la estampilla para los gasoductos tipo II.</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Los argumentos que llevaron a la adopción del mecanismo previsto en el parágrafo 4 del artículo 25 de la Resolución CREG 126 de 2010 y el escenario en el que se discutió la presunta existencia de un trato discriminatorio que esta medida podía generar frente a los usuarios, fueron expuestos y resueltos por la Comisión dentro del trámite de aprobación de esa </w:t>
      </w:r>
      <w:r w:rsidRPr="007A1664">
        <w:rPr>
          <w:rFonts w:ascii="Bookman Old Style" w:hAnsi="Bookman Old Style"/>
          <w:i/>
        </w:rPr>
        <w:t>metodología</w:t>
      </w:r>
      <w:r w:rsidRPr="00B4326E">
        <w:rPr>
          <w:rFonts w:ascii="Bookman Old Style" w:hAnsi="Bookman Old Style"/>
        </w:rPr>
        <w:t>.</w:t>
      </w:r>
      <w:r w:rsidRPr="00B4326E">
        <w:rPr>
          <w:rFonts w:ascii="Bookman Old Style" w:hAnsi="Bookman Old Style"/>
          <w:vertAlign w:val="superscript"/>
        </w:rPr>
        <w:footnoteReference w:id="2"/>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Desde el momento de la expedición de la </w:t>
      </w:r>
      <w:r w:rsidRPr="001F4F97">
        <w:rPr>
          <w:rFonts w:ascii="Bookman Old Style" w:hAnsi="Bookman Old Style"/>
          <w:i/>
        </w:rPr>
        <w:t>metodología</w:t>
      </w:r>
      <w:r w:rsidRPr="00B4326E">
        <w:rPr>
          <w:rFonts w:ascii="Bookman Old Style" w:hAnsi="Bookman Old Style"/>
        </w:rPr>
        <w:t xml:space="preserve"> se estableció de forma clara los lineamientos para la aprobación de la estampilla, </w:t>
      </w:r>
      <w:r w:rsidRPr="00227196">
        <w:rPr>
          <w:rFonts w:ascii="Bookman Old Style" w:hAnsi="Bookman Old Style"/>
        </w:rPr>
        <w:t>cuando el costo unitario de prestación del servicio de gas natural, estimado para la demanda asociada a extensiones de red tipo II, sea inferior al costo unitario de prestación del servicio de gas licuado del petróleo, estimado para la misma demanda</w:t>
      </w:r>
      <w:r w:rsidRPr="00B4326E">
        <w:rPr>
          <w:rFonts w:ascii="Bookman Old Style" w:hAnsi="Bookman Old Style"/>
        </w:rPr>
        <w:t>.</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En concordancia con lo anterior y al momento de la instrumentalización del parágrafo 4 del artículo 25 a través de</w:t>
      </w:r>
      <w:r w:rsidR="007A1664">
        <w:rPr>
          <w:rFonts w:ascii="Bookman Old Style" w:hAnsi="Bookman Old Style"/>
        </w:rPr>
        <w:t xml:space="preserve"> la Resolución CREG 141 de 2011</w:t>
      </w:r>
      <w:r w:rsidRPr="00B4326E">
        <w:rPr>
          <w:rFonts w:ascii="Bookman Old Style" w:hAnsi="Bookman Old Style"/>
          <w:vertAlign w:val="superscript"/>
        </w:rPr>
        <w:footnoteReference w:id="3"/>
      </w:r>
      <w:r w:rsidRPr="00B4326E">
        <w:rPr>
          <w:rFonts w:ascii="Bookman Old Style" w:hAnsi="Bookman Old Style"/>
        </w:rPr>
        <w:t xml:space="preserve"> se estableció que estos elementos deben ser evaluados por la Comisión en cada caso concreto, toda vez que se deben establecer las condiciones para que se genere el reconocimiento de las inversiones adicionales, sin generar una afectación al usuario, de la empresa que hace la solicitud, así como de los agentes que prestan el servicio para el área geográfica, tanto de los servicios públicos domiciliarios de GLP y gas natural.</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La aplicación de estas disposiciones, así como la verificación de estos elementos por parte de la Comisión, permite que los usuarios pertenecientes al sistema de transporte </w:t>
      </w:r>
      <w:r>
        <w:rPr>
          <w:rFonts w:ascii="Bookman Old Style" w:hAnsi="Bookman Old Style"/>
        </w:rPr>
        <w:t>Yolombó</w:t>
      </w:r>
      <w:r w:rsidRPr="00B4326E">
        <w:rPr>
          <w:rFonts w:ascii="Bookman Old Style" w:hAnsi="Bookman Old Style"/>
        </w:rPr>
        <w:t xml:space="preserve"> tengan la posibilidad de escoger el energético más eficiente desde el punto de vista económico, sin distorsión de precios, por lo que atender a un estampillamiento directo del cargo aprobado, no sólo implicaría que la Comisión desconociera la aplicación de la </w:t>
      </w:r>
      <w:r w:rsidRPr="001F4F97">
        <w:rPr>
          <w:rFonts w:ascii="Bookman Old Style" w:hAnsi="Bookman Old Style"/>
          <w:i/>
        </w:rPr>
        <w:t>metodología</w:t>
      </w:r>
      <w:r w:rsidRPr="00B4326E">
        <w:rPr>
          <w:rFonts w:ascii="Bookman Old Style" w:hAnsi="Bookman Old Style"/>
        </w:rPr>
        <w:t xml:space="preserve"> desde el punto de vista procedimental cuando su actuar es estrictamente reglado, sino una afectación sustancial desde el punto de vista tarifario desconociendo la aplicación de los principios constitucionales y legales en materia de servicios públicos domiciliarios.</w:t>
      </w:r>
      <w:r w:rsidRPr="00B4326E">
        <w:rPr>
          <w:rFonts w:ascii="Bookman Old Style" w:hAnsi="Bookman Old Style"/>
          <w:vertAlign w:val="superscript"/>
        </w:rPr>
        <w:footnoteReference w:id="4"/>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Así mismo, este argumento de la recurrente entiende la aplicación del criterio de neutralidad en forma parcializada, toda vez que trata de justificar un tratamiento tarifario discriminatorio en relación con la aplicación de la estampilla, cuando </w:t>
      </w:r>
      <w:r w:rsidR="007A1664">
        <w:rPr>
          <w:rFonts w:ascii="Bookman Old Style" w:hAnsi="Bookman Old Style"/>
        </w:rPr>
        <w:t>se parte</w:t>
      </w:r>
      <w:r w:rsidRPr="00B4326E">
        <w:rPr>
          <w:rFonts w:ascii="Bookman Old Style" w:hAnsi="Bookman Old Style"/>
        </w:rPr>
        <w:t xml:space="preserve"> de supuestos diferentes como lo es la metodología a partir de la cual se aprueba y aplica la estampilla dentro de la tarifa. </w:t>
      </w:r>
      <w:r w:rsidR="007A1664">
        <w:rPr>
          <w:rFonts w:ascii="Bookman Old Style" w:hAnsi="Bookman Old Style"/>
        </w:rPr>
        <w:t xml:space="preserve">Los cargos aprobados con </w:t>
      </w:r>
      <w:r>
        <w:rPr>
          <w:rFonts w:ascii="Bookman Old Style" w:hAnsi="Bookman Old Style"/>
        </w:rPr>
        <w:t>la Resolución CREG 146</w:t>
      </w:r>
      <w:r w:rsidR="007A1664">
        <w:rPr>
          <w:rFonts w:ascii="Bookman Old Style" w:hAnsi="Bookman Old Style"/>
        </w:rPr>
        <w:t xml:space="preserve"> de 2012</w:t>
      </w:r>
      <w:r w:rsidRPr="00B4326E">
        <w:rPr>
          <w:rFonts w:ascii="Bookman Old Style" w:hAnsi="Bookman Old Style"/>
        </w:rPr>
        <w:t xml:space="preserve"> se sujetan a lo previsto en la Resolución CREG 126 de 2010, mientras que </w:t>
      </w:r>
      <w:r w:rsidR="007A1664">
        <w:rPr>
          <w:rFonts w:ascii="Bookman Old Style" w:hAnsi="Bookman Old Style"/>
        </w:rPr>
        <w:t>los cargos aprobados para el resto del sistema de Transmetano les aplicó</w:t>
      </w:r>
      <w:r w:rsidRPr="00B4326E">
        <w:rPr>
          <w:rFonts w:ascii="Bookman Old Style" w:hAnsi="Bookman Old Style"/>
        </w:rPr>
        <w:t xml:space="preserve"> lo previsto en la Resolución CREG 001 de 2000.</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De acuerdo con esto, al momento de alegar un trato discriminatorio en relación con la aplicación de la estampilla, la recurrente no atiende a un mismo “tertium comparationis” o criterio de comparación, ya que pretende justificar la existencia de una misma situación desconociendo las diferencias que existen en relación con el procedimiento para la aprobación de estampilla</w:t>
      </w:r>
      <w:r>
        <w:rPr>
          <w:rFonts w:ascii="Bookman Old Style" w:hAnsi="Bookman Old Style"/>
        </w:rPr>
        <w:t>s</w:t>
      </w:r>
      <w:r w:rsidRPr="00B4326E">
        <w:rPr>
          <w:rFonts w:ascii="Bookman Old Style" w:hAnsi="Bookman Old Style"/>
        </w:rPr>
        <w:t xml:space="preserve"> dentro de la tarifa, como desde el punto de vista sustancial en relación </w:t>
      </w:r>
      <w:r>
        <w:rPr>
          <w:rFonts w:ascii="Bookman Old Style" w:hAnsi="Bookman Old Style"/>
        </w:rPr>
        <w:t xml:space="preserve">con </w:t>
      </w:r>
      <w:r w:rsidRPr="00B4326E">
        <w:rPr>
          <w:rFonts w:ascii="Bookman Old Style" w:hAnsi="Bookman Old Style"/>
        </w:rPr>
        <w:t>los elementos que se requieren para establecer su procedencia.</w:t>
      </w:r>
    </w:p>
    <w:p w:rsidR="009029D4" w:rsidRPr="00B4326E"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Esto en desconocimiento de lo dispuesto por la Corte Constitucional en su jurisprudencia, la cual considera que para hacer un análisis de una conducta discriminatoria propia de un test de igualdad o proporcionalidad se exige que </w:t>
      </w:r>
      <w:r w:rsidRPr="00A47BCF">
        <w:rPr>
          <w:rFonts w:ascii="Bookman Old Style" w:hAnsi="Bookman Old Style"/>
          <w:i/>
        </w:rPr>
        <w:t>“deben ser tratadas de la misma forma dos situaciones que resulten altamente similares, desde un punto de vista concreto o ‘tertium comparationis’,</w:t>
      </w:r>
      <w:r w:rsidR="00A47BCF" w:rsidRPr="00A47BCF">
        <w:rPr>
          <w:rFonts w:ascii="Bookman Old Style" w:hAnsi="Bookman Old Style"/>
          <w:i/>
        </w:rPr>
        <w:t xml:space="preserve"> que sea relevante, de acuerdo con</w:t>
      </w:r>
      <w:r w:rsidRPr="00A47BCF">
        <w:rPr>
          <w:rFonts w:ascii="Bookman Old Style" w:hAnsi="Bookman Old Style"/>
          <w:i/>
        </w:rPr>
        <w:t xml:space="preserve"> la finalidad perseguida por la norma analizada”.</w:t>
      </w:r>
      <w:r w:rsidRPr="00A47BCF">
        <w:rPr>
          <w:rFonts w:ascii="Bookman Old Style" w:hAnsi="Bookman Old Style"/>
          <w:i/>
          <w:vertAlign w:val="superscript"/>
        </w:rPr>
        <w:footnoteReference w:id="5"/>
      </w:r>
    </w:p>
    <w:p w:rsidR="009029D4" w:rsidRPr="00B4326E" w:rsidRDefault="009029D4" w:rsidP="009029D4">
      <w:pPr>
        <w:pStyle w:val="Textoindependiente2"/>
        <w:spacing w:after="0" w:line="240" w:lineRule="auto"/>
        <w:ind w:left="0"/>
        <w:jc w:val="both"/>
        <w:rPr>
          <w:rFonts w:ascii="Bookman Old Style" w:hAnsi="Bookman Old Style"/>
        </w:rPr>
      </w:pPr>
    </w:p>
    <w:p w:rsidR="005901DF" w:rsidRDefault="005901DF" w:rsidP="009029D4">
      <w:pPr>
        <w:pStyle w:val="Textoindependiente2"/>
        <w:spacing w:after="0" w:line="240" w:lineRule="auto"/>
        <w:ind w:left="0"/>
        <w:jc w:val="both"/>
        <w:rPr>
          <w:rFonts w:ascii="Bookman Old Style" w:hAnsi="Bookman Old Style"/>
        </w:rPr>
      </w:pPr>
    </w:p>
    <w:p w:rsidR="009029D4"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Así mismo, la recurrente no da cumplimiento a las exigencias a nivel de carga argumentativa exigidas por la jurisprudencia constitucional</w:t>
      </w:r>
      <w:r w:rsidRPr="00B4326E">
        <w:rPr>
          <w:rFonts w:ascii="Bookman Old Style" w:hAnsi="Bookman Old Style"/>
          <w:vertAlign w:val="superscript"/>
        </w:rPr>
        <w:footnoteReference w:id="6"/>
      </w:r>
      <w:r w:rsidRPr="00B4326E">
        <w:rPr>
          <w:rFonts w:ascii="Bookman Old Style" w:hAnsi="Bookman Old Style"/>
        </w:rPr>
        <w:t xml:space="preserve"> al momento de alegar la existencia de un trato discriminatorio o diferente, toda vez que la recurrente debe justificar las razones </w:t>
      </w:r>
      <w:r>
        <w:rPr>
          <w:rFonts w:ascii="Bookman Old Style" w:hAnsi="Bookman Old Style"/>
        </w:rPr>
        <w:t xml:space="preserve">de orden constitucional </w:t>
      </w:r>
      <w:r w:rsidRPr="00B4326E">
        <w:rPr>
          <w:rFonts w:ascii="Bookman Old Style" w:hAnsi="Bookman Old Style"/>
        </w:rPr>
        <w:t xml:space="preserve">por las cuales considera </w:t>
      </w:r>
      <w:r>
        <w:rPr>
          <w:rFonts w:ascii="Bookman Old Style" w:hAnsi="Bookman Old Style"/>
        </w:rPr>
        <w:t xml:space="preserve">que </w:t>
      </w:r>
      <w:r w:rsidRPr="00B4326E">
        <w:rPr>
          <w:rFonts w:ascii="Bookman Old Style" w:hAnsi="Bookman Old Style"/>
        </w:rPr>
        <w:t xml:space="preserve">existe </w:t>
      </w:r>
      <w:r>
        <w:rPr>
          <w:rFonts w:ascii="Bookman Old Style" w:hAnsi="Bookman Old Style"/>
        </w:rPr>
        <w:t>una</w:t>
      </w:r>
      <w:r w:rsidRPr="00B4326E">
        <w:rPr>
          <w:rFonts w:ascii="Bookman Old Style" w:hAnsi="Bookman Old Style"/>
        </w:rPr>
        <w:t xml:space="preserve"> supuesta</w:t>
      </w:r>
      <w:r>
        <w:rPr>
          <w:rFonts w:ascii="Bookman Old Style" w:hAnsi="Bookman Old Style"/>
        </w:rPr>
        <w:t xml:space="preserve"> exclusión, diferenciación o preferencia dentro de la Resolución CREG 146 de 2012, la cual </w:t>
      </w:r>
      <w:r w:rsidRPr="00E87B10">
        <w:rPr>
          <w:rFonts w:ascii="Bookman Old Style" w:hAnsi="Bookman Old Style"/>
        </w:rPr>
        <w:t>no obedece a razones constitucionalmente válidas</w:t>
      </w:r>
      <w:r>
        <w:rPr>
          <w:rFonts w:ascii="Bookman Old Style" w:hAnsi="Bookman Old Style"/>
        </w:rPr>
        <w:t>.</w:t>
      </w:r>
    </w:p>
    <w:p w:rsidR="009029D4" w:rsidRDefault="009029D4" w:rsidP="009029D4">
      <w:pPr>
        <w:pStyle w:val="Textoindependiente2"/>
        <w:spacing w:after="0" w:line="240" w:lineRule="auto"/>
        <w:ind w:left="0"/>
        <w:jc w:val="both"/>
        <w:rPr>
          <w:rFonts w:ascii="Bookman Old Style" w:hAnsi="Bookman Old Style"/>
        </w:rPr>
      </w:pPr>
    </w:p>
    <w:p w:rsidR="009029D4" w:rsidRPr="00B4326E" w:rsidRDefault="009029D4" w:rsidP="009029D4">
      <w:pPr>
        <w:pStyle w:val="Textoindependiente2"/>
        <w:spacing w:after="0" w:line="240" w:lineRule="auto"/>
        <w:ind w:left="0"/>
        <w:jc w:val="both"/>
        <w:rPr>
          <w:rFonts w:ascii="Bookman Old Style" w:hAnsi="Bookman Old Style"/>
        </w:rPr>
      </w:pPr>
      <w:r>
        <w:rPr>
          <w:rFonts w:ascii="Bookman Old Style" w:hAnsi="Bookman Old Style"/>
        </w:rPr>
        <w:t xml:space="preserve">En este punto la recurrente debe demostrar o precisar el criterio </w:t>
      </w:r>
      <w:r w:rsidRPr="00765997">
        <w:rPr>
          <w:rFonts w:ascii="Bookman Old Style" w:hAnsi="Bookman Old Style"/>
        </w:rPr>
        <w:t xml:space="preserve">a partir del cual se pueda determinar si </w:t>
      </w:r>
      <w:r>
        <w:rPr>
          <w:rFonts w:ascii="Bookman Old Style" w:hAnsi="Bookman Old Style"/>
        </w:rPr>
        <w:t xml:space="preserve">bajo un juicio de comparación </w:t>
      </w:r>
      <w:r w:rsidRPr="00765997">
        <w:rPr>
          <w:rFonts w:ascii="Bookman Old Style" w:hAnsi="Bookman Old Style"/>
        </w:rPr>
        <w:t>las situaciones o las personas son o no iguale</w:t>
      </w:r>
      <w:r>
        <w:rPr>
          <w:rFonts w:ascii="Bookman Old Style" w:hAnsi="Bookman Old Style"/>
        </w:rPr>
        <w:t xml:space="preserve">s o deben recibir el mismo tratamiento, criterio que no se puede suponer o concluir de forma subjetiva por la recurrente por el hecho de ser usuarios del servicio de gas natural, sino que el mismo se debe extraer a </w:t>
      </w:r>
      <w:r w:rsidRPr="0000154A">
        <w:rPr>
          <w:rFonts w:ascii="Bookman Old Style" w:hAnsi="Bookman Old Style"/>
        </w:rPr>
        <w:t>partir de la finalidad que persigue el tra</w:t>
      </w:r>
      <w:r>
        <w:rPr>
          <w:rFonts w:ascii="Bookman Old Style" w:hAnsi="Bookman Old Style"/>
        </w:rPr>
        <w:t xml:space="preserve">to normativo objeto de análisis, como lo es en este caso la aplicación de la estampilla, </w:t>
      </w:r>
      <w:r w:rsidRPr="00B4326E">
        <w:rPr>
          <w:rFonts w:ascii="Bookman Old Style" w:hAnsi="Bookman Old Style"/>
        </w:rPr>
        <w:t xml:space="preserve">sustentando tal discriminación con argumentos de constitucionalidad dirigidos a cuestionar el fundamento de la medida, elementos que </w:t>
      </w:r>
      <w:r>
        <w:rPr>
          <w:rFonts w:ascii="Bookman Old Style" w:hAnsi="Bookman Old Style"/>
        </w:rPr>
        <w:t xml:space="preserve">claramente </w:t>
      </w:r>
      <w:r w:rsidRPr="00B4326E">
        <w:rPr>
          <w:rFonts w:ascii="Bookman Old Style" w:hAnsi="Bookman Old Style"/>
        </w:rPr>
        <w:t>no se demuestran en el caso concreto.</w:t>
      </w:r>
    </w:p>
    <w:p w:rsidR="009029D4" w:rsidRPr="005901DF" w:rsidRDefault="009029D4" w:rsidP="009029D4">
      <w:pPr>
        <w:pStyle w:val="Textoindependiente2"/>
        <w:spacing w:after="0" w:line="240" w:lineRule="auto"/>
        <w:ind w:left="0"/>
        <w:jc w:val="both"/>
        <w:rPr>
          <w:rFonts w:ascii="Bookman Old Style" w:hAnsi="Bookman Old Style"/>
          <w:sz w:val="28"/>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En virtud de lo anterior, el argumento de la violación del criterio de neutralidad de la recurrente se sustenta en una aplicación parcial</w:t>
      </w:r>
      <w:r>
        <w:rPr>
          <w:rFonts w:ascii="Bookman Old Style" w:hAnsi="Bookman Old Style"/>
        </w:rPr>
        <w:t>izada</w:t>
      </w:r>
      <w:r w:rsidRPr="00B4326E">
        <w:rPr>
          <w:rFonts w:ascii="Bookman Old Style" w:hAnsi="Bookman Old Style"/>
        </w:rPr>
        <w:t xml:space="preserve"> de dicho criterio, haciendo una comparación entre los usuarios cuando los supuestos son diferentes, de la misma forma que desconoce la aplicación del criterio de eficiencia para que se pueda reconocer la aplicabilidad de una tarifa estampillada.</w:t>
      </w:r>
    </w:p>
    <w:p w:rsidR="009029D4" w:rsidRPr="005901DF" w:rsidRDefault="009029D4" w:rsidP="009029D4">
      <w:pPr>
        <w:pStyle w:val="Textoindependiente2"/>
        <w:spacing w:after="0" w:line="240" w:lineRule="auto"/>
        <w:ind w:left="0"/>
        <w:jc w:val="both"/>
        <w:rPr>
          <w:rFonts w:ascii="Bookman Old Style" w:hAnsi="Bookman Old Style"/>
          <w:sz w:val="28"/>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El derecho que tienen los </w:t>
      </w:r>
      <w:r>
        <w:rPr>
          <w:rFonts w:ascii="Bookman Old Style" w:hAnsi="Bookman Old Style"/>
        </w:rPr>
        <w:t xml:space="preserve">usuarios </w:t>
      </w:r>
      <w:r w:rsidRPr="00B4326E">
        <w:rPr>
          <w:rFonts w:ascii="Bookman Old Style" w:hAnsi="Bookman Old Style"/>
        </w:rPr>
        <w:t xml:space="preserve">de tener el mismo tratamiento tarifario que cualquier otro si las características de los costos que ocasiona a las empresas de servicios públicos son iguales, debe hacerse de forma coherente, concordante y armonizada con los demás criterios tarifarios, por lo que el tratamiento tarifario para los gasoductos de tipo II debe estar acorde con los costos que se ocasionen al sistema, a efectos de tener una mayor aproximación a la eficiencia económica, o acercamiento de precios a costos eficientes. </w:t>
      </w:r>
    </w:p>
    <w:p w:rsidR="009029D4" w:rsidRPr="005901DF" w:rsidRDefault="009029D4" w:rsidP="009029D4">
      <w:pPr>
        <w:pStyle w:val="Textoindependiente2"/>
        <w:spacing w:after="0" w:line="240" w:lineRule="auto"/>
        <w:ind w:left="0"/>
        <w:jc w:val="both"/>
        <w:rPr>
          <w:rFonts w:ascii="Bookman Old Style" w:hAnsi="Bookman Old Style"/>
          <w:sz w:val="28"/>
        </w:rPr>
      </w:pPr>
    </w:p>
    <w:p w:rsidR="009029D4" w:rsidRPr="00B4326E"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Es por esto que si la recurrente considera que se cumplen los elementos establecidos en la Resolución CREG 141 de 2011 para que se genere el estampillamiento de la tarifa aprobada para el </w:t>
      </w:r>
      <w:r>
        <w:rPr>
          <w:rFonts w:ascii="Bookman Old Style" w:hAnsi="Bookman Old Style"/>
        </w:rPr>
        <w:t>s</w:t>
      </w:r>
      <w:r w:rsidRPr="00B4326E">
        <w:rPr>
          <w:rFonts w:ascii="Bookman Old Style" w:hAnsi="Bookman Old Style"/>
        </w:rPr>
        <w:t xml:space="preserve">istema de </w:t>
      </w:r>
      <w:r>
        <w:rPr>
          <w:rFonts w:ascii="Bookman Old Style" w:hAnsi="Bookman Old Style"/>
        </w:rPr>
        <w:t>t</w:t>
      </w:r>
      <w:r w:rsidRPr="00B4326E">
        <w:rPr>
          <w:rFonts w:ascii="Bookman Old Style" w:hAnsi="Bookman Old Style"/>
        </w:rPr>
        <w:t xml:space="preserve">ransporte </w:t>
      </w:r>
      <w:r>
        <w:rPr>
          <w:rFonts w:ascii="Bookman Old Style" w:hAnsi="Bookman Old Style"/>
        </w:rPr>
        <w:t>Yolombó</w:t>
      </w:r>
      <w:r w:rsidRPr="00B4326E">
        <w:rPr>
          <w:rFonts w:ascii="Bookman Old Style" w:hAnsi="Bookman Old Style"/>
        </w:rPr>
        <w:t xml:space="preserve">, debe acudir al procedimiento previsto en </w:t>
      </w:r>
      <w:r>
        <w:rPr>
          <w:rFonts w:ascii="Bookman Old Style" w:hAnsi="Bookman Old Style"/>
        </w:rPr>
        <w:t>e</w:t>
      </w:r>
      <w:r w:rsidRPr="00B4326E">
        <w:rPr>
          <w:rFonts w:ascii="Bookman Old Style" w:hAnsi="Bookman Old Style"/>
        </w:rPr>
        <w:t xml:space="preserve">se acto administrativo así como en lo dispuesto en el parágrafo 4 del artículo 25 de la </w:t>
      </w:r>
      <w:r w:rsidRPr="00A47BCF">
        <w:rPr>
          <w:rFonts w:ascii="Bookman Old Style" w:hAnsi="Bookman Old Style"/>
          <w:i/>
        </w:rPr>
        <w:t>metodología</w:t>
      </w:r>
      <w:r w:rsidRPr="00B4326E">
        <w:rPr>
          <w:rFonts w:ascii="Bookman Old Style" w:hAnsi="Bookman Old Style"/>
        </w:rPr>
        <w:t>, para que la Comisión evalúe su procedencia en el caso concreto.</w:t>
      </w:r>
    </w:p>
    <w:p w:rsidR="009029D4" w:rsidRPr="005901DF" w:rsidRDefault="009029D4" w:rsidP="009029D4">
      <w:pPr>
        <w:pStyle w:val="Textoindependiente2"/>
        <w:spacing w:after="0" w:line="240" w:lineRule="auto"/>
        <w:ind w:left="0"/>
        <w:jc w:val="both"/>
        <w:rPr>
          <w:rFonts w:ascii="Bookman Old Style" w:hAnsi="Bookman Old Style"/>
          <w:sz w:val="28"/>
        </w:rPr>
      </w:pPr>
    </w:p>
    <w:p w:rsidR="009029D4" w:rsidRPr="00A83678"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En virtud de lo expuesto, la decisión proferida a </w:t>
      </w:r>
      <w:r>
        <w:rPr>
          <w:rFonts w:ascii="Bookman Old Style" w:hAnsi="Bookman Old Style"/>
        </w:rPr>
        <w:t>través de la Resolución CREG 146</w:t>
      </w:r>
      <w:r w:rsidRPr="00B4326E">
        <w:rPr>
          <w:rFonts w:ascii="Bookman Old Style" w:hAnsi="Bookman Old Style"/>
        </w:rPr>
        <w:t xml:space="preserve"> de 2012 no viola la aplicaci</w:t>
      </w:r>
      <w:r w:rsidR="00A47BCF">
        <w:rPr>
          <w:rFonts w:ascii="Bookman Old Style" w:hAnsi="Bookman Old Style"/>
        </w:rPr>
        <w:t xml:space="preserve">ón del criterio de neutralidad. Dicha resolución no </w:t>
      </w:r>
      <w:r w:rsidRPr="00B4326E">
        <w:rPr>
          <w:rFonts w:ascii="Bookman Old Style" w:hAnsi="Bookman Old Style"/>
        </w:rPr>
        <w:t xml:space="preserve">actúa en perjuicio de los usuarios, sino que dicha decisión se ajustó a los criterios tarifarios en su integralidad, fundada en parámetros objetivos previstos principalmente en </w:t>
      </w:r>
      <w:r w:rsidRPr="00A83678">
        <w:rPr>
          <w:rFonts w:ascii="Bookman Old Style" w:hAnsi="Bookman Old Style"/>
        </w:rPr>
        <w:t xml:space="preserve">la </w:t>
      </w:r>
      <w:r w:rsidRPr="00A47BCF">
        <w:rPr>
          <w:rFonts w:ascii="Bookman Old Style" w:hAnsi="Bookman Old Style"/>
          <w:i/>
        </w:rPr>
        <w:t>metodología</w:t>
      </w:r>
      <w:r w:rsidRPr="00A83678">
        <w:rPr>
          <w:rFonts w:ascii="Bookman Old Style" w:hAnsi="Bookman Old Style"/>
        </w:rPr>
        <w:t xml:space="preserve"> de la Resolución CREG 126 de 2010, orientados a alcanzar los objetivos de interés general trazados en la Ley 142 de 1994 que fijó el régimen de dichos servicios.</w:t>
      </w:r>
    </w:p>
    <w:p w:rsidR="009029D4" w:rsidRPr="005901DF" w:rsidRDefault="009029D4" w:rsidP="009029D4">
      <w:pPr>
        <w:pStyle w:val="Textoindependiente2"/>
        <w:spacing w:after="0" w:line="240" w:lineRule="auto"/>
        <w:ind w:left="0"/>
        <w:jc w:val="both"/>
        <w:rPr>
          <w:rFonts w:ascii="Bookman Old Style" w:hAnsi="Bookman Old Style"/>
          <w:sz w:val="28"/>
        </w:rPr>
      </w:pPr>
    </w:p>
    <w:p w:rsidR="009029D4" w:rsidRPr="00B4326E" w:rsidRDefault="009029D4" w:rsidP="009029D4">
      <w:pPr>
        <w:pStyle w:val="Textoindependiente2"/>
        <w:spacing w:after="0" w:line="240" w:lineRule="auto"/>
        <w:ind w:left="0"/>
        <w:jc w:val="both"/>
        <w:rPr>
          <w:rFonts w:ascii="Bookman Old Style" w:hAnsi="Bookman Old Style"/>
        </w:rPr>
      </w:pPr>
      <w:r w:rsidRPr="00A83678">
        <w:rPr>
          <w:rFonts w:ascii="Bookman Old Style" w:hAnsi="Bookman Old Style"/>
        </w:rPr>
        <w:t>Por lo tanto, se ha de confirmar lo dispuesto en artículo 1 de la Resolución CREG 146 de 2012.</w:t>
      </w:r>
    </w:p>
    <w:p w:rsidR="009029D4" w:rsidRPr="00B4326E" w:rsidRDefault="009029D4" w:rsidP="009029D4">
      <w:pPr>
        <w:ind w:left="0"/>
        <w:jc w:val="both"/>
        <w:rPr>
          <w:rFonts w:ascii="Bookman Old Style" w:hAnsi="Bookman Old Style"/>
        </w:rPr>
      </w:pPr>
    </w:p>
    <w:p w:rsidR="009029D4" w:rsidRPr="00A83678" w:rsidRDefault="00A83678" w:rsidP="009029D4">
      <w:pPr>
        <w:numPr>
          <w:ilvl w:val="0"/>
          <w:numId w:val="8"/>
        </w:numPr>
        <w:tabs>
          <w:tab w:val="left" w:pos="567"/>
        </w:tabs>
        <w:ind w:left="0" w:firstLine="0"/>
        <w:jc w:val="both"/>
        <w:rPr>
          <w:rFonts w:ascii="Bookman Old Style" w:hAnsi="Bookman Old Style"/>
          <w:b/>
          <w:lang w:val="es-CO"/>
        </w:rPr>
      </w:pPr>
      <w:r w:rsidRPr="00A83678">
        <w:rPr>
          <w:rFonts w:ascii="Bookman Old Style" w:hAnsi="Bookman Old Style"/>
          <w:b/>
          <w:lang w:val="es-CO"/>
        </w:rPr>
        <w:t xml:space="preserve">Que se reconozca que 0,262 </w:t>
      </w:r>
      <w:r w:rsidR="009029D4" w:rsidRPr="00A83678">
        <w:rPr>
          <w:rFonts w:ascii="Bookman Old Style" w:hAnsi="Bookman Old Style"/>
          <w:b/>
          <w:lang w:val="es-CO"/>
        </w:rPr>
        <w:t>Km del trazado del gasoducto se construirán en terreno extremo y, por consiguiente, se ajuste el valor de la inversión a reconocer, modificando el</w:t>
      </w:r>
      <w:r>
        <w:rPr>
          <w:rFonts w:ascii="Bookman Old Style" w:hAnsi="Bookman Old Style"/>
          <w:b/>
          <w:lang w:val="es-CO"/>
        </w:rPr>
        <w:t xml:space="preserve"> artículo 4 de la Resolución 146</w:t>
      </w:r>
      <w:r w:rsidR="009029D4" w:rsidRPr="00A83678">
        <w:rPr>
          <w:rFonts w:ascii="Bookman Old Style" w:hAnsi="Bookman Old Style"/>
          <w:b/>
          <w:lang w:val="es-CO"/>
        </w:rPr>
        <w:t xml:space="preserve"> de 2012.</w:t>
      </w:r>
    </w:p>
    <w:p w:rsidR="009029D4" w:rsidRPr="005901DF" w:rsidRDefault="009029D4" w:rsidP="009029D4">
      <w:pPr>
        <w:widowControl w:val="0"/>
        <w:ind w:left="0"/>
        <w:jc w:val="both"/>
        <w:rPr>
          <w:rFonts w:ascii="Bookman Old Style" w:hAnsi="Bookman Old Style"/>
          <w:b/>
          <w:sz w:val="20"/>
          <w:lang w:val="es-CO"/>
        </w:rPr>
      </w:pPr>
    </w:p>
    <w:p w:rsidR="009029D4" w:rsidRPr="00B4326E" w:rsidRDefault="009029D4" w:rsidP="009029D4">
      <w:pPr>
        <w:widowControl w:val="0"/>
        <w:ind w:left="0"/>
        <w:jc w:val="both"/>
        <w:rPr>
          <w:rFonts w:ascii="Bookman Old Style" w:hAnsi="Bookman Old Style"/>
        </w:rPr>
      </w:pPr>
      <w:r w:rsidRPr="00A83678">
        <w:rPr>
          <w:rFonts w:ascii="Bookman Old Style" w:hAnsi="Bookman Old Style"/>
        </w:rPr>
        <w:t xml:space="preserve">La petición que se realiza en el numeral segundo tiene directa relación con las solicitudes hechas en los numerales </w:t>
      </w:r>
      <w:r w:rsidR="00A83678" w:rsidRPr="00A83678">
        <w:rPr>
          <w:rFonts w:ascii="Bookman Old Style" w:hAnsi="Bookman Old Style"/>
        </w:rPr>
        <w:t xml:space="preserve">3, 4 y 5 </w:t>
      </w:r>
      <w:r w:rsidRPr="00B4326E">
        <w:rPr>
          <w:rFonts w:ascii="Bookman Old Style" w:hAnsi="Bookman Old Style"/>
        </w:rPr>
        <w:t>del recurso</w:t>
      </w:r>
      <w:r>
        <w:rPr>
          <w:rFonts w:ascii="Bookman Old Style" w:hAnsi="Bookman Old Style"/>
        </w:rPr>
        <w:t>. P</w:t>
      </w:r>
      <w:r w:rsidRPr="00B4326E">
        <w:rPr>
          <w:rFonts w:ascii="Bookman Old Style" w:hAnsi="Bookman Old Style"/>
        </w:rPr>
        <w:t>or lo anterior, esta Comisión procede a resolver estas peticiones en conjunto, para lo que en primer lugar recordará el alcance de la aplicación de la variable terreno extremo como criterio de comparación de acuerdo con lo establecido en el Anexo 1 de la Resolución CREG 126 de 2010, así como en el literal b) del artículo 6 de la misma resolución, el cual establece lo siguiente:</w:t>
      </w:r>
    </w:p>
    <w:p w:rsidR="009029D4" w:rsidRPr="00B4326E" w:rsidRDefault="009029D4" w:rsidP="009029D4">
      <w:pPr>
        <w:widowControl w:val="0"/>
        <w:ind w:left="0"/>
        <w:jc w:val="both"/>
        <w:rPr>
          <w:rFonts w:ascii="Bookman Old Style" w:hAnsi="Bookman Old Style"/>
        </w:rPr>
      </w:pPr>
    </w:p>
    <w:p w:rsidR="009029D4" w:rsidRPr="00B4326E" w:rsidRDefault="009029D4" w:rsidP="009029D4">
      <w:pPr>
        <w:widowControl w:val="0"/>
        <w:jc w:val="both"/>
        <w:rPr>
          <w:rFonts w:ascii="Bookman Old Style" w:hAnsi="Bookman Old Style"/>
          <w:i/>
          <w:sz w:val="22"/>
          <w:szCs w:val="22"/>
        </w:rPr>
      </w:pPr>
      <w:r w:rsidRPr="00B4326E">
        <w:rPr>
          <w:rFonts w:ascii="Bookman Old Style" w:hAnsi="Bookman Old Style"/>
          <w:i/>
          <w:sz w:val="22"/>
          <w:szCs w:val="22"/>
        </w:rPr>
        <w:t xml:space="preserve">“b) La CREG establecerá el valor eficiente de estos activos a partir de costos eficientes de otros activos comparables, teniendo en cuenta los criterios establecidos </w:t>
      </w:r>
      <w:r w:rsidRPr="00B4326E">
        <w:rPr>
          <w:rFonts w:ascii="Bookman Old Style" w:hAnsi="Bookman Old Style"/>
          <w:i/>
          <w:sz w:val="22"/>
          <w:szCs w:val="22"/>
          <w:u w:val="single"/>
        </w:rPr>
        <w:t>en el Anexo 1 de la presente Resolución, u otros criterios de evaluación de que dispong</w:t>
      </w:r>
      <w:r w:rsidRPr="00B4326E">
        <w:rPr>
          <w:rFonts w:ascii="Bookman Old Style" w:hAnsi="Bookman Old Style"/>
          <w:i/>
          <w:sz w:val="22"/>
          <w:szCs w:val="22"/>
        </w:rPr>
        <w:t>a. Estos valores corresponderán al P</w:t>
      </w:r>
      <w:r w:rsidR="00BF755C">
        <w:rPr>
          <w:rFonts w:ascii="Bookman Old Style" w:hAnsi="Bookman Old Style"/>
          <w:i/>
          <w:sz w:val="22"/>
          <w:szCs w:val="22"/>
        </w:rPr>
        <w:t>rograma de Nuevas Inversiones –</w:t>
      </w:r>
      <w:r w:rsidRPr="00B4326E">
        <w:rPr>
          <w:rFonts w:ascii="Bookman Old Style" w:hAnsi="Bookman Old Style"/>
          <w:i/>
          <w:sz w:val="22"/>
          <w:szCs w:val="22"/>
        </w:rPr>
        <w:t>.</w:t>
      </w:r>
      <w:r w:rsidR="00BF755C">
        <w:rPr>
          <w:rFonts w:ascii="Bookman Old Style" w:hAnsi="Bookman Old Style"/>
          <w:i/>
          <w:sz w:val="22"/>
          <w:szCs w:val="22"/>
        </w:rPr>
        <w:t>”</w:t>
      </w:r>
      <w:r w:rsidRPr="00B4326E">
        <w:rPr>
          <w:rFonts w:ascii="Bookman Old Style" w:hAnsi="Bookman Old Style"/>
          <w:i/>
          <w:sz w:val="22"/>
          <w:szCs w:val="22"/>
        </w:rPr>
        <w:t xml:space="preserve"> (Resaltado fuera de texto)</w:t>
      </w:r>
    </w:p>
    <w:p w:rsidR="009029D4" w:rsidRPr="00B4326E" w:rsidRDefault="009029D4" w:rsidP="009029D4">
      <w:pPr>
        <w:widowControl w:val="0"/>
        <w:ind w:left="0"/>
        <w:jc w:val="both"/>
        <w:rPr>
          <w:rFonts w:ascii="Bookman Old Style" w:hAnsi="Bookman Old Style"/>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En el Anexo 1 de la Resolución CREG 126 de 2010 se establecen los criterios a través de los cuales se establece el valor eficiente de activos teniendo en cuenta los costos eficientes de otros activos comparables, sin perjuicio de que la Comisión disponga de otros criterios de evaluación.</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En dicho Anexo se estableció la pendiente promedio del trazado como uno de los criterios para hacer dicha valoración, la cual habría de ser calculada kilómetro a kilómetro.</w:t>
      </w:r>
    </w:p>
    <w:p w:rsidR="00A83678" w:rsidRPr="005901DF" w:rsidRDefault="00A83678" w:rsidP="009029D4">
      <w:pPr>
        <w:pStyle w:val="Style13"/>
        <w:shd w:val="clear" w:color="auto" w:fill="auto"/>
        <w:tabs>
          <w:tab w:val="left" w:pos="265"/>
        </w:tabs>
        <w:spacing w:line="240" w:lineRule="auto"/>
        <w:ind w:firstLine="0"/>
        <w:rPr>
          <w:rFonts w:ascii="Bookman Old Style" w:hAnsi="Bookman Old Style" w:cs="Times New Roman"/>
          <w:sz w:val="18"/>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El terreno extremo se refiere a un terreno con pendientes </w:t>
      </w:r>
      <w:r>
        <w:rPr>
          <w:rFonts w:ascii="Bookman Old Style" w:hAnsi="Bookman Old Style" w:cs="Times New Roman"/>
          <w:sz w:val="24"/>
          <w:szCs w:val="24"/>
          <w:lang w:val="es-ES" w:eastAsia="es-ES"/>
        </w:rPr>
        <w:t xml:space="preserve">promedio </w:t>
      </w:r>
      <w:r w:rsidRPr="00B4326E">
        <w:rPr>
          <w:rFonts w:ascii="Bookman Old Style" w:hAnsi="Bookman Old Style" w:cs="Times New Roman"/>
          <w:sz w:val="24"/>
          <w:szCs w:val="24"/>
          <w:lang w:val="es-ES" w:eastAsia="es-ES"/>
        </w:rPr>
        <w:t>iguales o superiores a 30%, y donde el equipo tradicionalmente utilizado en la construcción no puede funcionar normalmente. Esto a menudo requiere el uso de técnicas de tuberías y equipos especiales; la utilización de cables/tornos de anclado; el uso de helicópteros para la entrega del personal, material y a menudo de equipo.</w:t>
      </w:r>
      <w:r>
        <w:rPr>
          <w:rFonts w:ascii="Bookman Old Style" w:hAnsi="Bookman Old Style" w:cs="Times New Roman"/>
          <w:sz w:val="24"/>
          <w:szCs w:val="24"/>
          <w:lang w:val="es-ES" w:eastAsia="es-ES"/>
        </w:rPr>
        <w:t xml:space="preserve"> Este criterio se debe entender en consonancia con los criterios definidos en el Anexo 1 de la Resolución CREG 126 de 2010.</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Este criterio se entiende como una variable que afecta o incide en el costo total de construcción de un gasoducto de transporte</w:t>
      </w:r>
      <w:r>
        <w:rPr>
          <w:rFonts w:ascii="Bookman Old Style" w:hAnsi="Bookman Old Style" w:cs="Times New Roman"/>
          <w:sz w:val="24"/>
          <w:szCs w:val="24"/>
          <w:lang w:val="es-ES" w:eastAsia="es-ES"/>
        </w:rPr>
        <w:t>. P</w:t>
      </w:r>
      <w:r w:rsidRPr="00B4326E">
        <w:rPr>
          <w:rFonts w:ascii="Bookman Old Style" w:hAnsi="Bookman Old Style" w:cs="Times New Roman"/>
          <w:sz w:val="24"/>
          <w:szCs w:val="24"/>
          <w:lang w:val="es-ES" w:eastAsia="es-ES"/>
        </w:rPr>
        <w:t>or lo tanto, las diferencias en costos por la utilización de técnicas de construcción en terreno extremo se pueden expresar, como un multiplicador igual a 3,043 que significa que un gasoducto construido en terreno extremo es 204,3% más costoso.</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Su aplicación se incorporó con ocasión de los recursos de reposición en contra de las </w:t>
      </w:r>
      <w:r>
        <w:rPr>
          <w:rFonts w:ascii="Bookman Old Style" w:hAnsi="Bookman Old Style" w:cs="Times New Roman"/>
          <w:sz w:val="24"/>
          <w:szCs w:val="24"/>
          <w:lang w:val="es-ES" w:eastAsia="es-ES"/>
        </w:rPr>
        <w:t>r</w:t>
      </w:r>
      <w:r w:rsidRPr="00B4326E">
        <w:rPr>
          <w:rFonts w:ascii="Bookman Old Style" w:hAnsi="Bookman Old Style" w:cs="Times New Roman"/>
          <w:sz w:val="24"/>
          <w:szCs w:val="24"/>
          <w:lang w:val="es-ES" w:eastAsia="es-ES"/>
        </w:rPr>
        <w:t xml:space="preserve">esoluciones CREG 110, 115 y 117 de 2011 y la práctica de pruebas decretada a través de las </w:t>
      </w:r>
      <w:r>
        <w:rPr>
          <w:rFonts w:ascii="Bookman Old Style" w:hAnsi="Bookman Old Style" w:cs="Times New Roman"/>
          <w:sz w:val="24"/>
          <w:szCs w:val="24"/>
          <w:lang w:val="es-ES" w:eastAsia="es-ES"/>
        </w:rPr>
        <w:t>r</w:t>
      </w:r>
      <w:r w:rsidRPr="00B4326E">
        <w:rPr>
          <w:rFonts w:ascii="Bookman Old Style" w:hAnsi="Bookman Old Style" w:cs="Times New Roman"/>
          <w:sz w:val="24"/>
          <w:szCs w:val="24"/>
          <w:lang w:val="es-ES" w:eastAsia="es-ES"/>
        </w:rPr>
        <w:t xml:space="preserve">esoluciones CREG 010 y 036 de 2012, teniendo en cuenta los resultados de los dictámenes periciales de las actuaciones administrativas de las </w:t>
      </w:r>
      <w:r>
        <w:rPr>
          <w:rFonts w:ascii="Bookman Old Style" w:hAnsi="Bookman Old Style" w:cs="Times New Roman"/>
          <w:sz w:val="24"/>
          <w:szCs w:val="24"/>
          <w:lang w:val="es-ES" w:eastAsia="es-ES"/>
        </w:rPr>
        <w:t>r</w:t>
      </w:r>
      <w:r w:rsidRPr="00B4326E">
        <w:rPr>
          <w:rFonts w:ascii="Bookman Old Style" w:hAnsi="Bookman Old Style" w:cs="Times New Roman"/>
          <w:sz w:val="24"/>
          <w:szCs w:val="24"/>
          <w:lang w:val="es-ES" w:eastAsia="es-ES"/>
        </w:rPr>
        <w:t>esoluciones CREG 121, 122 y 123 de 201</w:t>
      </w:r>
      <w:r>
        <w:rPr>
          <w:rFonts w:ascii="Bookman Old Style" w:hAnsi="Bookman Old Style" w:cs="Times New Roman"/>
          <w:sz w:val="24"/>
          <w:szCs w:val="24"/>
          <w:lang w:val="es-ES" w:eastAsia="es-ES"/>
        </w:rPr>
        <w:t>2</w:t>
      </w:r>
      <w:r w:rsidRPr="00B4326E">
        <w:rPr>
          <w:rFonts w:ascii="Bookman Old Style" w:hAnsi="Bookman Old Style" w:cs="Times New Roman"/>
          <w:sz w:val="24"/>
          <w:szCs w:val="24"/>
          <w:lang w:val="es-ES" w:eastAsia="es-ES"/>
        </w:rPr>
        <w:t xml:space="preserve">, la </w:t>
      </w:r>
      <w:r w:rsidRPr="00B4326E">
        <w:rPr>
          <w:rFonts w:ascii="Bookman Old Style" w:hAnsi="Bookman Old Style" w:cs="Times New Roman"/>
          <w:sz w:val="24"/>
          <w:szCs w:val="24"/>
          <w:lang w:val="es-ES" w:eastAsia="es-ES"/>
        </w:rPr>
        <w:lastRenderedPageBreak/>
        <w:t>información que de estos hacen parte, y los análisis adicionales para la valoración de inversiones en gasoductos.</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De acuerdo con los dictámenes periciales y las aclaraciones presentadas por el perito Frank Gregory Lamberson la CREG ajustó el modelo de valoración incorporando nuevas variables de las cuales hace parte el terreno extremo, al cual se refirió como una de las variables diferentes del precio del acero, costo de mano de obra, longitud, diámetro, topografía, derechos de vía y clase de localidad que más inciden en el costo total de construcción de un gasoducto de transporte.</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A83678"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Ahora bien, para la aplicación de dicho cr</w:t>
      </w:r>
      <w:r w:rsidR="00A47BCF">
        <w:rPr>
          <w:rFonts w:ascii="Bookman Old Style" w:hAnsi="Bookman Old Style" w:cs="Times New Roman"/>
          <w:sz w:val="24"/>
          <w:szCs w:val="24"/>
          <w:lang w:val="es-ES" w:eastAsia="es-ES"/>
        </w:rPr>
        <w:t>iterio dentro del presente caso</w:t>
      </w:r>
      <w:r w:rsidRPr="00B4326E">
        <w:rPr>
          <w:rFonts w:ascii="Bookman Old Style" w:hAnsi="Bookman Old Style" w:cs="Times New Roman"/>
          <w:sz w:val="24"/>
          <w:szCs w:val="24"/>
          <w:lang w:val="es-ES" w:eastAsia="es-ES"/>
        </w:rPr>
        <w:t xml:space="preserve"> la recurrente </w:t>
      </w:r>
      <w:r w:rsidR="00A47BCF">
        <w:rPr>
          <w:rFonts w:ascii="Bookman Old Style" w:hAnsi="Bookman Old Style" w:cs="Times New Roman"/>
          <w:sz w:val="24"/>
          <w:szCs w:val="24"/>
          <w:lang w:val="es-ES" w:eastAsia="es-ES"/>
        </w:rPr>
        <w:t xml:space="preserve">tiene en cuenta tramos de menos de un kilómetro </w:t>
      </w:r>
      <w:r w:rsidRPr="00B4326E">
        <w:rPr>
          <w:rFonts w:ascii="Bookman Old Style" w:hAnsi="Bookman Old Style" w:cs="Times New Roman"/>
          <w:sz w:val="24"/>
          <w:szCs w:val="24"/>
          <w:lang w:val="es-ES" w:eastAsia="es-ES"/>
        </w:rPr>
        <w:t xml:space="preserve">al momento de realizar el </w:t>
      </w:r>
      <w:r w:rsidR="00A47BCF">
        <w:rPr>
          <w:rFonts w:ascii="Bookman Old Style" w:hAnsi="Bookman Old Style" w:cs="Times New Roman"/>
          <w:sz w:val="24"/>
          <w:szCs w:val="24"/>
          <w:lang w:val="es-ES" w:eastAsia="es-ES"/>
        </w:rPr>
        <w:t xml:space="preserve">cálculo de la pendiente. </w:t>
      </w:r>
      <w:r w:rsidRPr="00A83678">
        <w:rPr>
          <w:rFonts w:ascii="Bookman Old Style" w:hAnsi="Bookman Old Style" w:cs="Times New Roman"/>
          <w:sz w:val="24"/>
          <w:szCs w:val="24"/>
          <w:lang w:val="es-ES" w:eastAsia="es-ES"/>
        </w:rPr>
        <w:t xml:space="preserve">Esa circunstancia la lleva a concluir que existen condiciones de terreno extremo dentro del trazado del gasoducto </w:t>
      </w:r>
      <w:r w:rsidR="00A876A3" w:rsidRPr="00A83678">
        <w:rPr>
          <w:rFonts w:ascii="Bookman Old Style" w:hAnsi="Bookman Old Style" w:cs="Times New Roman"/>
          <w:sz w:val="24"/>
          <w:szCs w:val="24"/>
          <w:lang w:val="es-ES" w:eastAsia="es-ES"/>
        </w:rPr>
        <w:t>Yolombó</w:t>
      </w:r>
      <w:r w:rsidRPr="00A83678">
        <w:rPr>
          <w:rFonts w:ascii="Bookman Old Style" w:hAnsi="Bookman Old Style" w:cs="Times New Roman"/>
          <w:sz w:val="24"/>
          <w:szCs w:val="24"/>
          <w:lang w:val="es-ES" w:eastAsia="es-ES"/>
        </w:rPr>
        <w:t>.</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A83678">
        <w:rPr>
          <w:rFonts w:ascii="Bookman Old Style" w:hAnsi="Bookman Old Style" w:cs="Times New Roman"/>
          <w:sz w:val="24"/>
          <w:szCs w:val="24"/>
          <w:lang w:val="es-ES" w:eastAsia="es-ES"/>
        </w:rPr>
        <w:t>Es por esto que la Comisión una vez analizada la información reportada en la comunicación E-2012-009296, la cual reafirma</w:t>
      </w:r>
      <w:r w:rsidRPr="00B4326E">
        <w:rPr>
          <w:rFonts w:ascii="Bookman Old Style" w:hAnsi="Bookman Old Style" w:cs="Times New Roman"/>
          <w:sz w:val="24"/>
          <w:szCs w:val="24"/>
          <w:lang w:val="es-ES" w:eastAsia="es-ES"/>
        </w:rPr>
        <w:t xml:space="preserve"> la recurrente es correcta y válida al momento de interponer el recurso de reposición, evidencia que la justificación hecha por la recurrente en cuanto a la existencia de terreno extremo dentro del trazado </w:t>
      </w:r>
      <w:r w:rsidR="00A876A3">
        <w:rPr>
          <w:rFonts w:ascii="Bookman Old Style" w:hAnsi="Bookman Old Style" w:cs="Times New Roman"/>
          <w:sz w:val="24"/>
          <w:szCs w:val="24"/>
          <w:lang w:val="es-ES" w:eastAsia="es-ES"/>
        </w:rPr>
        <w:t>Yolombó</w:t>
      </w:r>
      <w:r w:rsidRPr="00B4326E">
        <w:rPr>
          <w:rFonts w:ascii="Bookman Old Style" w:hAnsi="Bookman Old Style" w:cs="Times New Roman"/>
          <w:sz w:val="24"/>
          <w:szCs w:val="24"/>
          <w:lang w:val="es-ES" w:eastAsia="es-ES"/>
        </w:rPr>
        <w:t xml:space="preserve"> se basa en la aplicación del cálculo de la pendiente de forma errada.</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La aplicación de un cálculo de acuerdo con la forma en que fue realizada por la recurrente llevaría a considerar que cualquier variación dentro de la longitud del trazado que sea superior al 30% debería considerarse como terreno extremo, es decir, cualquier pendiente dentro de la longitud del trazado</w:t>
      </w:r>
      <w:r>
        <w:rPr>
          <w:rFonts w:ascii="Bookman Old Style" w:hAnsi="Bookman Old Style" w:cs="Times New Roman"/>
          <w:sz w:val="24"/>
          <w:szCs w:val="24"/>
          <w:lang w:val="es-ES" w:eastAsia="es-ES"/>
        </w:rPr>
        <w:t>,</w:t>
      </w:r>
      <w:r w:rsidRPr="00B4326E">
        <w:rPr>
          <w:rFonts w:ascii="Bookman Old Style" w:hAnsi="Bookman Old Style" w:cs="Times New Roman"/>
          <w:sz w:val="24"/>
          <w:szCs w:val="24"/>
          <w:lang w:val="es-ES" w:eastAsia="es-ES"/>
        </w:rPr>
        <w:t xml:space="preserve"> </w:t>
      </w:r>
      <w:r>
        <w:rPr>
          <w:rFonts w:ascii="Bookman Old Style" w:hAnsi="Bookman Old Style" w:cs="Times New Roman"/>
          <w:sz w:val="24"/>
          <w:szCs w:val="24"/>
          <w:lang w:val="es-ES" w:eastAsia="es-ES"/>
        </w:rPr>
        <w:t xml:space="preserve">por ejemplo </w:t>
      </w:r>
      <w:r w:rsidRPr="00B4326E">
        <w:rPr>
          <w:rFonts w:ascii="Bookman Old Style" w:hAnsi="Bookman Old Style" w:cs="Times New Roman"/>
          <w:sz w:val="24"/>
          <w:szCs w:val="24"/>
          <w:lang w:val="es-ES" w:eastAsia="es-ES"/>
        </w:rPr>
        <w:t xml:space="preserve">que sea superior </w:t>
      </w:r>
      <w:r w:rsidR="00A71BBF">
        <w:rPr>
          <w:rFonts w:ascii="Bookman Old Style" w:hAnsi="Bookman Old Style" w:cs="Times New Roman"/>
          <w:sz w:val="24"/>
          <w:szCs w:val="24"/>
          <w:lang w:val="es-ES" w:eastAsia="es-ES"/>
        </w:rPr>
        <w:t xml:space="preserve">a </w:t>
      </w:r>
      <w:r w:rsidRPr="00B4326E">
        <w:rPr>
          <w:rFonts w:ascii="Bookman Old Style" w:hAnsi="Bookman Old Style" w:cs="Times New Roman"/>
          <w:sz w:val="24"/>
          <w:szCs w:val="24"/>
          <w:lang w:val="es-ES" w:eastAsia="es-ES"/>
        </w:rPr>
        <w:t>treinta centímetros por cada metro de trazado podría entenderse como un terreno en el cual no es posible utilizar el equipo que normalmente se utiliza para la construcción del gasoducto, sino que se requerirían utilizar condiciones especiales.</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18"/>
          <w:szCs w:val="24"/>
          <w:lang w:val="es-ES" w:eastAsia="es-ES"/>
        </w:rPr>
      </w:pPr>
    </w:p>
    <w:p w:rsidR="009029D4"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Esto llevaría a que la Comisión deb</w:t>
      </w:r>
      <w:r>
        <w:rPr>
          <w:rFonts w:ascii="Bookman Old Style" w:hAnsi="Bookman Old Style" w:cs="Times New Roman"/>
          <w:sz w:val="24"/>
          <w:szCs w:val="24"/>
          <w:lang w:val="es-ES" w:eastAsia="es-ES"/>
        </w:rPr>
        <w:t>a</w:t>
      </w:r>
      <w:r w:rsidRPr="00B4326E">
        <w:rPr>
          <w:rFonts w:ascii="Bookman Old Style" w:hAnsi="Bookman Old Style" w:cs="Times New Roman"/>
          <w:sz w:val="24"/>
          <w:szCs w:val="24"/>
          <w:lang w:val="es-ES" w:eastAsia="es-ES"/>
        </w:rPr>
        <w:t xml:space="preserve"> aprobar un cargo para un sistema de transporte por fuera de los criterios tarifarios previstos en el artículo 87 de la Ley 142 de 1994, ya que los cargos que remunerarían el costo de las inversiones estarían por fuera de aquellos que se han de considerar eficientes.</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Default="009029D4" w:rsidP="009029D4">
      <w:pPr>
        <w:pStyle w:val="Textoindependiente2"/>
        <w:spacing w:after="0" w:line="240" w:lineRule="auto"/>
        <w:ind w:left="0"/>
        <w:jc w:val="both"/>
        <w:rPr>
          <w:rFonts w:ascii="Bookman Old Style" w:hAnsi="Bookman Old Style"/>
        </w:rPr>
      </w:pPr>
      <w:r>
        <w:rPr>
          <w:rFonts w:ascii="Bookman Old Style" w:hAnsi="Bookman Old Style"/>
        </w:rPr>
        <w:t xml:space="preserve">En relación con esto y teniendo en cuenta las pruebas documentales presentadas a la Comisión, se establece que las mismas carecen de valor de convicción, así como de eficacia y de fuerza probatoria en relación con los argumentos presentados por la recurrente para justificar la existencia de terreno extremo, </w:t>
      </w:r>
      <w:r w:rsidRPr="0046273E">
        <w:rPr>
          <w:rFonts w:ascii="Bookman Old Style" w:hAnsi="Bookman Old Style"/>
        </w:rPr>
        <w:t>en la medida en que la argumentación se sustenta en una aplicación errada en el cálculo de la pendiente.</w:t>
      </w:r>
    </w:p>
    <w:p w:rsidR="009029D4" w:rsidRPr="005901DF" w:rsidRDefault="009029D4" w:rsidP="009029D4">
      <w:pPr>
        <w:pStyle w:val="Textoindependiente2"/>
        <w:spacing w:after="0" w:line="240" w:lineRule="auto"/>
        <w:ind w:left="0"/>
        <w:jc w:val="both"/>
        <w:rPr>
          <w:rFonts w:ascii="Bookman Old Style" w:hAnsi="Bookman Old Style"/>
          <w:sz w:val="20"/>
        </w:rPr>
      </w:pPr>
    </w:p>
    <w:p w:rsidR="009029D4" w:rsidRDefault="009029D4" w:rsidP="009029D4">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Lo expresado por la Comisión </w:t>
      </w:r>
      <w:r>
        <w:rPr>
          <w:rFonts w:ascii="Bookman Old Style" w:hAnsi="Bookman Old Style"/>
        </w:rPr>
        <w:t>en la Resolución CREG 14</w:t>
      </w:r>
      <w:r w:rsidR="00A876A3">
        <w:rPr>
          <w:rFonts w:ascii="Bookman Old Style" w:hAnsi="Bookman Old Style"/>
        </w:rPr>
        <w:t>6</w:t>
      </w:r>
      <w:r>
        <w:rPr>
          <w:rFonts w:ascii="Bookman Old Style" w:hAnsi="Bookman Old Style"/>
        </w:rPr>
        <w:t xml:space="preserve"> de 2012, así como en su documento soporte </w:t>
      </w:r>
      <w:r w:rsidRPr="00B4326E">
        <w:rPr>
          <w:rFonts w:ascii="Bookman Old Style" w:hAnsi="Bookman Old Style"/>
        </w:rPr>
        <w:t>no sufre alteración alguna</w:t>
      </w:r>
      <w:r>
        <w:rPr>
          <w:rFonts w:ascii="Bookman Old Style" w:hAnsi="Bookman Old Style"/>
        </w:rPr>
        <w:t xml:space="preserve"> en virtud de las consideraciones expuestas en</w:t>
      </w:r>
      <w:r w:rsidRPr="00B4326E">
        <w:rPr>
          <w:rFonts w:ascii="Bookman Old Style" w:hAnsi="Bookman Old Style"/>
        </w:rPr>
        <w:t xml:space="preserve"> el presente recurso, toda vez que los argumentos y pruebas</w:t>
      </w:r>
      <w:r>
        <w:rPr>
          <w:rFonts w:ascii="Bookman Old Style" w:hAnsi="Bookman Old Style"/>
        </w:rPr>
        <w:t xml:space="preserve"> que los sustentan</w:t>
      </w:r>
      <w:r w:rsidRPr="00B4326E">
        <w:rPr>
          <w:rFonts w:ascii="Bookman Old Style" w:hAnsi="Bookman Old Style"/>
        </w:rPr>
        <w:t xml:space="preserve"> no desvirtúan las consideraciones hechas por esta Entidad y la aplicación del terreno extremo como criterio dentro de la valoración de la inversión a reconocer para el gasoducto </w:t>
      </w:r>
      <w:r w:rsidR="00A876A3">
        <w:rPr>
          <w:rFonts w:ascii="Bookman Old Style" w:hAnsi="Bookman Old Style"/>
        </w:rPr>
        <w:t>Yolombó</w:t>
      </w:r>
      <w:r w:rsidRPr="00B4326E">
        <w:rPr>
          <w:rFonts w:ascii="Bookman Old Style" w:hAnsi="Bookman Old Style"/>
        </w:rPr>
        <w:t>.</w:t>
      </w:r>
    </w:p>
    <w:p w:rsidR="009029D4" w:rsidRPr="005901DF" w:rsidRDefault="009029D4" w:rsidP="009029D4">
      <w:pPr>
        <w:pStyle w:val="Textoindependiente2"/>
        <w:spacing w:after="0" w:line="240" w:lineRule="auto"/>
        <w:ind w:left="0"/>
        <w:jc w:val="both"/>
        <w:rPr>
          <w:rFonts w:ascii="Bookman Old Style" w:hAnsi="Bookman Old Style"/>
          <w:sz w:val="20"/>
        </w:rPr>
      </w:pPr>
    </w:p>
    <w:p w:rsidR="009029D4" w:rsidRDefault="009029D4" w:rsidP="009029D4">
      <w:pPr>
        <w:pStyle w:val="Textoindependiente2"/>
        <w:spacing w:after="0" w:line="240" w:lineRule="auto"/>
        <w:ind w:left="0"/>
        <w:jc w:val="both"/>
        <w:rPr>
          <w:rFonts w:ascii="Bookman Old Style" w:hAnsi="Bookman Old Style"/>
        </w:rPr>
      </w:pPr>
      <w:r>
        <w:rPr>
          <w:rFonts w:ascii="Bookman Old Style" w:hAnsi="Bookman Old Style"/>
        </w:rPr>
        <w:t xml:space="preserve">Sin embargo, dentro de la valoración de las pruebas aportadas se evidencia que éstas cumplen con los requisitos de pertinencia, conducencia e idoneidad, toda vez que </w:t>
      </w:r>
      <w:r w:rsidRPr="003141A4">
        <w:rPr>
          <w:rFonts w:ascii="Bookman Old Style" w:hAnsi="Bookman Old Style"/>
        </w:rPr>
        <w:t>tiene</w:t>
      </w:r>
      <w:r>
        <w:rPr>
          <w:rFonts w:ascii="Bookman Old Style" w:hAnsi="Bookman Old Style"/>
        </w:rPr>
        <w:t>n</w:t>
      </w:r>
      <w:r w:rsidRPr="003141A4">
        <w:rPr>
          <w:rFonts w:ascii="Bookman Old Style" w:hAnsi="Bookman Old Style"/>
        </w:rPr>
        <w:t xml:space="preserve"> directa relación con la discu</w:t>
      </w:r>
      <w:r>
        <w:rPr>
          <w:rFonts w:ascii="Bookman Old Style" w:hAnsi="Bookman Old Style"/>
        </w:rPr>
        <w:t>sión que se plantea en el presente recurso, es decir cuentan con</w:t>
      </w:r>
      <w:r w:rsidRPr="004C2B06">
        <w:rPr>
          <w:rFonts w:ascii="Bookman Old Style" w:hAnsi="Bookman Old Style"/>
        </w:rPr>
        <w:t xml:space="preserve"> la eficacia o aptitud </w:t>
      </w:r>
      <w:r>
        <w:rPr>
          <w:rFonts w:ascii="Bookman Old Style" w:hAnsi="Bookman Old Style"/>
        </w:rPr>
        <w:t xml:space="preserve">probatoria necesaria para establecer la pendiente de acuerdo con los perfiles del gasoducto </w:t>
      </w:r>
      <w:r w:rsidR="00A876A3">
        <w:rPr>
          <w:rFonts w:ascii="Bookman Old Style" w:hAnsi="Bookman Old Style"/>
        </w:rPr>
        <w:t>Yolombó</w:t>
      </w:r>
      <w:r>
        <w:rPr>
          <w:rFonts w:ascii="Bookman Old Style" w:hAnsi="Bookman Old Style"/>
        </w:rPr>
        <w:t>, de la misma forma que no se encuentran limitadas por la Ley para estos efectos.</w:t>
      </w:r>
    </w:p>
    <w:p w:rsidR="00A47BCF" w:rsidRPr="005901DF" w:rsidRDefault="00A47BCF" w:rsidP="009029D4">
      <w:pPr>
        <w:pStyle w:val="Textoindependiente2"/>
        <w:spacing w:after="0" w:line="240" w:lineRule="auto"/>
        <w:ind w:left="0"/>
        <w:jc w:val="both"/>
        <w:rPr>
          <w:rFonts w:ascii="Bookman Old Style" w:hAnsi="Bookman Old Style"/>
          <w:sz w:val="20"/>
        </w:rPr>
      </w:pPr>
    </w:p>
    <w:p w:rsidR="009029D4" w:rsidRPr="00865882" w:rsidRDefault="009029D4" w:rsidP="009029D4">
      <w:pPr>
        <w:pStyle w:val="Textoindependiente2"/>
        <w:spacing w:after="0" w:line="240" w:lineRule="auto"/>
        <w:ind w:left="0"/>
        <w:jc w:val="both"/>
        <w:rPr>
          <w:rFonts w:ascii="Bookman Old Style" w:hAnsi="Bookman Old Style"/>
        </w:rPr>
      </w:pPr>
      <w:r>
        <w:rPr>
          <w:rFonts w:ascii="Bookman Old Style" w:hAnsi="Bookman Old Style"/>
        </w:rPr>
        <w:t>Del análisis de los medios de prueba aportados, en particular de los planos “</w:t>
      </w:r>
      <w:r w:rsidR="00266352" w:rsidRPr="00266352">
        <w:rPr>
          <w:rFonts w:ascii="Bookman Old Style" w:hAnsi="Bookman Old Style"/>
        </w:rPr>
        <w:t>376-30-D-03 Trazado del Ramal a Yolombó entre KO+0</w:t>
      </w:r>
      <w:r w:rsidR="00F67319">
        <w:rPr>
          <w:rFonts w:ascii="Bookman Old Style" w:hAnsi="Bookman Old Style"/>
        </w:rPr>
        <w:t>00 y K3+839,79. Planta - Perfil</w:t>
      </w:r>
      <w:r w:rsidR="00865882">
        <w:rPr>
          <w:rFonts w:ascii="Bookman Old Style" w:hAnsi="Bookman Old Style"/>
        </w:rPr>
        <w:t>”</w:t>
      </w:r>
      <w:r>
        <w:rPr>
          <w:rFonts w:ascii="Bookman Old Style" w:hAnsi="Bookman Old Style"/>
        </w:rPr>
        <w:t xml:space="preserve"> y al </w:t>
      </w:r>
      <w:r w:rsidRPr="00865882">
        <w:rPr>
          <w:rFonts w:ascii="Bookman Old Style" w:hAnsi="Bookman Old Style" w:cs="Arial"/>
          <w:color w:val="000000"/>
          <w:lang w:val="es-CO" w:eastAsia="es-CO"/>
        </w:rPr>
        <w:t xml:space="preserve">revisar el perfil que la empresa aportó, el cual se encuentra en el expediente </w:t>
      </w:r>
      <w:r w:rsidR="00865882" w:rsidRPr="00865882">
        <w:rPr>
          <w:rFonts w:ascii="Bookman Old Style" w:hAnsi="Bookman Old Style" w:cs="Arial"/>
          <w:color w:val="000000"/>
          <w:lang w:val="es-CO" w:eastAsia="es-CO"/>
        </w:rPr>
        <w:t>2011 – 0044</w:t>
      </w:r>
      <w:r w:rsidRPr="00865882">
        <w:rPr>
          <w:rFonts w:ascii="Bookman Old Style" w:hAnsi="Bookman Old Style" w:cs="Arial"/>
          <w:color w:val="000000"/>
          <w:lang w:val="es-CO" w:eastAsia="es-CO"/>
        </w:rPr>
        <w:t xml:space="preserve">, se encontró que en la estimación de la pendiente de acuerdo con el procedimiento previsto en la </w:t>
      </w:r>
      <w:r w:rsidRPr="00865882">
        <w:rPr>
          <w:rFonts w:ascii="Bookman Old Style" w:hAnsi="Bookman Old Style" w:cs="Arial"/>
          <w:i/>
          <w:color w:val="000000"/>
          <w:lang w:val="es-CO" w:eastAsia="es-CO"/>
        </w:rPr>
        <w:t>metodología</w:t>
      </w:r>
      <w:r w:rsidRPr="00865882">
        <w:rPr>
          <w:rFonts w:ascii="Bookman Old Style" w:hAnsi="Bookman Old Style" w:cs="Arial"/>
          <w:color w:val="000000"/>
          <w:lang w:val="es-CO" w:eastAsia="es-CO"/>
        </w:rPr>
        <w:t>, se tomó en forma incorrecta la escala en la cual Transmetano reportó el perfil en metros sobre el nivel del mar.</w:t>
      </w:r>
    </w:p>
    <w:p w:rsidR="009029D4" w:rsidRPr="005901DF" w:rsidRDefault="009029D4" w:rsidP="009029D4">
      <w:pPr>
        <w:pStyle w:val="Textoindependiente2"/>
        <w:spacing w:after="0" w:line="240" w:lineRule="auto"/>
        <w:ind w:left="0"/>
        <w:jc w:val="both"/>
        <w:rPr>
          <w:rFonts w:ascii="Bookman Old Style" w:hAnsi="Bookman Old Style" w:cs="Arial"/>
          <w:color w:val="000000"/>
          <w:sz w:val="20"/>
          <w:lang w:val="es-CO" w:eastAsia="es-CO"/>
        </w:rPr>
      </w:pPr>
    </w:p>
    <w:p w:rsidR="009029D4" w:rsidRDefault="00A876A3" w:rsidP="009029D4">
      <w:pPr>
        <w:pStyle w:val="Textoindependiente2"/>
        <w:spacing w:after="0" w:line="240" w:lineRule="auto"/>
        <w:ind w:left="0"/>
        <w:jc w:val="both"/>
        <w:rPr>
          <w:rFonts w:ascii="Bookman Old Style" w:hAnsi="Bookman Old Style" w:cs="Arial"/>
          <w:color w:val="000000"/>
          <w:lang w:val="es-CO" w:eastAsia="es-CO"/>
        </w:rPr>
      </w:pPr>
      <w:r>
        <w:rPr>
          <w:rFonts w:ascii="Bookman Old Style" w:hAnsi="Bookman Old Style" w:cs="Arial"/>
          <w:color w:val="000000"/>
          <w:lang w:val="es-CO" w:eastAsia="es-CO"/>
        </w:rPr>
        <w:t>Sin embargo, u</w:t>
      </w:r>
      <w:r w:rsidRPr="00700D7C">
        <w:rPr>
          <w:rFonts w:ascii="Bookman Old Style" w:hAnsi="Bookman Old Style" w:cs="Arial"/>
          <w:color w:val="000000"/>
          <w:lang w:val="es-CO" w:eastAsia="es-CO"/>
        </w:rPr>
        <w:t xml:space="preserve">na vez corregido el error, conforme la </w:t>
      </w:r>
      <w:r w:rsidRPr="00700D7C">
        <w:rPr>
          <w:rFonts w:ascii="Bookman Old Style" w:hAnsi="Bookman Old Style" w:cs="Arial"/>
          <w:i/>
          <w:color w:val="000000"/>
          <w:lang w:val="es-CO" w:eastAsia="es-CO"/>
        </w:rPr>
        <w:t>metodología</w:t>
      </w:r>
      <w:r w:rsidRPr="00700D7C">
        <w:rPr>
          <w:rFonts w:ascii="Bookman Old Style" w:hAnsi="Bookman Old Style" w:cs="Arial"/>
          <w:color w:val="000000"/>
          <w:lang w:val="es-CO" w:eastAsia="es-CO"/>
        </w:rPr>
        <w:t>,</w:t>
      </w:r>
      <w:r>
        <w:rPr>
          <w:rFonts w:ascii="Bookman Old Style" w:hAnsi="Bookman Old Style" w:cs="Arial"/>
          <w:color w:val="000000"/>
          <w:lang w:val="es-CO" w:eastAsia="es-CO"/>
        </w:rPr>
        <w:t xml:space="preserve"> se encuentran variaciones en la </w:t>
      </w:r>
      <w:r w:rsidRPr="00865882">
        <w:rPr>
          <w:rFonts w:ascii="Bookman Old Style" w:hAnsi="Bookman Old Style" w:cs="Arial"/>
          <w:color w:val="000000"/>
          <w:lang w:val="es-CO" w:eastAsia="es-CO"/>
        </w:rPr>
        <w:t>pendiente, las</w:t>
      </w:r>
      <w:r w:rsidR="00266352">
        <w:rPr>
          <w:rFonts w:ascii="Bookman Old Style" w:hAnsi="Bookman Old Style" w:cs="Arial"/>
          <w:color w:val="000000"/>
          <w:lang w:val="es-CO" w:eastAsia="es-CO"/>
        </w:rPr>
        <w:t xml:space="preserve"> cuales no son superiores al 5%. Por tanto </w:t>
      </w:r>
      <w:r w:rsidRPr="00865882">
        <w:rPr>
          <w:rFonts w:ascii="Bookman Old Style" w:hAnsi="Bookman Old Style" w:cs="Arial"/>
          <w:color w:val="000000"/>
          <w:lang w:val="es-CO" w:eastAsia="es-CO"/>
        </w:rPr>
        <w:t xml:space="preserve">no es aplicable lo dispuesto en </w:t>
      </w:r>
      <w:r w:rsidR="009029D4" w:rsidRPr="00865882">
        <w:rPr>
          <w:rFonts w:ascii="Bookman Old Style" w:hAnsi="Bookman Old Style" w:cs="Arial"/>
          <w:color w:val="000000"/>
          <w:lang w:val="es-CO" w:eastAsia="es-CO"/>
        </w:rPr>
        <w:t>la sección b del Anexo 3 del Documento CREG 083</w:t>
      </w:r>
      <w:r w:rsidR="00266352">
        <w:rPr>
          <w:rFonts w:ascii="Bookman Old Style" w:hAnsi="Bookman Old Style" w:cs="Arial"/>
          <w:color w:val="000000"/>
          <w:lang w:val="es-CO" w:eastAsia="es-CO"/>
        </w:rPr>
        <w:t xml:space="preserve"> de 2012 y de esta manera</w:t>
      </w:r>
      <w:r w:rsidRPr="00865882">
        <w:rPr>
          <w:rFonts w:ascii="Bookman Old Style" w:hAnsi="Bookman Old Style" w:cs="Arial"/>
          <w:color w:val="000000"/>
          <w:lang w:val="es-CO" w:eastAsia="es-CO"/>
        </w:rPr>
        <w:t xml:space="preserve"> no </w:t>
      </w:r>
      <w:r w:rsidR="00266352">
        <w:rPr>
          <w:rFonts w:ascii="Bookman Old Style" w:hAnsi="Bookman Old Style" w:cs="Arial"/>
          <w:color w:val="000000"/>
          <w:lang w:val="es-CO" w:eastAsia="es-CO"/>
        </w:rPr>
        <w:t xml:space="preserve">se </w:t>
      </w:r>
      <w:r w:rsidRPr="00865882">
        <w:rPr>
          <w:rFonts w:ascii="Bookman Old Style" w:hAnsi="Bookman Old Style" w:cs="Arial"/>
          <w:color w:val="000000"/>
          <w:lang w:val="es-CO" w:eastAsia="es-CO"/>
        </w:rPr>
        <w:t xml:space="preserve">afecta el valor eficiente de la inversión reconocida inicialmente. De la misma forma, </w:t>
      </w:r>
      <w:r w:rsidR="009029D4" w:rsidRPr="00865882">
        <w:rPr>
          <w:rFonts w:ascii="Bookman Old Style" w:hAnsi="Bookman Old Style" w:cs="Arial"/>
          <w:color w:val="000000"/>
          <w:lang w:val="es-CO" w:eastAsia="es-CO"/>
        </w:rPr>
        <w:t xml:space="preserve">en recorridos de mil metros no se encontró </w:t>
      </w:r>
      <w:r w:rsidRPr="00865882">
        <w:rPr>
          <w:rFonts w:ascii="Bookman Old Style" w:hAnsi="Bookman Old Style" w:cs="Arial"/>
          <w:color w:val="000000"/>
          <w:lang w:val="es-CO" w:eastAsia="es-CO"/>
        </w:rPr>
        <w:t xml:space="preserve">que </w:t>
      </w:r>
      <w:r w:rsidR="009029D4" w:rsidRPr="00865882">
        <w:rPr>
          <w:rFonts w:ascii="Bookman Old Style" w:hAnsi="Bookman Old Style" w:cs="Arial"/>
          <w:color w:val="000000"/>
          <w:lang w:val="es-CO" w:eastAsia="es-CO"/>
        </w:rPr>
        <w:t>dentro del trazado</w:t>
      </w:r>
      <w:r w:rsidR="009029D4" w:rsidRPr="00700D7C">
        <w:rPr>
          <w:rFonts w:ascii="Bookman Old Style" w:hAnsi="Bookman Old Style" w:cs="Arial"/>
          <w:color w:val="000000"/>
          <w:lang w:val="es-CO" w:eastAsia="es-CO"/>
        </w:rPr>
        <w:t xml:space="preserve"> del gasoducto </w:t>
      </w:r>
      <w:r>
        <w:rPr>
          <w:rFonts w:ascii="Bookman Old Style" w:hAnsi="Bookman Old Style" w:cs="Arial"/>
          <w:color w:val="000000"/>
          <w:lang w:val="es-CO" w:eastAsia="es-CO"/>
        </w:rPr>
        <w:t>Yolombó</w:t>
      </w:r>
      <w:r w:rsidR="009029D4">
        <w:rPr>
          <w:rFonts w:ascii="Bookman Old Style" w:hAnsi="Bookman Old Style" w:cs="Arial"/>
          <w:color w:val="000000"/>
          <w:lang w:val="es-CO" w:eastAsia="es-CO"/>
        </w:rPr>
        <w:t xml:space="preserve"> exista</w:t>
      </w:r>
      <w:r w:rsidR="009029D4" w:rsidRPr="00700D7C">
        <w:rPr>
          <w:rFonts w:ascii="Bookman Old Style" w:hAnsi="Bookman Old Style" w:cs="Arial"/>
          <w:color w:val="000000"/>
          <w:lang w:val="es-CO" w:eastAsia="es-CO"/>
        </w:rPr>
        <w:t>n pendientes superiores al 30%</w:t>
      </w:r>
      <w:r w:rsidR="009029D4">
        <w:rPr>
          <w:rFonts w:ascii="Bookman Old Style" w:hAnsi="Bookman Old Style" w:cs="Arial"/>
          <w:color w:val="000000"/>
          <w:lang w:val="es-CO" w:eastAsia="es-CO"/>
        </w:rPr>
        <w:t xml:space="preserve"> y por lo tanto condiciones de terreno extremo.</w:t>
      </w:r>
    </w:p>
    <w:p w:rsidR="009029D4" w:rsidRPr="005901DF" w:rsidRDefault="009029D4" w:rsidP="009029D4">
      <w:pPr>
        <w:ind w:left="0"/>
        <w:jc w:val="both"/>
        <w:rPr>
          <w:rFonts w:ascii="Bookman Old Style" w:hAnsi="Bookman Old Style" w:cs="Arial"/>
          <w:color w:val="000000"/>
          <w:sz w:val="16"/>
          <w:highlight w:val="yellow"/>
          <w:lang w:val="es-CO" w:eastAsia="es-CO"/>
        </w:rPr>
      </w:pPr>
    </w:p>
    <w:p w:rsidR="009029D4" w:rsidRDefault="009029D4" w:rsidP="009029D4">
      <w:pPr>
        <w:ind w:left="0"/>
        <w:jc w:val="both"/>
        <w:rPr>
          <w:rFonts w:ascii="Bookman Old Style" w:hAnsi="Bookman Old Style"/>
        </w:rPr>
      </w:pPr>
      <w:r w:rsidRPr="00700D7C">
        <w:rPr>
          <w:rFonts w:ascii="Bookman Old Style" w:hAnsi="Bookman Old Style" w:cs="Arial"/>
          <w:color w:val="000000"/>
          <w:lang w:val="es-CO" w:eastAsia="es-CO"/>
        </w:rPr>
        <w:t xml:space="preserve">Por lo anterior, </w:t>
      </w:r>
      <w:r w:rsidR="00A876A3">
        <w:rPr>
          <w:rFonts w:ascii="Bookman Old Style" w:hAnsi="Bookman Old Style" w:cs="Arial"/>
          <w:color w:val="000000"/>
          <w:lang w:val="es-CO" w:eastAsia="es-CO"/>
        </w:rPr>
        <w:t>no se ha de modificar</w:t>
      </w:r>
      <w:r w:rsidRPr="00700D7C">
        <w:rPr>
          <w:rFonts w:ascii="Bookman Old Style" w:hAnsi="Bookman Old Style" w:cs="Arial"/>
          <w:color w:val="000000"/>
          <w:lang w:val="es-CO" w:eastAsia="es-CO"/>
        </w:rPr>
        <w:t xml:space="preserve"> la valoración del </w:t>
      </w:r>
      <w:r w:rsidR="00A876A3">
        <w:rPr>
          <w:rFonts w:ascii="Bookman Old Style" w:hAnsi="Bookman Old Style" w:cs="Arial"/>
          <w:color w:val="000000"/>
          <w:lang w:val="es-CO" w:eastAsia="es-CO"/>
        </w:rPr>
        <w:t xml:space="preserve">valor eficiente de la inversión, así como </w:t>
      </w:r>
      <w:r w:rsidRPr="00700D7C">
        <w:rPr>
          <w:rFonts w:ascii="Bookman Old Style" w:hAnsi="Bookman Old Style" w:cs="Arial"/>
          <w:color w:val="000000"/>
          <w:lang w:val="es-CO" w:eastAsia="es-CO"/>
        </w:rPr>
        <w:t>el cálculo tarifario. En estos términos,</w:t>
      </w:r>
      <w:r w:rsidRPr="00700D7C">
        <w:rPr>
          <w:rFonts w:ascii="Bookman Old Style" w:hAnsi="Bookman Old Style"/>
        </w:rPr>
        <w:t xml:space="preserve"> habrá de </w:t>
      </w:r>
      <w:r w:rsidR="00A876A3">
        <w:rPr>
          <w:rFonts w:ascii="Bookman Old Style" w:hAnsi="Bookman Old Style"/>
        </w:rPr>
        <w:t>confirmarse</w:t>
      </w:r>
      <w:r w:rsidR="00865882">
        <w:rPr>
          <w:rFonts w:ascii="Bookman Old Style" w:hAnsi="Bookman Old Style"/>
        </w:rPr>
        <w:t xml:space="preserve"> el valor de la inversión</w:t>
      </w:r>
      <w:r w:rsidRPr="00700D7C">
        <w:rPr>
          <w:rFonts w:ascii="Bookman Old Style" w:hAnsi="Bookman Old Style"/>
        </w:rPr>
        <w:t xml:space="preserve"> reconocida </w:t>
      </w:r>
      <w:r>
        <w:rPr>
          <w:rFonts w:ascii="Bookman Old Style" w:hAnsi="Bookman Old Style"/>
        </w:rPr>
        <w:t>en la Resolución CREG 14</w:t>
      </w:r>
      <w:r w:rsidR="00A876A3">
        <w:rPr>
          <w:rFonts w:ascii="Bookman Old Style" w:hAnsi="Bookman Old Style"/>
        </w:rPr>
        <w:t>6</w:t>
      </w:r>
      <w:r w:rsidRPr="00700D7C">
        <w:rPr>
          <w:rFonts w:ascii="Bookman Old Style" w:hAnsi="Bookman Old Style"/>
        </w:rPr>
        <w:t xml:space="preserve"> de 2012.</w:t>
      </w:r>
    </w:p>
    <w:p w:rsidR="009029D4" w:rsidRPr="005901DF" w:rsidRDefault="009029D4" w:rsidP="009029D4">
      <w:pPr>
        <w:ind w:left="0"/>
        <w:jc w:val="both"/>
        <w:rPr>
          <w:rFonts w:ascii="Bookman Old Style" w:hAnsi="Bookman Old Style"/>
          <w:sz w:val="18"/>
        </w:rPr>
      </w:pPr>
    </w:p>
    <w:p w:rsidR="009029D4" w:rsidRPr="00B4326E" w:rsidRDefault="009029D4" w:rsidP="009029D4">
      <w:pPr>
        <w:pStyle w:val="Textoindependiente2"/>
        <w:spacing w:after="0" w:line="240" w:lineRule="auto"/>
        <w:ind w:left="0"/>
        <w:jc w:val="both"/>
        <w:rPr>
          <w:rFonts w:ascii="Bookman Old Style" w:hAnsi="Bookman Old Style"/>
        </w:rPr>
      </w:pPr>
      <w:r>
        <w:rPr>
          <w:rFonts w:ascii="Bookman Old Style" w:hAnsi="Bookman Old Style"/>
        </w:rPr>
        <w:t xml:space="preserve">Ahora bien, de acuerdo con lo expuesto y respecto de la solicitud de la recurrente en relación con el decreto </w:t>
      </w:r>
      <w:r w:rsidRPr="00B4326E">
        <w:rPr>
          <w:rFonts w:ascii="Bookman Old Style" w:hAnsi="Bookman Old Style"/>
        </w:rPr>
        <w:t xml:space="preserve">de </w:t>
      </w:r>
      <w:r>
        <w:rPr>
          <w:rFonts w:ascii="Bookman Old Style" w:hAnsi="Bookman Old Style"/>
        </w:rPr>
        <w:t xml:space="preserve">aquellas </w:t>
      </w:r>
      <w:r w:rsidRPr="00B4326E">
        <w:rPr>
          <w:rFonts w:ascii="Bookman Old Style" w:hAnsi="Bookman Old Style"/>
        </w:rPr>
        <w:t xml:space="preserve">pruebas de oficio que se consideren idóneas </w:t>
      </w:r>
      <w:r>
        <w:rPr>
          <w:rFonts w:ascii="Bookman Old Style" w:hAnsi="Bookman Old Style"/>
        </w:rPr>
        <w:t>a fin de demostrar</w:t>
      </w:r>
      <w:r w:rsidRPr="00B4326E">
        <w:rPr>
          <w:rFonts w:ascii="Bookman Old Style" w:hAnsi="Bookman Old Style"/>
        </w:rPr>
        <w:t xml:space="preserve"> l</w:t>
      </w:r>
      <w:r>
        <w:rPr>
          <w:rFonts w:ascii="Bookman Old Style" w:hAnsi="Bookman Old Style"/>
        </w:rPr>
        <w:t xml:space="preserve">a existencia de terreno extremo, </w:t>
      </w:r>
      <w:r w:rsidRPr="00B4326E">
        <w:rPr>
          <w:rFonts w:ascii="Bookman Old Style" w:hAnsi="Bookman Old Style"/>
        </w:rPr>
        <w:t xml:space="preserve">la Comisión </w:t>
      </w:r>
      <w:r>
        <w:rPr>
          <w:rFonts w:ascii="Bookman Old Style" w:hAnsi="Bookman Old Style"/>
        </w:rPr>
        <w:t>establece</w:t>
      </w:r>
      <w:r w:rsidRPr="00B4326E">
        <w:rPr>
          <w:rFonts w:ascii="Bookman Old Style" w:hAnsi="Bookman Old Style"/>
        </w:rPr>
        <w:t xml:space="preserve"> que no requiere de elementos adicionales o de otros medios probatorios para evaluar y resolver las consideraciones hechas </w:t>
      </w:r>
      <w:r>
        <w:rPr>
          <w:rFonts w:ascii="Bookman Old Style" w:hAnsi="Bookman Old Style"/>
        </w:rPr>
        <w:t>dentro del recurso</w:t>
      </w:r>
      <w:r w:rsidRPr="00B4326E">
        <w:rPr>
          <w:rFonts w:ascii="Bookman Old Style" w:hAnsi="Bookman Old Style"/>
        </w:rPr>
        <w:t xml:space="preserve">, </w:t>
      </w:r>
      <w:r>
        <w:rPr>
          <w:rFonts w:ascii="Bookman Old Style" w:hAnsi="Bookman Old Style"/>
        </w:rPr>
        <w:t xml:space="preserve">ya que cuenta </w:t>
      </w:r>
      <w:r w:rsidRPr="00B4326E">
        <w:rPr>
          <w:rFonts w:ascii="Bookman Old Style" w:hAnsi="Bookman Old Style"/>
        </w:rPr>
        <w:t>con los elementos necesarios para proferir una decisión en la presente actuación administrativa.</w:t>
      </w:r>
    </w:p>
    <w:p w:rsidR="009029D4" w:rsidRPr="005901DF" w:rsidRDefault="009029D4" w:rsidP="009029D4">
      <w:pPr>
        <w:pStyle w:val="Textoindependiente2"/>
        <w:spacing w:after="0" w:line="240" w:lineRule="auto"/>
        <w:ind w:left="0"/>
        <w:jc w:val="both"/>
        <w:rPr>
          <w:rFonts w:ascii="Bookman Old Style" w:hAnsi="Bookman Old Style"/>
          <w:sz w:val="20"/>
        </w:rPr>
      </w:pPr>
    </w:p>
    <w:p w:rsidR="009029D4" w:rsidRDefault="009029D4" w:rsidP="009029D4">
      <w:pPr>
        <w:pStyle w:val="Textoindependiente2"/>
        <w:spacing w:after="0" w:line="240" w:lineRule="auto"/>
        <w:ind w:left="0"/>
        <w:jc w:val="both"/>
        <w:rPr>
          <w:rFonts w:ascii="Bookman Old Style" w:hAnsi="Bookman Old Style"/>
        </w:rPr>
      </w:pPr>
      <w:r>
        <w:rPr>
          <w:rFonts w:ascii="Bookman Old Style" w:hAnsi="Bookman Old Style"/>
        </w:rPr>
        <w:t xml:space="preserve">No procede el decreto de pruebas de oficio, en la medida </w:t>
      </w:r>
      <w:r w:rsidR="00266352">
        <w:rPr>
          <w:rFonts w:ascii="Bookman Old Style" w:hAnsi="Bookman Old Style"/>
        </w:rPr>
        <w:t xml:space="preserve">en </w:t>
      </w:r>
      <w:r>
        <w:rPr>
          <w:rFonts w:ascii="Bookman Old Style" w:hAnsi="Bookman Old Style"/>
        </w:rPr>
        <w:t>que no se evidencia que dichas pruebas cumplan con los requisitos intrínsecos relativos a la necesidad y la utilidad</w:t>
      </w:r>
      <w:r w:rsidRPr="00CD0A51">
        <w:rPr>
          <w:rFonts w:ascii="Bookman Old Style" w:hAnsi="Bookman Old Style"/>
        </w:rPr>
        <w:t xml:space="preserve">, </w:t>
      </w:r>
      <w:r>
        <w:rPr>
          <w:rFonts w:ascii="Bookman Old Style" w:hAnsi="Bookman Old Style"/>
        </w:rPr>
        <w:t>esto a fin de establecer que la administración requiere</w:t>
      </w:r>
      <w:r w:rsidRPr="00CD0A51">
        <w:rPr>
          <w:rFonts w:ascii="Bookman Old Style" w:hAnsi="Bookman Old Style"/>
        </w:rPr>
        <w:t xml:space="preserve"> de otros elementos o medios probatorios para que pueda tomar una decisión en cuanto a los argumentos y hechos que son objeto del recurso.</w:t>
      </w:r>
    </w:p>
    <w:p w:rsidR="009029D4" w:rsidRPr="005901DF" w:rsidRDefault="009029D4" w:rsidP="009029D4">
      <w:pPr>
        <w:pStyle w:val="Textoindependiente2"/>
        <w:spacing w:after="0" w:line="240" w:lineRule="auto"/>
        <w:ind w:left="0"/>
        <w:jc w:val="both"/>
        <w:rPr>
          <w:rFonts w:ascii="Bookman Old Style" w:hAnsi="Bookman Old Style"/>
          <w:sz w:val="20"/>
        </w:rPr>
      </w:pPr>
    </w:p>
    <w:p w:rsidR="009029D4"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Finalmente y en relación con </w:t>
      </w:r>
      <w:r>
        <w:rPr>
          <w:rFonts w:ascii="Bookman Old Style" w:hAnsi="Bookman Old Style" w:cs="Times New Roman"/>
          <w:sz w:val="24"/>
          <w:szCs w:val="24"/>
          <w:lang w:val="es-ES" w:eastAsia="es-ES"/>
        </w:rPr>
        <w:t>las</w:t>
      </w:r>
      <w:r w:rsidRPr="00B4326E">
        <w:rPr>
          <w:rFonts w:ascii="Bookman Old Style" w:hAnsi="Bookman Old Style" w:cs="Times New Roman"/>
          <w:sz w:val="24"/>
          <w:szCs w:val="24"/>
          <w:lang w:val="es-ES" w:eastAsia="es-ES"/>
        </w:rPr>
        <w:t xml:space="preserve"> petici</w:t>
      </w:r>
      <w:r>
        <w:rPr>
          <w:rFonts w:ascii="Bookman Old Style" w:hAnsi="Bookman Old Style" w:cs="Times New Roman"/>
          <w:sz w:val="24"/>
          <w:szCs w:val="24"/>
          <w:lang w:val="es-ES" w:eastAsia="es-ES"/>
        </w:rPr>
        <w:t>ones hechas por el recurrente y los argumentos que las sustentan</w:t>
      </w:r>
      <w:r w:rsidRPr="00B4326E">
        <w:rPr>
          <w:rFonts w:ascii="Bookman Old Style" w:hAnsi="Bookman Old Style" w:cs="Times New Roman"/>
          <w:sz w:val="24"/>
          <w:szCs w:val="24"/>
          <w:lang w:val="es-ES" w:eastAsia="es-ES"/>
        </w:rPr>
        <w:t>, se debe indicar que el actuar de la Comisión no puede realizarse en desconocimiento de los criterios tarifarios, en especial el de eficiencia económica, ya que esto iría en contra de la finalidad constitucional que rige la prestación de los servicios públicos domiciliarios, debido a que la Honorable Corte Constitucional ha considerado dentro de su jurisprudencia</w:t>
      </w:r>
      <w:r w:rsidRPr="00B4326E">
        <w:rPr>
          <w:rFonts w:ascii="Bookman Old Style" w:hAnsi="Bookman Old Style" w:cs="Times New Roman"/>
          <w:sz w:val="24"/>
          <w:szCs w:val="24"/>
          <w:vertAlign w:val="superscript"/>
          <w:lang w:val="es-ES" w:eastAsia="es-ES"/>
        </w:rPr>
        <w:footnoteReference w:id="7"/>
      </w:r>
      <w:r w:rsidRPr="00B4326E">
        <w:rPr>
          <w:rFonts w:ascii="Bookman Old Style" w:hAnsi="Bookman Old Style" w:cs="Times New Roman"/>
          <w:sz w:val="24"/>
          <w:szCs w:val="24"/>
          <w:lang w:val="es-ES" w:eastAsia="es-ES"/>
        </w:rPr>
        <w:t xml:space="preserve"> </w:t>
      </w:r>
      <w:r w:rsidRPr="00B4326E">
        <w:rPr>
          <w:rFonts w:ascii="Bookman Old Style" w:hAnsi="Bookman Old Style" w:cs="Times New Roman"/>
          <w:sz w:val="24"/>
          <w:szCs w:val="24"/>
          <w:lang w:val="es-ES" w:eastAsia="es-ES"/>
        </w:rPr>
        <w:lastRenderedPageBreak/>
        <w:t>que estos se caracterizan por tener una connotación eminentemente social, en tanto que pretenden el bienestar y mejoramiento de la calidad de vida de las personas y por ello su prestación debe ser eficiente; por lo que su régimen tarifario consultará, además de los criterios de costos, los de solidaridad y redistribución de ingresos, siendo obligación del Estado garantizar su prestación eficiente.</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La prestación eficiente se ha entendido como la garantía que brinda el Estado de asegurar que las empresas que proporcionen el servicio lo hagan de manera eficiente, completa y atendiendo las necesidades básicas de la población. Teniendo en cuenta que la prestación del servicio ha de ser eficiente y que debe respetar los principios de solidaridad y universalidad, las empresas que proporcionan el bien o servicio no pueden trabajar a pérdida, es decir, deben recuperar los costos en que incurran y asegurarse de obtener recursos para poder invertir en el mismo sector con el fin de tener unos mínimos beneficios que se traduzcan en mayor competitividad y mejores beneficios para los usuarios.</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18"/>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Sin embargo, esta prestación eficiente asociada al régimen tarifario debe atender los principios de eficiencia económica y suficiencia financiera. Por tanto, deben reflejar los costos y gastos propios de la operación. </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18"/>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Esto está directamente relacionado con la eficiencia económica, de acuerdo con el artículo 87 de la Ley 142 de 1994. Análisis hechos por la Honorable Corte Constitucional han dispuesto que su contenido comprende los siguientes elementos:</w:t>
      </w:r>
    </w:p>
    <w:p w:rsidR="009029D4" w:rsidRPr="005901DF" w:rsidRDefault="009029D4" w:rsidP="009029D4">
      <w:pPr>
        <w:ind w:left="0"/>
        <w:jc w:val="both"/>
        <w:rPr>
          <w:rFonts w:ascii="Bookman Old Style" w:eastAsia="Calibri" w:hAnsi="Bookman Old Style"/>
          <w:sz w:val="18"/>
          <w:lang w:val="es-ES_tradnl" w:eastAsia="en-US"/>
        </w:rPr>
      </w:pPr>
    </w:p>
    <w:p w:rsidR="009029D4" w:rsidRPr="00B4326E" w:rsidRDefault="009029D4" w:rsidP="009029D4">
      <w:pPr>
        <w:jc w:val="both"/>
        <w:rPr>
          <w:rFonts w:ascii="Bookman Old Style" w:eastAsia="Calibri" w:hAnsi="Bookman Old Style"/>
          <w:i/>
          <w:sz w:val="22"/>
          <w:szCs w:val="22"/>
          <w:lang w:val="es-ES_tradnl" w:eastAsia="en-US"/>
        </w:rPr>
      </w:pPr>
      <w:r w:rsidRPr="00B4326E">
        <w:rPr>
          <w:rFonts w:ascii="Bookman Old Style" w:eastAsia="Calibri" w:hAnsi="Bookman Old Style"/>
          <w:i/>
          <w:sz w:val="22"/>
          <w:szCs w:val="22"/>
          <w:lang w:val="es-ES_tradnl" w:eastAsia="en-US"/>
        </w:rPr>
        <w:t xml:space="preserve">“la eficiencia económica consiste en que: (i) </w:t>
      </w:r>
      <w:r w:rsidRPr="00B4326E">
        <w:rPr>
          <w:rFonts w:ascii="Bookman Old Style" w:eastAsia="Calibri" w:hAnsi="Bookman Old Style"/>
          <w:b/>
          <w:i/>
          <w:sz w:val="22"/>
          <w:szCs w:val="22"/>
          <w:lang w:val="es-ES_tradnl" w:eastAsia="en-US"/>
        </w:rPr>
        <w:t>las tarifas de los servicios públicos se aproximen a lo que serían los precios de un mercado competitivo; (ii) las fórmulas tarifarias tengan en cuenta los costos y los aumentos de productividad esperados;</w:t>
      </w:r>
      <w:r w:rsidRPr="00B4326E">
        <w:rPr>
          <w:rFonts w:ascii="Bookman Old Style" w:eastAsia="Calibri" w:hAnsi="Bookman Old Style"/>
          <w:i/>
          <w:sz w:val="22"/>
          <w:szCs w:val="22"/>
          <w:lang w:val="es-ES_tradnl" w:eastAsia="en-US"/>
        </w:rPr>
        <w:t xml:space="preserve"> (iii) </w:t>
      </w:r>
      <w:r w:rsidRPr="00B4326E">
        <w:rPr>
          <w:rFonts w:ascii="Bookman Old Style" w:eastAsia="Calibri" w:hAnsi="Bookman Old Style"/>
          <w:b/>
          <w:i/>
          <w:sz w:val="22"/>
          <w:szCs w:val="22"/>
          <w:lang w:val="es-ES_tradnl" w:eastAsia="en-US"/>
        </w:rPr>
        <w:t>los aumentos de productividad esperados se distribuyan entre la empresa y los usuarios tal como ocurriría en un mercado competitivo</w:t>
      </w:r>
      <w:r w:rsidRPr="00B4326E">
        <w:rPr>
          <w:rFonts w:ascii="Bookman Old Style" w:eastAsia="Calibri" w:hAnsi="Bookman Old Style"/>
          <w:b/>
          <w:i/>
          <w:sz w:val="22"/>
          <w:szCs w:val="22"/>
          <w:u w:val="single"/>
          <w:lang w:val="es-ES_tradnl" w:eastAsia="en-US"/>
        </w:rPr>
        <w:t>;</w:t>
      </w:r>
      <w:r w:rsidRPr="00B4326E">
        <w:rPr>
          <w:rFonts w:ascii="Bookman Old Style" w:eastAsia="Calibri" w:hAnsi="Bookman Old Style"/>
          <w:i/>
          <w:sz w:val="22"/>
          <w:szCs w:val="22"/>
          <w:lang w:val="es-ES_tradnl" w:eastAsia="en-US"/>
        </w:rPr>
        <w:t xml:space="preserve"> (</w:t>
      </w:r>
      <w:r w:rsidRPr="00B4326E">
        <w:rPr>
          <w:rFonts w:ascii="Bookman Old Style" w:eastAsia="Calibri" w:hAnsi="Bookman Old Style"/>
          <w:b/>
          <w:i/>
          <w:sz w:val="22"/>
          <w:szCs w:val="22"/>
          <w:u w:val="single"/>
          <w:lang w:val="es-ES_tradnl" w:eastAsia="en-US"/>
        </w:rPr>
        <w:t>iv) las fórmulas tarifarias no trasladen a los usuarios los costos de una gestión ineficiente;</w:t>
      </w:r>
      <w:r w:rsidRPr="00B4326E">
        <w:rPr>
          <w:rFonts w:ascii="Bookman Old Style" w:eastAsia="Calibri" w:hAnsi="Bookman Old Style"/>
          <w:i/>
          <w:sz w:val="22"/>
          <w:szCs w:val="22"/>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B4326E">
        <w:rPr>
          <w:rFonts w:ascii="Bookman Old Style" w:eastAsia="Calibri" w:hAnsi="Bookman Old Style"/>
          <w:b/>
          <w:i/>
          <w:sz w:val="22"/>
          <w:szCs w:val="22"/>
          <w:lang w:val="es-ES_tradnl" w:eastAsia="en-US"/>
        </w:rPr>
        <w:t>la estructura de los costos económicos de prestar el servicio</w:t>
      </w:r>
      <w:r w:rsidRPr="00B4326E">
        <w:rPr>
          <w:rFonts w:ascii="Bookman Old Style" w:eastAsia="Calibri" w:hAnsi="Bookman Old Style"/>
          <w:i/>
          <w:sz w:val="22"/>
          <w:szCs w:val="22"/>
          <w:lang w:val="es-ES_tradnl" w:eastAsia="en-US"/>
        </w:rPr>
        <w:t xml:space="preserve">, </w:t>
      </w:r>
      <w:r w:rsidRPr="00B4326E">
        <w:rPr>
          <w:rFonts w:ascii="Bookman Old Style" w:eastAsia="Calibri" w:hAnsi="Bookman Old Style"/>
          <w:b/>
          <w:i/>
          <w:sz w:val="22"/>
          <w:szCs w:val="22"/>
          <w:lang w:val="es-ES_tradnl" w:eastAsia="en-US"/>
        </w:rPr>
        <w:t>como la demanda por éste" versa sobre el ámbito de aplicación de los anteriores elemento</w:t>
      </w:r>
      <w:r w:rsidRPr="00B4326E">
        <w:rPr>
          <w:rFonts w:ascii="Bookman Old Style" w:eastAsia="Calibri" w:hAnsi="Bookman Old Style"/>
          <w:i/>
          <w:sz w:val="22"/>
          <w:szCs w:val="22"/>
          <w:lang w:val="es-ES_tradnl" w:eastAsia="en-US"/>
        </w:rPr>
        <w:t>s”. (Resaltado fuera de texto)</w:t>
      </w:r>
    </w:p>
    <w:p w:rsidR="009029D4" w:rsidRPr="005901DF" w:rsidRDefault="009029D4" w:rsidP="009029D4">
      <w:pPr>
        <w:pStyle w:val="Style13"/>
        <w:shd w:val="clear" w:color="auto" w:fill="auto"/>
        <w:spacing w:line="240" w:lineRule="auto"/>
        <w:ind w:firstLine="0"/>
        <w:rPr>
          <w:rFonts w:ascii="Bookman Old Style" w:hAnsi="Bookman Old Style" w:cs="Times New Roman"/>
          <w:sz w:val="18"/>
          <w:szCs w:val="24"/>
          <w:lang w:val="es-ES" w:eastAsia="es-ES"/>
        </w:rPr>
      </w:pPr>
    </w:p>
    <w:p w:rsidR="009029D4" w:rsidRPr="00B4326E" w:rsidRDefault="009029D4" w:rsidP="009029D4">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De acuerdo con estos elementos la Corte ha considerado que en relación con el principio constitucional de prestación eficiente de los servicios públicos, como aplicación del criterio de eficiencia económica, dentro de las tarifas no se han de trasladar costos a los usuarios por una gestión ineficiente.</w:t>
      </w:r>
    </w:p>
    <w:p w:rsidR="009029D4" w:rsidRPr="005901DF" w:rsidRDefault="009029D4" w:rsidP="009029D4">
      <w:pPr>
        <w:pStyle w:val="Style13"/>
        <w:shd w:val="clear" w:color="auto" w:fill="auto"/>
        <w:spacing w:line="240" w:lineRule="auto"/>
        <w:ind w:firstLine="0"/>
        <w:rPr>
          <w:rFonts w:ascii="Bookman Old Style" w:hAnsi="Bookman Old Style" w:cs="Times New Roman"/>
          <w:sz w:val="20"/>
          <w:szCs w:val="24"/>
          <w:lang w:val="es-ES" w:eastAsia="es-ES"/>
        </w:rPr>
      </w:pPr>
    </w:p>
    <w:p w:rsidR="009029D4" w:rsidRPr="00B4326E" w:rsidRDefault="009029D4" w:rsidP="009029D4">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 por esto que la Comisión debe aplicar el criterio de eficiencia económica ligado con el alcance constitucional que éste tiene en materia de servicios públicos, conforme a los elementos que lo componen</w:t>
      </w:r>
      <w:r>
        <w:rPr>
          <w:rFonts w:ascii="Bookman Old Style" w:hAnsi="Bookman Old Style" w:cs="Times New Roman"/>
          <w:sz w:val="24"/>
          <w:szCs w:val="24"/>
          <w:lang w:val="es-ES" w:eastAsia="es-ES"/>
        </w:rPr>
        <w:t>.</w:t>
      </w:r>
      <w:r w:rsidRPr="00B4326E">
        <w:rPr>
          <w:rFonts w:ascii="Bookman Old Style" w:hAnsi="Bookman Old Style" w:cs="Times New Roman"/>
          <w:sz w:val="24"/>
          <w:szCs w:val="24"/>
          <w:lang w:val="es-ES" w:eastAsia="es-ES"/>
        </w:rPr>
        <w:t xml:space="preserve"> </w:t>
      </w:r>
      <w:r>
        <w:rPr>
          <w:rFonts w:ascii="Bookman Old Style" w:hAnsi="Bookman Old Style" w:cs="Times New Roman"/>
          <w:sz w:val="24"/>
          <w:szCs w:val="24"/>
          <w:lang w:val="es-ES" w:eastAsia="es-ES"/>
        </w:rPr>
        <w:t>E</w:t>
      </w:r>
      <w:r w:rsidRPr="00B4326E">
        <w:rPr>
          <w:rFonts w:ascii="Bookman Old Style" w:hAnsi="Bookman Old Style" w:cs="Times New Roman"/>
          <w:sz w:val="24"/>
          <w:szCs w:val="24"/>
          <w:lang w:val="es-ES" w:eastAsia="es-ES"/>
        </w:rPr>
        <w:t>n virtud de la referencia anterior, la Honorable Corte Constitucional ha precisado lo siguiente:</w:t>
      </w:r>
    </w:p>
    <w:p w:rsidR="009029D4" w:rsidRPr="005901DF" w:rsidRDefault="009029D4" w:rsidP="009029D4">
      <w:pPr>
        <w:ind w:left="0"/>
        <w:jc w:val="both"/>
        <w:rPr>
          <w:rFonts w:ascii="Bookman Old Style" w:eastAsia="Calibri" w:hAnsi="Bookman Old Style"/>
          <w:i/>
          <w:sz w:val="18"/>
          <w:lang w:val="es-ES_tradnl" w:eastAsia="en-US"/>
        </w:rPr>
      </w:pPr>
    </w:p>
    <w:p w:rsidR="009029D4" w:rsidRPr="00B4326E" w:rsidRDefault="009029D4" w:rsidP="009029D4">
      <w:pPr>
        <w:jc w:val="both"/>
        <w:rPr>
          <w:rFonts w:ascii="Bookman Old Style" w:eastAsia="Calibri" w:hAnsi="Bookman Old Style"/>
          <w:b/>
          <w:i/>
          <w:sz w:val="22"/>
          <w:szCs w:val="22"/>
          <w:u w:val="single"/>
          <w:lang w:val="es-ES_tradnl" w:eastAsia="en-US"/>
        </w:rPr>
      </w:pPr>
      <w:r w:rsidRPr="00B4326E">
        <w:rPr>
          <w:rFonts w:ascii="Bookman Old Style" w:eastAsia="Calibri" w:hAnsi="Bookman Old Style"/>
          <w:i/>
          <w:sz w:val="22"/>
          <w:szCs w:val="22"/>
          <w:lang w:val="es-ES_tradnl" w:eastAsia="en-US"/>
        </w:rPr>
        <w:t xml:space="preserve">“4.5.2.2.4. En un mercado competitivo el incremento del precio como resultado de la ineficiencia, conlleva un riesgo, a saber, que el productor pierda participación en </w:t>
      </w:r>
      <w:r w:rsidRPr="00B4326E">
        <w:rPr>
          <w:rFonts w:ascii="Bookman Old Style" w:eastAsia="Calibri" w:hAnsi="Bookman Old Style"/>
          <w:i/>
          <w:sz w:val="22"/>
          <w:szCs w:val="22"/>
          <w:lang w:val="es-ES_tradnl" w:eastAsia="en-US"/>
        </w:rPr>
        <w:lastRenderedPageBreak/>
        <w:t xml:space="preserve">el mercado debido a que sus precios serán superiores a los de sus competidores. </w:t>
      </w:r>
      <w:r w:rsidRPr="00B4326E">
        <w:rPr>
          <w:rFonts w:ascii="Bookman Old Style" w:eastAsia="Calibri" w:hAnsi="Bookman Old Style"/>
          <w:b/>
          <w:i/>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rsidR="009029D4" w:rsidRPr="005901DF" w:rsidRDefault="009029D4" w:rsidP="009029D4">
      <w:pPr>
        <w:jc w:val="both"/>
        <w:rPr>
          <w:rFonts w:ascii="Bookman Old Style" w:eastAsia="Calibri" w:hAnsi="Bookman Old Style"/>
          <w:i/>
          <w:sz w:val="18"/>
          <w:szCs w:val="22"/>
          <w:lang w:val="es-ES_tradnl" w:eastAsia="en-US"/>
        </w:rPr>
      </w:pPr>
    </w:p>
    <w:p w:rsidR="009029D4" w:rsidRPr="00B4326E" w:rsidRDefault="009029D4" w:rsidP="009029D4">
      <w:pPr>
        <w:jc w:val="both"/>
        <w:rPr>
          <w:rFonts w:ascii="Bookman Old Style" w:eastAsia="Calibri" w:hAnsi="Bookman Old Style"/>
          <w:i/>
          <w:sz w:val="22"/>
          <w:szCs w:val="22"/>
          <w:lang w:val="es-ES_tradnl" w:eastAsia="en-US"/>
        </w:rPr>
      </w:pPr>
      <w:r w:rsidRPr="00B4326E">
        <w:rPr>
          <w:rFonts w:ascii="Bookman Old Style" w:eastAsia="Calibri" w:hAnsi="Bookman Old Style"/>
          <w:i/>
          <w:sz w:val="22"/>
          <w:szCs w:val="22"/>
          <w:lang w:val="es-ES_tradnl" w:eastAsia="en-US"/>
        </w:rPr>
        <w:t xml:space="preserve">(..) </w:t>
      </w:r>
    </w:p>
    <w:p w:rsidR="009029D4" w:rsidRPr="005901DF" w:rsidRDefault="009029D4" w:rsidP="009029D4">
      <w:pPr>
        <w:jc w:val="both"/>
        <w:rPr>
          <w:rFonts w:ascii="Bookman Old Style" w:eastAsia="Calibri" w:hAnsi="Bookman Old Style"/>
          <w:i/>
          <w:sz w:val="18"/>
          <w:szCs w:val="22"/>
          <w:lang w:val="es-ES_tradnl" w:eastAsia="en-US"/>
        </w:rPr>
      </w:pPr>
    </w:p>
    <w:p w:rsidR="009029D4" w:rsidRPr="00B4326E" w:rsidRDefault="009029D4" w:rsidP="005901DF">
      <w:pPr>
        <w:jc w:val="both"/>
        <w:rPr>
          <w:rFonts w:ascii="Bookman Old Style" w:eastAsia="Calibri" w:hAnsi="Bookman Old Style"/>
          <w:i/>
          <w:sz w:val="22"/>
          <w:szCs w:val="22"/>
          <w:lang w:val="es-ES_tradnl" w:eastAsia="en-US"/>
        </w:rPr>
      </w:pPr>
      <w:r w:rsidRPr="00B4326E">
        <w:rPr>
          <w:rFonts w:ascii="Bookman Old Style" w:eastAsia="Calibri" w:hAnsi="Bookman Old Style"/>
          <w:i/>
          <w:sz w:val="22"/>
          <w:szCs w:val="22"/>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B4326E">
        <w:rPr>
          <w:rFonts w:ascii="Bookman Old Style" w:eastAsia="Calibri" w:hAnsi="Bookman Old Style"/>
          <w:b/>
          <w:i/>
          <w:sz w:val="22"/>
          <w:szCs w:val="22"/>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B4326E">
        <w:rPr>
          <w:rFonts w:ascii="Bookman Old Style" w:eastAsia="Calibri" w:hAnsi="Bookman Old Style"/>
          <w:i/>
          <w:sz w:val="22"/>
          <w:szCs w:val="22"/>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B4326E">
        <w:rPr>
          <w:rFonts w:ascii="Bookman Old Style" w:eastAsia="Calibri" w:hAnsi="Bookman Old Style"/>
          <w:b/>
          <w:i/>
          <w:sz w:val="22"/>
          <w:szCs w:val="22"/>
          <w:u w:val="single"/>
          <w:lang w:val="es-ES_tradnl" w:eastAsia="en-US"/>
        </w:rPr>
        <w:t xml:space="preserve">y cómo se logra que la autoridad de regulación propenda por ella, siempre que no adopte decisiones manifiestamente irrazonables o contrarias a mandatos o prohibiciones contenidos en la Carta. </w:t>
      </w:r>
      <w:r w:rsidRPr="00B4326E">
        <w:rPr>
          <w:rFonts w:ascii="Bookman Old Style" w:eastAsia="Calibri" w:hAnsi="Bookman Old Style"/>
          <w:i/>
          <w:sz w:val="22"/>
          <w:szCs w:val="22"/>
          <w:lang w:val="es-ES_tradnl" w:eastAsia="en-US"/>
        </w:rPr>
        <w:t xml:space="preserve">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w:t>
      </w:r>
      <w:r w:rsidR="005901DF">
        <w:rPr>
          <w:rFonts w:ascii="Bookman Old Style" w:eastAsia="Calibri" w:hAnsi="Bookman Old Style"/>
          <w:i/>
          <w:sz w:val="22"/>
          <w:szCs w:val="22"/>
          <w:lang w:val="es-ES_tradnl" w:eastAsia="en-US"/>
        </w:rPr>
        <w:t>d</w:t>
      </w:r>
      <w:r w:rsidRPr="00B4326E">
        <w:rPr>
          <w:rFonts w:ascii="Bookman Old Style" w:eastAsia="Calibri" w:hAnsi="Bookman Old Style"/>
          <w:i/>
          <w:sz w:val="22"/>
          <w:szCs w:val="22"/>
          <w:lang w:val="es-ES_tradnl" w:eastAsia="en-US"/>
        </w:rPr>
        <w:t>eje de ser un derecho en beneficio de todos. Por ello, se declarará su exequibilidad”</w:t>
      </w:r>
      <w:r w:rsidRPr="00B4326E">
        <w:rPr>
          <w:rFonts w:ascii="Bookman Old Style" w:eastAsia="Calibri" w:hAnsi="Bookman Old Style"/>
          <w:i/>
          <w:sz w:val="22"/>
          <w:szCs w:val="22"/>
          <w:vertAlign w:val="superscript"/>
          <w:lang w:val="es-ES_tradnl" w:eastAsia="en-US"/>
        </w:rPr>
        <w:footnoteReference w:id="8"/>
      </w:r>
      <w:r w:rsidRPr="00B4326E">
        <w:rPr>
          <w:rFonts w:ascii="Bookman Old Style" w:eastAsia="Calibri" w:hAnsi="Bookman Old Style"/>
          <w:i/>
          <w:sz w:val="22"/>
          <w:szCs w:val="22"/>
          <w:lang w:val="es-ES_tradnl" w:eastAsia="en-US"/>
        </w:rPr>
        <w:t>. (Resaltado fuera de texto)</w:t>
      </w:r>
    </w:p>
    <w:p w:rsidR="009029D4" w:rsidRPr="00B4326E" w:rsidRDefault="009029D4" w:rsidP="009029D4">
      <w:pPr>
        <w:pStyle w:val="Style13"/>
        <w:shd w:val="clear" w:color="auto" w:fill="auto"/>
        <w:spacing w:line="240" w:lineRule="auto"/>
        <w:ind w:firstLine="0"/>
        <w:rPr>
          <w:rFonts w:ascii="Bookman Old Style" w:hAnsi="Bookman Old Style" w:cs="Times New Roman"/>
          <w:sz w:val="24"/>
          <w:szCs w:val="24"/>
          <w:lang w:val="es-ES" w:eastAsia="es-ES"/>
        </w:rPr>
      </w:pPr>
    </w:p>
    <w:p w:rsidR="009029D4" w:rsidRPr="00B4326E" w:rsidRDefault="009029D4" w:rsidP="009029D4">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Así mismo, en materia de servicios públicos domiciliarios se debe dar cumplimiento a lo dispuesto en la Constitución y la Ley 142 de 1994 en relación con los principios y elementos que allí se han consagrado respecto del alcance que tiene la función regulatoria, las cuales han sido objeto de interpretación por parte de la jurisprudencia constitucional. En relación con este punto ha dispuesto la Corte los fines constitucionales que persigue la función regulatoria, en los siguientes términos:</w:t>
      </w:r>
    </w:p>
    <w:p w:rsidR="009029D4" w:rsidRPr="00B4326E" w:rsidRDefault="009029D4" w:rsidP="009029D4">
      <w:pPr>
        <w:ind w:left="0"/>
        <w:jc w:val="both"/>
        <w:rPr>
          <w:rFonts w:ascii="Bookman Old Style" w:eastAsia="Calibri" w:hAnsi="Bookman Old Style"/>
          <w:lang w:val="es-ES_tradnl" w:eastAsia="en-US"/>
        </w:rPr>
      </w:pPr>
    </w:p>
    <w:p w:rsidR="009029D4" w:rsidRPr="00353079" w:rsidRDefault="009029D4" w:rsidP="009029D4">
      <w:pPr>
        <w:jc w:val="both"/>
        <w:rPr>
          <w:rFonts w:ascii="Bookman Old Style" w:eastAsia="Calibri" w:hAnsi="Bookman Old Style"/>
          <w:b/>
          <w:i/>
          <w:sz w:val="22"/>
          <w:szCs w:val="22"/>
          <w:u w:val="single"/>
          <w:lang w:val="es-ES_tradnl" w:eastAsia="en-US"/>
        </w:rPr>
      </w:pPr>
      <w:r w:rsidRPr="00353079">
        <w:rPr>
          <w:rFonts w:ascii="Bookman Old Style" w:eastAsia="Calibri" w:hAnsi="Bookman Old Style"/>
          <w:i/>
          <w:sz w:val="22"/>
          <w:szCs w:val="22"/>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353079">
        <w:rPr>
          <w:rFonts w:ascii="Bookman Old Style" w:eastAsia="Calibri" w:hAnsi="Bookman Old Style"/>
          <w:b/>
          <w:i/>
          <w:sz w:val="22"/>
          <w:szCs w:val="22"/>
          <w:lang w:val="es-ES_tradnl" w:eastAsia="en-US"/>
        </w:rPr>
        <w:t xml:space="preserve">según el artículo 73 de la Ley 142 de 1994, las comisiones de Regulación tienen como finalidad promover la libre competencia y regular los monopolios, en orden a una prestación eficiente de los servicios públicos. </w:t>
      </w:r>
      <w:r w:rsidRPr="00353079">
        <w:rPr>
          <w:rFonts w:ascii="Bookman Old Style" w:eastAsia="Calibri" w:hAnsi="Bookman Old Style"/>
          <w:b/>
          <w:i/>
          <w:sz w:val="22"/>
          <w:szCs w:val="22"/>
          <w:u w:val="single"/>
          <w:lang w:val="es-ES_tradnl" w:eastAsia="en-US"/>
        </w:rPr>
        <w:t>En cumplimiento de esos objetivos, tales órganos deben asegurar la calidad de los servicios, evitar conductas arbitrarias de los prestadores del servicio y defender los derechos de los usuarios.</w:t>
      </w:r>
    </w:p>
    <w:p w:rsidR="009029D4" w:rsidRPr="00353079" w:rsidRDefault="009029D4" w:rsidP="009029D4">
      <w:pPr>
        <w:jc w:val="both"/>
        <w:rPr>
          <w:rFonts w:ascii="Bookman Old Style" w:eastAsia="Calibri" w:hAnsi="Bookman Old Style"/>
          <w:i/>
          <w:sz w:val="22"/>
          <w:szCs w:val="22"/>
          <w:lang w:val="es-ES_tradnl" w:eastAsia="en-US"/>
        </w:rPr>
      </w:pPr>
    </w:p>
    <w:p w:rsidR="009029D4" w:rsidRPr="00BB4BEF" w:rsidRDefault="009029D4" w:rsidP="009029D4">
      <w:pPr>
        <w:jc w:val="both"/>
        <w:rPr>
          <w:rFonts w:ascii="Bookman Old Style" w:eastAsia="Calibri" w:hAnsi="Bookman Old Style"/>
          <w:i/>
          <w:sz w:val="22"/>
          <w:szCs w:val="22"/>
          <w:lang w:val="es-ES_tradnl" w:eastAsia="en-US"/>
        </w:rPr>
      </w:pPr>
      <w:r w:rsidRPr="00353079">
        <w:rPr>
          <w:rFonts w:ascii="Bookman Old Style" w:eastAsia="Calibri" w:hAnsi="Bookman Old Style"/>
          <w:i/>
          <w:sz w:val="22"/>
          <w:szCs w:val="22"/>
          <w:lang w:val="es-ES_tradnl" w:eastAsia="en-US"/>
        </w:rPr>
        <w:t xml:space="preserve">Por otro lado, al contrario de lo expuesto por el demandante, para la Corte es claro que el Congreso sí está facultado por la Constitución (arts. 150 -numeral 3- y 367 </w:t>
      </w:r>
      <w:r w:rsidRPr="00353079">
        <w:rPr>
          <w:rFonts w:ascii="Bookman Old Style" w:eastAsia="Calibri" w:hAnsi="Bookman Old Style"/>
          <w:i/>
          <w:sz w:val="22"/>
          <w:szCs w:val="22"/>
          <w:lang w:val="es-ES_tradnl" w:eastAsia="en-US"/>
        </w:rPr>
        <w:lastRenderedPageBreak/>
        <w:t xml:space="preserve">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353079">
        <w:rPr>
          <w:rFonts w:ascii="Bookman Old Style" w:eastAsia="Calibri" w:hAnsi="Bookman Old Style"/>
          <w:b/>
          <w:i/>
          <w:sz w:val="22"/>
          <w:szCs w:val="22"/>
          <w:u w:val="single"/>
          <w:lang w:val="es-ES_tradnl" w:eastAsia="en-US"/>
        </w:rPr>
        <w:t>Precisamente la Ley 142 de 1994 dispone que las comisiones de Regulación son las llamadas a establecer las tarifas, de acuerdo con las previsiones que allí se consagran y respetando los principios que en la materia consagró la Constitución”.</w:t>
      </w:r>
      <w:r w:rsidRPr="00353079">
        <w:rPr>
          <w:rFonts w:ascii="Bookman Old Style" w:eastAsia="Calibri" w:hAnsi="Bookman Old Style"/>
          <w:i/>
          <w:sz w:val="22"/>
          <w:szCs w:val="22"/>
          <w:vertAlign w:val="superscript"/>
          <w:lang w:val="es-ES_tradnl" w:eastAsia="en-US"/>
        </w:rPr>
        <w:footnoteReference w:id="9"/>
      </w:r>
      <w:r w:rsidR="00B679FF">
        <w:rPr>
          <w:rFonts w:ascii="Bookman Old Style" w:eastAsia="Calibri" w:hAnsi="Bookman Old Style"/>
          <w:i/>
          <w:sz w:val="22"/>
          <w:szCs w:val="22"/>
          <w:lang w:val="es-ES_tradnl" w:eastAsia="en-US"/>
        </w:rPr>
        <w:t xml:space="preserve"> </w:t>
      </w:r>
      <w:r w:rsidRPr="00B56C4C">
        <w:rPr>
          <w:rFonts w:ascii="Bookman Old Style" w:eastAsia="Calibri" w:hAnsi="Bookman Old Style"/>
          <w:i/>
          <w:sz w:val="22"/>
          <w:szCs w:val="22"/>
          <w:lang w:val="es-ES_tradnl" w:eastAsia="en-US"/>
        </w:rPr>
        <w:t>(Resaltado fuera de texto)</w:t>
      </w:r>
    </w:p>
    <w:p w:rsidR="009029D4" w:rsidRDefault="009029D4" w:rsidP="009029D4">
      <w:pPr>
        <w:ind w:left="0"/>
        <w:jc w:val="both"/>
        <w:rPr>
          <w:rFonts w:ascii="Bookman Old Style" w:eastAsia="Calibri" w:hAnsi="Bookman Old Style"/>
          <w:i/>
          <w:lang w:val="es-ES_tradnl" w:eastAsia="en-US"/>
        </w:rPr>
      </w:pPr>
    </w:p>
    <w:p w:rsidR="005901DF" w:rsidRPr="00B4326E" w:rsidRDefault="005901DF" w:rsidP="009029D4">
      <w:pPr>
        <w:ind w:left="0"/>
        <w:jc w:val="both"/>
        <w:rPr>
          <w:rFonts w:ascii="Bookman Old Style" w:eastAsia="Calibri" w:hAnsi="Bookman Old Style"/>
          <w:i/>
          <w:lang w:val="es-ES_tradnl" w:eastAsia="en-U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De acuerdo con lo expuesto, contrario a lo que justifica la recurrente, remunerar los costos de inversión para el sistema de transporte </w:t>
      </w:r>
      <w:r w:rsidR="00A876A3">
        <w:rPr>
          <w:rFonts w:ascii="Bookman Old Style" w:hAnsi="Bookman Old Style" w:cs="Times New Roman"/>
          <w:sz w:val="24"/>
          <w:szCs w:val="24"/>
          <w:lang w:val="es-ES" w:eastAsia="es-ES"/>
        </w:rPr>
        <w:t>Yolombó</w:t>
      </w:r>
      <w:r w:rsidRPr="00B4326E">
        <w:rPr>
          <w:rFonts w:ascii="Bookman Old Style" w:hAnsi="Bookman Old Style" w:cs="Times New Roman"/>
          <w:sz w:val="24"/>
          <w:szCs w:val="24"/>
          <w:lang w:val="es-ES" w:eastAsia="es-ES"/>
        </w:rPr>
        <w:t xml:space="preserve"> justificando la existencia de condiciones de terreno extremo dentro del trazado</w:t>
      </w:r>
      <w:r>
        <w:rPr>
          <w:rFonts w:ascii="Bookman Old Style" w:hAnsi="Bookman Old Style" w:cs="Times New Roman"/>
          <w:sz w:val="24"/>
          <w:szCs w:val="24"/>
          <w:lang w:val="es-ES" w:eastAsia="es-ES"/>
        </w:rPr>
        <w:t xml:space="preserve"> de acuerdo con sus argumentos de impugnación</w:t>
      </w:r>
      <w:r w:rsidRPr="00B4326E">
        <w:rPr>
          <w:rFonts w:ascii="Bookman Old Style" w:hAnsi="Bookman Old Style" w:cs="Times New Roman"/>
          <w:sz w:val="24"/>
          <w:szCs w:val="24"/>
          <w:lang w:val="es-ES" w:eastAsia="es-ES"/>
        </w:rPr>
        <w:t xml:space="preserve">, se haría por fuera de lo dispuesto en los criterios tarifarios previstos en el artículo 87 de la Ley 142 de 1994, así como en lo dispuesto por la jurisprudencia constitucional. </w:t>
      </w: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De la misma forma, se atentaría en contra del principio de igualdad, debido a que la valoración que reciben las inversiones por parte de otros transportadores se sujetarían a un costo eficiente mientras que para el caso de la recurrente no sería así, ya que estaría por encima de los criterios previstos en la </w:t>
      </w:r>
      <w:r w:rsidRPr="00D20A7B">
        <w:rPr>
          <w:rFonts w:ascii="Bookman Old Style" w:hAnsi="Bookman Old Style" w:cs="Times New Roman"/>
          <w:i/>
          <w:sz w:val="24"/>
          <w:szCs w:val="24"/>
          <w:lang w:val="es-ES" w:eastAsia="es-ES"/>
        </w:rPr>
        <w:t>metodología</w:t>
      </w:r>
      <w:r w:rsidRPr="00B4326E">
        <w:rPr>
          <w:rFonts w:ascii="Bookman Old Style" w:hAnsi="Bookman Old Style" w:cs="Times New Roman"/>
          <w:sz w:val="24"/>
          <w:szCs w:val="24"/>
          <w:lang w:val="es-ES" w:eastAsia="es-ES"/>
        </w:rPr>
        <w:t>.</w:t>
      </w:r>
    </w:p>
    <w:p w:rsidR="005E3978" w:rsidRDefault="009029D4" w:rsidP="005E3978">
      <w:pPr>
        <w:ind w:left="0"/>
        <w:jc w:val="both"/>
        <w:rPr>
          <w:rFonts w:ascii="Bookman Old Style" w:hAnsi="Bookman Old Style"/>
        </w:rPr>
      </w:pPr>
      <w:r w:rsidRPr="00B4326E">
        <w:rPr>
          <w:rFonts w:ascii="Bookman Old Style" w:hAnsi="Bookman Old Style"/>
        </w:rPr>
        <w:t>Por lo anterior, no proceden los argumentos presentados por la recurrente</w:t>
      </w:r>
      <w:r>
        <w:rPr>
          <w:rFonts w:ascii="Bookman Old Style" w:hAnsi="Bookman Old Style"/>
        </w:rPr>
        <w:t xml:space="preserve"> a fin de que se</w:t>
      </w:r>
      <w:r w:rsidRPr="00B4326E">
        <w:rPr>
          <w:rFonts w:ascii="Bookman Old Style" w:hAnsi="Bookman Old Style"/>
        </w:rPr>
        <w:t xml:space="preserve"> </w:t>
      </w:r>
      <w:r>
        <w:rPr>
          <w:rFonts w:ascii="Bookman Old Style" w:hAnsi="Bookman Old Style"/>
        </w:rPr>
        <w:t xml:space="preserve">reconozca la existencia de terreno extremo dentro del trazado, de la misma forma </w:t>
      </w:r>
      <w:r w:rsidRPr="00865882">
        <w:rPr>
          <w:rFonts w:ascii="Bookman Old Style" w:hAnsi="Bookman Old Style"/>
        </w:rPr>
        <w:t>que se han de negar las peticiones realizadas en los numerales</w:t>
      </w:r>
      <w:r w:rsidR="00865882" w:rsidRPr="00865882">
        <w:rPr>
          <w:rFonts w:ascii="Bookman Old Style" w:hAnsi="Bookman Old Style"/>
        </w:rPr>
        <w:t xml:space="preserve"> 2, 3, 4 y 5</w:t>
      </w:r>
      <w:r w:rsidRPr="00865882">
        <w:rPr>
          <w:rFonts w:ascii="Bookman Old Style" w:hAnsi="Bookman Old Style"/>
        </w:rPr>
        <w:t xml:space="preserve"> del recurso. </w:t>
      </w:r>
      <w:r w:rsidR="00A876A3" w:rsidRPr="00865882">
        <w:rPr>
          <w:rFonts w:ascii="Bookman Old Style" w:hAnsi="Bookman Old Style"/>
        </w:rPr>
        <w:t>De la misma forma</w:t>
      </w:r>
      <w:r w:rsidRPr="00865882">
        <w:rPr>
          <w:rFonts w:ascii="Bookman Old Style" w:hAnsi="Bookman Old Style"/>
        </w:rPr>
        <w:t>, de acuerdo con lo expuesto respecto del análisis de las pruebas aportadas por parte de la Comisión, respecto de la pendiente del gasoducto en relación</w:t>
      </w:r>
      <w:r w:rsidRPr="005944FD">
        <w:rPr>
          <w:rFonts w:ascii="Bookman Old Style" w:hAnsi="Bookman Old Style"/>
        </w:rPr>
        <w:t xml:space="preserve"> con la escala</w:t>
      </w:r>
      <w:r>
        <w:rPr>
          <w:rFonts w:ascii="Bookman Old Style" w:hAnsi="Bookman Old Style"/>
        </w:rPr>
        <w:t xml:space="preserve">, </w:t>
      </w:r>
      <w:r w:rsidR="005E3978">
        <w:rPr>
          <w:rFonts w:ascii="Bookman Old Style" w:hAnsi="Bookman Old Style"/>
        </w:rPr>
        <w:t>la misma no afecta el valor de inversión eficiente reconocida en la Resolución CREG 146</w:t>
      </w:r>
      <w:r w:rsidR="005E3978" w:rsidRPr="00700D7C">
        <w:rPr>
          <w:rFonts w:ascii="Bookman Old Style" w:hAnsi="Bookman Old Style"/>
        </w:rPr>
        <w:t xml:space="preserve"> de 2012.</w:t>
      </w:r>
    </w:p>
    <w:p w:rsidR="005E3978" w:rsidRPr="005901DF" w:rsidRDefault="005E3978" w:rsidP="005E3978">
      <w:pPr>
        <w:pStyle w:val="Style13"/>
        <w:shd w:val="clear" w:color="auto" w:fill="auto"/>
        <w:tabs>
          <w:tab w:val="left" w:pos="265"/>
        </w:tabs>
        <w:spacing w:line="240" w:lineRule="auto"/>
        <w:ind w:firstLine="0"/>
        <w:rPr>
          <w:rFonts w:ascii="Bookman Old Style" w:hAnsi="Bookman Old Style" w:cs="Times New Roman"/>
          <w:sz w:val="20"/>
          <w:szCs w:val="24"/>
          <w:lang w:val="es-ES" w:eastAsia="es-ES"/>
        </w:rPr>
      </w:pPr>
    </w:p>
    <w:p w:rsidR="009029D4" w:rsidRPr="00865882" w:rsidRDefault="009029D4" w:rsidP="009029D4">
      <w:pPr>
        <w:numPr>
          <w:ilvl w:val="0"/>
          <w:numId w:val="8"/>
        </w:numPr>
        <w:tabs>
          <w:tab w:val="left" w:pos="567"/>
        </w:tabs>
        <w:ind w:left="0" w:firstLine="0"/>
        <w:jc w:val="both"/>
        <w:rPr>
          <w:rFonts w:ascii="Bookman Old Style" w:hAnsi="Bookman Old Style"/>
          <w:b/>
          <w:lang w:val="es-CO"/>
        </w:rPr>
      </w:pPr>
      <w:r w:rsidRPr="00B4326E">
        <w:rPr>
          <w:rFonts w:ascii="Bookman Old Style" w:hAnsi="Bookman Old Style"/>
          <w:b/>
          <w:lang w:val="es-CO"/>
        </w:rPr>
        <w:t xml:space="preserve">Que en ningún </w:t>
      </w:r>
      <w:r w:rsidRPr="00865882">
        <w:rPr>
          <w:rFonts w:ascii="Bookman Old Style" w:hAnsi="Bookman Old Style"/>
          <w:b/>
          <w:lang w:val="es-CO"/>
        </w:rPr>
        <w:t xml:space="preserve">momento se disminuya el valor de la inversión del gasoducto decretado en </w:t>
      </w:r>
      <w:r w:rsidR="00865882" w:rsidRPr="00865882">
        <w:rPr>
          <w:rFonts w:ascii="Bookman Old Style" w:hAnsi="Bookman Old Style"/>
          <w:b/>
          <w:lang w:val="es-CO"/>
        </w:rPr>
        <w:t>la Resolución 146</w:t>
      </w:r>
      <w:r w:rsidRPr="00865882">
        <w:rPr>
          <w:rFonts w:ascii="Bookman Old Style" w:hAnsi="Bookman Old Style"/>
          <w:b/>
          <w:lang w:val="es-CO"/>
        </w:rPr>
        <w:t xml:space="preserve"> de 2012</w:t>
      </w:r>
    </w:p>
    <w:p w:rsidR="009029D4" w:rsidRPr="005901DF" w:rsidRDefault="009029D4" w:rsidP="009029D4">
      <w:pPr>
        <w:pStyle w:val="Style13"/>
        <w:shd w:val="clear" w:color="auto" w:fill="auto"/>
        <w:tabs>
          <w:tab w:val="left" w:pos="265"/>
        </w:tabs>
        <w:spacing w:line="240" w:lineRule="auto"/>
        <w:ind w:firstLine="0"/>
        <w:rPr>
          <w:rFonts w:ascii="Bookman Old Style" w:hAnsi="Bookman Old Style" w:cs="Times New Roman"/>
          <w:sz w:val="18"/>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865882">
        <w:rPr>
          <w:rFonts w:ascii="Bookman Old Style" w:hAnsi="Bookman Old Style" w:cs="Times New Roman"/>
          <w:sz w:val="24"/>
          <w:szCs w:val="24"/>
          <w:lang w:val="es-ES" w:eastAsia="es-ES"/>
        </w:rPr>
        <w:t xml:space="preserve">En relación con la petición a que hace referencia </w:t>
      </w:r>
      <w:r w:rsidR="00865882" w:rsidRPr="00865882">
        <w:rPr>
          <w:rFonts w:ascii="Bookman Old Style" w:hAnsi="Bookman Old Style" w:cs="Times New Roman"/>
          <w:sz w:val="24"/>
          <w:szCs w:val="24"/>
          <w:lang w:val="es-ES" w:eastAsia="es-ES"/>
        </w:rPr>
        <w:t>el numeral 6</w:t>
      </w:r>
      <w:r w:rsidRPr="00865882">
        <w:rPr>
          <w:rFonts w:ascii="Bookman Old Style" w:hAnsi="Bookman Old Style" w:cs="Times New Roman"/>
          <w:sz w:val="24"/>
          <w:szCs w:val="24"/>
          <w:lang w:val="es-ES" w:eastAsia="es-ES"/>
        </w:rPr>
        <w:t xml:space="preserve"> del recurso de reposición y de acuerdo con lo expuesto en la parte motiva de la presente resolución, se ha de </w:t>
      </w:r>
      <w:r w:rsidR="005E3978" w:rsidRPr="00865882">
        <w:rPr>
          <w:rFonts w:ascii="Bookman Old Style" w:hAnsi="Bookman Old Style" w:cs="Times New Roman"/>
          <w:sz w:val="24"/>
          <w:szCs w:val="24"/>
          <w:lang w:val="es-ES" w:eastAsia="es-ES"/>
        </w:rPr>
        <w:t>confirmar lo dispuesto en la</w:t>
      </w:r>
      <w:r w:rsidR="006057AC">
        <w:rPr>
          <w:rFonts w:ascii="Bookman Old Style" w:hAnsi="Bookman Old Style" w:cs="Times New Roman"/>
          <w:sz w:val="24"/>
          <w:szCs w:val="24"/>
          <w:lang w:val="es-ES" w:eastAsia="es-ES"/>
        </w:rPr>
        <w:t xml:space="preserve"> Resolución CREG 146</w:t>
      </w:r>
      <w:r w:rsidRPr="00865882">
        <w:rPr>
          <w:rFonts w:ascii="Bookman Old Style" w:hAnsi="Bookman Old Style" w:cs="Times New Roman"/>
          <w:sz w:val="24"/>
          <w:szCs w:val="24"/>
          <w:lang w:val="es-ES" w:eastAsia="es-ES"/>
        </w:rPr>
        <w:t xml:space="preserve"> de 2012</w:t>
      </w:r>
      <w:r w:rsidR="005E3978" w:rsidRPr="00865882">
        <w:rPr>
          <w:rFonts w:ascii="Bookman Old Style" w:hAnsi="Bookman Old Style" w:cs="Times New Roman"/>
          <w:sz w:val="24"/>
          <w:szCs w:val="24"/>
          <w:lang w:val="es-ES" w:eastAsia="es-ES"/>
        </w:rPr>
        <w:t xml:space="preserve"> y por lo tanto no se reduce el valor de la inversión reconocida en ese acto administrativo</w:t>
      </w: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9029D4" w:rsidRPr="00B4326E" w:rsidRDefault="009029D4" w:rsidP="009029D4">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De acuerdo con los análisis precedentes, en la sesión No. </w:t>
      </w:r>
      <w:r w:rsidR="00865882">
        <w:rPr>
          <w:rFonts w:ascii="Bookman Old Style" w:hAnsi="Bookman Old Style" w:cs="Times New Roman"/>
          <w:sz w:val="24"/>
          <w:szCs w:val="24"/>
          <w:lang w:val="es-ES" w:eastAsia="es-ES"/>
        </w:rPr>
        <w:t>551</w:t>
      </w:r>
      <w:r>
        <w:rPr>
          <w:rFonts w:ascii="Bookman Old Style" w:hAnsi="Bookman Old Style" w:cs="Times New Roman"/>
          <w:sz w:val="24"/>
          <w:szCs w:val="24"/>
          <w:lang w:val="es-ES" w:eastAsia="es-ES"/>
        </w:rPr>
        <w:t xml:space="preserve"> del día </w:t>
      </w:r>
      <w:r w:rsidR="003F55D6">
        <w:rPr>
          <w:rFonts w:ascii="Bookman Old Style" w:hAnsi="Bookman Old Style" w:cs="Times New Roman"/>
          <w:sz w:val="24"/>
          <w:szCs w:val="24"/>
          <w:lang w:val="es-ES" w:eastAsia="es-ES"/>
        </w:rPr>
        <w:t>20</w:t>
      </w:r>
      <w:r>
        <w:rPr>
          <w:rFonts w:ascii="Bookman Old Style" w:hAnsi="Bookman Old Style" w:cs="Times New Roman"/>
          <w:sz w:val="24"/>
          <w:szCs w:val="24"/>
          <w:lang w:val="es-ES" w:eastAsia="es-ES"/>
        </w:rPr>
        <w:t xml:space="preserve"> de marzo</w:t>
      </w:r>
      <w:r w:rsidRPr="00B4326E">
        <w:rPr>
          <w:rFonts w:ascii="Bookman Old Style" w:hAnsi="Bookman Old Style" w:cs="Times New Roman"/>
          <w:sz w:val="24"/>
          <w:szCs w:val="24"/>
          <w:lang w:val="es-ES" w:eastAsia="es-ES"/>
        </w:rPr>
        <w:t xml:space="preserve"> de 2013, la Comisión aprobó la resolución </w:t>
      </w:r>
      <w:r>
        <w:rPr>
          <w:rFonts w:ascii="Bookman Old Style" w:hAnsi="Bookman Old Style" w:cs="Times New Roman"/>
          <w:sz w:val="24"/>
          <w:szCs w:val="24"/>
          <w:lang w:val="es-ES" w:eastAsia="es-ES"/>
        </w:rPr>
        <w:t xml:space="preserve">que resuelve </w:t>
      </w:r>
      <w:r w:rsidRPr="00B4326E">
        <w:rPr>
          <w:rFonts w:ascii="Bookman Old Style" w:hAnsi="Bookman Old Style" w:cs="Times New Roman"/>
          <w:sz w:val="24"/>
          <w:szCs w:val="24"/>
          <w:lang w:val="es-ES" w:eastAsia="es-ES"/>
        </w:rPr>
        <w:t xml:space="preserve">el recurso de reposición en </w:t>
      </w:r>
      <w:r w:rsidR="005E3978">
        <w:rPr>
          <w:rFonts w:ascii="Bookman Old Style" w:hAnsi="Bookman Old Style" w:cs="Times New Roman"/>
          <w:sz w:val="24"/>
          <w:szCs w:val="24"/>
          <w:lang w:val="es-ES" w:eastAsia="es-ES"/>
        </w:rPr>
        <w:t>contra de la Resolución CREG 146</w:t>
      </w:r>
      <w:r w:rsidRPr="00B4326E">
        <w:rPr>
          <w:rFonts w:ascii="Bookman Old Style" w:hAnsi="Bookman Old Style" w:cs="Times New Roman"/>
          <w:sz w:val="24"/>
          <w:szCs w:val="24"/>
          <w:lang w:val="es-ES" w:eastAsia="es-ES"/>
        </w:rPr>
        <w:t xml:space="preserve"> de 2012.  </w:t>
      </w:r>
    </w:p>
    <w:p w:rsidR="009029D4" w:rsidRDefault="009029D4" w:rsidP="009029D4">
      <w:pPr>
        <w:ind w:left="0"/>
        <w:rPr>
          <w:rFonts w:ascii="Bookman Old Style" w:hAnsi="Bookman Old Style" w:cs="Arial"/>
          <w:b/>
          <w:bCs/>
          <w:snapToGrid w:val="0"/>
          <w:sz w:val="28"/>
        </w:rPr>
      </w:pPr>
    </w:p>
    <w:p w:rsidR="005901DF" w:rsidRDefault="005901DF" w:rsidP="009029D4">
      <w:pPr>
        <w:ind w:left="0"/>
        <w:rPr>
          <w:rFonts w:ascii="Bookman Old Style" w:hAnsi="Bookman Old Style" w:cs="Arial"/>
          <w:b/>
          <w:bCs/>
          <w:snapToGrid w:val="0"/>
          <w:sz w:val="28"/>
        </w:rPr>
      </w:pPr>
    </w:p>
    <w:p w:rsidR="005901DF" w:rsidRDefault="005901DF" w:rsidP="009029D4">
      <w:pPr>
        <w:ind w:left="0"/>
        <w:rPr>
          <w:rFonts w:ascii="Bookman Old Style" w:hAnsi="Bookman Old Style" w:cs="Arial"/>
          <w:b/>
          <w:bCs/>
          <w:snapToGrid w:val="0"/>
          <w:sz w:val="28"/>
        </w:rPr>
      </w:pPr>
    </w:p>
    <w:p w:rsidR="005901DF" w:rsidRPr="0016046A" w:rsidRDefault="005901DF" w:rsidP="009029D4">
      <w:pPr>
        <w:ind w:left="0"/>
        <w:rPr>
          <w:rFonts w:ascii="Bookman Old Style" w:hAnsi="Bookman Old Style" w:cs="Arial"/>
          <w:b/>
          <w:bCs/>
          <w:snapToGrid w:val="0"/>
          <w:sz w:val="28"/>
        </w:rPr>
      </w:pPr>
    </w:p>
    <w:p w:rsidR="005901DF" w:rsidRDefault="005901DF" w:rsidP="009029D4">
      <w:pPr>
        <w:ind w:left="0"/>
        <w:jc w:val="center"/>
        <w:rPr>
          <w:rFonts w:ascii="Bookman Old Style" w:hAnsi="Bookman Old Style"/>
          <w:b/>
          <w:bCs/>
        </w:rPr>
      </w:pPr>
    </w:p>
    <w:p w:rsidR="009029D4" w:rsidRDefault="009029D4" w:rsidP="009029D4">
      <w:pPr>
        <w:ind w:left="0"/>
        <w:jc w:val="center"/>
        <w:rPr>
          <w:rFonts w:ascii="Bookman Old Style" w:hAnsi="Bookman Old Style"/>
          <w:b/>
          <w:bCs/>
        </w:rPr>
      </w:pPr>
      <w:r w:rsidRPr="00B4326E">
        <w:rPr>
          <w:rFonts w:ascii="Bookman Old Style" w:hAnsi="Bookman Old Style"/>
          <w:b/>
          <w:bCs/>
        </w:rPr>
        <w:t>R E S U E L V E:</w:t>
      </w:r>
    </w:p>
    <w:p w:rsidR="005901DF" w:rsidRPr="00B4326E" w:rsidRDefault="005901DF" w:rsidP="009029D4">
      <w:pPr>
        <w:ind w:left="0"/>
        <w:jc w:val="center"/>
        <w:rPr>
          <w:rFonts w:ascii="Bookman Old Style" w:hAnsi="Bookman Old Style"/>
          <w:b/>
          <w:bCs/>
        </w:rPr>
      </w:pPr>
    </w:p>
    <w:p w:rsidR="009029D4" w:rsidRDefault="009029D4" w:rsidP="009029D4">
      <w:pPr>
        <w:ind w:left="0"/>
        <w:jc w:val="both"/>
        <w:rPr>
          <w:rFonts w:ascii="Bookman Old Style" w:hAnsi="Bookman Old Style"/>
          <w:b/>
          <w:bCs/>
        </w:rPr>
      </w:pPr>
      <w:r w:rsidRPr="00B4326E">
        <w:rPr>
          <w:rFonts w:ascii="Bookman Old Style" w:hAnsi="Bookman Old Style"/>
          <w:b/>
          <w:bCs/>
        </w:rPr>
        <w:t xml:space="preserve">Artículo 1. </w:t>
      </w:r>
      <w:r w:rsidRPr="009E1AAB">
        <w:rPr>
          <w:rFonts w:ascii="Bookman Old Style" w:hAnsi="Bookman Old Style"/>
          <w:bCs/>
        </w:rPr>
        <w:t xml:space="preserve">Negar la solicitud de pruebas adicionales realizada </w:t>
      </w:r>
      <w:r w:rsidRPr="00B4326E">
        <w:rPr>
          <w:rFonts w:ascii="Bookman Old Style" w:hAnsi="Bookman Old Style"/>
          <w:bCs/>
        </w:rPr>
        <w:t>por Transmetano E.S.P. S.A. de acuerdo con las consideraciones expuestas en la parte motiva de la presente resolución.</w:t>
      </w:r>
    </w:p>
    <w:p w:rsidR="009029D4" w:rsidRDefault="009029D4" w:rsidP="009029D4">
      <w:pPr>
        <w:ind w:left="0"/>
        <w:jc w:val="both"/>
        <w:rPr>
          <w:rFonts w:ascii="Bookman Old Style" w:hAnsi="Bookman Old Style"/>
          <w:b/>
          <w:bCs/>
        </w:rPr>
      </w:pPr>
    </w:p>
    <w:p w:rsidR="009029D4" w:rsidRPr="005E3978" w:rsidRDefault="009029D4" w:rsidP="009029D4">
      <w:pPr>
        <w:ind w:left="0"/>
        <w:jc w:val="both"/>
        <w:rPr>
          <w:rFonts w:ascii="Bookman Old Style" w:hAnsi="Bookman Old Style" w:cs="Arial"/>
        </w:rPr>
      </w:pPr>
      <w:r w:rsidRPr="00B4326E">
        <w:rPr>
          <w:rFonts w:ascii="Bookman Old Style" w:hAnsi="Bookman Old Style"/>
          <w:b/>
          <w:bCs/>
        </w:rPr>
        <w:t xml:space="preserve">Artículo 2. </w:t>
      </w:r>
      <w:r w:rsidRPr="00B4326E">
        <w:rPr>
          <w:rFonts w:ascii="Bookman Old Style" w:hAnsi="Bookman Old Style" w:cs="Arial"/>
        </w:rPr>
        <w:t>No reponer la Resolución CREG 14</w:t>
      </w:r>
      <w:r w:rsidR="005E3978">
        <w:rPr>
          <w:rFonts w:ascii="Bookman Old Style" w:hAnsi="Bookman Old Style" w:cs="Arial"/>
        </w:rPr>
        <w:t>6</w:t>
      </w:r>
      <w:r w:rsidRPr="00B4326E">
        <w:rPr>
          <w:rFonts w:ascii="Bookman Old Style" w:hAnsi="Bookman Old Style" w:cs="Arial"/>
        </w:rPr>
        <w:t xml:space="preserve"> de 2012, por la cual se establecieron los cargos regulados para el sistema regional de transporte </w:t>
      </w:r>
      <w:r w:rsidR="005E3978">
        <w:rPr>
          <w:rFonts w:ascii="Bookman Old Style" w:hAnsi="Bookman Old Style" w:cs="Arial"/>
        </w:rPr>
        <w:t>Yolombó</w:t>
      </w:r>
      <w:r w:rsidRPr="00B4326E">
        <w:rPr>
          <w:rFonts w:ascii="Bookman Old Style" w:hAnsi="Bookman Old Style" w:cs="Arial"/>
        </w:rPr>
        <w:t xml:space="preserve">, según </w:t>
      </w:r>
      <w:r>
        <w:rPr>
          <w:rFonts w:ascii="Bookman Old Style" w:hAnsi="Bookman Old Style" w:cs="Arial"/>
        </w:rPr>
        <w:t xml:space="preserve">las </w:t>
      </w:r>
      <w:r w:rsidRPr="00B4326E">
        <w:rPr>
          <w:rFonts w:ascii="Bookman Old Style" w:hAnsi="Bookman Old Style" w:cs="Arial"/>
        </w:rPr>
        <w:t>solicitud</w:t>
      </w:r>
      <w:r>
        <w:rPr>
          <w:rFonts w:ascii="Bookman Old Style" w:hAnsi="Bookman Old Style" w:cs="Arial"/>
        </w:rPr>
        <w:t>es</w:t>
      </w:r>
      <w:r w:rsidRPr="00B4326E">
        <w:rPr>
          <w:rFonts w:ascii="Bookman Old Style" w:hAnsi="Bookman Old Style" w:cs="Arial"/>
        </w:rPr>
        <w:t xml:space="preserve"> de la Transportadora de Metano E.S.P. S.A., Transmetano E.S.P. S.A., de acuerdo con lo expuesto en la parte motiva de esta resolución.</w:t>
      </w:r>
    </w:p>
    <w:p w:rsidR="009029D4" w:rsidRDefault="009029D4" w:rsidP="009029D4">
      <w:pPr>
        <w:ind w:left="0"/>
        <w:jc w:val="both"/>
        <w:rPr>
          <w:rFonts w:ascii="Bookman Old Style" w:hAnsi="Bookman Old Style" w:cs="Arial"/>
        </w:rPr>
      </w:pPr>
    </w:p>
    <w:p w:rsidR="009029D4" w:rsidRPr="00B4326E" w:rsidRDefault="009029D4" w:rsidP="009029D4">
      <w:pPr>
        <w:ind w:left="0"/>
        <w:jc w:val="both"/>
        <w:rPr>
          <w:rFonts w:ascii="Bookman Old Style" w:hAnsi="Bookman Old Style" w:cs="Arial"/>
        </w:rPr>
      </w:pPr>
      <w:r w:rsidRPr="00B4326E">
        <w:rPr>
          <w:rFonts w:ascii="Bookman Old Style" w:hAnsi="Bookman Old Style" w:cs="Arial"/>
          <w:b/>
        </w:rPr>
        <w:t xml:space="preserve">Artículo </w:t>
      </w:r>
      <w:r>
        <w:rPr>
          <w:rFonts w:ascii="Bookman Old Style" w:hAnsi="Bookman Old Style" w:cs="Arial"/>
          <w:b/>
        </w:rPr>
        <w:t>3</w:t>
      </w:r>
      <w:r w:rsidRPr="00B4326E">
        <w:rPr>
          <w:rFonts w:ascii="Bookman Old Style" w:hAnsi="Bookman Old Style" w:cs="Arial"/>
          <w:b/>
        </w:rPr>
        <w:t xml:space="preserve">. </w:t>
      </w:r>
      <w:r w:rsidRPr="00B4326E">
        <w:rPr>
          <w:rFonts w:ascii="Bookman Old Style" w:hAnsi="Bookman Old Style" w:cs="Arial"/>
        </w:rPr>
        <w:t xml:space="preserve">La presente Resolución deberá notificarse a la </w:t>
      </w:r>
      <w:r w:rsidRPr="00B4326E">
        <w:rPr>
          <w:rFonts w:ascii="Bookman Old Style" w:hAnsi="Bookman Old Style" w:cs="Arial"/>
          <w:spacing w:val="-4"/>
        </w:rPr>
        <w:t xml:space="preserve">empresa Transportadora de Metano E.S.P. S.A. y publicarse en el </w:t>
      </w:r>
      <w:r w:rsidRPr="00B4326E">
        <w:rPr>
          <w:rFonts w:ascii="Bookman Old Style" w:hAnsi="Bookman Old Style" w:cs="Arial"/>
          <w:i/>
          <w:spacing w:val="-4"/>
        </w:rPr>
        <w:t>Diario Oficial</w:t>
      </w:r>
      <w:r w:rsidRPr="00B4326E">
        <w:rPr>
          <w:rFonts w:ascii="Bookman Old Style" w:hAnsi="Bookman Old Style" w:cs="Arial"/>
          <w:spacing w:val="-4"/>
        </w:rPr>
        <w:t>. Contra las disposiciones contenidas en esta Resolución no procede recurso alguno por la vía gubernativa.</w:t>
      </w:r>
      <w:r w:rsidRPr="00B4326E">
        <w:rPr>
          <w:rFonts w:ascii="Bookman Old Style" w:hAnsi="Bookman Old Style" w:cs="Arial"/>
        </w:rPr>
        <w:t xml:space="preserve"> </w:t>
      </w:r>
    </w:p>
    <w:p w:rsidR="009029D4" w:rsidRDefault="009029D4" w:rsidP="009029D4">
      <w:pPr>
        <w:ind w:left="0"/>
        <w:rPr>
          <w:rFonts w:ascii="Bookman Old Style" w:hAnsi="Bookman Old Style"/>
          <w:sz w:val="16"/>
          <w:highlight w:val="yellow"/>
        </w:rPr>
      </w:pPr>
    </w:p>
    <w:p w:rsidR="005901DF" w:rsidRPr="0016046A" w:rsidRDefault="005901DF" w:rsidP="009029D4">
      <w:pPr>
        <w:ind w:left="0"/>
        <w:rPr>
          <w:rFonts w:ascii="Bookman Old Style" w:hAnsi="Bookman Old Style"/>
          <w:sz w:val="16"/>
          <w:highlight w:val="yellow"/>
        </w:rPr>
      </w:pPr>
    </w:p>
    <w:p w:rsidR="009029D4" w:rsidRPr="00B4326E" w:rsidRDefault="009029D4" w:rsidP="009029D4">
      <w:pPr>
        <w:ind w:left="0"/>
        <w:jc w:val="center"/>
        <w:rPr>
          <w:rFonts w:ascii="Bookman Old Style" w:hAnsi="Bookman Old Style"/>
          <w:color w:val="000000"/>
        </w:rPr>
      </w:pPr>
      <w:r w:rsidRPr="00B4326E">
        <w:rPr>
          <w:rFonts w:ascii="Bookman Old Style" w:hAnsi="Bookman Old Style" w:cs="Arial"/>
          <w:b/>
          <w:bCs/>
          <w:color w:val="000000"/>
        </w:rPr>
        <w:t>NOTIFÍQUESE, PUBLÍQUESE Y CÚMPLASE</w:t>
      </w:r>
    </w:p>
    <w:p w:rsidR="009029D4" w:rsidRPr="00B4326E" w:rsidRDefault="009029D4" w:rsidP="009029D4">
      <w:pPr>
        <w:ind w:left="0"/>
        <w:rPr>
          <w:rFonts w:ascii="Bookman Old Style" w:hAnsi="Bookman Old Style"/>
        </w:rPr>
      </w:pPr>
    </w:p>
    <w:p w:rsidR="005901DF" w:rsidRDefault="005901DF" w:rsidP="009029D4">
      <w:pPr>
        <w:ind w:left="0"/>
        <w:rPr>
          <w:rFonts w:ascii="Bookman Old Style" w:hAnsi="Bookman Old Style" w:cs="Arial"/>
        </w:rPr>
      </w:pPr>
    </w:p>
    <w:p w:rsidR="009029D4" w:rsidRPr="00B4326E" w:rsidRDefault="009029D4" w:rsidP="009029D4">
      <w:pPr>
        <w:ind w:left="0"/>
        <w:rPr>
          <w:rFonts w:ascii="Bookman Old Style" w:hAnsi="Bookman Old Style" w:cs="Arial"/>
        </w:rPr>
      </w:pPr>
      <w:r w:rsidRPr="00B4326E">
        <w:rPr>
          <w:rFonts w:ascii="Bookman Old Style" w:hAnsi="Bookman Old Style" w:cs="Arial"/>
        </w:rPr>
        <w:t xml:space="preserve">Dada en Bogotá, D.C., a los </w:t>
      </w:r>
    </w:p>
    <w:p w:rsidR="009029D4" w:rsidRPr="00B4326E" w:rsidRDefault="009029D4" w:rsidP="009029D4">
      <w:pPr>
        <w:pStyle w:val="Textoindependiente"/>
        <w:ind w:left="0"/>
        <w:jc w:val="both"/>
        <w:rPr>
          <w:rFonts w:ascii="Bookman Old Style" w:hAnsi="Bookman Old Style"/>
          <w:b w:val="0"/>
          <w:color w:val="000000"/>
        </w:rPr>
      </w:pPr>
    </w:p>
    <w:p w:rsidR="009029D4" w:rsidRPr="00B4326E" w:rsidRDefault="009029D4" w:rsidP="009029D4">
      <w:pPr>
        <w:pStyle w:val="Textoindependiente"/>
        <w:ind w:left="0"/>
        <w:jc w:val="both"/>
        <w:rPr>
          <w:rFonts w:ascii="Bookman Old Style" w:hAnsi="Bookman Old Style"/>
          <w:b w:val="0"/>
          <w:color w:val="000000"/>
        </w:rPr>
      </w:pPr>
    </w:p>
    <w:p w:rsidR="009029D4" w:rsidRDefault="009029D4" w:rsidP="009029D4">
      <w:pPr>
        <w:pStyle w:val="Textoindependiente"/>
        <w:ind w:left="0"/>
        <w:jc w:val="both"/>
        <w:rPr>
          <w:rFonts w:ascii="Bookman Old Style" w:hAnsi="Bookman Old Style"/>
          <w:b w:val="0"/>
          <w:color w:val="000000"/>
        </w:rPr>
      </w:pPr>
    </w:p>
    <w:p w:rsidR="005901DF" w:rsidRPr="00B4326E" w:rsidRDefault="005901DF" w:rsidP="009029D4">
      <w:pPr>
        <w:pStyle w:val="Textoindependiente"/>
        <w:ind w:left="0"/>
        <w:jc w:val="both"/>
        <w:rPr>
          <w:rFonts w:ascii="Bookman Old Style" w:hAnsi="Bookman Old Style"/>
          <w:b w:val="0"/>
          <w:color w:val="000000"/>
        </w:rPr>
      </w:pPr>
    </w:p>
    <w:p w:rsidR="009029D4" w:rsidRPr="00B4326E" w:rsidRDefault="009029D4" w:rsidP="009029D4">
      <w:pPr>
        <w:pStyle w:val="Textoindependiente"/>
        <w:ind w:left="0"/>
        <w:jc w:val="both"/>
        <w:rPr>
          <w:rFonts w:ascii="Bookman Old Style" w:hAnsi="Bookman Old Style"/>
          <w:b w:val="0"/>
          <w:color w:val="000000"/>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4C3ACB" w:rsidRPr="00B4326E" w:rsidTr="00A47BCF">
        <w:trPr>
          <w:jc w:val="right"/>
        </w:trPr>
        <w:tc>
          <w:tcPr>
            <w:tcW w:w="4503" w:type="dxa"/>
            <w:vAlign w:val="center"/>
          </w:tcPr>
          <w:p w:rsidR="004C3ACB" w:rsidRDefault="004C3ACB">
            <w:pPr>
              <w:ind w:left="0"/>
              <w:jc w:val="center"/>
              <w:rPr>
                <w:rFonts w:ascii="Bookman Old Style" w:hAnsi="Bookman Old Style" w:cs="Arial"/>
                <w:b/>
                <w:spacing w:val="-3"/>
              </w:rPr>
            </w:pPr>
          </w:p>
          <w:p w:rsidR="004C3ACB" w:rsidRDefault="004C3ACB">
            <w:pPr>
              <w:ind w:left="0"/>
              <w:jc w:val="center"/>
              <w:rPr>
                <w:rFonts w:ascii="Bookman Old Style" w:hAnsi="Bookman Old Style" w:cs="Arial"/>
                <w:b/>
                <w:spacing w:val="-3"/>
              </w:rPr>
            </w:pPr>
            <w:r>
              <w:rPr>
                <w:rFonts w:ascii="Bookman Old Style" w:hAnsi="Bookman Old Style" w:cs="Arial"/>
                <w:b/>
                <w:spacing w:val="-3"/>
              </w:rPr>
              <w:t>ORLANDO CABRALES SEGOVIA</w:t>
            </w:r>
          </w:p>
        </w:tc>
        <w:tc>
          <w:tcPr>
            <w:tcW w:w="5258" w:type="dxa"/>
          </w:tcPr>
          <w:p w:rsidR="004C3ACB" w:rsidRPr="00B4326E" w:rsidRDefault="004C3ACB" w:rsidP="00A47BCF">
            <w:pPr>
              <w:ind w:left="0"/>
              <w:jc w:val="right"/>
              <w:rPr>
                <w:rFonts w:ascii="Bookman Old Style" w:hAnsi="Bookman Old Style" w:cs="Arial"/>
                <w:b/>
                <w:spacing w:val="-3"/>
                <w:lang w:val="es-ES_tradnl"/>
              </w:rPr>
            </w:pPr>
          </w:p>
          <w:p w:rsidR="004C3ACB" w:rsidRPr="00B4326E" w:rsidRDefault="004C3ACB" w:rsidP="00A47BCF">
            <w:pPr>
              <w:ind w:left="0"/>
              <w:jc w:val="center"/>
              <w:rPr>
                <w:rFonts w:ascii="Bookman Old Style" w:hAnsi="Bookman Old Style" w:cs="Arial"/>
                <w:b/>
                <w:spacing w:val="-3"/>
                <w:lang w:val="es-ES_tradnl"/>
              </w:rPr>
            </w:pPr>
            <w:r w:rsidRPr="00B4326E">
              <w:rPr>
                <w:rFonts w:ascii="Bookman Old Style" w:hAnsi="Bookman Old Style" w:cs="Arial"/>
                <w:b/>
                <w:spacing w:val="-3"/>
                <w:lang w:val="es-ES_tradnl"/>
              </w:rPr>
              <w:t xml:space="preserve">         GERMÁN CASTRO FERREIRA</w:t>
            </w:r>
          </w:p>
        </w:tc>
      </w:tr>
      <w:tr w:rsidR="004C3ACB" w:rsidRPr="00B4326E" w:rsidTr="00A47BCF">
        <w:trPr>
          <w:trHeight w:val="490"/>
          <w:jc w:val="right"/>
        </w:trPr>
        <w:tc>
          <w:tcPr>
            <w:tcW w:w="4503" w:type="dxa"/>
          </w:tcPr>
          <w:p w:rsidR="004C3ACB" w:rsidRDefault="004C3ACB">
            <w:pPr>
              <w:snapToGrid w:val="0"/>
              <w:ind w:left="0"/>
              <w:jc w:val="center"/>
              <w:rPr>
                <w:rFonts w:ascii="Bookman Old Style" w:hAnsi="Bookman Old Style" w:cs="Arial"/>
              </w:rPr>
            </w:pPr>
            <w:r>
              <w:rPr>
                <w:rFonts w:ascii="Bookman Old Style" w:hAnsi="Bookman Old Style" w:cs="Arial"/>
                <w:szCs w:val="22"/>
              </w:rPr>
              <w:t>Viceministro de Energía</w:t>
            </w:r>
            <w:r>
              <w:rPr>
                <w:rFonts w:ascii="Bookman Old Style" w:hAnsi="Bookman Old Style" w:cs="Arial"/>
                <w:szCs w:val="22"/>
              </w:rPr>
              <w:br/>
            </w:r>
            <w:r>
              <w:rPr>
                <w:rFonts w:ascii="Bookman Old Style" w:hAnsi="Bookman Old Style" w:cs="Arial"/>
              </w:rPr>
              <w:t>Delegado del Ministro de Minas y Energía</w:t>
            </w:r>
          </w:p>
          <w:p w:rsidR="005901DF" w:rsidRDefault="005901DF">
            <w:pPr>
              <w:snapToGrid w:val="0"/>
              <w:ind w:left="0"/>
              <w:jc w:val="center"/>
              <w:rPr>
                <w:rFonts w:ascii="Bookman Old Style" w:hAnsi="Bookman Old Style" w:cs="Arial"/>
              </w:rPr>
            </w:pPr>
            <w:r>
              <w:rPr>
                <w:rFonts w:ascii="Bookman Old Style" w:hAnsi="Bookman Old Style" w:cs="Arial"/>
              </w:rPr>
              <w:t>Presidente</w:t>
            </w:r>
          </w:p>
        </w:tc>
        <w:tc>
          <w:tcPr>
            <w:tcW w:w="5258" w:type="dxa"/>
          </w:tcPr>
          <w:p w:rsidR="004C3ACB" w:rsidRPr="00B4326E" w:rsidRDefault="004C3ACB" w:rsidP="00A47BCF">
            <w:pPr>
              <w:ind w:left="0"/>
              <w:jc w:val="center"/>
              <w:rPr>
                <w:rFonts w:ascii="Bookman Old Style" w:hAnsi="Bookman Old Style" w:cs="Arial"/>
                <w:spacing w:val="-3"/>
                <w:lang w:val="es-ES_tradnl"/>
              </w:rPr>
            </w:pPr>
            <w:r w:rsidRPr="00B4326E">
              <w:rPr>
                <w:rFonts w:ascii="Bookman Old Style" w:hAnsi="Bookman Old Style" w:cs="Arial"/>
                <w:spacing w:val="-3"/>
                <w:lang w:val="es-ES_tradnl"/>
              </w:rPr>
              <w:t>Director Ejecutivo</w:t>
            </w:r>
          </w:p>
        </w:tc>
      </w:tr>
    </w:tbl>
    <w:p w:rsidR="009029D4" w:rsidRPr="00B4326E" w:rsidRDefault="009029D4" w:rsidP="009029D4">
      <w:pPr>
        <w:tabs>
          <w:tab w:val="center" w:pos="4512"/>
          <w:tab w:val="left" w:pos="7088"/>
        </w:tabs>
        <w:suppressAutoHyphens/>
        <w:ind w:left="0"/>
        <w:rPr>
          <w:rFonts w:ascii="Bookman Old Style" w:hAnsi="Bookman Old Style" w:cs="Arial"/>
          <w:b/>
          <w:color w:val="000000"/>
        </w:rPr>
      </w:pPr>
    </w:p>
    <w:p w:rsidR="009029D4" w:rsidRDefault="009029D4" w:rsidP="009029D4"/>
    <w:p w:rsidR="003F13A6" w:rsidRDefault="003F13A6" w:rsidP="0016046A">
      <w:pPr>
        <w:ind w:left="0"/>
      </w:pPr>
    </w:p>
    <w:sectPr w:rsidR="003F13A6" w:rsidSect="00A47BCF">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BF" w:rsidRDefault="00A71BBF" w:rsidP="009029D4">
      <w:r>
        <w:separator/>
      </w:r>
    </w:p>
  </w:endnote>
  <w:endnote w:type="continuationSeparator" w:id="0">
    <w:p w:rsidR="00A71BBF" w:rsidRDefault="00A71BBF" w:rsidP="0090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BF" w:rsidRDefault="00A71BBF" w:rsidP="009029D4">
      <w:r>
        <w:separator/>
      </w:r>
    </w:p>
  </w:footnote>
  <w:footnote w:type="continuationSeparator" w:id="0">
    <w:p w:rsidR="00A71BBF" w:rsidRDefault="00A71BBF" w:rsidP="009029D4">
      <w:r>
        <w:continuationSeparator/>
      </w:r>
    </w:p>
  </w:footnote>
  <w:footnote w:id="1">
    <w:p w:rsidR="00A71BBF" w:rsidRPr="00875878" w:rsidRDefault="00A71BBF" w:rsidP="009029D4">
      <w:pPr>
        <w:pStyle w:val="Textonotapie"/>
        <w:ind w:left="0"/>
        <w:jc w:val="both"/>
        <w:rPr>
          <w:rFonts w:ascii="Arial" w:hAnsi="Arial" w:cs="Arial"/>
          <w:sz w:val="16"/>
          <w:szCs w:val="16"/>
          <w:lang w:val="es-CO"/>
        </w:rPr>
      </w:pPr>
      <w:r w:rsidRPr="00875878">
        <w:rPr>
          <w:rStyle w:val="Refdenotaalpie"/>
          <w:rFonts w:ascii="Arial" w:hAnsi="Arial" w:cs="Arial"/>
          <w:sz w:val="16"/>
          <w:szCs w:val="16"/>
        </w:rPr>
        <w:footnoteRef/>
      </w:r>
      <w:r w:rsidRPr="00875878">
        <w:rPr>
          <w:rFonts w:ascii="Arial" w:hAnsi="Arial" w:cs="Arial"/>
          <w:sz w:val="16"/>
          <w:szCs w:val="16"/>
        </w:rPr>
        <w:t xml:space="preserve"> Por la cual se resuelve una solicitud de revisión tarifaria presentada por la Transportadora de</w:t>
      </w:r>
      <w:r>
        <w:rPr>
          <w:rFonts w:ascii="Arial" w:hAnsi="Arial" w:cs="Arial"/>
          <w:sz w:val="16"/>
          <w:szCs w:val="16"/>
        </w:rPr>
        <w:t xml:space="preserve"> Metano E.S.P. S.A., Transmetano.</w:t>
      </w:r>
    </w:p>
  </w:footnote>
  <w:footnote w:id="2">
    <w:p w:rsidR="00A71BBF" w:rsidRPr="00875878" w:rsidRDefault="00A71BBF" w:rsidP="009029D4">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Numeral 3.2.3 Documento 100 de 2010.</w:t>
      </w:r>
    </w:p>
  </w:footnote>
  <w:footnote w:id="3">
    <w:p w:rsidR="00A71BBF" w:rsidRPr="00875878" w:rsidRDefault="00A71BBF" w:rsidP="009029D4">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Por la cual se establecen las disposiciones para la aplicación de los criterios de análisis para la inclusión de inversiones en extensiones de la red tipo II de transporte de gas natural dentro del cálculo tarifario de tramos o grupos de gasoductos existentes</w:t>
      </w:r>
      <w:r>
        <w:rPr>
          <w:rFonts w:ascii="Arial" w:hAnsi="Arial" w:cs="Arial"/>
          <w:sz w:val="16"/>
          <w:szCs w:val="16"/>
        </w:rPr>
        <w:t>.</w:t>
      </w:r>
    </w:p>
  </w:footnote>
  <w:footnote w:id="4">
    <w:p w:rsidR="00A71BBF" w:rsidRPr="00875878" w:rsidRDefault="00A71BBF" w:rsidP="009029D4">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Cons</w:t>
      </w:r>
      <w:r>
        <w:rPr>
          <w:rFonts w:ascii="Arial" w:hAnsi="Arial" w:cs="Arial"/>
          <w:sz w:val="16"/>
          <w:szCs w:val="16"/>
        </w:rPr>
        <w:t>titución Política de Colombia, a</w:t>
      </w:r>
      <w:r w:rsidRPr="00875878">
        <w:rPr>
          <w:rFonts w:ascii="Arial" w:hAnsi="Arial" w:cs="Arial"/>
          <w:sz w:val="16"/>
          <w:szCs w:val="16"/>
        </w:rPr>
        <w:t>rtículo</w:t>
      </w:r>
      <w:r>
        <w:rPr>
          <w:rFonts w:ascii="Arial" w:hAnsi="Arial" w:cs="Arial"/>
          <w:sz w:val="16"/>
          <w:szCs w:val="16"/>
        </w:rPr>
        <w:t xml:space="preserve"> 365. Ley 142 de 1994 artículo 2.</w:t>
      </w:r>
    </w:p>
  </w:footnote>
  <w:footnote w:id="5">
    <w:p w:rsidR="00A71BBF" w:rsidRPr="00875878" w:rsidRDefault="00A71BBF" w:rsidP="009029D4">
      <w:pPr>
        <w:pStyle w:val="Textonotapie"/>
        <w:ind w:left="0"/>
        <w:jc w:val="both"/>
        <w:rPr>
          <w:rFonts w:ascii="Arial" w:hAnsi="Arial" w:cs="Arial"/>
          <w:sz w:val="16"/>
          <w:szCs w:val="16"/>
          <w:lang w:val="es-CO"/>
        </w:rPr>
      </w:pPr>
      <w:r w:rsidRPr="00875878">
        <w:rPr>
          <w:rStyle w:val="Refdenotaalpie"/>
          <w:rFonts w:ascii="Arial" w:hAnsi="Arial" w:cs="Arial"/>
          <w:sz w:val="16"/>
          <w:szCs w:val="16"/>
        </w:rPr>
        <w:footnoteRef/>
      </w:r>
      <w:r w:rsidRPr="00875878">
        <w:rPr>
          <w:rFonts w:ascii="Arial" w:hAnsi="Arial" w:cs="Arial"/>
          <w:sz w:val="16"/>
          <w:szCs w:val="16"/>
        </w:rPr>
        <w:t xml:space="preserve"> Corte Constitucional, Sentencia C-748 de 2009.</w:t>
      </w:r>
    </w:p>
  </w:footnote>
  <w:footnote w:id="6">
    <w:p w:rsidR="00A71BBF" w:rsidRPr="00875878" w:rsidRDefault="00A71BBF" w:rsidP="009029D4">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Corte Constitucional, Sentencia C-106 de 2004.</w:t>
      </w:r>
    </w:p>
  </w:footnote>
  <w:footnote w:id="7">
    <w:p w:rsidR="00A71BBF" w:rsidRPr="00944354" w:rsidRDefault="00A71BBF" w:rsidP="009029D4">
      <w:pPr>
        <w:pStyle w:val="Textonotapie"/>
        <w:ind w:left="-142"/>
        <w:jc w:val="both"/>
        <w:rPr>
          <w:rFonts w:ascii="Arial" w:hAnsi="Arial" w:cs="Arial"/>
          <w:sz w:val="16"/>
          <w:szCs w:val="16"/>
        </w:rPr>
      </w:pPr>
      <w:r w:rsidRPr="00944354">
        <w:rPr>
          <w:rStyle w:val="Refdenotaalpie"/>
          <w:rFonts w:ascii="Arial" w:hAnsi="Arial" w:cs="Arial"/>
          <w:sz w:val="16"/>
          <w:szCs w:val="16"/>
        </w:rPr>
        <w:footnoteRef/>
      </w:r>
      <w:r w:rsidRPr="00944354">
        <w:rPr>
          <w:rFonts w:ascii="Arial" w:hAnsi="Arial" w:cs="Arial"/>
          <w:sz w:val="16"/>
          <w:szCs w:val="16"/>
        </w:rPr>
        <w:t xml:space="preserve"> Corte Constitucional, Sentencia C-041 de 2003.</w:t>
      </w:r>
    </w:p>
  </w:footnote>
  <w:footnote w:id="8">
    <w:p w:rsidR="00A71BBF" w:rsidRPr="00944354" w:rsidRDefault="00A71BBF" w:rsidP="009029D4">
      <w:pPr>
        <w:pStyle w:val="Textonotapie"/>
        <w:ind w:left="-142"/>
        <w:jc w:val="both"/>
        <w:rPr>
          <w:rFonts w:ascii="Arial" w:hAnsi="Arial" w:cs="Arial"/>
          <w:sz w:val="16"/>
          <w:szCs w:val="16"/>
        </w:rPr>
      </w:pPr>
      <w:r w:rsidRPr="00944354">
        <w:rPr>
          <w:rStyle w:val="Refdenotaalpie"/>
          <w:rFonts w:ascii="Arial" w:hAnsi="Arial" w:cs="Arial"/>
          <w:sz w:val="16"/>
          <w:szCs w:val="16"/>
        </w:rPr>
        <w:footnoteRef/>
      </w:r>
      <w:r w:rsidRPr="00944354">
        <w:rPr>
          <w:rFonts w:ascii="Arial" w:hAnsi="Arial" w:cs="Arial"/>
          <w:sz w:val="16"/>
          <w:szCs w:val="16"/>
        </w:rPr>
        <w:t xml:space="preserve"> Corte Constitucional, Sentencia C-150 de 2003</w:t>
      </w:r>
      <w:r>
        <w:rPr>
          <w:rFonts w:ascii="Arial" w:hAnsi="Arial" w:cs="Arial"/>
          <w:sz w:val="16"/>
          <w:szCs w:val="16"/>
        </w:rPr>
        <w:t>.</w:t>
      </w:r>
    </w:p>
  </w:footnote>
  <w:footnote w:id="9">
    <w:p w:rsidR="00A71BBF" w:rsidRPr="00944354" w:rsidRDefault="00A71BBF" w:rsidP="009029D4">
      <w:pPr>
        <w:widowControl w:val="0"/>
        <w:tabs>
          <w:tab w:val="left" w:pos="265"/>
        </w:tabs>
        <w:ind w:left="-142" w:right="-142"/>
        <w:jc w:val="both"/>
        <w:rPr>
          <w:rFonts w:ascii="Arial" w:hAnsi="Arial" w:cs="Arial"/>
          <w:sz w:val="16"/>
          <w:szCs w:val="16"/>
        </w:rPr>
      </w:pPr>
      <w:r w:rsidRPr="00944354">
        <w:rPr>
          <w:rStyle w:val="Refdenotaalpie"/>
          <w:rFonts w:ascii="Arial" w:hAnsi="Arial" w:cs="Arial"/>
          <w:sz w:val="16"/>
          <w:szCs w:val="16"/>
        </w:rPr>
        <w:footnoteRef/>
      </w:r>
      <w:r w:rsidRPr="00944354">
        <w:rPr>
          <w:rFonts w:ascii="Arial" w:hAnsi="Arial" w:cs="Arial"/>
          <w:sz w:val="16"/>
          <w:szCs w:val="16"/>
        </w:rPr>
        <w:t xml:space="preserve"> Corte Constitucional, Sentencia C-041 de 2003</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BBF" w:rsidRDefault="00A71BBF" w:rsidP="00A47BCF">
    <w:pPr>
      <w:pStyle w:val="Ttulo1"/>
      <w:ind w:right="6"/>
      <w:jc w:val="left"/>
      <w:rPr>
        <w:rFonts w:ascii="Bookman Old Style" w:hAnsi="Bookman Old Style" w:cs="Arial"/>
        <w:b w:val="0"/>
        <w:sz w:val="22"/>
        <w:szCs w:val="22"/>
      </w:rPr>
    </w:pPr>
  </w:p>
  <w:p w:rsidR="00A71BBF" w:rsidRPr="00951F79" w:rsidRDefault="00A71BBF" w:rsidP="00A47BCF">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D400C">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D400C">
      <w:fldChar w:fldCharType="begin"/>
    </w:r>
    <w:r w:rsidR="006D400C">
      <w:instrText xml:space="preserve"> NUMPAGES  \* MERGEFORMAT </w:instrText>
    </w:r>
    <w:r w:rsidR="006D400C">
      <w:fldChar w:fldCharType="separate"/>
    </w:r>
    <w:r w:rsidR="006D400C" w:rsidRPr="006D400C">
      <w:rPr>
        <w:rFonts w:ascii="Bookman Old Style" w:hAnsi="Bookman Old Style" w:cs="Arial"/>
        <w:b w:val="0"/>
        <w:noProof/>
        <w:sz w:val="22"/>
        <w:szCs w:val="22"/>
      </w:rPr>
      <w:t>18</w:t>
    </w:r>
    <w:r w:rsidR="006D400C">
      <w:rPr>
        <w:rFonts w:ascii="Bookman Old Style" w:hAnsi="Bookman Old Style" w:cs="Arial"/>
        <w:b w:val="0"/>
        <w:noProof/>
        <w:sz w:val="22"/>
        <w:szCs w:val="22"/>
      </w:rPr>
      <w:fldChar w:fldCharType="end"/>
    </w:r>
  </w:p>
  <w:p w:rsidR="00A71BBF" w:rsidRDefault="006D400C" w:rsidP="00A47BCF">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71BBF" w:rsidRPr="001B4D2E" w:rsidRDefault="00A71BBF" w:rsidP="005901DF">
    <w:pPr>
      <w:pBdr>
        <w:bottom w:val="single" w:sz="4" w:space="11" w:color="auto"/>
      </w:pBdr>
      <w:ind w:left="142" w:right="147"/>
      <w:jc w:val="both"/>
      <w:rPr>
        <w:rFonts w:ascii="Bookman Old Style" w:hAnsi="Bookman Old Style" w:cs="Arial"/>
        <w:i/>
        <w:color w:val="000000" w:themeColor="text1"/>
        <w:sz w:val="22"/>
        <w:szCs w:val="22"/>
        <w:lang w:eastAsia="es-CO"/>
      </w:rPr>
    </w:pPr>
    <w:r w:rsidRPr="001B4D2E">
      <w:rPr>
        <w:rFonts w:ascii="Bookman Old Style" w:hAnsi="Bookman Old Style"/>
        <w:bCs/>
        <w:i/>
        <w:sz w:val="22"/>
        <w:szCs w:val="22"/>
        <w:lang w:val="es-CO"/>
      </w:rPr>
      <w:t xml:space="preserve">Por la cual se resuelve el recurso de reposición interpuesto en </w:t>
    </w:r>
    <w:r>
      <w:rPr>
        <w:rFonts w:ascii="Bookman Old Style" w:hAnsi="Bookman Old Style"/>
        <w:bCs/>
        <w:i/>
        <w:sz w:val="22"/>
        <w:szCs w:val="22"/>
        <w:lang w:val="es-CO"/>
      </w:rPr>
      <w:t>contra de la Resolución CREG 146</w:t>
    </w:r>
    <w:r w:rsidRPr="001B4D2E">
      <w:rPr>
        <w:rFonts w:ascii="Bookman Old Style" w:hAnsi="Bookman Old Style"/>
        <w:bCs/>
        <w:i/>
        <w:sz w:val="22"/>
        <w:szCs w:val="22"/>
        <w:lang w:val="es-CO"/>
      </w:rPr>
      <w:t xml:space="preserve"> de 2012, “Por la cual se </w:t>
    </w:r>
    <w:r>
      <w:rPr>
        <w:rFonts w:ascii="Bookman Old Style" w:hAnsi="Bookman Old Style"/>
        <w:bCs/>
        <w:i/>
        <w:sz w:val="22"/>
        <w:szCs w:val="22"/>
        <w:lang w:val="es-CO"/>
      </w:rPr>
      <w:t>establecen</w:t>
    </w:r>
    <w:r w:rsidRPr="001B4D2E">
      <w:rPr>
        <w:rFonts w:ascii="Bookman Old Style" w:hAnsi="Bookman Old Style"/>
        <w:bCs/>
        <w:i/>
        <w:sz w:val="22"/>
        <w:szCs w:val="22"/>
        <w:lang w:val="es-CO"/>
      </w:rPr>
      <w:t xml:space="preserve"> los cargos regulados para el sistema regional de transporte </w:t>
    </w:r>
    <w:r>
      <w:rPr>
        <w:rFonts w:ascii="Bookman Old Style" w:hAnsi="Bookman Old Style"/>
        <w:bCs/>
        <w:i/>
        <w:sz w:val="22"/>
        <w:szCs w:val="22"/>
        <w:lang w:val="es-CO"/>
      </w:rPr>
      <w:t>Yolombó</w:t>
    </w:r>
    <w:r w:rsidRPr="001B4D2E">
      <w:rPr>
        <w:rFonts w:ascii="Bookman Old Style" w:hAnsi="Bookman Old Style"/>
        <w:bCs/>
        <w:i/>
        <w:sz w:val="22"/>
        <w:szCs w:val="22"/>
        <w:lang w:val="es-CO"/>
      </w:rPr>
      <w:t>, según solicitud de la Transportadora de Metano E.S.P. S.A., Transmetano E.S.P. 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BBF" w:rsidRDefault="00A71BBF" w:rsidP="00A47BCF">
    <w:pPr>
      <w:pStyle w:val="Encabezado"/>
      <w:jc w:val="both"/>
      <w:rPr>
        <w:rFonts w:ascii="Arial" w:hAnsi="Arial" w:cs="Arial"/>
        <w:spacing w:val="20"/>
        <w:sz w:val="20"/>
      </w:rPr>
    </w:pPr>
    <w:r>
      <w:rPr>
        <w:rFonts w:ascii="Arial" w:hAnsi="Arial" w:cs="Arial"/>
        <w:spacing w:val="20"/>
        <w:sz w:val="20"/>
      </w:rPr>
      <w:t xml:space="preserve">                                   República de Colombia</w:t>
    </w:r>
  </w:p>
  <w:p w:rsidR="00A71BBF" w:rsidRDefault="00A71BBF">
    <w:pPr>
      <w:pStyle w:val="Encabezado"/>
      <w:jc w:val="center"/>
      <w:rPr>
        <w:rFonts w:ascii="Arial" w:hAnsi="Arial" w:cs="Arial"/>
        <w:spacing w:val="20"/>
        <w:sz w:val="20"/>
      </w:rPr>
    </w:pPr>
  </w:p>
  <w:p w:rsidR="00A71BBF" w:rsidRDefault="006D400C" w:rsidP="00A47BCF">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1312"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1C5"/>
    <w:multiLevelType w:val="hybridMultilevel"/>
    <w:tmpl w:val="1612F826"/>
    <w:lvl w:ilvl="0" w:tplc="D930B1D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83A7928"/>
    <w:multiLevelType w:val="hybridMultilevel"/>
    <w:tmpl w:val="1612F826"/>
    <w:lvl w:ilvl="0" w:tplc="D930B1D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F840FD3"/>
    <w:multiLevelType w:val="hybridMultilevel"/>
    <w:tmpl w:val="0598EAA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FA16383"/>
    <w:multiLevelType w:val="hybridMultilevel"/>
    <w:tmpl w:val="31A04568"/>
    <w:lvl w:ilvl="0" w:tplc="DC5AF8C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nsid w:val="37B674EB"/>
    <w:multiLevelType w:val="hybridMultilevel"/>
    <w:tmpl w:val="596AC958"/>
    <w:lvl w:ilvl="0" w:tplc="9876824E">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nsid w:val="40F11058"/>
    <w:multiLevelType w:val="hybridMultilevel"/>
    <w:tmpl w:val="315C027A"/>
    <w:lvl w:ilvl="0" w:tplc="17C2B61E">
      <w:start w:val="1"/>
      <w:numFmt w:val="upp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6">
    <w:nsid w:val="4E6F2DA7"/>
    <w:multiLevelType w:val="hybridMultilevel"/>
    <w:tmpl w:val="402C40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66CB56C0"/>
    <w:multiLevelType w:val="hybridMultilevel"/>
    <w:tmpl w:val="26CCA630"/>
    <w:lvl w:ilvl="0" w:tplc="FA66E32A">
      <w:start w:val="1"/>
      <w:numFmt w:val="upperRoman"/>
      <w:lvlText w:val="%1."/>
      <w:lvlJc w:val="left"/>
      <w:pPr>
        <w:ind w:left="578" w:hanging="72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num w:numId="1">
    <w:abstractNumId w:val="7"/>
  </w:num>
  <w:num w:numId="2">
    <w:abstractNumId w:val="6"/>
  </w:num>
  <w:num w:numId="3">
    <w:abstractNumId w:val="2"/>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D4"/>
    <w:rsid w:val="00077783"/>
    <w:rsid w:val="0016046A"/>
    <w:rsid w:val="00197FDB"/>
    <w:rsid w:val="00266352"/>
    <w:rsid w:val="003147D6"/>
    <w:rsid w:val="0036609B"/>
    <w:rsid w:val="00395099"/>
    <w:rsid w:val="003F13A6"/>
    <w:rsid w:val="003F55D6"/>
    <w:rsid w:val="004C3ACB"/>
    <w:rsid w:val="005901DF"/>
    <w:rsid w:val="005E3978"/>
    <w:rsid w:val="005E532C"/>
    <w:rsid w:val="006057AC"/>
    <w:rsid w:val="006D400C"/>
    <w:rsid w:val="006E7CD8"/>
    <w:rsid w:val="00731BDC"/>
    <w:rsid w:val="00787D1D"/>
    <w:rsid w:val="007A1664"/>
    <w:rsid w:val="007C4063"/>
    <w:rsid w:val="00865882"/>
    <w:rsid w:val="008A679C"/>
    <w:rsid w:val="009029D4"/>
    <w:rsid w:val="00916927"/>
    <w:rsid w:val="00951792"/>
    <w:rsid w:val="00A47BCF"/>
    <w:rsid w:val="00A71BBF"/>
    <w:rsid w:val="00A83678"/>
    <w:rsid w:val="00A876A3"/>
    <w:rsid w:val="00B630AD"/>
    <w:rsid w:val="00B679FF"/>
    <w:rsid w:val="00BD2484"/>
    <w:rsid w:val="00BF755C"/>
    <w:rsid w:val="00F1014D"/>
    <w:rsid w:val="00F673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D4"/>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029D4"/>
    <w:pPr>
      <w:keepNext/>
      <w:jc w:val="center"/>
      <w:outlineLvl w:val="0"/>
    </w:pPr>
    <w:rPr>
      <w:rFonts w:ascii="CG Times" w:hAnsi="CG Times"/>
      <w:b/>
      <w:szCs w:val="20"/>
      <w:lang w:val="es-CO"/>
    </w:rPr>
  </w:style>
  <w:style w:type="paragraph" w:styleId="Ttulo3">
    <w:name w:val="heading 3"/>
    <w:basedOn w:val="Normal"/>
    <w:next w:val="Normal"/>
    <w:link w:val="Ttulo3Car"/>
    <w:qFormat/>
    <w:rsid w:val="009029D4"/>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029D4"/>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029D4"/>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029D4"/>
    <w:rPr>
      <w:rFonts w:ascii="CG Times" w:eastAsia="Times New Roman" w:hAnsi="CG Times" w:cs="Times New Roman"/>
      <w:b/>
      <w:sz w:val="24"/>
      <w:szCs w:val="20"/>
      <w:lang w:val="es-CO" w:eastAsia="es-ES"/>
    </w:rPr>
  </w:style>
  <w:style w:type="character" w:customStyle="1" w:styleId="Ttulo3Car">
    <w:name w:val="Título 3 Car"/>
    <w:basedOn w:val="Fuentedeprrafopredeter"/>
    <w:link w:val="Ttulo3"/>
    <w:rsid w:val="009029D4"/>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029D4"/>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029D4"/>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rsid w:val="009029D4"/>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029D4"/>
    <w:rPr>
      <w:rFonts w:ascii="CG Times" w:eastAsia="Times New Roman" w:hAnsi="CG Times" w:cs="Times New Roman"/>
      <w:sz w:val="24"/>
      <w:szCs w:val="20"/>
      <w:lang w:val="es-CO" w:eastAsia="es-ES"/>
    </w:rPr>
  </w:style>
  <w:style w:type="paragraph" w:styleId="Textoindependiente">
    <w:name w:val="Body Text"/>
    <w:basedOn w:val="Normal"/>
    <w:link w:val="TextoindependienteCar"/>
    <w:semiHidden/>
    <w:rsid w:val="009029D4"/>
    <w:pPr>
      <w:jc w:val="center"/>
    </w:pPr>
    <w:rPr>
      <w:rFonts w:ascii="Arial" w:hAnsi="Arial" w:cs="Arial"/>
      <w:b/>
      <w:bCs/>
    </w:rPr>
  </w:style>
  <w:style w:type="character" w:customStyle="1" w:styleId="TextoindependienteCar">
    <w:name w:val="Texto independiente Car"/>
    <w:basedOn w:val="Fuentedeprrafopredeter"/>
    <w:link w:val="Textoindependiente"/>
    <w:semiHidden/>
    <w:rsid w:val="009029D4"/>
    <w:rPr>
      <w:rFonts w:ascii="Arial" w:eastAsia="Times New Roman" w:hAnsi="Arial" w:cs="Arial"/>
      <w:b/>
      <w:bCs/>
      <w:sz w:val="24"/>
      <w:szCs w:val="24"/>
      <w:lang w:val="es-ES" w:eastAsia="es-ES"/>
    </w:rPr>
  </w:style>
  <w:style w:type="paragraph" w:styleId="Textoindependiente2">
    <w:name w:val="Body Text 2"/>
    <w:basedOn w:val="Normal"/>
    <w:link w:val="Textoindependiente2Car"/>
    <w:uiPriority w:val="99"/>
    <w:unhideWhenUsed/>
    <w:rsid w:val="009029D4"/>
    <w:pPr>
      <w:spacing w:after="120" w:line="480" w:lineRule="auto"/>
    </w:pPr>
  </w:style>
  <w:style w:type="character" w:customStyle="1" w:styleId="Textoindependiente2Car">
    <w:name w:val="Texto independiente 2 Car"/>
    <w:basedOn w:val="Fuentedeprrafopredeter"/>
    <w:link w:val="Textoindependiente2"/>
    <w:uiPriority w:val="99"/>
    <w:rsid w:val="009029D4"/>
    <w:rPr>
      <w:rFonts w:ascii="Times New Roman" w:eastAsia="Times New Roman" w:hAnsi="Times New Roman" w:cs="Times New Roman"/>
      <w:sz w:val="24"/>
      <w:szCs w:val="24"/>
      <w:lang w:val="es-ES" w:eastAsia="es-ES"/>
    </w:rPr>
  </w:style>
  <w:style w:type="character" w:customStyle="1" w:styleId="CharStyle14">
    <w:name w:val="Char Style 14"/>
    <w:link w:val="Style13"/>
    <w:uiPriority w:val="99"/>
    <w:locked/>
    <w:rsid w:val="009029D4"/>
    <w:rPr>
      <w:rFonts w:ascii="Arial" w:hAnsi="Arial" w:cs="Arial"/>
      <w:sz w:val="13"/>
      <w:szCs w:val="13"/>
      <w:shd w:val="clear" w:color="auto" w:fill="FFFFFF"/>
    </w:rPr>
  </w:style>
  <w:style w:type="paragraph" w:customStyle="1" w:styleId="Style13">
    <w:name w:val="Style 13"/>
    <w:basedOn w:val="Normal"/>
    <w:link w:val="CharStyle14"/>
    <w:uiPriority w:val="99"/>
    <w:rsid w:val="009029D4"/>
    <w:pPr>
      <w:widowControl w:val="0"/>
      <w:shd w:val="clear" w:color="auto" w:fill="FFFFFF"/>
      <w:spacing w:line="168" w:lineRule="exact"/>
      <w:ind w:left="0" w:hanging="480"/>
      <w:jc w:val="both"/>
    </w:pPr>
    <w:rPr>
      <w:rFonts w:ascii="Arial" w:eastAsiaTheme="minorHAnsi" w:hAnsi="Arial" w:cs="Arial"/>
      <w:sz w:val="13"/>
      <w:szCs w:val="13"/>
      <w:lang w:val="es-MX"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9029D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9029D4"/>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029D4"/>
    <w:rPr>
      <w:vertAlign w:val="superscript"/>
    </w:rPr>
  </w:style>
  <w:style w:type="paragraph" w:styleId="Textodeglobo">
    <w:name w:val="Balloon Text"/>
    <w:basedOn w:val="Normal"/>
    <w:link w:val="TextodegloboCar"/>
    <w:uiPriority w:val="99"/>
    <w:semiHidden/>
    <w:unhideWhenUsed/>
    <w:rsid w:val="009029D4"/>
    <w:rPr>
      <w:rFonts w:ascii="Tahoma" w:hAnsi="Tahoma" w:cs="Tahoma"/>
      <w:sz w:val="16"/>
      <w:szCs w:val="16"/>
    </w:rPr>
  </w:style>
  <w:style w:type="character" w:customStyle="1" w:styleId="TextodegloboCar">
    <w:name w:val="Texto de globo Car"/>
    <w:basedOn w:val="Fuentedeprrafopredeter"/>
    <w:link w:val="Textodeglobo"/>
    <w:uiPriority w:val="99"/>
    <w:semiHidden/>
    <w:rsid w:val="009029D4"/>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9029D4"/>
    <w:pPr>
      <w:tabs>
        <w:tab w:val="center" w:pos="4419"/>
        <w:tab w:val="right" w:pos="8838"/>
      </w:tabs>
    </w:pPr>
  </w:style>
  <w:style w:type="character" w:customStyle="1" w:styleId="PiedepginaCar">
    <w:name w:val="Pie de página Car"/>
    <w:basedOn w:val="Fuentedeprrafopredeter"/>
    <w:link w:val="Piedepgina"/>
    <w:uiPriority w:val="99"/>
    <w:rsid w:val="009029D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77783"/>
    <w:pPr>
      <w:ind w:left="720"/>
      <w:contextualSpacing/>
    </w:pPr>
  </w:style>
  <w:style w:type="character" w:styleId="Refdecomentario">
    <w:name w:val="annotation reference"/>
    <w:basedOn w:val="Fuentedeprrafopredeter"/>
    <w:uiPriority w:val="99"/>
    <w:semiHidden/>
    <w:unhideWhenUsed/>
    <w:rsid w:val="003147D6"/>
    <w:rPr>
      <w:sz w:val="16"/>
      <w:szCs w:val="16"/>
    </w:rPr>
  </w:style>
  <w:style w:type="paragraph" w:styleId="Textocomentario">
    <w:name w:val="annotation text"/>
    <w:basedOn w:val="Normal"/>
    <w:link w:val="TextocomentarioCar"/>
    <w:uiPriority w:val="99"/>
    <w:semiHidden/>
    <w:unhideWhenUsed/>
    <w:rsid w:val="003147D6"/>
    <w:rPr>
      <w:sz w:val="20"/>
      <w:szCs w:val="20"/>
    </w:rPr>
  </w:style>
  <w:style w:type="character" w:customStyle="1" w:styleId="TextocomentarioCar">
    <w:name w:val="Texto comentario Car"/>
    <w:basedOn w:val="Fuentedeprrafopredeter"/>
    <w:link w:val="Textocomentario"/>
    <w:uiPriority w:val="99"/>
    <w:semiHidden/>
    <w:rsid w:val="003147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7D6"/>
    <w:rPr>
      <w:b/>
      <w:bCs/>
    </w:rPr>
  </w:style>
  <w:style w:type="character" w:customStyle="1" w:styleId="AsuntodelcomentarioCar">
    <w:name w:val="Asunto del comentario Car"/>
    <w:basedOn w:val="TextocomentarioCar"/>
    <w:link w:val="Asuntodelcomentario"/>
    <w:uiPriority w:val="99"/>
    <w:semiHidden/>
    <w:rsid w:val="003147D6"/>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D4"/>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029D4"/>
    <w:pPr>
      <w:keepNext/>
      <w:jc w:val="center"/>
      <w:outlineLvl w:val="0"/>
    </w:pPr>
    <w:rPr>
      <w:rFonts w:ascii="CG Times" w:hAnsi="CG Times"/>
      <w:b/>
      <w:szCs w:val="20"/>
      <w:lang w:val="es-CO"/>
    </w:rPr>
  </w:style>
  <w:style w:type="paragraph" w:styleId="Ttulo3">
    <w:name w:val="heading 3"/>
    <w:basedOn w:val="Normal"/>
    <w:next w:val="Normal"/>
    <w:link w:val="Ttulo3Car"/>
    <w:qFormat/>
    <w:rsid w:val="009029D4"/>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029D4"/>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029D4"/>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029D4"/>
    <w:rPr>
      <w:rFonts w:ascii="CG Times" w:eastAsia="Times New Roman" w:hAnsi="CG Times" w:cs="Times New Roman"/>
      <w:b/>
      <w:sz w:val="24"/>
      <w:szCs w:val="20"/>
      <w:lang w:val="es-CO" w:eastAsia="es-ES"/>
    </w:rPr>
  </w:style>
  <w:style w:type="character" w:customStyle="1" w:styleId="Ttulo3Car">
    <w:name w:val="Título 3 Car"/>
    <w:basedOn w:val="Fuentedeprrafopredeter"/>
    <w:link w:val="Ttulo3"/>
    <w:rsid w:val="009029D4"/>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029D4"/>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029D4"/>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rsid w:val="009029D4"/>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029D4"/>
    <w:rPr>
      <w:rFonts w:ascii="CG Times" w:eastAsia="Times New Roman" w:hAnsi="CG Times" w:cs="Times New Roman"/>
      <w:sz w:val="24"/>
      <w:szCs w:val="20"/>
      <w:lang w:val="es-CO" w:eastAsia="es-ES"/>
    </w:rPr>
  </w:style>
  <w:style w:type="paragraph" w:styleId="Textoindependiente">
    <w:name w:val="Body Text"/>
    <w:basedOn w:val="Normal"/>
    <w:link w:val="TextoindependienteCar"/>
    <w:semiHidden/>
    <w:rsid w:val="009029D4"/>
    <w:pPr>
      <w:jc w:val="center"/>
    </w:pPr>
    <w:rPr>
      <w:rFonts w:ascii="Arial" w:hAnsi="Arial" w:cs="Arial"/>
      <w:b/>
      <w:bCs/>
    </w:rPr>
  </w:style>
  <w:style w:type="character" w:customStyle="1" w:styleId="TextoindependienteCar">
    <w:name w:val="Texto independiente Car"/>
    <w:basedOn w:val="Fuentedeprrafopredeter"/>
    <w:link w:val="Textoindependiente"/>
    <w:semiHidden/>
    <w:rsid w:val="009029D4"/>
    <w:rPr>
      <w:rFonts w:ascii="Arial" w:eastAsia="Times New Roman" w:hAnsi="Arial" w:cs="Arial"/>
      <w:b/>
      <w:bCs/>
      <w:sz w:val="24"/>
      <w:szCs w:val="24"/>
      <w:lang w:val="es-ES" w:eastAsia="es-ES"/>
    </w:rPr>
  </w:style>
  <w:style w:type="paragraph" w:styleId="Textoindependiente2">
    <w:name w:val="Body Text 2"/>
    <w:basedOn w:val="Normal"/>
    <w:link w:val="Textoindependiente2Car"/>
    <w:uiPriority w:val="99"/>
    <w:unhideWhenUsed/>
    <w:rsid w:val="009029D4"/>
    <w:pPr>
      <w:spacing w:after="120" w:line="480" w:lineRule="auto"/>
    </w:pPr>
  </w:style>
  <w:style w:type="character" w:customStyle="1" w:styleId="Textoindependiente2Car">
    <w:name w:val="Texto independiente 2 Car"/>
    <w:basedOn w:val="Fuentedeprrafopredeter"/>
    <w:link w:val="Textoindependiente2"/>
    <w:uiPriority w:val="99"/>
    <w:rsid w:val="009029D4"/>
    <w:rPr>
      <w:rFonts w:ascii="Times New Roman" w:eastAsia="Times New Roman" w:hAnsi="Times New Roman" w:cs="Times New Roman"/>
      <w:sz w:val="24"/>
      <w:szCs w:val="24"/>
      <w:lang w:val="es-ES" w:eastAsia="es-ES"/>
    </w:rPr>
  </w:style>
  <w:style w:type="character" w:customStyle="1" w:styleId="CharStyle14">
    <w:name w:val="Char Style 14"/>
    <w:link w:val="Style13"/>
    <w:uiPriority w:val="99"/>
    <w:locked/>
    <w:rsid w:val="009029D4"/>
    <w:rPr>
      <w:rFonts w:ascii="Arial" w:hAnsi="Arial" w:cs="Arial"/>
      <w:sz w:val="13"/>
      <w:szCs w:val="13"/>
      <w:shd w:val="clear" w:color="auto" w:fill="FFFFFF"/>
    </w:rPr>
  </w:style>
  <w:style w:type="paragraph" w:customStyle="1" w:styleId="Style13">
    <w:name w:val="Style 13"/>
    <w:basedOn w:val="Normal"/>
    <w:link w:val="CharStyle14"/>
    <w:uiPriority w:val="99"/>
    <w:rsid w:val="009029D4"/>
    <w:pPr>
      <w:widowControl w:val="0"/>
      <w:shd w:val="clear" w:color="auto" w:fill="FFFFFF"/>
      <w:spacing w:line="168" w:lineRule="exact"/>
      <w:ind w:left="0" w:hanging="480"/>
      <w:jc w:val="both"/>
    </w:pPr>
    <w:rPr>
      <w:rFonts w:ascii="Arial" w:eastAsiaTheme="minorHAnsi" w:hAnsi="Arial" w:cs="Arial"/>
      <w:sz w:val="13"/>
      <w:szCs w:val="13"/>
      <w:lang w:val="es-MX"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9029D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9029D4"/>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029D4"/>
    <w:rPr>
      <w:vertAlign w:val="superscript"/>
    </w:rPr>
  </w:style>
  <w:style w:type="paragraph" w:styleId="Textodeglobo">
    <w:name w:val="Balloon Text"/>
    <w:basedOn w:val="Normal"/>
    <w:link w:val="TextodegloboCar"/>
    <w:uiPriority w:val="99"/>
    <w:semiHidden/>
    <w:unhideWhenUsed/>
    <w:rsid w:val="009029D4"/>
    <w:rPr>
      <w:rFonts w:ascii="Tahoma" w:hAnsi="Tahoma" w:cs="Tahoma"/>
      <w:sz w:val="16"/>
      <w:szCs w:val="16"/>
    </w:rPr>
  </w:style>
  <w:style w:type="character" w:customStyle="1" w:styleId="TextodegloboCar">
    <w:name w:val="Texto de globo Car"/>
    <w:basedOn w:val="Fuentedeprrafopredeter"/>
    <w:link w:val="Textodeglobo"/>
    <w:uiPriority w:val="99"/>
    <w:semiHidden/>
    <w:rsid w:val="009029D4"/>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9029D4"/>
    <w:pPr>
      <w:tabs>
        <w:tab w:val="center" w:pos="4419"/>
        <w:tab w:val="right" w:pos="8838"/>
      </w:tabs>
    </w:pPr>
  </w:style>
  <w:style w:type="character" w:customStyle="1" w:styleId="PiedepginaCar">
    <w:name w:val="Pie de página Car"/>
    <w:basedOn w:val="Fuentedeprrafopredeter"/>
    <w:link w:val="Piedepgina"/>
    <w:uiPriority w:val="99"/>
    <w:rsid w:val="009029D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77783"/>
    <w:pPr>
      <w:ind w:left="720"/>
      <w:contextualSpacing/>
    </w:pPr>
  </w:style>
  <w:style w:type="character" w:styleId="Refdecomentario">
    <w:name w:val="annotation reference"/>
    <w:basedOn w:val="Fuentedeprrafopredeter"/>
    <w:uiPriority w:val="99"/>
    <w:semiHidden/>
    <w:unhideWhenUsed/>
    <w:rsid w:val="003147D6"/>
    <w:rPr>
      <w:sz w:val="16"/>
      <w:szCs w:val="16"/>
    </w:rPr>
  </w:style>
  <w:style w:type="paragraph" w:styleId="Textocomentario">
    <w:name w:val="annotation text"/>
    <w:basedOn w:val="Normal"/>
    <w:link w:val="TextocomentarioCar"/>
    <w:uiPriority w:val="99"/>
    <w:semiHidden/>
    <w:unhideWhenUsed/>
    <w:rsid w:val="003147D6"/>
    <w:rPr>
      <w:sz w:val="20"/>
      <w:szCs w:val="20"/>
    </w:rPr>
  </w:style>
  <w:style w:type="character" w:customStyle="1" w:styleId="TextocomentarioCar">
    <w:name w:val="Texto comentario Car"/>
    <w:basedOn w:val="Fuentedeprrafopredeter"/>
    <w:link w:val="Textocomentario"/>
    <w:uiPriority w:val="99"/>
    <w:semiHidden/>
    <w:rsid w:val="003147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7D6"/>
    <w:rPr>
      <w:b/>
      <w:bCs/>
    </w:rPr>
  </w:style>
  <w:style w:type="character" w:customStyle="1" w:styleId="AsuntodelcomentarioCar">
    <w:name w:val="Asunto del comentario Car"/>
    <w:basedOn w:val="TextocomentarioCar"/>
    <w:link w:val="Asuntodelcomentario"/>
    <w:uiPriority w:val="99"/>
    <w:semiHidden/>
    <w:rsid w:val="003147D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65CC7-9308-43C9-8D65-D354BD7B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7694</Words>
  <Characters>42317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Leon</dc:creator>
  <cp:lastModifiedBy>Luz Stella Rojas Macias</cp:lastModifiedBy>
  <cp:revision>2</cp:revision>
  <cp:lastPrinted>2013-04-25T21:05:00Z</cp:lastPrinted>
  <dcterms:created xsi:type="dcterms:W3CDTF">2013-05-06T15:09:00Z</dcterms:created>
  <dcterms:modified xsi:type="dcterms:W3CDTF">2013-05-06T15:09:00Z</dcterms:modified>
</cp:coreProperties>
</file>