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417F54"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7380879" r:id="rId10"/>
        </w:pict>
      </w:r>
    </w:p>
    <w:p w:rsidR="007A7D34" w:rsidRPr="00DE53B8" w:rsidRDefault="007A7D34" w:rsidP="008F6530"/>
    <w:p w:rsidR="00625DC6" w:rsidRPr="00DE53B8" w:rsidRDefault="00625DC6"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5410F9">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325321" w:rsidRPr="00206287" w:rsidRDefault="00325321" w:rsidP="00325321">
      <w:pPr>
        <w:ind w:right="51"/>
        <w:jc w:val="center"/>
        <w:rPr>
          <w:b/>
        </w:rPr>
      </w:pPr>
      <w:r w:rsidRPr="00206287">
        <w:t xml:space="preserve">Por la cual se </w:t>
      </w:r>
      <w:r>
        <w:t>modifica una norma sobre registro de contratos de energía establecida en la Resolución CREG 157 de 2011</w:t>
      </w:r>
    </w:p>
    <w:p w:rsidR="00325321" w:rsidRDefault="00325321" w:rsidP="00325321">
      <w:pPr>
        <w:ind w:right="51"/>
        <w:jc w:val="center"/>
        <w:rPr>
          <w:b/>
        </w:rPr>
      </w:pPr>
    </w:p>
    <w:p w:rsidR="00325321" w:rsidRDefault="00325321" w:rsidP="00325321">
      <w:pPr>
        <w:ind w:right="51"/>
        <w:jc w:val="center"/>
        <w:rPr>
          <w:b/>
        </w:rPr>
      </w:pPr>
    </w:p>
    <w:p w:rsidR="00325321" w:rsidRPr="00C435C3" w:rsidRDefault="00325321" w:rsidP="00325321">
      <w:pPr>
        <w:ind w:right="51"/>
        <w:jc w:val="center"/>
        <w:rPr>
          <w:b/>
        </w:rPr>
      </w:pPr>
      <w:r w:rsidRPr="00C435C3">
        <w:rPr>
          <w:b/>
        </w:rPr>
        <w:t>LA COMISIÓN DE REGULACIÓN DE  ENERGÍA Y GAS</w:t>
      </w:r>
    </w:p>
    <w:p w:rsidR="00325321" w:rsidRPr="00C435C3" w:rsidRDefault="00325321" w:rsidP="00325321">
      <w:pPr>
        <w:ind w:right="51"/>
      </w:pPr>
    </w:p>
    <w:p w:rsidR="00325321" w:rsidRPr="00C435C3" w:rsidRDefault="00325321" w:rsidP="00325321">
      <w:pPr>
        <w:ind w:right="51"/>
      </w:pPr>
    </w:p>
    <w:p w:rsidR="00325321" w:rsidRPr="00C435C3" w:rsidRDefault="00325321" w:rsidP="00325321">
      <w:pPr>
        <w:pStyle w:val="Textoindependiente3"/>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Pr>
          <w:rFonts w:ascii="Bookman Old Style" w:hAnsi="Bookman Old Style"/>
          <w:b w:val="0"/>
        </w:rPr>
        <w:t>,</w:t>
      </w:r>
      <w:r w:rsidRPr="00C435C3">
        <w:rPr>
          <w:rFonts w:ascii="Bookman Old Style" w:hAnsi="Bookman Old Style"/>
          <w:b w:val="0"/>
        </w:rPr>
        <w:t xml:space="preserve"> 2253 de 1994</w:t>
      </w:r>
      <w:r>
        <w:rPr>
          <w:rFonts w:ascii="Bookman Old Style" w:hAnsi="Bookman Old Style"/>
          <w:b w:val="0"/>
        </w:rPr>
        <w:t xml:space="preserve"> y 1260 de 2013</w:t>
      </w:r>
      <w:r w:rsidRPr="00C435C3">
        <w:rPr>
          <w:rFonts w:ascii="Bookman Old Style" w:hAnsi="Bookman Old Style"/>
          <w:b w:val="0"/>
        </w:rPr>
        <w:t>.</w:t>
      </w:r>
    </w:p>
    <w:p w:rsidR="00325321" w:rsidRDefault="00325321" w:rsidP="00325321">
      <w:pPr>
        <w:ind w:right="51"/>
      </w:pPr>
    </w:p>
    <w:p w:rsidR="00325321" w:rsidRPr="00C435C3" w:rsidRDefault="00325321" w:rsidP="00325321">
      <w:pPr>
        <w:ind w:right="51"/>
      </w:pPr>
    </w:p>
    <w:p w:rsidR="00325321" w:rsidRPr="00C435C3" w:rsidRDefault="00325321" w:rsidP="00325321">
      <w:pPr>
        <w:ind w:right="51"/>
      </w:pPr>
    </w:p>
    <w:p w:rsidR="00325321" w:rsidRPr="009E54E0" w:rsidRDefault="00325321" w:rsidP="00325321">
      <w:pPr>
        <w:ind w:right="51"/>
        <w:jc w:val="center"/>
        <w:rPr>
          <w:b/>
          <w:spacing w:val="70"/>
        </w:rPr>
      </w:pPr>
      <w:r w:rsidRPr="009E54E0">
        <w:rPr>
          <w:b/>
          <w:spacing w:val="70"/>
        </w:rPr>
        <w:t>CONSIDERANDO</w:t>
      </w:r>
      <w:r w:rsidR="009E54E0" w:rsidRPr="009E54E0">
        <w:rPr>
          <w:b/>
          <w:spacing w:val="70"/>
        </w:rPr>
        <w:t xml:space="preserve"> </w:t>
      </w:r>
      <w:r w:rsidRPr="009E54E0">
        <w:rPr>
          <w:b/>
          <w:spacing w:val="70"/>
        </w:rPr>
        <w:t>QUE:</w:t>
      </w:r>
    </w:p>
    <w:p w:rsidR="00325321" w:rsidRPr="00C435C3" w:rsidRDefault="00325321" w:rsidP="00325321">
      <w:pPr>
        <w:ind w:right="51"/>
        <w:jc w:val="center"/>
        <w:rPr>
          <w:b/>
        </w:rPr>
      </w:pPr>
    </w:p>
    <w:p w:rsidR="00325321" w:rsidRDefault="00325321" w:rsidP="00325321"/>
    <w:p w:rsidR="00325321" w:rsidRDefault="00325321" w:rsidP="00325321">
      <w: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325321" w:rsidRDefault="00325321" w:rsidP="00325321"/>
    <w:p w:rsidR="00325321" w:rsidRDefault="00325321" w:rsidP="00325321">
      <w: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325321" w:rsidRDefault="00325321" w:rsidP="00325321"/>
    <w:p w:rsidR="003A0930" w:rsidRPr="003A0930" w:rsidRDefault="003A0930" w:rsidP="003A0930">
      <w:pPr>
        <w:contextualSpacing/>
        <w:rPr>
          <w:lang w:val="es-CO"/>
        </w:rPr>
      </w:pPr>
      <w:r>
        <w:t>L</w:t>
      </w:r>
      <w:r w:rsidRPr="003A0930">
        <w:rPr>
          <w:lang w:val="es-CO"/>
        </w:rPr>
        <w:t xml:space="preserve">a regulación es una actividad continua que comprende el seguimiento de la evolución del sector correspondiente y que implica la adopción de diversos tipos de decisiones y actos adecuados tanto a orientar la dinámica del sector hacia los fines que la justifican en cada caso, como a permitir el flujo de actividad socio-económica respectivo. De esto hace parte igualmente el seguimiento del comportamiento de los agentes, a fin de orientar sus </w:t>
      </w:r>
      <w:r w:rsidRPr="003A0930">
        <w:rPr>
          <w:lang w:val="es-CO"/>
        </w:rPr>
        <w:lastRenderedPageBreak/>
        <w:t>actividades dentro de los fines perseguidos en materia de servicios públicos, de acuerdo con lo previsto en la Ley 142 de 1994</w:t>
      </w:r>
      <w:r w:rsidRPr="003A0930">
        <w:rPr>
          <w:vertAlign w:val="superscript"/>
          <w:lang w:val="es-CO"/>
        </w:rPr>
        <w:footnoteReference w:id="1"/>
      </w:r>
      <w:r w:rsidRPr="003A0930">
        <w:rPr>
          <w:lang w:val="es-CO"/>
        </w:rPr>
        <w:t>.</w:t>
      </w:r>
    </w:p>
    <w:p w:rsidR="003A0930" w:rsidRPr="003A0930" w:rsidRDefault="003A0930" w:rsidP="003A0930">
      <w:pPr>
        <w:contextualSpacing/>
        <w:rPr>
          <w:lang w:val="es-CO"/>
        </w:rPr>
      </w:pPr>
    </w:p>
    <w:p w:rsidR="003A0930" w:rsidRPr="003A0930" w:rsidRDefault="003A0930" w:rsidP="003A0930">
      <w:pPr>
        <w:contextualSpacing/>
        <w:rPr>
          <w:lang w:val="es-CO"/>
        </w:rPr>
      </w:pPr>
      <w:r w:rsidRPr="003A0930">
        <w:rPr>
          <w:lang w:val="es-CO"/>
        </w:rPr>
        <w:t xml:space="preserve">Así mismo, </w:t>
      </w:r>
      <w:r>
        <w:rPr>
          <w:lang w:val="es-CO"/>
        </w:rPr>
        <w:t xml:space="preserve">se ha precisado por parte de la jurisprudencia constitucional que, </w:t>
      </w:r>
      <w:r w:rsidRPr="003A0930">
        <w:rPr>
          <w:lang w:val="es-CO"/>
        </w:rPr>
        <w:t xml:space="preserve">las medidas regulatorias que se adopten </w:t>
      </w:r>
      <w:r w:rsidRPr="003A0930">
        <w:rPr>
          <w:rFonts w:eastAsia="Calibri"/>
          <w:lang w:val="es-ES_tradnl" w:eastAsia="en-US"/>
        </w:rPr>
        <w:t>deben propender tanto por la convergencia entre los intereses colectivos que persigue la prestación de los servicios públicos, como por aquellos intereses de las empresas en relación con la competencia, la iniciativa privada y la libertad de empresa, entendidas como la existencia de “</w:t>
      </w:r>
      <w:r w:rsidRPr="003A0930">
        <w:rPr>
          <w:rFonts w:eastAsia="Calibri"/>
          <w:i/>
          <w:lang w:val="es-ES_tradnl" w:eastAsia="en-US"/>
        </w:rPr>
        <w:t>relaciones jurídicas de equilibrio entre usuarios y las empresas prestadoras de servicios públicos domiciliarios”</w:t>
      </w:r>
      <w:r w:rsidRPr="003A0930">
        <w:rPr>
          <w:rFonts w:eastAsia="Calibri"/>
          <w:vertAlign w:val="superscript"/>
          <w:lang w:val="es-ES_tradnl" w:eastAsia="en-US"/>
        </w:rPr>
        <w:footnoteReference w:id="2"/>
      </w:r>
      <w:r w:rsidRPr="003A0930">
        <w:rPr>
          <w:rFonts w:eastAsia="Calibri"/>
          <w:i/>
          <w:lang w:val="es-ES_tradnl" w:eastAsia="en-US"/>
        </w:rPr>
        <w:t>.</w:t>
      </w:r>
    </w:p>
    <w:p w:rsidR="003A0930" w:rsidRPr="003A0930" w:rsidRDefault="003A0930" w:rsidP="003A0930">
      <w:pPr>
        <w:contextualSpacing/>
        <w:rPr>
          <w:lang w:val="es-CO"/>
        </w:rPr>
      </w:pPr>
    </w:p>
    <w:p w:rsidR="003A0930" w:rsidRPr="003A0930" w:rsidRDefault="003A0930" w:rsidP="003A0930">
      <w:pPr>
        <w:contextualSpacing/>
        <w:rPr>
          <w:rFonts w:eastAsia="Calibri"/>
          <w:lang w:val="es-ES_tradnl" w:eastAsia="en-US"/>
        </w:rPr>
      </w:pPr>
      <w:r w:rsidRPr="003A0930">
        <w:rPr>
          <w:rFonts w:eastAsia="Calibri"/>
          <w:lang w:val="es-CO" w:eastAsia="en-US"/>
        </w:rPr>
        <w:t>Dicha</w:t>
      </w:r>
      <w:r w:rsidRPr="003A0930">
        <w:rPr>
          <w:rFonts w:eastAsia="Calibri"/>
          <w:lang w:val="es-ES_tradnl" w:eastAsia="en-US"/>
        </w:rPr>
        <w:t xml:space="preserve">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3A0930">
        <w:rPr>
          <w:rFonts w:eastAsia="Calibri"/>
          <w:vertAlign w:val="superscript"/>
          <w:lang w:val="es-ES_tradnl" w:eastAsia="en-US"/>
        </w:rPr>
        <w:footnoteReference w:id="3"/>
      </w:r>
      <w:r w:rsidRPr="003A0930">
        <w:rPr>
          <w:rFonts w:eastAsia="Calibri"/>
          <w:lang w:val="es-ES_tradnl" w:eastAsia="en-US"/>
        </w:rPr>
        <w:t>. Sobre este punto expone la Corte:</w:t>
      </w:r>
    </w:p>
    <w:p w:rsidR="003A0930" w:rsidRPr="003A0930" w:rsidRDefault="003A0930" w:rsidP="003A0930">
      <w:pPr>
        <w:contextualSpacing/>
        <w:rPr>
          <w:lang w:val="es-CO"/>
        </w:rPr>
      </w:pPr>
    </w:p>
    <w:p w:rsidR="003A0930" w:rsidRPr="003A0930" w:rsidRDefault="003A0930" w:rsidP="003A0930">
      <w:pPr>
        <w:ind w:left="284" w:right="284"/>
        <w:contextualSpacing/>
        <w:rPr>
          <w:rFonts w:cs="Calibri"/>
          <w:iCs/>
          <w:sz w:val="22"/>
          <w:szCs w:val="22"/>
          <w:lang w:val="es-CO" w:eastAsia="es-CO"/>
        </w:rPr>
      </w:pPr>
      <w:r w:rsidRPr="003A0930">
        <w:rPr>
          <w:rFonts w:cs="Calibri"/>
          <w:i/>
          <w:iCs/>
          <w:sz w:val="22"/>
          <w:szCs w:val="22"/>
          <w:lang w:val="es-CO" w:eastAsia="es-CO"/>
        </w:rPr>
        <w:t xml:space="preserve">“Los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w:t>
      </w:r>
      <w:r w:rsidRPr="003A0930">
        <w:rPr>
          <w:rFonts w:cs="Calibri"/>
          <w:b/>
          <w:i/>
          <w:iCs/>
          <w:sz w:val="22"/>
          <w:szCs w:val="22"/>
          <w:u w:val="single"/>
          <w:lang w:val="es-CO" w:eastAsia="es-CO"/>
        </w:rPr>
        <w:t>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r w:rsidRPr="003A0930">
        <w:rPr>
          <w:rFonts w:cs="Calibri"/>
          <w:i/>
          <w:iCs/>
          <w:sz w:val="22"/>
          <w:szCs w:val="22"/>
          <w:lang w:val="es-CO" w:eastAsia="es-CO"/>
        </w:rPr>
        <w:t>”</w:t>
      </w:r>
      <w:r w:rsidRPr="003A0930">
        <w:rPr>
          <w:rFonts w:cs="Calibri"/>
          <w:iCs/>
          <w:sz w:val="22"/>
          <w:szCs w:val="22"/>
          <w:lang w:val="es-CO" w:eastAsia="es-CO"/>
        </w:rPr>
        <w:t>.</w:t>
      </w:r>
    </w:p>
    <w:p w:rsidR="003A0930" w:rsidRPr="003A0930" w:rsidRDefault="003A0930" w:rsidP="003A0930">
      <w:pPr>
        <w:ind w:left="284" w:right="284"/>
        <w:contextualSpacing/>
        <w:rPr>
          <w:rFonts w:cs="Calibri"/>
          <w:i/>
          <w:iCs/>
          <w:sz w:val="22"/>
          <w:szCs w:val="22"/>
          <w:lang w:val="es-CO" w:eastAsia="es-CO"/>
        </w:rPr>
      </w:pPr>
    </w:p>
    <w:p w:rsidR="003A0930" w:rsidRPr="003A0930" w:rsidRDefault="003A0930" w:rsidP="003A0930">
      <w:pPr>
        <w:ind w:left="284" w:right="284"/>
        <w:contextualSpacing/>
        <w:rPr>
          <w:rFonts w:cs="Calibri"/>
          <w:sz w:val="22"/>
          <w:szCs w:val="22"/>
          <w:lang w:val="es-CO" w:eastAsia="es-CO"/>
        </w:rPr>
      </w:pPr>
      <w:r w:rsidRPr="003A0930">
        <w:rPr>
          <w:rFonts w:cs="Calibri"/>
          <w:i/>
          <w:iCs/>
          <w:sz w:val="22"/>
          <w:szCs w:val="22"/>
          <w:lang w:val="es-CO" w:eastAsia="es-CO"/>
        </w:rPr>
        <w:t>(</w:t>
      </w:r>
      <w:r w:rsidRPr="003A0930">
        <w:rPr>
          <w:rFonts w:cs="Calibri"/>
          <w:sz w:val="22"/>
          <w:szCs w:val="22"/>
          <w:lang w:val="es-CO" w:eastAsia="es-CO"/>
        </w:rPr>
        <w:t>…)</w:t>
      </w:r>
    </w:p>
    <w:p w:rsidR="003A0930" w:rsidRPr="003A0930" w:rsidRDefault="003A0930" w:rsidP="003A0930">
      <w:pPr>
        <w:ind w:left="284" w:right="284"/>
        <w:contextualSpacing/>
        <w:rPr>
          <w:rFonts w:cs="Calibri"/>
          <w:sz w:val="22"/>
          <w:szCs w:val="22"/>
          <w:lang w:val="es-CO" w:eastAsia="es-CO"/>
        </w:rPr>
      </w:pPr>
    </w:p>
    <w:p w:rsidR="003A0930" w:rsidRPr="003A0930" w:rsidRDefault="003A0930" w:rsidP="003A0930">
      <w:pPr>
        <w:ind w:left="284" w:right="284"/>
        <w:contextualSpacing/>
        <w:rPr>
          <w:rFonts w:eastAsia="Calibri"/>
          <w:lang w:val="es-ES_tradnl" w:eastAsia="en-US"/>
        </w:rPr>
      </w:pPr>
      <w:r w:rsidRPr="003A0930">
        <w:rPr>
          <w:rFonts w:cs="Calibri"/>
          <w:i/>
          <w:iCs/>
          <w:color w:val="000000"/>
          <w:sz w:val="20"/>
          <w:szCs w:val="20"/>
          <w:lang w:val="es-CO" w:eastAsia="es-CO"/>
        </w:rPr>
        <w:t>“</w:t>
      </w:r>
      <w:r w:rsidRPr="003A0930">
        <w:rPr>
          <w:rFonts w:cs="Calibri"/>
          <w:b/>
          <w:i/>
          <w:iCs/>
          <w:color w:val="000000"/>
          <w:sz w:val="20"/>
          <w:szCs w:val="20"/>
          <w:u w:val="single"/>
          <w:lang w:val="es-CO" w:eastAsia="es-CO"/>
        </w:rPr>
        <w:t xml:space="preserve">La regulación, en tanto que mecanismo de intervención del Estado, busca garantizar </w:t>
      </w:r>
      <w:r w:rsidRPr="003A0930">
        <w:rPr>
          <w:rFonts w:cs="Calibri"/>
          <w:b/>
          <w:i/>
          <w:iCs/>
          <w:sz w:val="20"/>
          <w:szCs w:val="20"/>
          <w:u w:val="single"/>
          <w:lang w:val="es-CO" w:eastAsia="es-CO"/>
        </w:rPr>
        <w:t>la efectividad de los principios sociales y el adecuado funcionamiento del mercado</w:t>
      </w:r>
      <w:r w:rsidRPr="003A0930">
        <w:rPr>
          <w:rFonts w:cs="Calibri"/>
          <w:i/>
          <w:iCs/>
          <w:sz w:val="20"/>
          <w:szCs w:val="20"/>
          <w:u w:val="single"/>
          <w:lang w:val="es-CO" w:eastAsia="es-CO"/>
        </w:rPr>
        <w:t xml:space="preserve"> (…)”.</w:t>
      </w:r>
      <w:r w:rsidRPr="003A0930">
        <w:rPr>
          <w:rFonts w:cs="Calibri"/>
          <w:i/>
          <w:iCs/>
          <w:sz w:val="20"/>
          <w:szCs w:val="20"/>
          <w:u w:val="single"/>
          <w:vertAlign w:val="superscript"/>
          <w:lang w:val="es-CO" w:eastAsia="es-CO"/>
        </w:rPr>
        <w:footnoteReference w:id="4"/>
      </w:r>
      <w:r w:rsidRPr="003A0930">
        <w:rPr>
          <w:rFonts w:cs="Calibri"/>
          <w:iCs/>
          <w:sz w:val="20"/>
          <w:szCs w:val="20"/>
          <w:lang w:val="es-CO" w:eastAsia="es-CO"/>
        </w:rPr>
        <w:t xml:space="preserve"> (Resaltado fuera de texto)</w:t>
      </w:r>
    </w:p>
    <w:p w:rsidR="003A0930" w:rsidRPr="003A0930" w:rsidRDefault="003A0930" w:rsidP="003A0930">
      <w:pPr>
        <w:contextualSpacing/>
        <w:rPr>
          <w:lang w:val="es-ES_tradnl"/>
        </w:rPr>
      </w:pPr>
    </w:p>
    <w:p w:rsidR="003A0930" w:rsidRPr="003A0930" w:rsidRDefault="003A0930" w:rsidP="003A0930">
      <w:pPr>
        <w:ind w:right="284"/>
        <w:rPr>
          <w:rFonts w:eastAsia="Calibri"/>
          <w:lang w:val="es-CO" w:eastAsia="en-US"/>
        </w:rPr>
      </w:pPr>
      <w:r w:rsidRPr="003A0930">
        <w:rPr>
          <w:rFonts w:eastAsia="Calibri"/>
          <w:lang w:val="es-CO" w:eastAsia="en-US"/>
        </w:rPr>
        <w:t xml:space="preserve">Adicionalmente, se debe tener en cuenta </w:t>
      </w:r>
      <w:r w:rsidR="00BD006C">
        <w:rPr>
          <w:rFonts w:eastAsia="Calibri"/>
          <w:lang w:val="es-CO" w:eastAsia="en-US"/>
        </w:rPr>
        <w:t xml:space="preserve">que, </w:t>
      </w:r>
      <w:r w:rsidRPr="003A0930">
        <w:rPr>
          <w:rFonts w:eastAsia="Calibri"/>
          <w:lang w:val="es-CO" w:eastAsia="en-US"/>
        </w:rPr>
        <w:t>con respecto al alcance de las facultades regulatorias con las que cuenta esta Comisión</w:t>
      </w:r>
      <w:r w:rsidR="00BD006C">
        <w:rPr>
          <w:rFonts w:eastAsia="Calibri"/>
          <w:lang w:val="es-CO" w:eastAsia="en-US"/>
        </w:rPr>
        <w:t>,</w:t>
      </w:r>
      <w:r w:rsidRPr="003A0930">
        <w:rPr>
          <w:rFonts w:eastAsia="Calibri"/>
          <w:lang w:val="es-CO" w:eastAsia="en-US"/>
        </w:rPr>
        <w:t xml:space="preserve"> la H. Corte Constitucional ha precisado lo siguiente:</w:t>
      </w:r>
    </w:p>
    <w:p w:rsidR="003A0930" w:rsidRPr="003A0930" w:rsidRDefault="003A0930" w:rsidP="003A0930">
      <w:pPr>
        <w:ind w:left="284" w:right="284"/>
        <w:rPr>
          <w:rFonts w:eastAsia="Calibri"/>
          <w:sz w:val="22"/>
          <w:szCs w:val="22"/>
          <w:lang w:val="es-CO" w:eastAsia="en-US"/>
        </w:rPr>
      </w:pPr>
    </w:p>
    <w:p w:rsidR="003A0930" w:rsidRPr="003A0930" w:rsidRDefault="003A0930" w:rsidP="003A0930">
      <w:pPr>
        <w:ind w:left="284" w:right="284"/>
        <w:rPr>
          <w:rFonts w:eastAsia="Calibri"/>
          <w:sz w:val="22"/>
          <w:szCs w:val="22"/>
          <w:lang w:val="es-CO" w:eastAsia="en-US"/>
        </w:rPr>
      </w:pPr>
      <w:r w:rsidRPr="003A0930">
        <w:rPr>
          <w:rFonts w:eastAsia="Calibri"/>
          <w:sz w:val="22"/>
          <w:szCs w:val="22"/>
          <w:lang w:val="es-CO" w:eastAsia="en-US"/>
        </w:rPr>
        <w:t xml:space="preserve">“Por último, el artículo 73 de la Ley 142 de 1994 consagra un catálogo amplio y detallado de las (26) funciones y facultades generales atribuidas a las Comisiones de Regulación para el cumplimiento de las tareas asignadas, con el objeto de (i) regular los monopolios cuando la competencia no sea posible, (ii) promover la competencia entre los prestadores de servicios públicos, (iii) </w:t>
      </w:r>
      <w:r w:rsidRPr="003A0930">
        <w:rPr>
          <w:rFonts w:eastAsia="Calibri"/>
          <w:sz w:val="22"/>
          <w:szCs w:val="22"/>
          <w:u w:val="single"/>
          <w:lang w:val="es-CO" w:eastAsia="en-US"/>
        </w:rPr>
        <w:t>garantizar que las operaciones sean económicamente eficientes,</w:t>
      </w:r>
      <w:r w:rsidRPr="003A0930">
        <w:rPr>
          <w:rFonts w:eastAsia="Calibri"/>
          <w:sz w:val="22"/>
          <w:szCs w:val="22"/>
          <w:lang w:val="es-CO" w:eastAsia="en-US"/>
        </w:rPr>
        <w:t xml:space="preserve"> (iv) evitar abuso de la posición dominante y (v) asegurar servicios de calidad</w:t>
      </w:r>
      <w:r w:rsidR="00BD006C">
        <w:rPr>
          <w:rFonts w:eastAsia="Calibri"/>
          <w:sz w:val="22"/>
          <w:szCs w:val="22"/>
          <w:lang w:val="es-CO" w:eastAsia="en-US"/>
        </w:rPr>
        <w:t>.</w:t>
      </w:r>
    </w:p>
    <w:p w:rsidR="003A0930" w:rsidRPr="003A0930" w:rsidRDefault="003A0930" w:rsidP="003A0930">
      <w:pPr>
        <w:ind w:left="284" w:right="284"/>
        <w:rPr>
          <w:rFonts w:eastAsia="Calibri"/>
          <w:sz w:val="22"/>
          <w:szCs w:val="22"/>
          <w:lang w:val="es-CO" w:eastAsia="en-US"/>
        </w:rPr>
      </w:pPr>
    </w:p>
    <w:p w:rsidR="003A0930" w:rsidRPr="003A0930" w:rsidRDefault="003A0930" w:rsidP="003A0930">
      <w:pPr>
        <w:ind w:left="284" w:right="284"/>
        <w:rPr>
          <w:rFonts w:eastAsia="Calibri"/>
          <w:sz w:val="22"/>
          <w:szCs w:val="22"/>
          <w:lang w:val="es-CO" w:eastAsia="en-US"/>
        </w:rPr>
      </w:pPr>
      <w:r w:rsidRPr="003A0930">
        <w:rPr>
          <w:rFonts w:eastAsia="Calibri"/>
          <w:sz w:val="22"/>
          <w:szCs w:val="22"/>
          <w:lang w:val="es-CO" w:eastAsia="en-US"/>
        </w:rPr>
        <w:lastRenderedPageBreak/>
        <w:t xml:space="preserve">Los fines y parámetros a los que aluden estas normas, antes que genéricos e indeterminados, comprenden una enunciación detallada y concreta dirigida al cumplimiento de las metas de la regulación en servicios públicos. </w:t>
      </w:r>
      <w:r w:rsidRPr="003A0930">
        <w:rPr>
          <w:rFonts w:eastAsia="Calibri"/>
          <w:sz w:val="22"/>
          <w:szCs w:val="22"/>
          <w:u w:val="single"/>
          <w:lang w:val="es-CO" w:eastAsia="en-US"/>
        </w:rPr>
        <w:t>Metas que, según ha reconocido la jurisprudencia constitucional, no son exclusivamente económicas sino que también buscan asegurar ‘la compatibilidad de un mercado eficiente con los principios del Estado social de derecho, dentro de una democracia participativa en la cual los derechos de todos los usuarios sean efectivamente protegidos y garantizados’.</w:t>
      </w:r>
      <w:r w:rsidRPr="003A0930">
        <w:rPr>
          <w:rFonts w:eastAsia="Calibri"/>
          <w:sz w:val="22"/>
          <w:szCs w:val="22"/>
          <w:lang w:val="es-CO" w:eastAsia="en-US"/>
        </w:rPr>
        <w:t>” (Resaltado fuera de texto)</w:t>
      </w:r>
    </w:p>
    <w:p w:rsidR="003A0930" w:rsidRPr="003A0930" w:rsidRDefault="003A0930" w:rsidP="003A0930">
      <w:pPr>
        <w:ind w:right="284"/>
        <w:rPr>
          <w:rFonts w:eastAsia="Calibri"/>
          <w:sz w:val="22"/>
          <w:szCs w:val="22"/>
          <w:lang w:val="es-CO" w:eastAsia="en-US"/>
        </w:rPr>
      </w:pPr>
    </w:p>
    <w:p w:rsidR="003A0930" w:rsidRPr="007C0B74" w:rsidRDefault="003A0930" w:rsidP="007C0B74">
      <w:pPr>
        <w:rPr>
          <w:lang w:val="es-CO"/>
        </w:rPr>
      </w:pPr>
      <w:r w:rsidRPr="007C0B74">
        <w:rPr>
          <w:lang w:val="es-CO"/>
        </w:rPr>
        <w:t xml:space="preserve">Actualmente la Resolución CREG 157 de 2011 </w:t>
      </w:r>
      <w:r w:rsidR="00A83C43" w:rsidRPr="007C0B74">
        <w:rPr>
          <w:lang w:val="es-CO"/>
        </w:rPr>
        <w:t xml:space="preserve">establece una serie de requisitos que deben ser verificados por el ASIC para llevar a cabo el </w:t>
      </w:r>
      <w:r w:rsidRPr="007C0B74">
        <w:rPr>
          <w:lang w:val="es-CO"/>
        </w:rPr>
        <w:t xml:space="preserve">registro de contratos de largo plazo. </w:t>
      </w:r>
    </w:p>
    <w:p w:rsidR="00A83C43" w:rsidRDefault="00A83C43" w:rsidP="003A0930">
      <w:pPr>
        <w:ind w:right="284"/>
        <w:rPr>
          <w:rFonts w:eastAsia="Calibri"/>
          <w:lang w:val="es-CO" w:eastAsia="en-US"/>
        </w:rPr>
      </w:pPr>
    </w:p>
    <w:p w:rsidR="00A83C43" w:rsidRPr="008635E3" w:rsidRDefault="00A83C43" w:rsidP="00A83C43">
      <w:r>
        <w:rPr>
          <w:lang w:val="es-CO"/>
        </w:rPr>
        <w:t>Así mismo, se deben tener en cuenta que e</w:t>
      </w:r>
      <w:r>
        <w:t xml:space="preserve">n el país se están presentando condiciones de caudales bajos en los ríos a causa de la presencia del Fenómeno de </w:t>
      </w:r>
      <w:r w:rsidR="007C0B74">
        <w:t>“</w:t>
      </w:r>
      <w:r>
        <w:t>El Niño</w:t>
      </w:r>
      <w:r w:rsidR="007C0B74">
        <w:t>”</w:t>
      </w:r>
      <w:r>
        <w:t>, que han derivado en mayores precios en la bolsa de energía que afectan a los agentes que compran en bolsa. De acuerdo con lo anterior, s</w:t>
      </w:r>
      <w:r w:rsidRPr="00A83C43">
        <w:t xml:space="preserve">e entiende que en la medida en la que un agente registre contratos de compra de energía disminuye su exposición en bolsa, por lo que se considera conveniente flexibilizar uno de los requisitos exigidos para el registro </w:t>
      </w:r>
      <w:r w:rsidR="00D2011E">
        <w:t xml:space="preserve">de contratos a largo plazo previstos </w:t>
      </w:r>
      <w:r w:rsidRPr="00A83C43">
        <w:t xml:space="preserve">en </w:t>
      </w:r>
      <w:r>
        <w:t xml:space="preserve">el artículo 15 de </w:t>
      </w:r>
      <w:r w:rsidRPr="00A83C43">
        <w:t>la Resolución CREG 157 de 2011.</w:t>
      </w:r>
    </w:p>
    <w:p w:rsidR="00A83C43" w:rsidRDefault="00A83C43" w:rsidP="003A0930">
      <w:pPr>
        <w:ind w:right="284"/>
        <w:rPr>
          <w:rFonts w:eastAsia="Calibri"/>
          <w:lang w:val="es-CO" w:eastAsia="en-US"/>
        </w:rPr>
      </w:pPr>
    </w:p>
    <w:p w:rsidR="003A0930" w:rsidRPr="003A0930" w:rsidRDefault="00BD006C" w:rsidP="00A83C43">
      <w:pPr>
        <w:rPr>
          <w:rFonts w:eastAsia="Calibri"/>
          <w:lang w:val="es-CO" w:eastAsia="en-US"/>
        </w:rPr>
      </w:pPr>
      <w:r>
        <w:rPr>
          <w:rFonts w:eastAsia="Calibri"/>
          <w:lang w:val="es-CO" w:eastAsia="en-US"/>
        </w:rPr>
        <w:t>Es por esto que</w:t>
      </w:r>
      <w:r w:rsidR="003A0930" w:rsidRPr="003A0930">
        <w:rPr>
          <w:rFonts w:eastAsia="Calibri"/>
          <w:lang w:val="es-CO" w:eastAsia="en-US"/>
        </w:rPr>
        <w:t xml:space="preserve"> las medidas regulatorias que hacen parte de la presente resolución</w:t>
      </w:r>
      <w:r>
        <w:rPr>
          <w:rFonts w:eastAsia="Calibri"/>
          <w:lang w:val="es-CO" w:eastAsia="en-US"/>
        </w:rPr>
        <w:t>,</w:t>
      </w:r>
      <w:r w:rsidR="003A0930" w:rsidRPr="003A0930">
        <w:rPr>
          <w:rFonts w:eastAsia="Calibri"/>
          <w:lang w:val="es-CO" w:eastAsia="en-US"/>
        </w:rPr>
        <w:t xml:space="preserve"> </w:t>
      </w:r>
      <w:r>
        <w:rPr>
          <w:rFonts w:eastAsia="Calibri"/>
          <w:lang w:val="es-CO" w:eastAsia="en-US"/>
        </w:rPr>
        <w:t>con el propósito</w:t>
      </w:r>
      <w:r w:rsidR="00CC7E20" w:rsidRPr="00A83C43">
        <w:rPr>
          <w:rFonts w:eastAsia="Calibri"/>
          <w:lang w:val="es-CO" w:eastAsia="en-US"/>
        </w:rPr>
        <w:t xml:space="preserve"> de reducir la exposición en bolsa por parte de estos agentes, </w:t>
      </w:r>
      <w:r w:rsidR="003A0930" w:rsidRPr="003A0930">
        <w:rPr>
          <w:rFonts w:eastAsia="Calibri"/>
          <w:lang w:val="es-CO" w:eastAsia="en-US"/>
        </w:rPr>
        <w:t>se expiden atendiendo los fines y objetivos previstos en las Leyes 142 y 143 de 1994</w:t>
      </w:r>
      <w:r w:rsidR="003A0930" w:rsidRPr="003A0930">
        <w:rPr>
          <w:vertAlign w:val="superscript"/>
          <w:lang w:val="es-CO"/>
        </w:rPr>
        <w:footnoteReference w:id="5"/>
      </w:r>
      <w:r w:rsidR="003A0930" w:rsidRPr="003A0930">
        <w:rPr>
          <w:lang w:val="es-CO"/>
        </w:rPr>
        <w:t xml:space="preserve">, a fin de garantizar la prestación eficiente del servicio público de energía eléctrica, el buen funcionamiento del mercado, </w:t>
      </w:r>
      <w:r w:rsidR="003A0930" w:rsidRPr="003A0930">
        <w:rPr>
          <w:rFonts w:eastAsia="Calibri"/>
          <w:lang w:val="es-ES_tradnl" w:eastAsia="en-US"/>
        </w:rPr>
        <w:t>los fines sociales del Estado</w:t>
      </w:r>
      <w:r w:rsidR="003A0930" w:rsidRPr="003A0930">
        <w:rPr>
          <w:rFonts w:eastAsia="Calibri"/>
          <w:vertAlign w:val="superscript"/>
          <w:lang w:val="es-ES_tradnl" w:eastAsia="en-US"/>
        </w:rPr>
        <w:footnoteReference w:id="6"/>
      </w:r>
      <w:r w:rsidR="003A0930" w:rsidRPr="003A0930">
        <w:rPr>
          <w:rFonts w:eastAsia="Calibri"/>
          <w:lang w:val="es-ES_tradnl" w:eastAsia="en-US"/>
        </w:rPr>
        <w:t xml:space="preserve">, así como la satisfacción del interés general; esto, sin afectar, ni alterar los riesgos a los que se enfrenta el mercado de energía </w:t>
      </w:r>
      <w:r w:rsidR="00CC7E20" w:rsidRPr="00A83C43">
        <w:rPr>
          <w:rFonts w:eastAsia="Calibri"/>
          <w:lang w:val="es-ES_tradnl" w:eastAsia="en-US"/>
        </w:rPr>
        <w:t xml:space="preserve">y los agentes </w:t>
      </w:r>
      <w:r w:rsidR="003A0930" w:rsidRPr="003A0930">
        <w:rPr>
          <w:rFonts w:eastAsia="Calibri"/>
          <w:lang w:val="es-ES_tradnl" w:eastAsia="en-US"/>
        </w:rPr>
        <w:t>en materia de garantías,</w:t>
      </w:r>
      <w:r w:rsidR="007C0B74">
        <w:rPr>
          <w:rFonts w:eastAsia="Calibri"/>
          <w:lang w:val="es-ES_tradnl" w:eastAsia="en-US"/>
        </w:rPr>
        <w:t xml:space="preserve"> de la misma forma que atiende</w:t>
      </w:r>
      <w:r w:rsidR="003A0930" w:rsidRPr="003A0930">
        <w:rPr>
          <w:rFonts w:eastAsia="Calibri"/>
          <w:lang w:val="es-ES_tradnl" w:eastAsia="en-US"/>
        </w:rPr>
        <w:t xml:space="preserve"> la </w:t>
      </w:r>
      <w:r w:rsidR="003A0930" w:rsidRPr="003A0930">
        <w:rPr>
          <w:rFonts w:eastAsia="Calibri"/>
          <w:lang w:val="es-CO" w:eastAsia="en-US"/>
        </w:rPr>
        <w:t>situación energética actual, la cual requiere de medidas e instrumentos que permitan, entre otras, la continuidad en la prestación del servicio.</w:t>
      </w:r>
    </w:p>
    <w:p w:rsidR="003A0930" w:rsidRPr="003A0930" w:rsidRDefault="003A0930" w:rsidP="00325321">
      <w:pPr>
        <w:rPr>
          <w:lang w:val="es-CO"/>
        </w:rPr>
      </w:pPr>
    </w:p>
    <w:p w:rsidR="00325321" w:rsidRPr="00A83C43" w:rsidRDefault="00CC7E20" w:rsidP="00325321">
      <w:pPr>
        <w:rPr>
          <w:lang w:val="es-ES_tradnl"/>
        </w:rPr>
      </w:pPr>
      <w:r w:rsidRPr="00CC7E20">
        <w:rPr>
          <w:lang w:val="es-ES_tradnl"/>
        </w:rPr>
        <w:t>Con base en lo establecido en el artículo 4 del Decreto 2897 de 2010</w:t>
      </w:r>
      <w:r>
        <w:rPr>
          <w:rStyle w:val="Refdenotaalpie"/>
          <w:lang w:val="es-ES_tradnl"/>
        </w:rPr>
        <w:footnoteReference w:id="7"/>
      </w:r>
      <w:r w:rsidRPr="00CC7E20">
        <w:rPr>
          <w:lang w:val="es-ES_tradnl"/>
        </w:rPr>
        <w:t>,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w:t>
      </w:r>
      <w:r w:rsidR="00A83C43">
        <w:rPr>
          <w:lang w:val="es-ES_tradnl"/>
        </w:rPr>
        <w:t xml:space="preserve"> </w:t>
      </w:r>
    </w:p>
    <w:p w:rsidR="00325321" w:rsidRDefault="00325321" w:rsidP="00325321">
      <w:pPr>
        <w:rPr>
          <w:rFonts w:cs="Arial"/>
          <w:lang w:val="es-ES_tradnl"/>
        </w:rPr>
      </w:pPr>
    </w:p>
    <w:p w:rsidR="00986968" w:rsidRDefault="00325321" w:rsidP="00986968">
      <w:pPr>
        <w:rPr>
          <w:rFonts w:cs="Arial"/>
          <w:lang w:val="es-ES_tradnl"/>
        </w:rPr>
      </w:pPr>
      <w:r w:rsidRPr="007C0B74">
        <w:rPr>
          <w:rFonts w:cs="Arial"/>
          <w:lang w:val="es-ES_tradnl"/>
        </w:rPr>
        <w:t>De conformidad con lo establecido en el parágrafo del artículo 9 del Decreto 2696 de 2004</w:t>
      </w:r>
      <w:r w:rsidR="00A42C0D">
        <w:rPr>
          <w:rStyle w:val="Refdenotaalpie"/>
          <w:rFonts w:cs="Arial"/>
          <w:lang w:val="es-ES_tradnl"/>
        </w:rPr>
        <w:footnoteReference w:id="8"/>
      </w:r>
      <w:r w:rsidRPr="007C0B74">
        <w:rPr>
          <w:rFonts w:cs="Arial"/>
          <w:lang w:val="es-ES_tradnl"/>
        </w:rPr>
        <w:t xml:space="preserve"> y el numeral 4 del artículo 1 de la Resolución CREG 097 de </w:t>
      </w:r>
      <w:r w:rsidRPr="007C0B74">
        <w:rPr>
          <w:rFonts w:cs="Arial"/>
          <w:lang w:val="es-ES_tradnl"/>
        </w:rPr>
        <w:lastRenderedPageBreak/>
        <w:t>2004, la Comisión decidió por una</w:t>
      </w:r>
      <w:r w:rsidR="007C0B74" w:rsidRPr="007C0B74">
        <w:rPr>
          <w:rFonts w:cs="Arial"/>
          <w:lang w:val="es-ES_tradnl"/>
        </w:rPr>
        <w:t>nimidad no someter la presente r</w:t>
      </w:r>
      <w:r w:rsidRPr="007C0B74">
        <w:rPr>
          <w:rFonts w:cs="Arial"/>
          <w:lang w:val="es-ES_tradnl"/>
        </w:rPr>
        <w:t>esolución a las disposiciones sobre publicidad de proyectos de reg</w:t>
      </w:r>
      <w:r w:rsidR="008A3493">
        <w:rPr>
          <w:rFonts w:cs="Arial"/>
          <w:lang w:val="es-ES_tradnl"/>
        </w:rPr>
        <w:t>ulación previstas en el citado d</w:t>
      </w:r>
      <w:r w:rsidRPr="007C0B74">
        <w:rPr>
          <w:rFonts w:cs="Arial"/>
          <w:lang w:val="es-ES_tradnl"/>
        </w:rPr>
        <w:t>ecreto, debido a la existencia de razones de orden económico, de conveniencia general y de oportunidad,</w:t>
      </w:r>
      <w:r w:rsidR="003039C6">
        <w:rPr>
          <w:rFonts w:cs="Arial"/>
          <w:lang w:val="es-ES_tradnl"/>
        </w:rPr>
        <w:t xml:space="preserve"> </w:t>
      </w:r>
      <w:r w:rsidR="00BA66C7">
        <w:rPr>
          <w:rFonts w:cs="Arial"/>
          <w:lang w:val="es-ES_tradnl"/>
        </w:rPr>
        <w:t xml:space="preserve">toda vez que </w:t>
      </w:r>
      <w:r w:rsidR="003039C6">
        <w:rPr>
          <w:rFonts w:cs="Arial"/>
          <w:lang w:val="es-ES_tradnl"/>
        </w:rPr>
        <w:t xml:space="preserve">de no adoptar estas medidas en relación con el registro de estos contratos, no permitiría gestionar en debida forma el riesgo por parte de los agentes </w:t>
      </w:r>
      <w:r w:rsidR="00986968">
        <w:rPr>
          <w:rFonts w:cs="Arial"/>
          <w:lang w:val="es-ES_tradnl"/>
        </w:rPr>
        <w:t xml:space="preserve">en el mercado </w:t>
      </w:r>
      <w:r w:rsidR="003039C6">
        <w:rPr>
          <w:rFonts w:cs="Arial"/>
          <w:lang w:val="es-ES_tradnl"/>
        </w:rPr>
        <w:t xml:space="preserve">con respecto a su exposición en bolsa, situación que tiene la capacidad de afectar de manera grave </w:t>
      </w:r>
      <w:r w:rsidR="008A3493">
        <w:rPr>
          <w:rFonts w:cs="Arial"/>
          <w:lang w:val="es-ES_tradnl"/>
        </w:rPr>
        <w:t>la prestación d</w:t>
      </w:r>
      <w:r w:rsidR="003039C6">
        <w:rPr>
          <w:rFonts w:cs="Arial"/>
          <w:lang w:val="es-ES_tradnl"/>
        </w:rPr>
        <w:t>el servicio público domiciliario de energía eléctrica a los usuarios de dichos agentes.</w:t>
      </w:r>
      <w:r w:rsidR="00986968">
        <w:rPr>
          <w:rFonts w:cs="Arial"/>
          <w:lang w:val="es-ES_tradnl"/>
        </w:rPr>
        <w:t xml:space="preserve"> Lo anterior, más aún con la situación energética actual en relación con los </w:t>
      </w:r>
      <w:r w:rsidR="00986968" w:rsidRPr="00986968">
        <w:rPr>
          <w:rFonts w:cs="Arial"/>
          <w:lang w:val="es-ES_tradnl"/>
        </w:rPr>
        <w:t xml:space="preserve">efectos </w:t>
      </w:r>
      <w:r w:rsidR="00986968">
        <w:rPr>
          <w:rFonts w:cs="Arial"/>
          <w:lang w:val="es-ES_tradnl"/>
        </w:rPr>
        <w:t xml:space="preserve">generados por </w:t>
      </w:r>
      <w:r w:rsidR="00986968" w:rsidRPr="00986968">
        <w:rPr>
          <w:rFonts w:cs="Arial"/>
          <w:lang w:val="es-ES_tradnl"/>
        </w:rPr>
        <w:t xml:space="preserve">el fenómeno de </w:t>
      </w:r>
      <w:r w:rsidR="00986968">
        <w:rPr>
          <w:rFonts w:cs="Arial"/>
          <w:lang w:val="es-ES_tradnl"/>
        </w:rPr>
        <w:t>“</w:t>
      </w:r>
      <w:r w:rsidR="00986968" w:rsidRPr="00986968">
        <w:rPr>
          <w:rFonts w:cs="Arial"/>
          <w:lang w:val="es-ES_tradnl"/>
        </w:rPr>
        <w:t>El Niño</w:t>
      </w:r>
      <w:r w:rsidR="00986968">
        <w:rPr>
          <w:rFonts w:cs="Arial"/>
          <w:lang w:val="es-ES_tradnl"/>
        </w:rPr>
        <w:t>”</w:t>
      </w:r>
      <w:r w:rsidR="00986968" w:rsidRPr="00986968">
        <w:rPr>
          <w:rFonts w:cs="Arial"/>
          <w:lang w:val="es-ES_tradnl"/>
        </w:rPr>
        <w:t>.</w:t>
      </w:r>
    </w:p>
    <w:p w:rsidR="003039C6" w:rsidRDefault="003039C6" w:rsidP="00325321">
      <w:pPr>
        <w:rPr>
          <w:rFonts w:cs="Arial"/>
          <w:lang w:val="es-ES_tradnl"/>
        </w:rPr>
      </w:pPr>
    </w:p>
    <w:p w:rsidR="00A83C43" w:rsidRDefault="00BA66C7" w:rsidP="00325321">
      <w:pPr>
        <w:rPr>
          <w:rFonts w:cs="Arial"/>
          <w:lang w:val="es-ES_tradnl"/>
        </w:rPr>
      </w:pPr>
      <w:r>
        <w:rPr>
          <w:rFonts w:cs="Arial"/>
          <w:lang w:val="es-ES_tradnl"/>
        </w:rPr>
        <w:t>Los análisis y las consideraciones frente a las medidas adoptadas en la presente resolución se encuentran consignados</w:t>
      </w:r>
      <w:r w:rsidR="00A83C43">
        <w:rPr>
          <w:rFonts w:cs="Arial"/>
          <w:lang w:val="es-ES_tradnl"/>
        </w:rPr>
        <w:t xml:space="preserve"> en el Documento CREG 11</w:t>
      </w:r>
      <w:r w:rsidR="008A3493">
        <w:rPr>
          <w:rFonts w:cs="Arial"/>
          <w:lang w:val="es-ES_tradnl"/>
        </w:rPr>
        <w:t>6</w:t>
      </w:r>
      <w:r w:rsidR="00A83C43" w:rsidRPr="00A83C43">
        <w:rPr>
          <w:rFonts w:cs="Arial"/>
          <w:lang w:val="es-ES_tradnl"/>
        </w:rPr>
        <w:t xml:space="preserve"> de 2015.</w:t>
      </w:r>
    </w:p>
    <w:p w:rsidR="00A83C43" w:rsidRDefault="00A83C43" w:rsidP="00325321">
      <w:pPr>
        <w:rPr>
          <w:rFonts w:cs="Arial"/>
          <w:lang w:val="es-ES_tradnl"/>
        </w:rPr>
      </w:pPr>
    </w:p>
    <w:p w:rsidR="00325321" w:rsidRDefault="00325321" w:rsidP="00325321">
      <w:pPr>
        <w:rPr>
          <w:rFonts w:cs="Arial"/>
          <w:lang w:val="es-ES_tradnl"/>
        </w:rPr>
      </w:pPr>
      <w:r>
        <w:rPr>
          <w:rFonts w:cs="Arial"/>
          <w:lang w:val="es-ES_tradnl"/>
        </w:rPr>
        <w:t>La Comisión de Regu</w:t>
      </w:r>
      <w:r w:rsidR="00A83C43">
        <w:rPr>
          <w:rFonts w:cs="Arial"/>
          <w:lang w:val="es-ES_tradnl"/>
        </w:rPr>
        <w:t>lación de Energía y Gas, en su S</w:t>
      </w:r>
      <w:r>
        <w:rPr>
          <w:rFonts w:cs="Arial"/>
          <w:lang w:val="es-ES_tradnl"/>
        </w:rPr>
        <w:t xml:space="preserve">esión </w:t>
      </w:r>
      <w:r w:rsidR="00A83C43">
        <w:rPr>
          <w:rFonts w:cs="Arial"/>
          <w:lang w:val="es-ES_tradnl"/>
        </w:rPr>
        <w:t>68</w:t>
      </w:r>
      <w:r w:rsidR="008A3493">
        <w:rPr>
          <w:rFonts w:cs="Arial"/>
          <w:lang w:val="es-ES_tradnl"/>
        </w:rPr>
        <w:t>2</w:t>
      </w:r>
      <w:r w:rsidR="00A83C43">
        <w:rPr>
          <w:rFonts w:cs="Arial"/>
          <w:lang w:val="es-ES_tradnl"/>
        </w:rPr>
        <w:t xml:space="preserve"> del 23</w:t>
      </w:r>
      <w:r>
        <w:rPr>
          <w:rFonts w:cs="Arial"/>
          <w:lang w:val="es-ES_tradnl"/>
        </w:rPr>
        <w:t xml:space="preserve"> de octubre de 2015, acordó expedir la presente resolución.</w:t>
      </w:r>
    </w:p>
    <w:p w:rsidR="00074CC3" w:rsidRPr="00E64BEC" w:rsidRDefault="00074CC3" w:rsidP="00074CC3">
      <w:pPr>
        <w:rPr>
          <w:rFonts w:cs="Arial"/>
          <w:color w:val="000000"/>
        </w:rPr>
      </w:pPr>
    </w:p>
    <w:p w:rsidR="00074CC3" w:rsidRPr="00E64BEC" w:rsidRDefault="00074CC3" w:rsidP="00074CC3">
      <w:pPr>
        <w:rPr>
          <w:rFonts w:cs="Arial"/>
          <w:color w:val="000000"/>
        </w:rPr>
      </w:pPr>
    </w:p>
    <w:p w:rsidR="00074CC3" w:rsidRPr="00E64BEC" w:rsidRDefault="00074CC3" w:rsidP="00074CC3">
      <w:pPr>
        <w:keepNext/>
        <w:jc w:val="center"/>
        <w:rPr>
          <w:rFonts w:cs="Arial"/>
        </w:rPr>
      </w:pPr>
      <w:r w:rsidRPr="00E64BEC">
        <w:rPr>
          <w:rFonts w:cs="Arial"/>
          <w:b/>
          <w:spacing w:val="80"/>
        </w:rPr>
        <w:t>RESUELVE</w:t>
      </w:r>
      <w:r w:rsidRPr="00E64BEC">
        <w:rPr>
          <w:rFonts w:cs="Arial"/>
        </w:rPr>
        <w:t>:</w:t>
      </w:r>
    </w:p>
    <w:p w:rsidR="00074CC3" w:rsidRPr="00E64BEC" w:rsidRDefault="00074CC3" w:rsidP="00074CC3">
      <w:pPr>
        <w:keepNext/>
        <w:jc w:val="left"/>
        <w:rPr>
          <w:bCs/>
          <w:lang w:val="es-CO"/>
        </w:rPr>
      </w:pPr>
    </w:p>
    <w:p w:rsidR="00074CC3" w:rsidRPr="00E64BEC" w:rsidRDefault="00074CC3" w:rsidP="00074CC3">
      <w:pPr>
        <w:pStyle w:val="Artculo"/>
        <w:ind w:left="0" w:firstLine="0"/>
        <w:rPr>
          <w:b w:val="0"/>
        </w:rPr>
      </w:pPr>
      <w:r w:rsidRPr="00E64BEC">
        <w:rPr>
          <w:b w:val="0"/>
        </w:rPr>
        <w:t xml:space="preserve">Modificar el artículo </w:t>
      </w:r>
      <w:r w:rsidR="003E0A4A">
        <w:rPr>
          <w:b w:val="0"/>
        </w:rPr>
        <w:t>15</w:t>
      </w:r>
      <w:r w:rsidRPr="00E64BEC">
        <w:rPr>
          <w:b w:val="0"/>
        </w:rPr>
        <w:t xml:space="preserve"> de la Resolución CREG 1</w:t>
      </w:r>
      <w:r w:rsidR="003E0A4A">
        <w:rPr>
          <w:b w:val="0"/>
        </w:rPr>
        <w:t>57</w:t>
      </w:r>
      <w:r w:rsidRPr="00E64BEC">
        <w:rPr>
          <w:b w:val="0"/>
        </w:rPr>
        <w:t xml:space="preserve"> </w:t>
      </w:r>
      <w:r>
        <w:rPr>
          <w:b w:val="0"/>
        </w:rPr>
        <w:t>de 20</w:t>
      </w:r>
      <w:r w:rsidR="003E0A4A">
        <w:rPr>
          <w:b w:val="0"/>
        </w:rPr>
        <w:t>11</w:t>
      </w:r>
      <w:r>
        <w:rPr>
          <w:b w:val="0"/>
        </w:rPr>
        <w:t xml:space="preserve"> </w:t>
      </w:r>
      <w:r w:rsidRPr="00E64BEC">
        <w:rPr>
          <w:b w:val="0"/>
        </w:rPr>
        <w:t>el cual queda así:</w:t>
      </w:r>
    </w:p>
    <w:p w:rsidR="00074CC3" w:rsidRPr="00E64BEC" w:rsidRDefault="00074CC3" w:rsidP="00074CC3">
      <w:pPr>
        <w:rPr>
          <w:rFonts w:cs="Arial"/>
          <w:spacing w:val="-3"/>
        </w:rPr>
      </w:pPr>
    </w:p>
    <w:p w:rsidR="003E0A4A" w:rsidRPr="00D92B7A" w:rsidRDefault="00074CC3" w:rsidP="002A055A">
      <w:pPr>
        <w:pStyle w:val="ARTICULOS"/>
        <w:numPr>
          <w:ilvl w:val="0"/>
          <w:numId w:val="0"/>
        </w:numPr>
        <w:ind w:left="284" w:right="142"/>
      </w:pPr>
      <w:r w:rsidRPr="00D92B7A">
        <w:rPr>
          <w:b/>
          <w:spacing w:val="-3"/>
        </w:rPr>
        <w:t xml:space="preserve">Artículo </w:t>
      </w:r>
      <w:r w:rsidR="003E0A4A" w:rsidRPr="00D92B7A">
        <w:rPr>
          <w:b/>
          <w:spacing w:val="-3"/>
        </w:rPr>
        <w:t>15</w:t>
      </w:r>
      <w:r w:rsidRPr="00D92B7A">
        <w:rPr>
          <w:b/>
          <w:spacing w:val="-3"/>
        </w:rPr>
        <w:t>.</w:t>
      </w:r>
      <w:bookmarkStart w:id="1" w:name="_Ref295226034"/>
      <w:bookmarkStart w:id="2" w:name="_Ref293159258"/>
      <w:r w:rsidR="003E0A4A" w:rsidRPr="00D92B7A">
        <w:t xml:space="preserve"> </w:t>
      </w:r>
      <w:r w:rsidR="003E0A4A" w:rsidRPr="00D92B7A">
        <w:rPr>
          <w:rFonts w:eastAsia="Calibri" w:cs="Arial"/>
          <w:b/>
          <w:lang w:val="es-CO" w:eastAsia="en-US"/>
        </w:rPr>
        <w:t xml:space="preserve">Solicitud de registro de </w:t>
      </w:r>
      <w:r w:rsidR="003E0A4A" w:rsidRPr="00D92B7A">
        <w:rPr>
          <w:b/>
        </w:rPr>
        <w:t>contratos de largo plazo.</w:t>
      </w:r>
      <w:r w:rsidR="003E0A4A" w:rsidRPr="00D92B7A">
        <w:t xml:space="preserve"> </w:t>
      </w:r>
      <w:r w:rsidR="003E0A4A" w:rsidRPr="00D92B7A">
        <w:rPr>
          <w:rFonts w:eastAsia="Calibri"/>
          <w:lang w:val="es-CO" w:eastAsia="en-US"/>
        </w:rPr>
        <w:t xml:space="preserve">La solicitud de registro de un contrato de energía de largo plazo deberá presentarse ante el ASIC, por cualquiera de las partes, a más tardar el quinto día calendario anterior a la fecha de cálculo de los mecanismos de cubrimiento que el comercializador debe constituir, sean éstos mensuales o semanales. </w:t>
      </w:r>
      <w:r w:rsidR="003E0A4A" w:rsidRPr="00D92B7A">
        <w:rPr>
          <w:rFonts w:eastAsia="Calibri" w:cs="Arial"/>
          <w:lang w:val="es-CO" w:eastAsia="en-US"/>
        </w:rPr>
        <w:t>El solicitante deberá señalar en forma clara la fecha que solicita para el registro del contrato.</w:t>
      </w:r>
      <w:bookmarkEnd w:id="1"/>
    </w:p>
    <w:p w:rsidR="003E0A4A" w:rsidRPr="00D92B7A" w:rsidRDefault="003E0A4A" w:rsidP="002A055A">
      <w:pPr>
        <w:tabs>
          <w:tab w:val="left" w:pos="1560"/>
        </w:tabs>
        <w:adjustRightInd w:val="0"/>
        <w:ind w:left="284" w:right="142"/>
        <w:textAlignment w:val="baseline"/>
        <w:rPr>
          <w:bCs/>
        </w:rPr>
      </w:pPr>
    </w:p>
    <w:p w:rsidR="003E0A4A" w:rsidRPr="00D92B7A" w:rsidRDefault="003E0A4A" w:rsidP="002A055A">
      <w:pPr>
        <w:tabs>
          <w:tab w:val="left" w:pos="1560"/>
        </w:tabs>
        <w:adjustRightInd w:val="0"/>
        <w:ind w:left="284" w:right="142"/>
        <w:textAlignment w:val="baseline"/>
        <w:rPr>
          <w:bCs/>
        </w:rPr>
      </w:pPr>
      <w:r w:rsidRPr="00D92B7A">
        <w:rPr>
          <w:bCs/>
        </w:rPr>
        <w:t>Para dar inicio al trámite de registro de un contrato de energía de largo plazo el ASIC verificará que las partes que intervienen en el contrato cumplan los siguientes requisitos:</w:t>
      </w:r>
      <w:bookmarkEnd w:id="2"/>
    </w:p>
    <w:p w:rsidR="003E0A4A" w:rsidRPr="00D92B7A" w:rsidRDefault="003E0A4A" w:rsidP="002A055A">
      <w:pPr>
        <w:ind w:left="284" w:right="142"/>
        <w:rPr>
          <w:rFonts w:eastAsia="Calibri" w:cs="Arial"/>
          <w:color w:val="000000"/>
          <w:lang w:val="es-CO" w:eastAsia="en-US"/>
        </w:rPr>
      </w:pPr>
      <w:bookmarkStart w:id="3" w:name="_Ref295228330"/>
    </w:p>
    <w:p w:rsidR="003E0A4A" w:rsidRPr="00D92B7A" w:rsidRDefault="003E0A4A" w:rsidP="002A055A">
      <w:pPr>
        <w:widowControl w:val="0"/>
        <w:numPr>
          <w:ilvl w:val="0"/>
          <w:numId w:val="38"/>
        </w:numPr>
        <w:adjustRightInd w:val="0"/>
        <w:ind w:left="567" w:right="142" w:hanging="283"/>
        <w:textAlignment w:val="baseline"/>
        <w:rPr>
          <w:rFonts w:cs="Arial"/>
          <w:bCs/>
          <w:lang w:val="es-CO" w:eastAsia="ar-SA"/>
        </w:rPr>
      </w:pPr>
      <w:r w:rsidRPr="00D92B7A">
        <w:rPr>
          <w:rFonts w:cs="Arial"/>
          <w:bCs/>
          <w:lang w:val="es-CO" w:eastAsia="ar-SA"/>
        </w:rPr>
        <w:t>No tener obligaciones vencidas que resulten de la facturación que efectúen el ASIC y el LAC de acuerdo con la regulación vigente.</w:t>
      </w:r>
      <w:bookmarkEnd w:id="3"/>
    </w:p>
    <w:p w:rsidR="003E0A4A" w:rsidRPr="00D92B7A" w:rsidRDefault="003E0A4A" w:rsidP="002A055A">
      <w:pPr>
        <w:widowControl w:val="0"/>
        <w:adjustRightInd w:val="0"/>
        <w:ind w:left="567" w:right="142" w:hanging="283"/>
        <w:textAlignment w:val="baseline"/>
        <w:rPr>
          <w:rFonts w:cs="Arial"/>
          <w:bCs/>
          <w:lang w:val="es-CO" w:eastAsia="ar-SA"/>
        </w:rPr>
      </w:pPr>
      <w:bookmarkStart w:id="4" w:name="_Ref295228335"/>
    </w:p>
    <w:p w:rsidR="003E0A4A" w:rsidRPr="00D92B7A" w:rsidRDefault="003E0A4A" w:rsidP="002A055A">
      <w:pPr>
        <w:widowControl w:val="0"/>
        <w:numPr>
          <w:ilvl w:val="0"/>
          <w:numId w:val="38"/>
        </w:numPr>
        <w:adjustRightInd w:val="0"/>
        <w:ind w:left="567" w:right="142" w:hanging="283"/>
        <w:textAlignment w:val="baseline"/>
        <w:rPr>
          <w:rFonts w:cs="Arial"/>
          <w:bCs/>
          <w:lang w:val="es-CO" w:eastAsia="ar-SA"/>
        </w:rPr>
      </w:pPr>
      <w:r w:rsidRPr="00D92B7A">
        <w:rPr>
          <w:rFonts w:cs="Arial"/>
          <w:bCs/>
          <w:lang w:val="es-CO" w:eastAsia="ar-SA"/>
        </w:rPr>
        <w:t>No encontrarse incurso en alguna de las causales de retiro del mercado o de limitación de suministro establecidas en la regulación.</w:t>
      </w:r>
      <w:bookmarkEnd w:id="4"/>
    </w:p>
    <w:p w:rsidR="003E0A4A" w:rsidRPr="00D92B7A" w:rsidRDefault="003E0A4A" w:rsidP="002A055A">
      <w:pPr>
        <w:widowControl w:val="0"/>
        <w:adjustRightInd w:val="0"/>
        <w:ind w:left="567" w:right="142" w:hanging="283"/>
        <w:textAlignment w:val="baseline"/>
        <w:rPr>
          <w:rFonts w:cs="Arial"/>
          <w:bCs/>
          <w:lang w:val="es-CO" w:eastAsia="ar-SA"/>
        </w:rPr>
      </w:pPr>
    </w:p>
    <w:p w:rsidR="003E0A4A" w:rsidRPr="00D92B7A" w:rsidRDefault="003E0A4A" w:rsidP="002A055A">
      <w:pPr>
        <w:widowControl w:val="0"/>
        <w:numPr>
          <w:ilvl w:val="0"/>
          <w:numId w:val="38"/>
        </w:numPr>
        <w:adjustRightInd w:val="0"/>
        <w:ind w:left="567" w:right="142" w:hanging="283"/>
        <w:textAlignment w:val="baseline"/>
        <w:rPr>
          <w:rFonts w:cs="Arial"/>
          <w:bCs/>
          <w:lang w:val="es-CO" w:eastAsia="ar-SA"/>
        </w:rPr>
      </w:pPr>
      <w:r w:rsidRPr="00D92B7A">
        <w:rPr>
          <w:rFonts w:cs="Arial"/>
          <w:bCs/>
          <w:lang w:val="es-CO" w:eastAsia="ar-SA"/>
        </w:rPr>
        <w:t>Diligenciar los formatos definidos por el ASIC para el registro de contratos de largo plazo.</w:t>
      </w:r>
    </w:p>
    <w:p w:rsidR="003E0A4A" w:rsidRPr="00D92B7A" w:rsidRDefault="003E0A4A" w:rsidP="002A055A">
      <w:pPr>
        <w:widowControl w:val="0"/>
        <w:adjustRightInd w:val="0"/>
        <w:ind w:left="567" w:right="142" w:hanging="283"/>
        <w:textAlignment w:val="baseline"/>
        <w:rPr>
          <w:rFonts w:cs="Arial"/>
          <w:bCs/>
          <w:lang w:val="es-CO" w:eastAsia="ar-SA"/>
        </w:rPr>
      </w:pPr>
      <w:bookmarkStart w:id="5" w:name="_Ref293159244"/>
    </w:p>
    <w:p w:rsidR="003E0A4A" w:rsidRPr="00D92B7A" w:rsidRDefault="003E0A4A" w:rsidP="002A055A">
      <w:pPr>
        <w:widowControl w:val="0"/>
        <w:numPr>
          <w:ilvl w:val="0"/>
          <w:numId w:val="38"/>
        </w:numPr>
        <w:adjustRightInd w:val="0"/>
        <w:ind w:left="567" w:right="142" w:hanging="283"/>
        <w:textAlignment w:val="baseline"/>
        <w:rPr>
          <w:rFonts w:cs="Arial"/>
          <w:bCs/>
          <w:lang w:val="es-CO" w:eastAsia="ar-SA"/>
        </w:rPr>
      </w:pPr>
      <w:r w:rsidRPr="00D92B7A">
        <w:rPr>
          <w:rFonts w:cs="Arial"/>
          <w:bCs/>
          <w:lang w:val="es-CO" w:eastAsia="ar-SA"/>
        </w:rPr>
        <w:t>Presentar al ASIC un contrato que contenga reglas claras para determinar hora a hora, durante la vigencia del contrato, las cantidades de energía exigibles y el precio respectivo.</w:t>
      </w:r>
      <w:bookmarkEnd w:id="5"/>
    </w:p>
    <w:p w:rsidR="003E0A4A" w:rsidRPr="00D92B7A" w:rsidRDefault="003E0A4A" w:rsidP="002A055A">
      <w:pPr>
        <w:ind w:left="284" w:right="142"/>
        <w:rPr>
          <w:rFonts w:eastAsia="Calibri" w:cs="Arial"/>
          <w:color w:val="000000"/>
          <w:lang w:val="es-CO" w:eastAsia="en-US"/>
        </w:rPr>
      </w:pPr>
    </w:p>
    <w:p w:rsidR="003E0A4A" w:rsidRPr="00D92B7A" w:rsidRDefault="003E0A4A" w:rsidP="002A055A">
      <w:pPr>
        <w:ind w:left="284" w:right="142"/>
        <w:rPr>
          <w:b/>
        </w:rPr>
      </w:pPr>
      <w:r w:rsidRPr="00D92B7A">
        <w:lastRenderedPageBreak/>
        <w:t>El ASIC no dará inicio al trámite de registro de una Frontera Comercial cuando el agente solicitante no cumpla uno o varios de los requisitos establecidos en este artículo.</w:t>
      </w:r>
    </w:p>
    <w:p w:rsidR="003E0A4A" w:rsidRPr="00D92B7A" w:rsidRDefault="003E0A4A" w:rsidP="002A055A">
      <w:pPr>
        <w:ind w:left="284" w:right="142"/>
      </w:pPr>
    </w:p>
    <w:p w:rsidR="00F80629" w:rsidRDefault="003E0A4A" w:rsidP="00D212CA">
      <w:pPr>
        <w:ind w:left="284" w:right="142"/>
        <w:rPr>
          <w:rFonts w:eastAsia="Calibri" w:cs="Arial"/>
          <w:color w:val="000000"/>
          <w:lang w:val="es-CO" w:eastAsia="en-US"/>
        </w:rPr>
      </w:pPr>
      <w:r w:rsidRPr="00D92B7A">
        <w:rPr>
          <w:rFonts w:eastAsia="Calibri" w:cs="Arial"/>
          <w:b/>
          <w:color w:val="000000"/>
          <w:lang w:val="es-CO" w:eastAsia="en-US"/>
        </w:rPr>
        <w:t>Parágrafo 1.</w:t>
      </w:r>
      <w:r w:rsidRPr="00D92B7A">
        <w:rPr>
          <w:rFonts w:eastAsia="Calibri" w:cs="Arial"/>
          <w:color w:val="000000"/>
          <w:lang w:val="es-CO" w:eastAsia="en-US"/>
        </w:rPr>
        <w:t xml:space="preserve"> </w:t>
      </w:r>
      <w:r w:rsidR="00D212CA" w:rsidRPr="00D92B7A">
        <w:rPr>
          <w:rFonts w:eastAsia="Calibri" w:cs="Arial"/>
          <w:color w:val="000000"/>
          <w:lang w:val="es-CO" w:eastAsia="en-US"/>
        </w:rPr>
        <w:t>En caso de que el comprador se encuentre incurso en alguna de las causales de retiro del mercado o de limitación de suministro establecidas en la regulación,</w:t>
      </w:r>
      <w:r w:rsidRPr="00D92B7A">
        <w:rPr>
          <w:rFonts w:eastAsia="Calibri" w:cs="Arial"/>
          <w:color w:val="000000"/>
          <w:lang w:val="es-CO" w:eastAsia="en-US"/>
        </w:rPr>
        <w:t xml:space="preserve"> </w:t>
      </w:r>
      <w:r w:rsidR="00D212CA" w:rsidRPr="00D92B7A">
        <w:rPr>
          <w:rFonts w:eastAsia="Calibri" w:cs="Arial"/>
          <w:color w:val="000000"/>
          <w:lang w:val="es-CO" w:eastAsia="en-US"/>
        </w:rPr>
        <w:t xml:space="preserve">el ASIC </w:t>
      </w:r>
      <w:r w:rsidRPr="00D92B7A">
        <w:rPr>
          <w:rFonts w:eastAsia="Calibri" w:cs="Arial"/>
          <w:color w:val="000000"/>
          <w:lang w:val="es-CO" w:eastAsia="en-US"/>
        </w:rPr>
        <w:t xml:space="preserve">podrá </w:t>
      </w:r>
      <w:r w:rsidR="002A055A" w:rsidRPr="00D92B7A">
        <w:t>dar inicio al trámite de registro</w:t>
      </w:r>
      <w:r w:rsidRPr="00D92B7A">
        <w:rPr>
          <w:rFonts w:eastAsia="Calibri" w:cs="Arial"/>
          <w:color w:val="000000"/>
          <w:lang w:val="es-CO" w:eastAsia="en-US"/>
        </w:rPr>
        <w:t xml:space="preserve"> </w:t>
      </w:r>
      <w:r w:rsidR="00D212CA" w:rsidRPr="00D92B7A">
        <w:rPr>
          <w:rFonts w:eastAsia="Calibri" w:cs="Arial"/>
          <w:color w:val="000000"/>
          <w:lang w:val="es-CO" w:eastAsia="en-US"/>
        </w:rPr>
        <w:t xml:space="preserve">de un </w:t>
      </w:r>
      <w:r w:rsidRPr="00D92B7A">
        <w:rPr>
          <w:rFonts w:eastAsia="Calibri" w:cs="Arial"/>
          <w:color w:val="000000"/>
          <w:lang w:val="es-CO" w:eastAsia="en-US"/>
        </w:rPr>
        <w:t xml:space="preserve">contrato </w:t>
      </w:r>
      <w:r w:rsidR="00A83F04" w:rsidRPr="00D92B7A">
        <w:rPr>
          <w:rFonts w:eastAsia="Calibri" w:cs="Arial"/>
          <w:color w:val="000000"/>
          <w:lang w:val="es-CO" w:eastAsia="en-US"/>
        </w:rPr>
        <w:t>de compra</w:t>
      </w:r>
      <w:r w:rsidR="00D212CA" w:rsidRPr="00D92B7A">
        <w:rPr>
          <w:rFonts w:eastAsia="Calibri" w:cs="Arial"/>
          <w:color w:val="000000"/>
          <w:lang w:val="es-CO" w:eastAsia="en-US"/>
        </w:rPr>
        <w:t xml:space="preserve"> de este agente</w:t>
      </w:r>
      <w:r w:rsidR="00FD7716" w:rsidRPr="00D92B7A">
        <w:rPr>
          <w:rFonts w:eastAsia="Calibri" w:cs="Arial"/>
          <w:color w:val="000000"/>
          <w:lang w:val="es-CO" w:eastAsia="en-US"/>
        </w:rPr>
        <w:t xml:space="preserve">. Este evento no aplicará para el caso en que el vendedor </w:t>
      </w:r>
      <w:r w:rsidR="00D212CA" w:rsidRPr="00D92B7A">
        <w:rPr>
          <w:rFonts w:eastAsia="Calibri" w:cs="Arial"/>
          <w:color w:val="000000"/>
          <w:lang w:val="es-CO" w:eastAsia="en-US"/>
        </w:rPr>
        <w:t xml:space="preserve">de dicho contrato </w:t>
      </w:r>
      <w:r w:rsidR="00FD7716" w:rsidRPr="00D92B7A">
        <w:rPr>
          <w:rFonts w:eastAsia="Calibri" w:cs="Arial"/>
          <w:color w:val="000000"/>
          <w:lang w:val="es-CO" w:eastAsia="en-US"/>
        </w:rPr>
        <w:t>se</w:t>
      </w:r>
      <w:r w:rsidR="00D212CA" w:rsidRPr="00D92B7A">
        <w:rPr>
          <w:rFonts w:eastAsia="Calibri" w:cs="Arial"/>
          <w:color w:val="000000"/>
          <w:lang w:val="es-CO" w:eastAsia="en-US"/>
        </w:rPr>
        <w:t xml:space="preserve"> encuentre incurso </w:t>
      </w:r>
      <w:r w:rsidRPr="00D92B7A">
        <w:rPr>
          <w:rFonts w:cs="Arial"/>
          <w:bCs/>
          <w:lang w:val="es-CO" w:eastAsia="ar-SA"/>
        </w:rPr>
        <w:t>en alguna de las causales de retiro del mercado o de limitación de suministro establecidas en la regulación.</w:t>
      </w:r>
      <w:r w:rsidR="002A055A" w:rsidRPr="00D92B7A">
        <w:rPr>
          <w:rFonts w:eastAsia="Calibri" w:cs="Arial"/>
          <w:color w:val="000000"/>
          <w:lang w:val="es-CO" w:eastAsia="en-US"/>
        </w:rPr>
        <w:t xml:space="preserve"> </w:t>
      </w:r>
    </w:p>
    <w:p w:rsidR="00F80629" w:rsidRDefault="00F80629" w:rsidP="00D212CA">
      <w:pPr>
        <w:ind w:left="284" w:right="142"/>
        <w:rPr>
          <w:rFonts w:eastAsia="Calibri" w:cs="Arial"/>
          <w:color w:val="000000"/>
          <w:lang w:val="es-CO" w:eastAsia="en-US"/>
        </w:rPr>
      </w:pPr>
    </w:p>
    <w:p w:rsidR="00FD7716" w:rsidRPr="00D92B7A" w:rsidRDefault="00F80629" w:rsidP="00D212CA">
      <w:pPr>
        <w:ind w:left="284" w:right="142"/>
        <w:rPr>
          <w:rFonts w:eastAsia="Calibri" w:cs="Arial"/>
          <w:color w:val="000000"/>
          <w:lang w:val="es-CO" w:eastAsia="en-US"/>
        </w:rPr>
      </w:pPr>
      <w:r>
        <w:rPr>
          <w:rFonts w:eastAsia="Calibri" w:cs="Arial"/>
          <w:color w:val="000000"/>
          <w:lang w:val="es-CO" w:eastAsia="en-US"/>
        </w:rPr>
        <w:t>Para lo previsto en el presente parágrafo,</w:t>
      </w:r>
      <w:r w:rsidR="00A83F04" w:rsidRPr="00D92B7A">
        <w:rPr>
          <w:rFonts w:eastAsia="Calibri" w:cs="Arial"/>
          <w:color w:val="000000"/>
          <w:lang w:val="es-CO" w:eastAsia="en-US"/>
        </w:rPr>
        <w:t xml:space="preserve"> el ASIC definirá la oportunidad para que el agente presente la solicitud de registro</w:t>
      </w:r>
      <w:r w:rsidR="00D212CA" w:rsidRPr="00D92B7A">
        <w:rPr>
          <w:rFonts w:eastAsia="Calibri" w:cs="Arial"/>
          <w:color w:val="000000"/>
          <w:lang w:val="es-CO" w:eastAsia="en-US"/>
        </w:rPr>
        <w:t xml:space="preserve"> y adicionalmente hará los respectivos ajustes de los valores a garantizar en el mercado mayorista</w:t>
      </w:r>
      <w:r w:rsidR="00A83F04" w:rsidRPr="00D92B7A">
        <w:rPr>
          <w:rFonts w:eastAsia="Calibri" w:cs="Arial"/>
          <w:color w:val="000000"/>
          <w:lang w:val="es-CO" w:eastAsia="en-US"/>
        </w:rPr>
        <w:t>.</w:t>
      </w:r>
    </w:p>
    <w:p w:rsidR="003E0A4A" w:rsidRPr="00D92B7A" w:rsidRDefault="003E0A4A" w:rsidP="00D212CA">
      <w:pPr>
        <w:ind w:right="142"/>
        <w:rPr>
          <w:rFonts w:cs="Arial"/>
        </w:rPr>
      </w:pPr>
      <w:r w:rsidRPr="00D92B7A">
        <w:rPr>
          <w:rFonts w:eastAsia="Calibri" w:cs="Arial"/>
          <w:color w:val="000000"/>
          <w:lang w:val="es-CO" w:eastAsia="en-US"/>
        </w:rPr>
        <w:t xml:space="preserve"> </w:t>
      </w:r>
    </w:p>
    <w:p w:rsidR="003E0A4A" w:rsidRPr="00D92B7A" w:rsidRDefault="003E0A4A" w:rsidP="00BA66C7">
      <w:pPr>
        <w:ind w:left="284" w:right="142"/>
        <w:rPr>
          <w:rFonts w:eastAsia="Calibri" w:cs="Arial"/>
          <w:color w:val="000000"/>
          <w:lang w:val="es-CO" w:eastAsia="en-US"/>
        </w:rPr>
      </w:pPr>
      <w:r w:rsidRPr="00D92B7A">
        <w:rPr>
          <w:rFonts w:eastAsia="Calibri" w:cs="Arial"/>
          <w:b/>
          <w:color w:val="000000"/>
          <w:lang w:val="es-CO" w:eastAsia="en-US"/>
        </w:rPr>
        <w:t xml:space="preserve">Parágrafo 2. </w:t>
      </w:r>
      <w:r w:rsidRPr="00D92B7A">
        <w:rPr>
          <w:rFonts w:eastAsia="Calibri" w:cs="Arial"/>
          <w:color w:val="000000"/>
          <w:lang w:val="es-CO" w:eastAsia="en-US"/>
        </w:rPr>
        <w:t>El último día calendario de cada mes, el ASIC publicará estadísticas con la información contenida en las solicitudes de registro de contratos.</w:t>
      </w:r>
    </w:p>
    <w:p w:rsidR="00BA66C7" w:rsidRPr="00D92B7A" w:rsidRDefault="00BA66C7" w:rsidP="00BA66C7">
      <w:pPr>
        <w:ind w:left="284" w:right="142"/>
        <w:rPr>
          <w:rFonts w:cs="Arial"/>
        </w:rPr>
      </w:pPr>
    </w:p>
    <w:p w:rsidR="00D160BD" w:rsidRPr="00F80629" w:rsidRDefault="009E54E0" w:rsidP="00F80629">
      <w:pPr>
        <w:pStyle w:val="Artculo"/>
        <w:ind w:left="0" w:firstLine="0"/>
        <w:rPr>
          <w:b w:val="0"/>
        </w:rPr>
      </w:pPr>
      <w:r w:rsidRPr="00D92B7A">
        <w:rPr>
          <w:color w:val="000000"/>
          <w:lang w:val="es-CO"/>
        </w:rPr>
        <w:t xml:space="preserve">Vigencia. </w:t>
      </w:r>
      <w:r w:rsidRPr="00D92B7A">
        <w:rPr>
          <w:b w:val="0"/>
          <w:color w:val="000000"/>
          <w:lang w:val="es-CO"/>
        </w:rPr>
        <w:t xml:space="preserve">Esta Resolución rige a partir de su publicación en el </w:t>
      </w:r>
      <w:r w:rsidRPr="00D92B7A">
        <w:rPr>
          <w:b w:val="0"/>
          <w:i/>
          <w:color w:val="000000"/>
          <w:lang w:val="es-CO"/>
        </w:rPr>
        <w:t xml:space="preserve">Diario Oficial </w:t>
      </w:r>
      <w:r w:rsidRPr="00D92B7A">
        <w:rPr>
          <w:b w:val="0"/>
          <w:color w:val="000000"/>
          <w:lang w:val="es-CO"/>
        </w:rPr>
        <w:t>y deroga las disposiciones que le sean contrarias.</w:t>
      </w:r>
    </w:p>
    <w:p w:rsidR="009E54E0" w:rsidRPr="00D92B7A" w:rsidRDefault="009E54E0" w:rsidP="00074CC3">
      <w:pPr>
        <w:pStyle w:val="Artculo"/>
        <w:numPr>
          <w:ilvl w:val="0"/>
          <w:numId w:val="0"/>
        </w:numPr>
        <w:rPr>
          <w:b w:val="0"/>
        </w:rPr>
      </w:pPr>
    </w:p>
    <w:p w:rsidR="00D160BD" w:rsidRPr="00D92B7A" w:rsidRDefault="00D160BD" w:rsidP="00DF0E89">
      <w:pPr>
        <w:jc w:val="center"/>
        <w:rPr>
          <w:rFonts w:cs="Arial"/>
        </w:rPr>
      </w:pPr>
      <w:r w:rsidRPr="00D92B7A">
        <w:rPr>
          <w:rFonts w:cs="Arial"/>
          <w:b/>
        </w:rPr>
        <w:t>PUBLÍQUESE Y CÚMPLASE</w:t>
      </w:r>
    </w:p>
    <w:p w:rsidR="00D160BD" w:rsidRPr="00D92B7A" w:rsidRDefault="00D160BD" w:rsidP="00D160BD">
      <w:pPr>
        <w:rPr>
          <w:rFonts w:cs="Arial"/>
        </w:rPr>
      </w:pPr>
    </w:p>
    <w:p w:rsidR="00D160BD" w:rsidRPr="00D92B7A" w:rsidRDefault="00D160BD" w:rsidP="00D160BD">
      <w:pPr>
        <w:rPr>
          <w:rFonts w:cs="Arial"/>
        </w:rPr>
      </w:pPr>
      <w:r w:rsidRPr="00D92B7A">
        <w:rPr>
          <w:rFonts w:cs="Arial"/>
        </w:rPr>
        <w:t>Dada en Bogotá, D.C. a los</w:t>
      </w:r>
    </w:p>
    <w:p w:rsidR="00D160BD" w:rsidRDefault="00D160BD" w:rsidP="00D160BD">
      <w:pPr>
        <w:rPr>
          <w:rFonts w:cs="Arial"/>
          <w:spacing w:val="-3"/>
        </w:rPr>
      </w:pPr>
    </w:p>
    <w:p w:rsidR="00DF0E89" w:rsidRPr="00D92B7A" w:rsidRDefault="00DF0E89" w:rsidP="00D160BD">
      <w:pPr>
        <w:rPr>
          <w:rFonts w:cs="Arial"/>
          <w:spacing w:val="-3"/>
        </w:rPr>
      </w:pPr>
    </w:p>
    <w:p w:rsidR="009E54E0" w:rsidRPr="00D92B7A" w:rsidRDefault="009E54E0" w:rsidP="00D160BD">
      <w:pPr>
        <w:rPr>
          <w:rFonts w:cs="Arial"/>
          <w:spacing w:val="-3"/>
        </w:rPr>
      </w:pPr>
    </w:p>
    <w:p w:rsidR="009E54E0" w:rsidRDefault="009E54E0" w:rsidP="00D160BD">
      <w:pPr>
        <w:rPr>
          <w:rFonts w:cs="Arial"/>
          <w:spacing w:val="-3"/>
        </w:rPr>
      </w:pPr>
    </w:p>
    <w:p w:rsidR="00F80629" w:rsidRPr="00D92B7A" w:rsidRDefault="00F80629" w:rsidP="00D160BD">
      <w:pPr>
        <w:rPr>
          <w:rFonts w:cs="Arial"/>
          <w:spacing w:val="-3"/>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9E54E0" w:rsidRPr="00D92B7A" w:rsidTr="00FE5020">
        <w:trPr>
          <w:jc w:val="right"/>
        </w:trPr>
        <w:tc>
          <w:tcPr>
            <w:tcW w:w="4871" w:type="dxa"/>
            <w:hideMark/>
          </w:tcPr>
          <w:p w:rsidR="009E54E0" w:rsidRPr="00D92B7A" w:rsidRDefault="009E54E0" w:rsidP="009E54E0">
            <w:pPr>
              <w:jc w:val="center"/>
              <w:rPr>
                <w:rFonts w:cs="Arial"/>
                <w:b/>
                <w:spacing w:val="-3"/>
                <w:lang w:val="es-ES_tradnl"/>
              </w:rPr>
            </w:pPr>
            <w:r w:rsidRPr="00D92B7A">
              <w:rPr>
                <w:rFonts w:cs="Arial"/>
                <w:b/>
                <w:spacing w:val="-3"/>
              </w:rPr>
              <w:t>TOMÁS GONZÁLEZ ESTRADA</w:t>
            </w:r>
          </w:p>
        </w:tc>
        <w:tc>
          <w:tcPr>
            <w:tcW w:w="4692" w:type="dxa"/>
            <w:hideMark/>
          </w:tcPr>
          <w:p w:rsidR="009E54E0" w:rsidRPr="00D92B7A" w:rsidRDefault="009E54E0" w:rsidP="009E54E0">
            <w:pPr>
              <w:tabs>
                <w:tab w:val="left" w:pos="4413"/>
              </w:tabs>
              <w:ind w:left="161" w:right="142"/>
              <w:jc w:val="center"/>
              <w:rPr>
                <w:rFonts w:cs="Arial"/>
                <w:b/>
                <w:spacing w:val="-3"/>
                <w:lang w:val="es-ES_tradnl"/>
              </w:rPr>
            </w:pPr>
            <w:r w:rsidRPr="00D92B7A">
              <w:rPr>
                <w:rFonts w:cs="Arial"/>
                <w:b/>
                <w:spacing w:val="-3"/>
                <w:sz w:val="22"/>
                <w:lang w:val="es-ES_tradnl"/>
              </w:rPr>
              <w:t>JORGE PINTO NOLLA</w:t>
            </w:r>
          </w:p>
        </w:tc>
      </w:tr>
      <w:tr w:rsidR="009E54E0" w:rsidRPr="00D92B7A" w:rsidTr="00FE5020">
        <w:trPr>
          <w:jc w:val="right"/>
        </w:trPr>
        <w:tc>
          <w:tcPr>
            <w:tcW w:w="4871" w:type="dxa"/>
            <w:hideMark/>
          </w:tcPr>
          <w:p w:rsidR="009E54E0" w:rsidRPr="00D92B7A" w:rsidRDefault="009E54E0" w:rsidP="009E54E0">
            <w:pPr>
              <w:jc w:val="center"/>
              <w:rPr>
                <w:rFonts w:cs="Arial"/>
                <w:spacing w:val="-3"/>
                <w:lang w:val="es-ES_tradnl"/>
              </w:rPr>
            </w:pPr>
            <w:r w:rsidRPr="00D92B7A">
              <w:rPr>
                <w:rFonts w:cs="Arial"/>
                <w:spacing w:val="-3"/>
                <w:lang w:val="es-ES_tradnl"/>
              </w:rPr>
              <w:t>Ministro de Minas y Energía</w:t>
            </w:r>
          </w:p>
        </w:tc>
        <w:tc>
          <w:tcPr>
            <w:tcW w:w="4692" w:type="dxa"/>
            <w:hideMark/>
          </w:tcPr>
          <w:p w:rsidR="009E54E0" w:rsidRPr="00D92B7A" w:rsidRDefault="009E54E0" w:rsidP="009E54E0">
            <w:pPr>
              <w:jc w:val="center"/>
              <w:rPr>
                <w:rFonts w:cs="Arial"/>
                <w:spacing w:val="-3"/>
                <w:lang w:val="es-ES_tradnl"/>
              </w:rPr>
            </w:pPr>
            <w:r w:rsidRPr="00D92B7A">
              <w:rPr>
                <w:rFonts w:cs="Arial"/>
                <w:spacing w:val="-3"/>
                <w:lang w:val="es-ES_tradnl"/>
              </w:rPr>
              <w:t>Director Ejecutivo</w:t>
            </w:r>
          </w:p>
        </w:tc>
      </w:tr>
      <w:tr w:rsidR="009E54E0" w:rsidTr="00FE5020">
        <w:trPr>
          <w:jc w:val="right"/>
        </w:trPr>
        <w:tc>
          <w:tcPr>
            <w:tcW w:w="4871" w:type="dxa"/>
            <w:hideMark/>
          </w:tcPr>
          <w:p w:rsidR="009E54E0" w:rsidRDefault="009E54E0" w:rsidP="009E54E0">
            <w:pPr>
              <w:jc w:val="center"/>
              <w:rPr>
                <w:rFonts w:cs="Arial"/>
                <w:spacing w:val="-3"/>
              </w:rPr>
            </w:pPr>
            <w:r w:rsidRPr="00D92B7A">
              <w:rPr>
                <w:rFonts w:cs="Arial"/>
                <w:spacing w:val="-3"/>
              </w:rPr>
              <w:t>Presidente</w:t>
            </w:r>
          </w:p>
        </w:tc>
        <w:tc>
          <w:tcPr>
            <w:tcW w:w="4692" w:type="dxa"/>
          </w:tcPr>
          <w:p w:rsidR="009E54E0" w:rsidRDefault="009E54E0" w:rsidP="009E54E0">
            <w:pPr>
              <w:jc w:val="center"/>
              <w:rPr>
                <w:rFonts w:cs="Arial"/>
                <w:spacing w:val="-3"/>
              </w:rPr>
            </w:pPr>
          </w:p>
        </w:tc>
      </w:tr>
    </w:tbl>
    <w:p w:rsidR="00EC7BBA" w:rsidRPr="00F80629" w:rsidRDefault="00EC7BBA" w:rsidP="00F80629">
      <w:pPr>
        <w:rPr>
          <w:bCs/>
          <w:sz w:val="8"/>
          <w:lang w:val="es-CO"/>
        </w:rPr>
      </w:pPr>
    </w:p>
    <w:sectPr w:rsidR="00EC7BBA" w:rsidRPr="00F80629"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A4" w:rsidRDefault="002F05A4">
      <w:r>
        <w:separator/>
      </w:r>
    </w:p>
  </w:endnote>
  <w:endnote w:type="continuationSeparator" w:id="0">
    <w:p w:rsidR="002F05A4" w:rsidRDefault="002F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A4" w:rsidRDefault="002F05A4">
      <w:r>
        <w:separator/>
      </w:r>
    </w:p>
  </w:footnote>
  <w:footnote w:type="continuationSeparator" w:id="0">
    <w:p w:rsidR="002F05A4" w:rsidRDefault="002F05A4">
      <w:r>
        <w:continuationSeparator/>
      </w:r>
    </w:p>
  </w:footnote>
  <w:footnote w:id="1">
    <w:p w:rsidR="003A0930" w:rsidRPr="00BD006C" w:rsidRDefault="003A0930" w:rsidP="00BD006C">
      <w:pPr>
        <w:pStyle w:val="Textonotapie"/>
        <w:spacing w:before="0" w:after="0"/>
        <w:rPr>
          <w:rFonts w:ascii="Bookman Old Style" w:hAnsi="Bookman Old Style" w:cs="Arial"/>
          <w:sz w:val="16"/>
          <w:szCs w:val="16"/>
        </w:rPr>
      </w:pPr>
      <w:r w:rsidRPr="00BD006C">
        <w:rPr>
          <w:rFonts w:ascii="Bookman Old Style" w:hAnsi="Bookman Old Style" w:cs="Arial"/>
          <w:sz w:val="16"/>
          <w:szCs w:val="16"/>
        </w:rPr>
        <w:footnoteRef/>
      </w:r>
      <w:r w:rsidRPr="00BD006C">
        <w:rPr>
          <w:rFonts w:ascii="Bookman Old Style" w:hAnsi="Bookman Old Style" w:cs="Arial"/>
          <w:sz w:val="16"/>
          <w:szCs w:val="16"/>
        </w:rPr>
        <w:t xml:space="preserve"> Corte Constitucional, Sentencia C-150 de 2003.</w:t>
      </w:r>
    </w:p>
  </w:footnote>
  <w:footnote w:id="2">
    <w:p w:rsidR="003A0930" w:rsidRPr="00BD006C" w:rsidRDefault="003A0930" w:rsidP="00BD006C">
      <w:pPr>
        <w:pStyle w:val="Textonotapie"/>
        <w:spacing w:before="0" w:after="0"/>
        <w:rPr>
          <w:rFonts w:ascii="Bookman Old Style" w:hAnsi="Bookman Old Style"/>
          <w:sz w:val="16"/>
          <w:szCs w:val="16"/>
        </w:rPr>
      </w:pPr>
      <w:r w:rsidRPr="00BD006C">
        <w:rPr>
          <w:rFonts w:ascii="Bookman Old Style" w:hAnsi="Bookman Old Style" w:cs="Arial"/>
          <w:sz w:val="16"/>
          <w:szCs w:val="16"/>
        </w:rPr>
        <w:footnoteRef/>
      </w:r>
      <w:r w:rsidRPr="00BD006C">
        <w:rPr>
          <w:rFonts w:ascii="Bookman Old Style" w:hAnsi="Bookman Old Style" w:cs="Arial"/>
          <w:sz w:val="16"/>
          <w:szCs w:val="16"/>
        </w:rPr>
        <w:t xml:space="preserve"> Corte Constitucional, Sentencia C- 075 de 2006.</w:t>
      </w:r>
    </w:p>
  </w:footnote>
  <w:footnote w:id="3">
    <w:p w:rsidR="003A0930" w:rsidRPr="00BD006C" w:rsidRDefault="003A0930" w:rsidP="00BD006C">
      <w:pPr>
        <w:pStyle w:val="Textonotapie"/>
        <w:spacing w:before="0" w:after="0"/>
        <w:rPr>
          <w:rFonts w:ascii="Bookman Old Style" w:hAnsi="Bookman Old Style"/>
          <w:sz w:val="16"/>
          <w:szCs w:val="16"/>
        </w:rPr>
      </w:pPr>
      <w:r w:rsidRPr="00BD006C">
        <w:rPr>
          <w:rStyle w:val="Refdenotaalpie"/>
          <w:rFonts w:ascii="Bookman Old Style" w:hAnsi="Bookman Old Style"/>
          <w:sz w:val="16"/>
          <w:szCs w:val="16"/>
          <w:vertAlign w:val="baseline"/>
        </w:rPr>
        <w:footnoteRef/>
      </w:r>
      <w:r w:rsidRPr="00BD006C">
        <w:rPr>
          <w:rFonts w:ascii="Bookman Old Style" w:hAnsi="Bookman Old Style"/>
          <w:sz w:val="16"/>
          <w:szCs w:val="16"/>
        </w:rPr>
        <w:t xml:space="preserve"> Corte Constitucional, Sentencia C-353 de 2006.</w:t>
      </w:r>
    </w:p>
  </w:footnote>
  <w:footnote w:id="4">
    <w:p w:rsidR="003A0930" w:rsidRPr="00A51EFB" w:rsidRDefault="003A0930" w:rsidP="00BD006C">
      <w:pPr>
        <w:pStyle w:val="Textonotapie"/>
        <w:spacing w:before="0" w:after="0"/>
        <w:rPr>
          <w:rFonts w:ascii="Bookman Old Style" w:hAnsi="Bookman Old Style"/>
          <w:sz w:val="16"/>
          <w:szCs w:val="16"/>
        </w:rPr>
      </w:pPr>
      <w:r w:rsidRPr="00BD006C">
        <w:rPr>
          <w:rStyle w:val="Refdenotaalpie"/>
          <w:rFonts w:ascii="Bookman Old Style" w:hAnsi="Bookman Old Style"/>
          <w:sz w:val="16"/>
          <w:szCs w:val="16"/>
          <w:vertAlign w:val="baseline"/>
        </w:rPr>
        <w:footnoteRef/>
      </w:r>
      <w:r w:rsidRPr="00BD006C">
        <w:rPr>
          <w:rFonts w:ascii="Bookman Old Style" w:hAnsi="Bookman Old Style"/>
          <w:sz w:val="16"/>
          <w:szCs w:val="16"/>
        </w:rPr>
        <w:t xml:space="preserve"> Corte Constitucional, Sentencia C-150 de 2003.</w:t>
      </w:r>
    </w:p>
  </w:footnote>
  <w:footnote w:id="5">
    <w:p w:rsidR="003A0930" w:rsidRPr="00A51EFB" w:rsidRDefault="003A0930" w:rsidP="003A0930">
      <w:pPr>
        <w:pStyle w:val="Textonotapie"/>
        <w:rPr>
          <w:rFonts w:ascii="Bookman Old Style" w:hAnsi="Bookman Old Style" w:cs="Arial"/>
          <w:sz w:val="16"/>
          <w:szCs w:val="16"/>
        </w:rPr>
      </w:pPr>
      <w:r w:rsidRPr="00A51EFB">
        <w:rPr>
          <w:rFonts w:ascii="Bookman Old Style" w:hAnsi="Bookman Old Style" w:cs="Arial"/>
          <w:sz w:val="16"/>
          <w:szCs w:val="16"/>
        </w:rPr>
        <w:footnoteRef/>
      </w:r>
      <w:r>
        <w:rPr>
          <w:rFonts w:ascii="Bookman Old Style" w:hAnsi="Bookman Old Style" w:cs="Arial"/>
          <w:sz w:val="16"/>
          <w:szCs w:val="16"/>
        </w:rPr>
        <w:t xml:space="preserve"> En relación con el alcance y las finalidades que persigue el ejercicio de la facultad de regulación por parte de las Comisiones de Regulación, V</w:t>
      </w:r>
      <w:r w:rsidRPr="00A51EFB">
        <w:rPr>
          <w:rFonts w:ascii="Bookman Old Style" w:hAnsi="Bookman Old Style" w:cs="Arial"/>
          <w:sz w:val="16"/>
          <w:szCs w:val="16"/>
        </w:rPr>
        <w:t>er entre otras las sentencias de la H. Corte Constitucional C-150 de 2003, C-1162 de 2000, C-186 de 2011.</w:t>
      </w:r>
    </w:p>
  </w:footnote>
  <w:footnote w:id="6">
    <w:p w:rsidR="003A0930" w:rsidRPr="00A51EFB" w:rsidRDefault="003A0930" w:rsidP="003A0930">
      <w:pPr>
        <w:pStyle w:val="Textonotapie"/>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Corte Constitu</w:t>
      </w:r>
      <w:r>
        <w:rPr>
          <w:rFonts w:ascii="Bookman Old Style" w:hAnsi="Bookman Old Style" w:cs="Arial"/>
          <w:sz w:val="16"/>
          <w:szCs w:val="16"/>
        </w:rPr>
        <w:t xml:space="preserve">cional, Sentencia C-075 de 2006, </w:t>
      </w:r>
      <w:r w:rsidRPr="00233071">
        <w:rPr>
          <w:rFonts w:ascii="Bookman Old Style" w:hAnsi="Bookman Old Style" w:cs="Arial"/>
          <w:sz w:val="16"/>
          <w:szCs w:val="16"/>
        </w:rPr>
        <w:t>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7">
    <w:p w:rsidR="00CC7E20" w:rsidRDefault="00CC7E20">
      <w:pPr>
        <w:pStyle w:val="Textonotapie"/>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8">
    <w:p w:rsidR="00A42C0D" w:rsidRDefault="00A42C0D">
      <w:pPr>
        <w:pStyle w:val="Textonotapie"/>
      </w:pPr>
      <w:r w:rsidRPr="00A42C0D">
        <w:rPr>
          <w:rFonts w:ascii="Bookman Old Style" w:hAnsi="Bookman Old Style" w:cs="Arial"/>
          <w:sz w:val="16"/>
          <w:szCs w:val="16"/>
        </w:rPr>
        <w:footnoteRef/>
      </w:r>
      <w:r w:rsidRPr="00A42C0D">
        <w:rPr>
          <w:rFonts w:ascii="Bookman Old Style" w:hAnsi="Bookman Old Style" w:cs="Arial"/>
          <w:sz w:val="16"/>
          <w:szCs w:val="16"/>
        </w:rPr>
        <w:t xml:space="preserve"> Se debe precisar que estas disposiciones se encuentran recogidas actua</w:t>
      </w:r>
      <w:r>
        <w:rPr>
          <w:rFonts w:ascii="Bookman Old Style" w:hAnsi="Bookman Old Style" w:cs="Arial"/>
          <w:sz w:val="16"/>
          <w:szCs w:val="16"/>
        </w:rPr>
        <w:t>lmente en los numerales 2.2.13.1 y siguientes del Decreto 1078</w:t>
      </w:r>
      <w:r w:rsidRPr="00A42C0D">
        <w:rPr>
          <w:rFonts w:ascii="Bookman Old Style" w:hAnsi="Bookman Old Style" w:cs="Arial"/>
          <w:sz w:val="16"/>
          <w:szCs w:val="16"/>
        </w:rPr>
        <w:t xml:space="preserve">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417F54">
      <w:rPr>
        <w:noProof/>
      </w:rPr>
      <w:t>5</w:t>
    </w:r>
    <w:r w:rsidR="002C6A9B">
      <w:rPr>
        <w:noProof/>
      </w:rPr>
      <w:fldChar w:fldCharType="end"/>
    </w:r>
    <w:r w:rsidRPr="00654384">
      <w:t>/</w:t>
    </w:r>
    <w:fldSimple w:instr=" NUMPAGES  \* MERGEFORMAT ">
      <w:r w:rsidR="00417F54">
        <w:rPr>
          <w:noProof/>
        </w:rPr>
        <w:t>5</w:t>
      </w:r>
    </w:fldSimple>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6DAA78EE" wp14:editId="3FEE3E18">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1A605E" w:rsidRDefault="00325321" w:rsidP="00E00A08">
    <w:pPr>
      <w:pBdr>
        <w:bottom w:val="single" w:sz="4" w:space="1" w:color="auto"/>
      </w:pBdr>
      <w:tabs>
        <w:tab w:val="left" w:pos="-851"/>
        <w:tab w:val="left" w:pos="-720"/>
        <w:tab w:val="left" w:pos="-567"/>
      </w:tabs>
      <w:rPr>
        <w:rFonts w:cs="Arial"/>
        <w:spacing w:val="-3"/>
        <w:sz w:val="22"/>
        <w:szCs w:val="22"/>
      </w:rPr>
    </w:pPr>
    <w:r w:rsidRPr="00325321">
      <w:rPr>
        <w:rFonts w:cs="Arial"/>
        <w:spacing w:val="-3"/>
        <w:sz w:val="22"/>
        <w:szCs w:val="22"/>
      </w:rPr>
      <w:t>Por la cual se modifica una norma sobre registro de contratos de energía establecida en la Resolución CREG 157 de 2011</w:t>
    </w:r>
    <w:r w:rsidR="00032C0F" w:rsidRPr="001A605E">
      <w:rPr>
        <w:rFonts w:cs="Arial"/>
        <w:spacing w:val="-3"/>
        <w:sz w:val="22"/>
        <w:szCs w:val="22"/>
      </w:rPr>
      <w:t>.</w:t>
    </w:r>
  </w:p>
  <w:p w:rsidR="00032C0F" w:rsidRPr="00DF40E1" w:rsidRDefault="00032C0F"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0A0C25FD"/>
    <w:multiLevelType w:val="hybridMultilevel"/>
    <w:tmpl w:val="C15A52AC"/>
    <w:lvl w:ilvl="0" w:tplc="240A000F">
      <w:start w:val="1"/>
      <w:numFmt w:val="decimal"/>
      <w:lvlText w:val="%1."/>
      <w:lvlJc w:val="left"/>
      <w:pPr>
        <w:ind w:left="360" w:hanging="360"/>
      </w:pPr>
    </w:lvl>
    <w:lvl w:ilvl="1" w:tplc="518857DE">
      <w:start w:val="1"/>
      <w:numFmt w:val="lowerLetter"/>
      <w:lvlText w:val="%2)"/>
      <w:lvlJc w:val="left"/>
      <w:pPr>
        <w:ind w:left="1080" w:hanging="360"/>
      </w:pPr>
      <w:rPr>
        <w:rFonts w:hint="default"/>
      </w:rPr>
    </w:lvl>
    <w:lvl w:ilvl="2" w:tplc="FB6E5802">
      <w:start w:val="1"/>
      <w:numFmt w:val="lowerRoman"/>
      <w:lvlText w:val="%3."/>
      <w:lvlJc w:val="left"/>
      <w:pPr>
        <w:ind w:left="1800" w:hanging="180"/>
      </w:pPr>
      <w:rPr>
        <w:rFonts w:hint="default"/>
        <w:sz w:val="24"/>
        <w:szCs w:val="24"/>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8">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9">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1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2">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nsid w:val="3B0E581B"/>
    <w:multiLevelType w:val="hybridMultilevel"/>
    <w:tmpl w:val="461AB8B2"/>
    <w:lvl w:ilvl="0" w:tplc="7EB2F396">
      <w:start w:val="5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6">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8">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9">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0">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21">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3">
    <w:nsid w:val="73432BD8"/>
    <w:multiLevelType w:val="hybridMultilevel"/>
    <w:tmpl w:val="FAF42A98"/>
    <w:lvl w:ilvl="0" w:tplc="4D4CEE28">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22"/>
  </w:num>
  <w:num w:numId="3">
    <w:abstractNumId w:val="1"/>
  </w:num>
  <w:num w:numId="4">
    <w:abstractNumId w:val="15"/>
  </w:num>
  <w:num w:numId="5">
    <w:abstractNumId w:val="4"/>
  </w:num>
  <w:num w:numId="6">
    <w:abstractNumId w:val="7"/>
  </w:num>
  <w:num w:numId="7">
    <w:abstractNumId w:val="19"/>
  </w:num>
  <w:num w:numId="8">
    <w:abstractNumId w:val="14"/>
  </w:num>
  <w:num w:numId="9">
    <w:abstractNumId w:val="20"/>
  </w:num>
  <w:num w:numId="10">
    <w:abstractNumId w:val="21"/>
  </w:num>
  <w:num w:numId="11">
    <w:abstractNumId w:val="16"/>
  </w:num>
  <w:num w:numId="12">
    <w:abstractNumId w:val="4"/>
  </w:num>
  <w:num w:numId="13">
    <w:abstractNumId w:val="11"/>
  </w:num>
  <w:num w:numId="14">
    <w:abstractNumId w:val="17"/>
  </w:num>
  <w:num w:numId="15">
    <w:abstractNumId w:val="4"/>
  </w:num>
  <w:num w:numId="16">
    <w:abstractNumId w:val="4"/>
  </w:num>
  <w:num w:numId="17">
    <w:abstractNumId w:val="7"/>
  </w:num>
  <w:num w:numId="18">
    <w:abstractNumId w:val="4"/>
  </w:num>
  <w:num w:numId="19">
    <w:abstractNumId w:val="4"/>
  </w:num>
  <w:num w:numId="20">
    <w:abstractNumId w:val="4"/>
  </w:num>
  <w:num w:numId="21">
    <w:abstractNumId w:val="19"/>
    <w:lvlOverride w:ilvl="0">
      <w:startOverride w:val="1"/>
    </w:lvlOverride>
  </w:num>
  <w:num w:numId="22">
    <w:abstractNumId w:val="2"/>
  </w:num>
  <w:num w:numId="23">
    <w:abstractNumId w:val="25"/>
  </w:num>
  <w:num w:numId="24">
    <w:abstractNumId w:val="6"/>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9"/>
  </w:num>
  <w:num w:numId="29">
    <w:abstractNumId w:val="10"/>
  </w:num>
  <w:num w:numId="30">
    <w:abstractNumId w:val="10"/>
  </w:num>
  <w:num w:numId="31">
    <w:abstractNumId w:val="10"/>
  </w:num>
  <w:num w:numId="32">
    <w:abstractNumId w:val="10"/>
  </w:num>
  <w:num w:numId="33">
    <w:abstractNumId w:val="10"/>
  </w:num>
  <w:num w:numId="34">
    <w:abstractNumId w:val="0"/>
  </w:num>
  <w:num w:numId="35">
    <w:abstractNumId w:val="24"/>
  </w:num>
  <w:num w:numId="36">
    <w:abstractNumId w:val="13"/>
  </w:num>
  <w:num w:numId="37">
    <w:abstractNumId w:val="23"/>
  </w:num>
  <w:num w:numId="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3657"/>
    <w:rsid w:val="0006438C"/>
    <w:rsid w:val="00070CA9"/>
    <w:rsid w:val="00074CC3"/>
    <w:rsid w:val="00076680"/>
    <w:rsid w:val="00076B88"/>
    <w:rsid w:val="00077C46"/>
    <w:rsid w:val="0008073E"/>
    <w:rsid w:val="000813E1"/>
    <w:rsid w:val="00091CDB"/>
    <w:rsid w:val="0009527B"/>
    <w:rsid w:val="00096A9C"/>
    <w:rsid w:val="000A19AC"/>
    <w:rsid w:val="000A3D48"/>
    <w:rsid w:val="000A532F"/>
    <w:rsid w:val="000A75B4"/>
    <w:rsid w:val="000B40A3"/>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08A2"/>
    <w:rsid w:val="001115BB"/>
    <w:rsid w:val="00112C91"/>
    <w:rsid w:val="00113281"/>
    <w:rsid w:val="0012332D"/>
    <w:rsid w:val="001264D6"/>
    <w:rsid w:val="0013272E"/>
    <w:rsid w:val="001405C6"/>
    <w:rsid w:val="00140B61"/>
    <w:rsid w:val="00141013"/>
    <w:rsid w:val="00141D0C"/>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4A3E"/>
    <w:rsid w:val="001F57D8"/>
    <w:rsid w:val="00201132"/>
    <w:rsid w:val="0020370D"/>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055A"/>
    <w:rsid w:val="002A77CA"/>
    <w:rsid w:val="002B017C"/>
    <w:rsid w:val="002B11E2"/>
    <w:rsid w:val="002B24B8"/>
    <w:rsid w:val="002B4263"/>
    <w:rsid w:val="002B54AB"/>
    <w:rsid w:val="002C2EF2"/>
    <w:rsid w:val="002C2FC7"/>
    <w:rsid w:val="002C6A9B"/>
    <w:rsid w:val="002C6D5B"/>
    <w:rsid w:val="002C6F8A"/>
    <w:rsid w:val="002D26E5"/>
    <w:rsid w:val="002D3AE9"/>
    <w:rsid w:val="002D6FA0"/>
    <w:rsid w:val="002D732C"/>
    <w:rsid w:val="002D7740"/>
    <w:rsid w:val="002E2E97"/>
    <w:rsid w:val="002E48FE"/>
    <w:rsid w:val="002E7458"/>
    <w:rsid w:val="002E7AF8"/>
    <w:rsid w:val="002F05A4"/>
    <w:rsid w:val="002F0734"/>
    <w:rsid w:val="002F46E7"/>
    <w:rsid w:val="002F5392"/>
    <w:rsid w:val="002F5FEA"/>
    <w:rsid w:val="002F6AD5"/>
    <w:rsid w:val="003039C6"/>
    <w:rsid w:val="003101DA"/>
    <w:rsid w:val="00313967"/>
    <w:rsid w:val="00314757"/>
    <w:rsid w:val="003211CE"/>
    <w:rsid w:val="00321AD1"/>
    <w:rsid w:val="00325321"/>
    <w:rsid w:val="003309AB"/>
    <w:rsid w:val="00336526"/>
    <w:rsid w:val="00341540"/>
    <w:rsid w:val="00343A7B"/>
    <w:rsid w:val="0035403A"/>
    <w:rsid w:val="003542CD"/>
    <w:rsid w:val="00355B6F"/>
    <w:rsid w:val="003565E6"/>
    <w:rsid w:val="0036394B"/>
    <w:rsid w:val="003709B5"/>
    <w:rsid w:val="003759C2"/>
    <w:rsid w:val="00380E33"/>
    <w:rsid w:val="003826FA"/>
    <w:rsid w:val="00382D23"/>
    <w:rsid w:val="003840CF"/>
    <w:rsid w:val="003912BA"/>
    <w:rsid w:val="00393C74"/>
    <w:rsid w:val="00397365"/>
    <w:rsid w:val="003A0930"/>
    <w:rsid w:val="003A31F6"/>
    <w:rsid w:val="003A7B6B"/>
    <w:rsid w:val="003B526C"/>
    <w:rsid w:val="003B6F96"/>
    <w:rsid w:val="003C0E64"/>
    <w:rsid w:val="003C3447"/>
    <w:rsid w:val="003C5AAE"/>
    <w:rsid w:val="003C69EB"/>
    <w:rsid w:val="003D076C"/>
    <w:rsid w:val="003E0A4A"/>
    <w:rsid w:val="003E315C"/>
    <w:rsid w:val="003E32D4"/>
    <w:rsid w:val="003E78D5"/>
    <w:rsid w:val="003F3B45"/>
    <w:rsid w:val="003F6E9A"/>
    <w:rsid w:val="00402B5C"/>
    <w:rsid w:val="004030EE"/>
    <w:rsid w:val="00403F0E"/>
    <w:rsid w:val="00413A60"/>
    <w:rsid w:val="00414D91"/>
    <w:rsid w:val="00415BAB"/>
    <w:rsid w:val="00415ED2"/>
    <w:rsid w:val="00416F4F"/>
    <w:rsid w:val="00417F54"/>
    <w:rsid w:val="0042068C"/>
    <w:rsid w:val="00424BD7"/>
    <w:rsid w:val="00426A89"/>
    <w:rsid w:val="00431503"/>
    <w:rsid w:val="00435E51"/>
    <w:rsid w:val="0043755E"/>
    <w:rsid w:val="00437A27"/>
    <w:rsid w:val="00437CC7"/>
    <w:rsid w:val="00446E84"/>
    <w:rsid w:val="00453630"/>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B353B"/>
    <w:rsid w:val="004C52CC"/>
    <w:rsid w:val="004C68AC"/>
    <w:rsid w:val="004D7634"/>
    <w:rsid w:val="004E1FCC"/>
    <w:rsid w:val="004E7FF7"/>
    <w:rsid w:val="004F6D80"/>
    <w:rsid w:val="00501938"/>
    <w:rsid w:val="00515AAC"/>
    <w:rsid w:val="005223A6"/>
    <w:rsid w:val="005300D3"/>
    <w:rsid w:val="005410F9"/>
    <w:rsid w:val="00544F72"/>
    <w:rsid w:val="00544F82"/>
    <w:rsid w:val="0054530F"/>
    <w:rsid w:val="00546974"/>
    <w:rsid w:val="00547347"/>
    <w:rsid w:val="00550373"/>
    <w:rsid w:val="00551CE8"/>
    <w:rsid w:val="00553553"/>
    <w:rsid w:val="00554F31"/>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A728E"/>
    <w:rsid w:val="005C068A"/>
    <w:rsid w:val="005C0F38"/>
    <w:rsid w:val="005C19CC"/>
    <w:rsid w:val="005C5DFC"/>
    <w:rsid w:val="00621E73"/>
    <w:rsid w:val="00624E18"/>
    <w:rsid w:val="00625DC6"/>
    <w:rsid w:val="00632500"/>
    <w:rsid w:val="00651821"/>
    <w:rsid w:val="00654384"/>
    <w:rsid w:val="00660F3C"/>
    <w:rsid w:val="00664E94"/>
    <w:rsid w:val="006675CD"/>
    <w:rsid w:val="00674CDC"/>
    <w:rsid w:val="00684D9B"/>
    <w:rsid w:val="006873BD"/>
    <w:rsid w:val="00692FD1"/>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2F87"/>
    <w:rsid w:val="006D79F0"/>
    <w:rsid w:val="006E32C9"/>
    <w:rsid w:val="006E56AD"/>
    <w:rsid w:val="006F1BBE"/>
    <w:rsid w:val="006F6D95"/>
    <w:rsid w:val="00701ACB"/>
    <w:rsid w:val="00706F13"/>
    <w:rsid w:val="007072E8"/>
    <w:rsid w:val="00713159"/>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6257"/>
    <w:rsid w:val="00776376"/>
    <w:rsid w:val="00780870"/>
    <w:rsid w:val="00780AFB"/>
    <w:rsid w:val="0078136C"/>
    <w:rsid w:val="007918F6"/>
    <w:rsid w:val="00795BFB"/>
    <w:rsid w:val="007A7D34"/>
    <w:rsid w:val="007B2760"/>
    <w:rsid w:val="007B4F8C"/>
    <w:rsid w:val="007B7B7A"/>
    <w:rsid w:val="007B7D36"/>
    <w:rsid w:val="007C0224"/>
    <w:rsid w:val="007C0B74"/>
    <w:rsid w:val="007C38DD"/>
    <w:rsid w:val="007E0CAD"/>
    <w:rsid w:val="007E6E52"/>
    <w:rsid w:val="007F2494"/>
    <w:rsid w:val="007F3525"/>
    <w:rsid w:val="007F4339"/>
    <w:rsid w:val="007F5241"/>
    <w:rsid w:val="007F5C2B"/>
    <w:rsid w:val="008002A1"/>
    <w:rsid w:val="00806C01"/>
    <w:rsid w:val="00810E7B"/>
    <w:rsid w:val="00811667"/>
    <w:rsid w:val="0081199F"/>
    <w:rsid w:val="008148CC"/>
    <w:rsid w:val="008153F2"/>
    <w:rsid w:val="00816A9A"/>
    <w:rsid w:val="008207F3"/>
    <w:rsid w:val="008211A4"/>
    <w:rsid w:val="00821C68"/>
    <w:rsid w:val="008279A7"/>
    <w:rsid w:val="00832864"/>
    <w:rsid w:val="008337DA"/>
    <w:rsid w:val="008349EB"/>
    <w:rsid w:val="00841BF0"/>
    <w:rsid w:val="0085270D"/>
    <w:rsid w:val="008553C4"/>
    <w:rsid w:val="00856CFB"/>
    <w:rsid w:val="00863487"/>
    <w:rsid w:val="00873150"/>
    <w:rsid w:val="00875E17"/>
    <w:rsid w:val="0087657D"/>
    <w:rsid w:val="008803A1"/>
    <w:rsid w:val="008807D5"/>
    <w:rsid w:val="00880832"/>
    <w:rsid w:val="00886EE1"/>
    <w:rsid w:val="0088727D"/>
    <w:rsid w:val="00891130"/>
    <w:rsid w:val="00892684"/>
    <w:rsid w:val="008977B9"/>
    <w:rsid w:val="00897C75"/>
    <w:rsid w:val="008A3493"/>
    <w:rsid w:val="008A395C"/>
    <w:rsid w:val="008A5CED"/>
    <w:rsid w:val="008A7457"/>
    <w:rsid w:val="008B0EA9"/>
    <w:rsid w:val="008C1130"/>
    <w:rsid w:val="008C1CFA"/>
    <w:rsid w:val="008D0A20"/>
    <w:rsid w:val="008D18E6"/>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6968"/>
    <w:rsid w:val="0098706D"/>
    <w:rsid w:val="009914BC"/>
    <w:rsid w:val="00991C16"/>
    <w:rsid w:val="009935FB"/>
    <w:rsid w:val="00994F25"/>
    <w:rsid w:val="00995A16"/>
    <w:rsid w:val="009A0C26"/>
    <w:rsid w:val="009A1782"/>
    <w:rsid w:val="009C16AE"/>
    <w:rsid w:val="009D4900"/>
    <w:rsid w:val="009D507F"/>
    <w:rsid w:val="009E3EB5"/>
    <w:rsid w:val="009E480B"/>
    <w:rsid w:val="009E4AF3"/>
    <w:rsid w:val="009E4D64"/>
    <w:rsid w:val="009E54E0"/>
    <w:rsid w:val="009E6CF7"/>
    <w:rsid w:val="009F4A54"/>
    <w:rsid w:val="009F4BEC"/>
    <w:rsid w:val="009F5BFE"/>
    <w:rsid w:val="009F5D1F"/>
    <w:rsid w:val="00A02A71"/>
    <w:rsid w:val="00A04597"/>
    <w:rsid w:val="00A12BAF"/>
    <w:rsid w:val="00A25B4A"/>
    <w:rsid w:val="00A25FD7"/>
    <w:rsid w:val="00A36E12"/>
    <w:rsid w:val="00A40A79"/>
    <w:rsid w:val="00A42C0D"/>
    <w:rsid w:val="00A43AFF"/>
    <w:rsid w:val="00A441E9"/>
    <w:rsid w:val="00A466BC"/>
    <w:rsid w:val="00A47C0F"/>
    <w:rsid w:val="00A55A9E"/>
    <w:rsid w:val="00A606AA"/>
    <w:rsid w:val="00A70F06"/>
    <w:rsid w:val="00A7793A"/>
    <w:rsid w:val="00A80287"/>
    <w:rsid w:val="00A818AC"/>
    <w:rsid w:val="00A83C43"/>
    <w:rsid w:val="00A83F04"/>
    <w:rsid w:val="00A8650D"/>
    <w:rsid w:val="00A908AC"/>
    <w:rsid w:val="00A94C83"/>
    <w:rsid w:val="00A9735B"/>
    <w:rsid w:val="00AA5D59"/>
    <w:rsid w:val="00AA7EF1"/>
    <w:rsid w:val="00AB16E6"/>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34E4"/>
    <w:rsid w:val="00B66917"/>
    <w:rsid w:val="00B72FF8"/>
    <w:rsid w:val="00B82C21"/>
    <w:rsid w:val="00B8422F"/>
    <w:rsid w:val="00B84D24"/>
    <w:rsid w:val="00B84E38"/>
    <w:rsid w:val="00B87806"/>
    <w:rsid w:val="00B87DD6"/>
    <w:rsid w:val="00B87EC9"/>
    <w:rsid w:val="00B91A16"/>
    <w:rsid w:val="00B97A0A"/>
    <w:rsid w:val="00BA1013"/>
    <w:rsid w:val="00BA1670"/>
    <w:rsid w:val="00BA66C7"/>
    <w:rsid w:val="00BB53DC"/>
    <w:rsid w:val="00BB7982"/>
    <w:rsid w:val="00BC116D"/>
    <w:rsid w:val="00BC38FD"/>
    <w:rsid w:val="00BC709E"/>
    <w:rsid w:val="00BD006C"/>
    <w:rsid w:val="00BE43AD"/>
    <w:rsid w:val="00BF158E"/>
    <w:rsid w:val="00BF2AEA"/>
    <w:rsid w:val="00C034CB"/>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5380E"/>
    <w:rsid w:val="00C54013"/>
    <w:rsid w:val="00C6234B"/>
    <w:rsid w:val="00C63EAE"/>
    <w:rsid w:val="00C7096A"/>
    <w:rsid w:val="00C73BD5"/>
    <w:rsid w:val="00C7629F"/>
    <w:rsid w:val="00C825B7"/>
    <w:rsid w:val="00C8661B"/>
    <w:rsid w:val="00CA139A"/>
    <w:rsid w:val="00CA2899"/>
    <w:rsid w:val="00CA3910"/>
    <w:rsid w:val="00CA77FB"/>
    <w:rsid w:val="00CB10FE"/>
    <w:rsid w:val="00CB149F"/>
    <w:rsid w:val="00CB379B"/>
    <w:rsid w:val="00CB4B5E"/>
    <w:rsid w:val="00CB5DD0"/>
    <w:rsid w:val="00CC031B"/>
    <w:rsid w:val="00CC51D4"/>
    <w:rsid w:val="00CC5AFD"/>
    <w:rsid w:val="00CC65DA"/>
    <w:rsid w:val="00CC7E20"/>
    <w:rsid w:val="00CD002C"/>
    <w:rsid w:val="00CD195E"/>
    <w:rsid w:val="00CD3068"/>
    <w:rsid w:val="00CE4C66"/>
    <w:rsid w:val="00CE742A"/>
    <w:rsid w:val="00CF21B9"/>
    <w:rsid w:val="00CF4B84"/>
    <w:rsid w:val="00CF6BF9"/>
    <w:rsid w:val="00D01388"/>
    <w:rsid w:val="00D02CA4"/>
    <w:rsid w:val="00D03800"/>
    <w:rsid w:val="00D065D3"/>
    <w:rsid w:val="00D11565"/>
    <w:rsid w:val="00D14C94"/>
    <w:rsid w:val="00D160BD"/>
    <w:rsid w:val="00D2011E"/>
    <w:rsid w:val="00D21071"/>
    <w:rsid w:val="00D212CA"/>
    <w:rsid w:val="00D2342A"/>
    <w:rsid w:val="00D342A6"/>
    <w:rsid w:val="00D45184"/>
    <w:rsid w:val="00D464BF"/>
    <w:rsid w:val="00D53E26"/>
    <w:rsid w:val="00D56930"/>
    <w:rsid w:val="00D6441D"/>
    <w:rsid w:val="00D749EF"/>
    <w:rsid w:val="00D77097"/>
    <w:rsid w:val="00D77F9F"/>
    <w:rsid w:val="00D92B7A"/>
    <w:rsid w:val="00DA225C"/>
    <w:rsid w:val="00DA294E"/>
    <w:rsid w:val="00DB4FE2"/>
    <w:rsid w:val="00DC0AF2"/>
    <w:rsid w:val="00DC7BD4"/>
    <w:rsid w:val="00DD4F0E"/>
    <w:rsid w:val="00DD6645"/>
    <w:rsid w:val="00DE3F7C"/>
    <w:rsid w:val="00DE53B8"/>
    <w:rsid w:val="00DE62E3"/>
    <w:rsid w:val="00DF0E89"/>
    <w:rsid w:val="00DF11ED"/>
    <w:rsid w:val="00DF24F7"/>
    <w:rsid w:val="00DF40E1"/>
    <w:rsid w:val="00DF40E2"/>
    <w:rsid w:val="00DF78E8"/>
    <w:rsid w:val="00E00A08"/>
    <w:rsid w:val="00E02D66"/>
    <w:rsid w:val="00E03F43"/>
    <w:rsid w:val="00E05E0A"/>
    <w:rsid w:val="00E16FA0"/>
    <w:rsid w:val="00E213CE"/>
    <w:rsid w:val="00E26585"/>
    <w:rsid w:val="00E32726"/>
    <w:rsid w:val="00E41E7D"/>
    <w:rsid w:val="00E42045"/>
    <w:rsid w:val="00E5184F"/>
    <w:rsid w:val="00E534CF"/>
    <w:rsid w:val="00E56289"/>
    <w:rsid w:val="00E5689C"/>
    <w:rsid w:val="00E638DD"/>
    <w:rsid w:val="00E6564C"/>
    <w:rsid w:val="00E7418C"/>
    <w:rsid w:val="00E81CB4"/>
    <w:rsid w:val="00E856DA"/>
    <w:rsid w:val="00E8585B"/>
    <w:rsid w:val="00E91E31"/>
    <w:rsid w:val="00EA30B5"/>
    <w:rsid w:val="00EA3F15"/>
    <w:rsid w:val="00EA460D"/>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74C9"/>
    <w:rsid w:val="00F379EF"/>
    <w:rsid w:val="00F4602F"/>
    <w:rsid w:val="00F50B3D"/>
    <w:rsid w:val="00F64922"/>
    <w:rsid w:val="00F665DA"/>
    <w:rsid w:val="00F722B5"/>
    <w:rsid w:val="00F805F9"/>
    <w:rsid w:val="00F80629"/>
    <w:rsid w:val="00F821A3"/>
    <w:rsid w:val="00F926AB"/>
    <w:rsid w:val="00F92E6C"/>
    <w:rsid w:val="00F9314A"/>
    <w:rsid w:val="00FA611E"/>
    <w:rsid w:val="00FC0C9A"/>
    <w:rsid w:val="00FC142F"/>
    <w:rsid w:val="00FC58EF"/>
    <w:rsid w:val="00FD33DF"/>
    <w:rsid w:val="00FD711F"/>
    <w:rsid w:val="00FD75C9"/>
    <w:rsid w:val="00FD7716"/>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basedOn w:val="Fuentedeprrafopredeter"/>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 w:type="paragraph" w:customStyle="1" w:styleId="ARTICULOS">
    <w:name w:val="ARTICULOS"/>
    <w:basedOn w:val="Normal"/>
    <w:link w:val="ARTICULOSCar"/>
    <w:autoRedefine/>
    <w:qFormat/>
    <w:rsid w:val="003E0A4A"/>
    <w:pPr>
      <w:numPr>
        <w:numId w:val="37"/>
      </w:numPr>
      <w:tabs>
        <w:tab w:val="left" w:pos="1560"/>
      </w:tabs>
      <w:adjustRightInd w:val="0"/>
      <w:ind w:left="0" w:firstLine="0"/>
      <w:textAlignment w:val="baseline"/>
    </w:pPr>
    <w:rPr>
      <w:bCs/>
    </w:rPr>
  </w:style>
  <w:style w:type="character" w:customStyle="1" w:styleId="ARTICULOSCar">
    <w:name w:val="ARTICULOS Car"/>
    <w:basedOn w:val="Fuentedeprrafopredeter"/>
    <w:link w:val="ARTICULOS"/>
    <w:rsid w:val="003E0A4A"/>
    <w:rPr>
      <w:rFonts w:ascii="Bookman Old Style" w:hAnsi="Bookman Old Style"/>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basedOn w:val="Fuentedeprrafopredeter"/>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 w:type="paragraph" w:customStyle="1" w:styleId="ARTICULOS">
    <w:name w:val="ARTICULOS"/>
    <w:basedOn w:val="Normal"/>
    <w:link w:val="ARTICULOSCar"/>
    <w:autoRedefine/>
    <w:qFormat/>
    <w:rsid w:val="003E0A4A"/>
    <w:pPr>
      <w:numPr>
        <w:numId w:val="37"/>
      </w:numPr>
      <w:tabs>
        <w:tab w:val="left" w:pos="1560"/>
      </w:tabs>
      <w:adjustRightInd w:val="0"/>
      <w:ind w:left="0" w:firstLine="0"/>
      <w:textAlignment w:val="baseline"/>
    </w:pPr>
    <w:rPr>
      <w:bCs/>
    </w:rPr>
  </w:style>
  <w:style w:type="character" w:customStyle="1" w:styleId="ARTICULOSCar">
    <w:name w:val="ARTICULOS Car"/>
    <w:basedOn w:val="Fuentedeprrafopredeter"/>
    <w:link w:val="ARTICULOS"/>
    <w:rsid w:val="003E0A4A"/>
    <w:rPr>
      <w:rFonts w:ascii="Bookman Old Style" w:hAnsi="Bookman Old Style"/>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277">
      <w:bodyDiv w:val="1"/>
      <w:marLeft w:val="0"/>
      <w:marRight w:val="0"/>
      <w:marTop w:val="0"/>
      <w:marBottom w:val="0"/>
      <w:divBdr>
        <w:top w:val="none" w:sz="0" w:space="0" w:color="auto"/>
        <w:left w:val="none" w:sz="0" w:space="0" w:color="auto"/>
        <w:bottom w:val="none" w:sz="0" w:space="0" w:color="auto"/>
        <w:right w:val="none" w:sz="0" w:space="0" w:color="auto"/>
      </w:divBdr>
    </w:div>
    <w:div w:id="371542054">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2208614">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639655354">
      <w:bodyDiv w:val="1"/>
      <w:marLeft w:val="0"/>
      <w:marRight w:val="0"/>
      <w:marTop w:val="0"/>
      <w:marBottom w:val="0"/>
      <w:divBdr>
        <w:top w:val="none" w:sz="0" w:space="0" w:color="auto"/>
        <w:left w:val="none" w:sz="0" w:space="0" w:color="auto"/>
        <w:bottom w:val="none" w:sz="0" w:space="0" w:color="auto"/>
        <w:right w:val="none" w:sz="0" w:space="0" w:color="auto"/>
      </w:divBdr>
    </w:div>
    <w:div w:id="673343594">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26109661">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999308544">
      <w:bodyDiv w:val="1"/>
      <w:marLeft w:val="0"/>
      <w:marRight w:val="0"/>
      <w:marTop w:val="0"/>
      <w:marBottom w:val="0"/>
      <w:divBdr>
        <w:top w:val="none" w:sz="0" w:space="0" w:color="auto"/>
        <w:left w:val="none" w:sz="0" w:space="0" w:color="auto"/>
        <w:bottom w:val="none" w:sz="0" w:space="0" w:color="auto"/>
        <w:right w:val="none" w:sz="0" w:space="0" w:color="auto"/>
      </w:divBdr>
    </w:div>
    <w:div w:id="1186332941">
      <w:bodyDiv w:val="1"/>
      <w:marLeft w:val="0"/>
      <w:marRight w:val="0"/>
      <w:marTop w:val="0"/>
      <w:marBottom w:val="0"/>
      <w:divBdr>
        <w:top w:val="none" w:sz="0" w:space="0" w:color="auto"/>
        <w:left w:val="none" w:sz="0" w:space="0" w:color="auto"/>
        <w:bottom w:val="none" w:sz="0" w:space="0" w:color="auto"/>
        <w:right w:val="none" w:sz="0" w:space="0" w:color="auto"/>
      </w:divBdr>
    </w:div>
    <w:div w:id="1590850949">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43804510">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39772097">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052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416F-BDCE-43C9-A119-7D055CE0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1717</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2015-10-24T02:31:00Z</cp:lastPrinted>
  <dcterms:created xsi:type="dcterms:W3CDTF">2015-10-26T21:08:00Z</dcterms:created>
  <dcterms:modified xsi:type="dcterms:W3CDTF">2015-10-26T21:08:00Z</dcterms:modified>
</cp:coreProperties>
</file>