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E71D" w14:textId="749463DB" w:rsidR="00C04748" w:rsidRDefault="00501037" w:rsidP="00C04748">
      <w:pPr>
        <w:pStyle w:val="Encabezado"/>
        <w:tabs>
          <w:tab w:val="clear" w:pos="8504"/>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88CD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0.9pt;margin-top:-49pt;width:52.5pt;height:48.75pt;z-index:251659264" fillcolor="#0c9">
            <v:imagedata r:id="rId8" o:title=""/>
          </v:shape>
          <o:OLEObject Type="Embed" ProgID="PBrush" ShapeID="_x0000_s1030" DrawAspect="Content" ObjectID="_1584362827" r:id="rId9"/>
        </w:object>
      </w:r>
      <w:r w:rsidR="00C04748">
        <w:rPr>
          <w:rFonts w:ascii="Bookman Old Style" w:hAnsi="Bookman Old Style"/>
          <w:szCs w:val="24"/>
        </w:rPr>
        <w:tab/>
      </w:r>
    </w:p>
    <w:p w14:paraId="5E1E80D0" w14:textId="77777777" w:rsidR="00C04748" w:rsidRPr="00F340A2" w:rsidRDefault="00C04748" w:rsidP="00C04748">
      <w:pPr>
        <w:pStyle w:val="Ttulo4"/>
        <w:ind w:left="0"/>
        <w:rPr>
          <w:rFonts w:ascii="Bookman Old Style" w:hAnsi="Bookman Old Style"/>
          <w:b w:val="0"/>
          <w:noProof/>
          <w:sz w:val="24"/>
          <w:szCs w:val="24"/>
          <w:lang w:val="es-ES"/>
        </w:rPr>
      </w:pPr>
      <w:r w:rsidRPr="00F340A2">
        <w:rPr>
          <w:rFonts w:ascii="Bookman Old Style" w:hAnsi="Bookman Old Style"/>
          <w:b w:val="0"/>
          <w:sz w:val="24"/>
          <w:szCs w:val="24"/>
        </w:rPr>
        <w:t>Ministerio de Minas y Energía</w:t>
      </w:r>
    </w:p>
    <w:p w14:paraId="5340A03A" w14:textId="77777777" w:rsidR="00C04748" w:rsidRPr="00F340A2" w:rsidRDefault="00C04748" w:rsidP="00C04748">
      <w:pPr>
        <w:pStyle w:val="Ttulo4"/>
        <w:ind w:left="0"/>
        <w:rPr>
          <w:rFonts w:ascii="Bookman Old Style" w:hAnsi="Bookman Old Style"/>
          <w:sz w:val="24"/>
          <w:szCs w:val="24"/>
          <w:lang w:val="es-ES"/>
        </w:rPr>
      </w:pPr>
    </w:p>
    <w:p w14:paraId="714FA3CA" w14:textId="77777777" w:rsidR="00C04748" w:rsidRPr="00F340A2" w:rsidRDefault="00C04748" w:rsidP="00C04748">
      <w:pPr>
        <w:pStyle w:val="Ttulo3"/>
        <w:ind w:left="0"/>
        <w:rPr>
          <w:rFonts w:ascii="Bookman Old Style" w:hAnsi="Bookman Old Style"/>
          <w:szCs w:val="24"/>
        </w:rPr>
      </w:pPr>
    </w:p>
    <w:p w14:paraId="174B6A9B" w14:textId="77777777" w:rsidR="00C04748" w:rsidRPr="00F340A2" w:rsidRDefault="00C04748" w:rsidP="00C04748">
      <w:pPr>
        <w:pStyle w:val="Ttulo3"/>
        <w:ind w:left="0"/>
        <w:rPr>
          <w:rFonts w:ascii="Bookman Old Style" w:hAnsi="Bookman Old Style"/>
          <w:szCs w:val="24"/>
        </w:rPr>
      </w:pPr>
      <w:r w:rsidRPr="00F340A2">
        <w:rPr>
          <w:rFonts w:ascii="Bookman Old Style" w:hAnsi="Bookman Old Style"/>
          <w:szCs w:val="24"/>
        </w:rPr>
        <w:t>COMISIÓN DE REGULACIÓN DE ENERGÍA Y GAS</w:t>
      </w:r>
    </w:p>
    <w:p w14:paraId="43457747" w14:textId="77777777" w:rsidR="00C04748" w:rsidRPr="00F340A2" w:rsidRDefault="00C04748" w:rsidP="00C04748">
      <w:pPr>
        <w:pStyle w:val="Ttulo5"/>
        <w:ind w:left="0"/>
        <w:rPr>
          <w:rFonts w:ascii="Bookman Old Style" w:hAnsi="Bookman Old Style"/>
          <w:sz w:val="24"/>
          <w:szCs w:val="24"/>
        </w:rPr>
      </w:pPr>
    </w:p>
    <w:p w14:paraId="5AFDB6C2" w14:textId="77777777" w:rsidR="00C04748" w:rsidRPr="00F340A2" w:rsidRDefault="00C04748" w:rsidP="00C04748">
      <w:pPr>
        <w:pStyle w:val="Ttulo5"/>
        <w:ind w:left="0"/>
        <w:rPr>
          <w:rFonts w:ascii="Bookman Old Style" w:hAnsi="Bookman Old Style"/>
          <w:sz w:val="24"/>
          <w:szCs w:val="24"/>
        </w:rPr>
      </w:pPr>
    </w:p>
    <w:p w14:paraId="525913C1" w14:textId="6BD01357" w:rsidR="00C04748" w:rsidRPr="00F340A2" w:rsidRDefault="00C04748" w:rsidP="00C04748">
      <w:pPr>
        <w:pStyle w:val="Ttulo5"/>
        <w:ind w:left="0"/>
        <w:rPr>
          <w:rFonts w:ascii="Bookman Old Style" w:hAnsi="Bookman Old Style"/>
          <w:sz w:val="24"/>
          <w:szCs w:val="24"/>
        </w:rPr>
      </w:pPr>
      <w:r w:rsidRPr="00F340A2">
        <w:rPr>
          <w:rFonts w:ascii="Bookman Old Style" w:hAnsi="Bookman Old Style"/>
          <w:sz w:val="24"/>
          <w:szCs w:val="24"/>
        </w:rPr>
        <w:t xml:space="preserve">RESOLUCIÓN No.    </w:t>
      </w:r>
      <w:r w:rsidR="009E0351">
        <w:rPr>
          <w:rFonts w:ascii="Bookman Old Style" w:hAnsi="Bookman Old Style"/>
          <w:sz w:val="24"/>
          <w:szCs w:val="24"/>
        </w:rPr>
        <w:t xml:space="preserve">         </w:t>
      </w:r>
      <w:r w:rsidRPr="00F340A2">
        <w:rPr>
          <w:rFonts w:ascii="Bookman Old Style" w:hAnsi="Bookman Old Style"/>
          <w:sz w:val="24"/>
          <w:szCs w:val="24"/>
        </w:rPr>
        <w:t xml:space="preserve">      </w:t>
      </w:r>
      <w:r>
        <w:rPr>
          <w:rFonts w:ascii="Bookman Old Style" w:hAnsi="Bookman Old Style"/>
          <w:sz w:val="24"/>
          <w:szCs w:val="24"/>
        </w:rPr>
        <w:t>DE 201</w:t>
      </w:r>
      <w:r w:rsidR="0002107C">
        <w:rPr>
          <w:rFonts w:ascii="Bookman Old Style" w:hAnsi="Bookman Old Style"/>
          <w:sz w:val="24"/>
          <w:szCs w:val="24"/>
        </w:rPr>
        <w:t>8</w:t>
      </w:r>
    </w:p>
    <w:p w14:paraId="3E57C6CE" w14:textId="77777777" w:rsidR="00C04748" w:rsidRPr="00F340A2" w:rsidRDefault="00C04748" w:rsidP="00C04748">
      <w:pPr>
        <w:ind w:left="0"/>
        <w:jc w:val="center"/>
        <w:rPr>
          <w:rFonts w:ascii="Bookman Old Style" w:hAnsi="Bookman Old Style" w:cs="Arial"/>
          <w:b/>
          <w:snapToGrid w:val="0"/>
          <w:color w:val="000000"/>
          <w:lang w:val="es-ES_tradnl"/>
        </w:rPr>
      </w:pPr>
    </w:p>
    <w:p w14:paraId="487291B2" w14:textId="45644E8B" w:rsidR="00C04748" w:rsidRPr="00F340A2" w:rsidRDefault="00C04748" w:rsidP="00C04748">
      <w:pPr>
        <w:pStyle w:val="Ttulo3"/>
        <w:ind w:left="0"/>
        <w:rPr>
          <w:rFonts w:ascii="Bookman Old Style" w:hAnsi="Bookman Old Style"/>
          <w:szCs w:val="24"/>
        </w:rPr>
      </w:pPr>
      <w:r w:rsidRPr="00F340A2">
        <w:rPr>
          <w:rFonts w:ascii="Bookman Old Style" w:hAnsi="Bookman Old Style"/>
          <w:szCs w:val="24"/>
        </w:rPr>
        <w:t xml:space="preserve">(            </w:t>
      </w:r>
      <w:r w:rsidR="009E0351">
        <w:rPr>
          <w:rFonts w:ascii="Bookman Old Style" w:hAnsi="Bookman Old Style"/>
          <w:szCs w:val="24"/>
        </w:rPr>
        <w:t xml:space="preserve">  </w:t>
      </w:r>
      <w:r w:rsidRPr="00F340A2">
        <w:rPr>
          <w:rFonts w:ascii="Bookman Old Style" w:hAnsi="Bookman Old Style"/>
          <w:szCs w:val="24"/>
        </w:rPr>
        <w:t xml:space="preserve">                  )</w:t>
      </w:r>
    </w:p>
    <w:p w14:paraId="6E4C30BA" w14:textId="77777777" w:rsidR="00C04748" w:rsidRPr="00F340A2" w:rsidRDefault="00C04748" w:rsidP="00C04748">
      <w:pPr>
        <w:ind w:left="0"/>
        <w:jc w:val="center"/>
        <w:rPr>
          <w:rFonts w:ascii="Bookman Old Style" w:hAnsi="Bookman Old Style"/>
          <w:lang w:val="es-ES_tradnl"/>
        </w:rPr>
      </w:pPr>
    </w:p>
    <w:p w14:paraId="7BF65251" w14:textId="77777777" w:rsidR="00C04748" w:rsidRPr="00F340A2" w:rsidRDefault="00C04748" w:rsidP="00C04748">
      <w:pPr>
        <w:ind w:left="0"/>
        <w:jc w:val="center"/>
        <w:rPr>
          <w:rFonts w:ascii="Bookman Old Style" w:hAnsi="Bookman Old Style"/>
          <w:lang w:val="es-ES_tradnl"/>
        </w:rPr>
      </w:pPr>
    </w:p>
    <w:p w14:paraId="33C0EC48" w14:textId="4EB64EE3" w:rsidR="00C04748" w:rsidRDefault="00C04748" w:rsidP="00C04748">
      <w:pPr>
        <w:ind w:left="0"/>
        <w:jc w:val="center"/>
        <w:rPr>
          <w:rFonts w:ascii="Bookman Old Style" w:hAnsi="Bookman Old Style"/>
          <w:lang w:val="es-ES_tradnl"/>
        </w:rPr>
      </w:pPr>
    </w:p>
    <w:p w14:paraId="42FD4550" w14:textId="77777777" w:rsidR="009E0351" w:rsidRPr="00EC39FB" w:rsidRDefault="009E0351" w:rsidP="00C04748">
      <w:pPr>
        <w:ind w:left="0"/>
        <w:jc w:val="center"/>
        <w:rPr>
          <w:rFonts w:ascii="Bookman Old Style" w:hAnsi="Bookman Old Style"/>
          <w:lang w:val="es-ES_tradnl"/>
        </w:rPr>
      </w:pPr>
    </w:p>
    <w:p w14:paraId="0B354D91" w14:textId="77777777" w:rsidR="00C04748" w:rsidRDefault="00C04748" w:rsidP="00C04748">
      <w:pPr>
        <w:ind w:left="0" w:right="51"/>
        <w:jc w:val="center"/>
        <w:rPr>
          <w:rFonts w:ascii="Bookman Old Style" w:hAnsi="Bookman Old Style" w:cs="Arial"/>
        </w:rPr>
      </w:pPr>
      <w:r w:rsidRPr="00EC39FB">
        <w:rPr>
          <w:rFonts w:ascii="Bookman Old Style" w:hAnsi="Bookman Old Style" w:cs="Arial"/>
        </w:rPr>
        <w:t xml:space="preserve">Por la cual se define la metodología para el cálculo de la tasa de descuento que se </w:t>
      </w:r>
      <w:r w:rsidRPr="00EC39FB">
        <w:rPr>
          <w:rFonts w:ascii="Bookman Old Style" w:hAnsi="Bookman Old Style"/>
        </w:rPr>
        <w:t xml:space="preserve">aplicará a </w:t>
      </w:r>
      <w:r w:rsidRPr="00EC39FB">
        <w:rPr>
          <w:rFonts w:ascii="Bookman Old Style" w:hAnsi="Bookman Old Style" w:cs="Arial"/>
        </w:rPr>
        <w:t>las actividades de la cadena de distribución de combustibles líquidos</w:t>
      </w:r>
      <w:r>
        <w:rPr>
          <w:rFonts w:ascii="Bookman Old Style" w:hAnsi="Bookman Old Style" w:cs="Arial"/>
        </w:rPr>
        <w:t xml:space="preserve"> y </w:t>
      </w:r>
      <w:r>
        <w:rPr>
          <w:rFonts w:ascii="Bookman Old Style" w:hAnsi="Bookman Old Style"/>
        </w:rPr>
        <w:t>al transporte de GLP por ductos</w:t>
      </w:r>
    </w:p>
    <w:p w14:paraId="16ED6B20" w14:textId="77777777" w:rsidR="003014F9" w:rsidRPr="00EC39FB" w:rsidRDefault="003014F9" w:rsidP="00C04748">
      <w:pPr>
        <w:ind w:left="0" w:right="51"/>
        <w:jc w:val="center"/>
        <w:rPr>
          <w:rFonts w:ascii="Bookman Old Style" w:hAnsi="Bookman Old Style" w:cs="Arial"/>
        </w:rPr>
      </w:pPr>
    </w:p>
    <w:p w14:paraId="2D336DFD" w14:textId="77777777" w:rsidR="00C04748" w:rsidRPr="00F340A2" w:rsidRDefault="00C04748" w:rsidP="00C04748">
      <w:pPr>
        <w:ind w:left="0"/>
        <w:jc w:val="both"/>
        <w:rPr>
          <w:rFonts w:ascii="Bookman Old Style" w:hAnsi="Bookman Old Style"/>
        </w:rPr>
      </w:pPr>
    </w:p>
    <w:p w14:paraId="290F41B4" w14:textId="77777777" w:rsidR="00C04748" w:rsidRPr="00F340A2" w:rsidRDefault="00C04748" w:rsidP="00C04748">
      <w:pPr>
        <w:ind w:left="0"/>
        <w:jc w:val="center"/>
        <w:rPr>
          <w:rFonts w:ascii="Bookman Old Style" w:hAnsi="Bookman Old Style"/>
          <w:b/>
        </w:rPr>
      </w:pPr>
      <w:r w:rsidRPr="00F340A2">
        <w:rPr>
          <w:rFonts w:ascii="Bookman Old Style" w:hAnsi="Bookman Old Style"/>
          <w:b/>
        </w:rPr>
        <w:t>LA COMISIÓN DE REGULACIÓN DE ENERGÍA Y GAS</w:t>
      </w:r>
    </w:p>
    <w:p w14:paraId="4958521C" w14:textId="77777777" w:rsidR="00C04748" w:rsidRPr="00F340A2" w:rsidRDefault="00C04748" w:rsidP="00C04748">
      <w:pPr>
        <w:ind w:left="0"/>
        <w:rPr>
          <w:rFonts w:ascii="Bookman Old Style" w:hAnsi="Bookman Old Style"/>
        </w:rPr>
      </w:pPr>
    </w:p>
    <w:p w14:paraId="5C52CD18" w14:textId="77777777" w:rsidR="00C04748" w:rsidRPr="00F340A2" w:rsidRDefault="00C04748" w:rsidP="00C04748">
      <w:pPr>
        <w:ind w:left="0"/>
        <w:rPr>
          <w:rFonts w:ascii="Bookman Old Style" w:hAnsi="Bookman Old Style"/>
        </w:rPr>
      </w:pPr>
    </w:p>
    <w:p w14:paraId="6F92F226" w14:textId="6EC0A89D" w:rsidR="00C04748" w:rsidRPr="00257D25" w:rsidRDefault="00C04748" w:rsidP="00C04748">
      <w:pPr>
        <w:pStyle w:val="Textoindependiente3"/>
        <w:ind w:left="0"/>
        <w:jc w:val="both"/>
        <w:rPr>
          <w:rFonts w:ascii="Bookman Old Style" w:hAnsi="Bookman Old Style"/>
          <w:b w:val="0"/>
        </w:rPr>
      </w:pPr>
      <w:r w:rsidRPr="00257D25">
        <w:rPr>
          <w:rFonts w:ascii="Bookman Old Style" w:hAnsi="Bookman Old Style"/>
          <w:b w:val="0"/>
        </w:rPr>
        <w:t>En ejercicio de las atribuciones legales, en especial las conferidas por</w:t>
      </w:r>
      <w:r>
        <w:rPr>
          <w:rFonts w:ascii="Bookman Old Style" w:hAnsi="Bookman Old Style"/>
          <w:b w:val="0"/>
        </w:rPr>
        <w:t xml:space="preserve"> la Ley 142 de 1994, </w:t>
      </w:r>
      <w:r w:rsidRPr="00257D25">
        <w:rPr>
          <w:rFonts w:ascii="Bookman Old Style" w:hAnsi="Bookman Old Style"/>
          <w:b w:val="0"/>
        </w:rPr>
        <w:t>los Decretos 4130 de 2011</w:t>
      </w:r>
      <w:r>
        <w:rPr>
          <w:rFonts w:ascii="Bookman Old Style" w:hAnsi="Bookman Old Style"/>
          <w:b w:val="0"/>
        </w:rPr>
        <w:t xml:space="preserve">, </w:t>
      </w:r>
      <w:r w:rsidRPr="00257D25">
        <w:rPr>
          <w:rFonts w:ascii="Bookman Old Style" w:hAnsi="Bookman Old Style"/>
          <w:b w:val="0"/>
        </w:rPr>
        <w:t>1260 de 2013</w:t>
      </w:r>
      <w:r>
        <w:rPr>
          <w:rFonts w:ascii="Bookman Old Style" w:hAnsi="Bookman Old Style"/>
          <w:b w:val="0"/>
        </w:rPr>
        <w:t>, 2253 de 1994</w:t>
      </w:r>
      <w:r w:rsidRPr="00257D25">
        <w:rPr>
          <w:rFonts w:ascii="Bookman Old Style" w:hAnsi="Bookman Old Style"/>
          <w:b w:val="0"/>
        </w:rPr>
        <w:t xml:space="preserve"> y</w:t>
      </w:r>
      <w:r>
        <w:rPr>
          <w:rFonts w:ascii="Bookman Old Style" w:hAnsi="Bookman Old Style"/>
          <w:b w:val="0"/>
        </w:rPr>
        <w:t xml:space="preserve"> 1073 de 2015</w:t>
      </w:r>
      <w:r w:rsidRPr="00257D25">
        <w:rPr>
          <w:rFonts w:ascii="Bookman Old Style" w:hAnsi="Bookman Old Style"/>
          <w:b w:val="0"/>
        </w:rPr>
        <w:t>,</w:t>
      </w:r>
    </w:p>
    <w:p w14:paraId="7360933D" w14:textId="77777777" w:rsidR="00C04748" w:rsidRPr="008518F1" w:rsidRDefault="00C04748" w:rsidP="00C04748">
      <w:pPr>
        <w:rPr>
          <w:rFonts w:cs="Arial"/>
        </w:rPr>
      </w:pPr>
    </w:p>
    <w:p w14:paraId="5AFD79AE" w14:textId="77777777" w:rsidR="00C04748" w:rsidRPr="00F340A2" w:rsidRDefault="00C04748" w:rsidP="00C04748">
      <w:pPr>
        <w:ind w:right="51"/>
        <w:rPr>
          <w:rFonts w:ascii="Bookman Old Style" w:hAnsi="Bookman Old Style"/>
        </w:rPr>
      </w:pPr>
    </w:p>
    <w:p w14:paraId="4931DF0D" w14:textId="77777777" w:rsidR="00C04748" w:rsidRPr="00F340A2" w:rsidRDefault="00C04748" w:rsidP="00C04748">
      <w:pPr>
        <w:ind w:right="51"/>
        <w:jc w:val="center"/>
        <w:rPr>
          <w:rFonts w:ascii="Bookman Old Style" w:hAnsi="Bookman Old Style"/>
          <w:b/>
        </w:rPr>
      </w:pPr>
      <w:r w:rsidRPr="00F340A2">
        <w:rPr>
          <w:rFonts w:ascii="Bookman Old Style" w:hAnsi="Bookman Old Style"/>
          <w:b/>
        </w:rPr>
        <w:t xml:space="preserve">C O N S I D E R A N D </w:t>
      </w:r>
      <w:proofErr w:type="gramStart"/>
      <w:r w:rsidRPr="00F340A2">
        <w:rPr>
          <w:rFonts w:ascii="Bookman Old Style" w:hAnsi="Bookman Old Style"/>
          <w:b/>
        </w:rPr>
        <w:t>O  Q</w:t>
      </w:r>
      <w:proofErr w:type="gramEnd"/>
      <w:r w:rsidRPr="00F340A2">
        <w:rPr>
          <w:rFonts w:ascii="Bookman Old Style" w:hAnsi="Bookman Old Style"/>
          <w:b/>
        </w:rPr>
        <w:t xml:space="preserve"> U E:</w:t>
      </w:r>
    </w:p>
    <w:p w14:paraId="1946E392" w14:textId="77777777" w:rsidR="00C04748" w:rsidRDefault="00C04748" w:rsidP="00C04748">
      <w:pPr>
        <w:ind w:left="0"/>
        <w:jc w:val="both"/>
        <w:rPr>
          <w:rFonts w:ascii="Bookman Old Style" w:eastAsia="Arial" w:hAnsi="Bookman Old Style"/>
        </w:rPr>
      </w:pPr>
    </w:p>
    <w:p w14:paraId="4F951674" w14:textId="77777777" w:rsidR="003014F9" w:rsidRDefault="003014F9" w:rsidP="00C04748">
      <w:pPr>
        <w:ind w:left="0"/>
        <w:jc w:val="both"/>
        <w:rPr>
          <w:rFonts w:ascii="Bookman Old Style" w:eastAsia="Arial" w:hAnsi="Bookman Old Style"/>
        </w:rPr>
      </w:pPr>
    </w:p>
    <w:p w14:paraId="258B45BF" w14:textId="77777777" w:rsidR="00C04748" w:rsidRPr="0035176C" w:rsidRDefault="00C04748" w:rsidP="00C04748">
      <w:pPr>
        <w:ind w:left="0"/>
        <w:jc w:val="both"/>
        <w:rPr>
          <w:rFonts w:ascii="Bookman Old Style" w:eastAsia="Arial" w:hAnsi="Bookman Old Style" w:cs="Arial"/>
        </w:rPr>
      </w:pPr>
      <w:r w:rsidRPr="0035176C">
        <w:rPr>
          <w:rFonts w:ascii="Bookman Old Style" w:eastAsia="Arial" w:hAnsi="Bookman Old Style"/>
        </w:rPr>
        <w:t xml:space="preserve">El </w:t>
      </w:r>
      <w:r w:rsidRPr="0035176C">
        <w:rPr>
          <w:rFonts w:ascii="Bookman Old Style" w:eastAsia="Arial" w:hAnsi="Bookman Old Style" w:cs="Arial"/>
        </w:rPr>
        <w:t>artículo</w:t>
      </w:r>
      <w:r w:rsidRPr="0035176C">
        <w:rPr>
          <w:rFonts w:ascii="Bookman Old Style" w:eastAsia="Arial" w:hAnsi="Bookman Old Style"/>
        </w:rPr>
        <w:t xml:space="preserve"> 334 de la Constitución Política de Colombia, estableció la facultad del estado para intervenir en la explotación de los recursos naturales como el petróleo, en la producción y distribución de bienes como son los combustibles líquidos derivados del petróleo, y en los servicios públicos y privados</w:t>
      </w:r>
      <w:r w:rsidRPr="0035176C">
        <w:rPr>
          <w:rFonts w:ascii="Bookman Old Style" w:eastAsia="Arial" w:hAnsi="Bookman Old Style" w:cs="Arial"/>
        </w:rPr>
        <w:t>.</w:t>
      </w:r>
    </w:p>
    <w:p w14:paraId="6AFF6F8D" w14:textId="77777777" w:rsidR="00C04748" w:rsidRDefault="00C04748" w:rsidP="00C04748">
      <w:pPr>
        <w:ind w:left="0"/>
        <w:jc w:val="both"/>
        <w:rPr>
          <w:rFonts w:ascii="Bookman Old Style" w:eastAsia="Arial" w:hAnsi="Bookman Old Style"/>
        </w:rPr>
      </w:pPr>
    </w:p>
    <w:p w14:paraId="646752C8" w14:textId="77777777" w:rsidR="00C04748" w:rsidRPr="00EC39FB" w:rsidRDefault="00C04748" w:rsidP="00C04748">
      <w:pPr>
        <w:ind w:left="0"/>
        <w:jc w:val="both"/>
        <w:rPr>
          <w:rFonts w:ascii="Bookman Old Style" w:eastAsia="Arial" w:hAnsi="Bookman Old Style"/>
        </w:rPr>
      </w:pPr>
      <w:r w:rsidRPr="00EC39FB">
        <w:rPr>
          <w:rFonts w:ascii="Bookman Old Style" w:eastAsia="Arial" w:hAnsi="Bookman Old Style"/>
        </w:rPr>
        <w:t>Según el artículo 74.1 de la Ley 142 de 1994 la Comisión de Regulación de Energía y Gas es competente para regular el ejercicio de las actividades de los sectores de energía eléctrica y gas combustible.</w:t>
      </w:r>
    </w:p>
    <w:p w14:paraId="6ADFA57C" w14:textId="77777777" w:rsidR="00C04748" w:rsidRPr="00EC39FB" w:rsidRDefault="00C04748" w:rsidP="00C04748">
      <w:pPr>
        <w:ind w:left="0"/>
        <w:jc w:val="both"/>
        <w:rPr>
          <w:rFonts w:ascii="Bookman Old Style" w:eastAsia="Arial" w:hAnsi="Bookman Old Style"/>
        </w:rPr>
      </w:pPr>
    </w:p>
    <w:p w14:paraId="20DC764B" w14:textId="77777777" w:rsidR="00C04748" w:rsidRPr="00EC39FB" w:rsidRDefault="00C04748" w:rsidP="00C04748">
      <w:pPr>
        <w:ind w:left="0"/>
        <w:jc w:val="both"/>
        <w:rPr>
          <w:rFonts w:ascii="Bookman Old Style" w:eastAsia="Arial" w:hAnsi="Bookman Old Style"/>
        </w:rPr>
      </w:pPr>
      <w:r w:rsidRPr="00EC39FB">
        <w:rPr>
          <w:rFonts w:ascii="Bookman Old Style" w:eastAsia="Arial" w:hAnsi="Bookman Old Style"/>
        </w:rPr>
        <w:t>La Comisión de Regulación de Energía y Gas tiene la función de regular los monopolios en la prestación del servicio público domiciliario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44B2D29E" w14:textId="77777777" w:rsidR="00C04748" w:rsidRPr="00EC39FB" w:rsidRDefault="00C04748" w:rsidP="00C04748">
      <w:pPr>
        <w:ind w:left="0"/>
        <w:jc w:val="both"/>
        <w:rPr>
          <w:rFonts w:ascii="Bookman Old Style" w:eastAsia="Arial" w:hAnsi="Bookman Old Style"/>
        </w:rPr>
      </w:pPr>
    </w:p>
    <w:p w14:paraId="1B46DA28" w14:textId="77777777" w:rsidR="00C04748" w:rsidRDefault="00C04748" w:rsidP="00C04748">
      <w:pPr>
        <w:ind w:left="0"/>
        <w:jc w:val="both"/>
        <w:rPr>
          <w:rFonts w:ascii="Bookman Old Style" w:eastAsia="Arial" w:hAnsi="Bookman Old Style"/>
        </w:rPr>
      </w:pPr>
      <w:r w:rsidRPr="00EC39FB">
        <w:rPr>
          <w:rFonts w:ascii="Bookman Old Style" w:eastAsia="Arial" w:hAnsi="Bookman Old Style"/>
        </w:rPr>
        <w:t>Según el criterio de suficiencia financiera definido por el artículo 87.4 de la Ley 142 de 1994, las fórmulas tarifarias que establezca la CREG deben permitir remunerar el patrimonio de los accionistas en la misma forma en la que lo habría remunerado una empresa eficiente en un sector de riesgo comparable.</w:t>
      </w:r>
    </w:p>
    <w:p w14:paraId="192717C3" w14:textId="77777777" w:rsidR="00C04748" w:rsidRPr="0035176C" w:rsidRDefault="00C04748" w:rsidP="00C04748">
      <w:pPr>
        <w:ind w:left="0"/>
        <w:jc w:val="both"/>
        <w:rPr>
          <w:rFonts w:ascii="Bookman Old Style" w:eastAsia="Arial" w:hAnsi="Bookman Old Style" w:cs="Arial"/>
        </w:rPr>
      </w:pPr>
      <w:r w:rsidRPr="0035176C">
        <w:rPr>
          <w:rFonts w:ascii="Bookman Old Style" w:eastAsia="Arial" w:hAnsi="Bookman Old Style"/>
        </w:rPr>
        <w:lastRenderedPageBreak/>
        <w:t xml:space="preserve">Mediante el artículo 3 del Decreto 4130 de 2011, el Gobierno Nacional le </w:t>
      </w:r>
      <w:r w:rsidRPr="0035176C">
        <w:rPr>
          <w:rFonts w:ascii="Bookman Old Style" w:eastAsia="Arial" w:hAnsi="Bookman Old Style" w:cs="Arial"/>
        </w:rPr>
        <w:t>reasignó funciones referentes al sector de combustibles líquidos a la Comisión de Reg</w:t>
      </w:r>
      <w:r>
        <w:rPr>
          <w:rFonts w:ascii="Bookman Old Style" w:eastAsia="Arial" w:hAnsi="Bookman Old Style" w:cs="Arial"/>
        </w:rPr>
        <w:t xml:space="preserve">ulación de Energía y Gas –CREG-, señalando lo </w:t>
      </w:r>
      <w:r w:rsidRPr="0035176C">
        <w:rPr>
          <w:rFonts w:ascii="Bookman Old Style" w:eastAsia="Arial" w:hAnsi="Bookman Old Style" w:cs="Arial"/>
        </w:rPr>
        <w:t>siguiente:</w:t>
      </w:r>
    </w:p>
    <w:p w14:paraId="0BC741ED" w14:textId="77777777" w:rsidR="00C04748" w:rsidRPr="0035176C" w:rsidRDefault="00C04748" w:rsidP="00C04748">
      <w:pPr>
        <w:ind w:left="0"/>
        <w:jc w:val="both"/>
        <w:rPr>
          <w:rFonts w:ascii="Bookman Old Style" w:eastAsia="Arial" w:hAnsi="Bookman Old Style" w:cs="Arial"/>
        </w:rPr>
      </w:pPr>
    </w:p>
    <w:p w14:paraId="7638C968" w14:textId="77777777" w:rsidR="00C04748" w:rsidRPr="0035176C" w:rsidRDefault="00C04748" w:rsidP="00C04748">
      <w:pPr>
        <w:jc w:val="both"/>
        <w:rPr>
          <w:rFonts w:ascii="Bookman Old Style" w:eastAsia="Arial" w:hAnsi="Bookman Old Style"/>
        </w:rPr>
      </w:pPr>
      <w:r w:rsidRPr="0035176C">
        <w:rPr>
          <w:rFonts w:ascii="Bookman Old Style" w:eastAsia="Arial" w:hAnsi="Bookman Old Style"/>
        </w:rPr>
        <w:t>“</w:t>
      </w:r>
      <w:r>
        <w:rPr>
          <w:rFonts w:ascii="Bookman Old Style" w:eastAsia="Arial" w:hAnsi="Bookman Old Style"/>
        </w:rPr>
        <w:t xml:space="preserve">Artículo 3°. </w:t>
      </w:r>
      <w:r w:rsidRPr="0035176C">
        <w:rPr>
          <w:rFonts w:ascii="Bookman Old Style" w:eastAsia="Arial" w:hAnsi="Bookman Old Style"/>
        </w:rPr>
        <w:t>Reasignación de funciones a la Comisión de Regulación de Energía y Gas. Reasígnense a la Comisión de Regulación de Energía y Gas las funciones de:</w:t>
      </w:r>
    </w:p>
    <w:p w14:paraId="7B939057" w14:textId="77777777" w:rsidR="00C04748" w:rsidRDefault="00C04748" w:rsidP="00C04748">
      <w:pPr>
        <w:rPr>
          <w:rFonts w:ascii="Bookman Old Style" w:eastAsia="Arial" w:hAnsi="Bookman Old Style"/>
        </w:rPr>
      </w:pPr>
    </w:p>
    <w:p w14:paraId="671559A8" w14:textId="77777777" w:rsidR="00C04748" w:rsidRDefault="00C04748" w:rsidP="00C04748">
      <w:pPr>
        <w:jc w:val="both"/>
        <w:rPr>
          <w:rFonts w:ascii="Bookman Old Style" w:eastAsia="Arial" w:hAnsi="Bookman Old Style"/>
        </w:rPr>
      </w:pPr>
      <w:r w:rsidRPr="005A3CF2">
        <w:rPr>
          <w:rFonts w:ascii="Bookman Old Style" w:eastAsia="Arial" w:hAnsi="Bookman Old Style"/>
        </w:rPr>
        <w:t>1. Parcialmente reasignar la función contemplada en el numeral 19 del artículo 5° del Decreto 70 de 2001 al Ministerio de Minas y Energía, que quedará así: Fijar los precios de los productos derivados del petróleo a lo largo de toda la cadena de producción y distribución, salvo para gasolina motor corriente, ACPM y biocombustibles.</w:t>
      </w:r>
    </w:p>
    <w:p w14:paraId="391D6C35" w14:textId="77777777" w:rsidR="00C04748" w:rsidRPr="005A3CF2" w:rsidRDefault="00C04748" w:rsidP="00C04748">
      <w:pPr>
        <w:rPr>
          <w:rFonts w:ascii="Bookman Old Style" w:eastAsia="Arial" w:hAnsi="Bookman Old Style"/>
        </w:rPr>
      </w:pPr>
    </w:p>
    <w:p w14:paraId="38CCEF7E" w14:textId="77777777"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2. Parcialmente reasignar la función asignada al Ministerio de Minas y Energía en el numeral 14 del artículo 12 del Decreto 70 de 2001, la cual quedará así: Determinar los parámetros y la metodología para calcular el precio de los combustibles, teniendo en cuenta el margen de comercialización, el porcentaje de evaporación, pérdida o cualquier otro concepto que afecte el volumen de los mismos.</w:t>
      </w:r>
    </w:p>
    <w:p w14:paraId="290C7E21" w14:textId="77777777" w:rsidR="00C04748" w:rsidRPr="005A3CF2" w:rsidRDefault="00C04748" w:rsidP="00C04748">
      <w:pPr>
        <w:jc w:val="both"/>
        <w:rPr>
          <w:rFonts w:ascii="Bookman Old Style" w:eastAsia="Arial" w:hAnsi="Bookman Old Style"/>
          <w:lang w:val="es-CO"/>
        </w:rPr>
      </w:pPr>
    </w:p>
    <w:p w14:paraId="5F4F8B28" w14:textId="77777777"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3. Efectuar los estudios que se requieran para la determinación y fijación de los precios del gas natural destinado para uso como combustible automotor y demás usos inherentes a la comercialización del mismo, asignada al Ministerio de Minas y Energía en el numeral 20 del artículo 10 del Decreto 70 de 2001.</w:t>
      </w:r>
    </w:p>
    <w:p w14:paraId="099A6F33" w14:textId="77777777" w:rsidR="00C04748" w:rsidRPr="005A3CF2" w:rsidRDefault="00C04748" w:rsidP="00C04748">
      <w:pPr>
        <w:jc w:val="both"/>
        <w:rPr>
          <w:rFonts w:ascii="Bookman Old Style" w:eastAsia="Arial" w:hAnsi="Bookman Old Style"/>
          <w:lang w:val="es-CO"/>
        </w:rPr>
      </w:pPr>
    </w:p>
    <w:p w14:paraId="04A8C010" w14:textId="77777777"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4. Reglamentar las tarifas en pesos por kilómetro/galón por concepto de transporte a través del sistema de poliductos, asignada al Ministerio de Minas y Energía en el artículo 12 de la Ley 681 de 2001.</w:t>
      </w:r>
    </w:p>
    <w:p w14:paraId="58DCD2B2" w14:textId="77777777" w:rsidR="00C04748" w:rsidRPr="005A3CF2" w:rsidRDefault="00C04748" w:rsidP="00C04748">
      <w:pPr>
        <w:jc w:val="both"/>
        <w:rPr>
          <w:rFonts w:ascii="Bookman Old Style" w:eastAsia="Arial" w:hAnsi="Bookman Old Style"/>
          <w:lang w:val="es-CO"/>
        </w:rPr>
      </w:pPr>
    </w:p>
    <w:p w14:paraId="2A8BC8F0" w14:textId="77777777" w:rsidR="00C04748" w:rsidRDefault="00C04748" w:rsidP="00C04748">
      <w:pPr>
        <w:jc w:val="both"/>
        <w:rPr>
          <w:rFonts w:ascii="Bookman Old Style" w:eastAsia="Arial" w:hAnsi="Bookman Old Style"/>
          <w:lang w:val="es-CO"/>
        </w:rPr>
      </w:pPr>
      <w:r w:rsidRPr="005A3CF2">
        <w:rPr>
          <w:rFonts w:ascii="Bookman Old Style" w:eastAsia="Arial" w:hAnsi="Bookman Old Style"/>
          <w:lang w:val="es-CO"/>
        </w:rPr>
        <w:t>5. Parcialmente las funciones asignadas en el artículo 3° del Decreto 4299 de 2005 al Ministerio de Minas y Energía, que quedará así: Regular las actividades de refinación, importación, almacenamiento, distribución y transporte de los combustibles líquidos derivados del petróleo</w:t>
      </w:r>
      <w:r>
        <w:rPr>
          <w:rFonts w:ascii="Bookman Old Style" w:eastAsia="Arial" w:hAnsi="Bookman Old Style"/>
          <w:lang w:val="es-CO"/>
        </w:rPr>
        <w:t>”</w:t>
      </w:r>
      <w:r>
        <w:rPr>
          <w:rStyle w:val="Refdenotaalpie"/>
          <w:rFonts w:ascii="Bookman Old Style" w:eastAsia="Arial" w:hAnsi="Bookman Old Style"/>
          <w:lang w:val="es-CO"/>
        </w:rPr>
        <w:footnoteReference w:id="1"/>
      </w:r>
      <w:r>
        <w:rPr>
          <w:rFonts w:ascii="Bookman Old Style" w:eastAsia="Arial" w:hAnsi="Bookman Old Style"/>
          <w:lang w:val="es-CO"/>
        </w:rPr>
        <w:t>.</w:t>
      </w:r>
    </w:p>
    <w:p w14:paraId="4FA86399" w14:textId="77777777" w:rsidR="00C04748" w:rsidRPr="005A3CF2" w:rsidRDefault="00C04748" w:rsidP="00C04748">
      <w:pPr>
        <w:jc w:val="both"/>
        <w:rPr>
          <w:rFonts w:ascii="Bookman Old Style" w:eastAsia="Arial" w:hAnsi="Bookman Old Style"/>
          <w:lang w:val="es-CO"/>
        </w:rPr>
      </w:pPr>
    </w:p>
    <w:p w14:paraId="0A01B835" w14:textId="77777777" w:rsidR="00C04748" w:rsidRPr="0035176C" w:rsidRDefault="00C04748" w:rsidP="00C04748">
      <w:pPr>
        <w:widowControl w:val="0"/>
        <w:ind w:left="0"/>
        <w:jc w:val="both"/>
        <w:rPr>
          <w:rFonts w:ascii="Bookman Old Style" w:eastAsia="Arial" w:hAnsi="Bookman Old Style" w:cs="Arial"/>
        </w:rPr>
      </w:pPr>
      <w:r w:rsidRPr="0035176C">
        <w:rPr>
          <w:rFonts w:ascii="Bookman Old Style" w:eastAsia="Arial" w:hAnsi="Bookman Old Style" w:cs="Arial"/>
        </w:rPr>
        <w:t>En el mismo orden, el Gobierno Nacional modificó la estructura de la CREG a través de la expedición del Decreto 1260 de 2013</w:t>
      </w:r>
      <w:r>
        <w:rPr>
          <w:rStyle w:val="Refdenotaalpie"/>
          <w:rFonts w:ascii="Bookman Old Style" w:eastAsia="Arial" w:hAnsi="Bookman Old Style" w:cs="Arial"/>
        </w:rPr>
        <w:footnoteReference w:id="2"/>
      </w:r>
      <w:r w:rsidRPr="0035176C">
        <w:rPr>
          <w:rFonts w:ascii="Bookman Old Style" w:eastAsia="Arial" w:hAnsi="Bookman Old Style" w:cs="Arial"/>
        </w:rPr>
        <w:t xml:space="preserve">, </w:t>
      </w:r>
      <w:r>
        <w:rPr>
          <w:rFonts w:ascii="Bookman Old Style" w:eastAsia="Arial" w:hAnsi="Bookman Old Style" w:cs="Arial"/>
        </w:rPr>
        <w:t xml:space="preserve">señalando en el </w:t>
      </w:r>
      <w:r w:rsidRPr="0035176C">
        <w:rPr>
          <w:rFonts w:ascii="Bookman Old Style" w:eastAsia="Arial" w:hAnsi="Bookman Old Style" w:cs="Arial"/>
        </w:rPr>
        <w:t>artículo 2:</w:t>
      </w:r>
    </w:p>
    <w:p w14:paraId="7F0471A3" w14:textId="77777777" w:rsidR="00C04748" w:rsidRPr="0035176C" w:rsidRDefault="00C04748" w:rsidP="00C04748">
      <w:pPr>
        <w:ind w:left="0"/>
        <w:jc w:val="both"/>
        <w:rPr>
          <w:rFonts w:ascii="Bookman Old Style" w:eastAsia="Arial" w:hAnsi="Bookman Old Style" w:cs="Arial"/>
        </w:rPr>
      </w:pPr>
    </w:p>
    <w:p w14:paraId="688876BE" w14:textId="77777777" w:rsidR="00C04748" w:rsidRPr="001C253A" w:rsidRDefault="00C04748" w:rsidP="00C04748">
      <w:pPr>
        <w:widowControl w:val="0"/>
        <w:jc w:val="both"/>
        <w:rPr>
          <w:rFonts w:ascii="Bookman Old Style" w:eastAsia="Arial" w:hAnsi="Bookman Old Style"/>
        </w:rPr>
      </w:pPr>
      <w:r w:rsidRPr="0035176C">
        <w:rPr>
          <w:rFonts w:ascii="Bookman Old Style" w:eastAsia="Arial" w:hAnsi="Bookman Old Style"/>
        </w:rPr>
        <w:t>“</w:t>
      </w:r>
      <w:r w:rsidRPr="001C253A">
        <w:rPr>
          <w:rFonts w:ascii="Bookman Old Style" w:eastAsia="Arial" w:hAnsi="Bookman Old Style"/>
        </w:rPr>
        <w:t xml:space="preserve">Artículo 2°. Objeto. La Comisión de Regulación de Energía y Gas (CREG) tiene por objeto regular los monopolios en la prestación de los servicios públicos domiciliarios de energía eléctrica y gas combustible, cuando la competencia no sea, de hecho, posible; y, en los demás casos, la de promover la competencia entre quienes presten servicios públicos, para que las operaciones de los monopolistas o de los competidores sean </w:t>
      </w:r>
      <w:r w:rsidRPr="001C253A">
        <w:rPr>
          <w:rFonts w:ascii="Bookman Old Style" w:eastAsia="Arial" w:hAnsi="Bookman Old Style"/>
        </w:rPr>
        <w:lastRenderedPageBreak/>
        <w:t>económicamente eficientes, no impliquen abusos de la posición dominante, y produzcan servicios de calidad.</w:t>
      </w:r>
    </w:p>
    <w:p w14:paraId="56405307" w14:textId="77777777"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lang w:val="es-CO"/>
        </w:rPr>
        <w:t> </w:t>
      </w:r>
    </w:p>
    <w:p w14:paraId="7CBE24FB" w14:textId="77777777"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lang w:val="es-CO"/>
        </w:rPr>
        <w:t>Igualmente tiene por objeto expedir la regulación económica para las actividades de la cadena de combustibles líquidos derivados de hidrocarburos, en los términos y condiciones señalados en la ley</w:t>
      </w:r>
      <w:r>
        <w:rPr>
          <w:rFonts w:ascii="Bookman Old Style" w:eastAsia="Arial" w:hAnsi="Bookman Old Style"/>
          <w:lang w:val="es-CO"/>
        </w:rPr>
        <w:t>”</w:t>
      </w:r>
      <w:r w:rsidRPr="001C253A">
        <w:rPr>
          <w:rFonts w:ascii="Bookman Old Style" w:eastAsia="Arial" w:hAnsi="Bookman Old Style"/>
          <w:lang w:val="es-CO"/>
        </w:rPr>
        <w:t>.</w:t>
      </w:r>
    </w:p>
    <w:p w14:paraId="259DB18A" w14:textId="77777777" w:rsidR="00C04748" w:rsidRPr="001C253A" w:rsidRDefault="00C04748" w:rsidP="00C04748">
      <w:pPr>
        <w:widowControl w:val="0"/>
        <w:jc w:val="both"/>
        <w:rPr>
          <w:rFonts w:ascii="Bookman Old Style" w:eastAsia="Arial" w:hAnsi="Bookman Old Style"/>
          <w:lang w:val="es-CO"/>
        </w:rPr>
      </w:pPr>
      <w:r w:rsidRPr="001C253A">
        <w:rPr>
          <w:rFonts w:ascii="Bookman Old Style" w:eastAsia="Arial" w:hAnsi="Bookman Old Style"/>
          <w:b/>
          <w:bCs/>
          <w:lang w:val="es-CO"/>
        </w:rPr>
        <w:t> </w:t>
      </w:r>
    </w:p>
    <w:p w14:paraId="2DB0B474" w14:textId="77777777" w:rsidR="00C04748" w:rsidRPr="0035176C" w:rsidRDefault="00C04748" w:rsidP="00C04748">
      <w:pPr>
        <w:widowControl w:val="0"/>
        <w:ind w:left="0"/>
        <w:jc w:val="both"/>
        <w:rPr>
          <w:rFonts w:ascii="Bookman Old Style" w:eastAsia="Arial" w:hAnsi="Bookman Old Style" w:cs="Arial"/>
        </w:rPr>
      </w:pPr>
      <w:r w:rsidRPr="0035176C">
        <w:rPr>
          <w:rFonts w:ascii="Bookman Old Style" w:eastAsia="Arial" w:hAnsi="Bookman Old Style" w:cs="Arial"/>
        </w:rPr>
        <w:t>El literal b) del artículo 4 del Decreto 1260 de 2013 establece específicamente las funciones de la Comisión en relación con el sector combustibles l</w:t>
      </w:r>
      <w:r>
        <w:rPr>
          <w:rFonts w:ascii="Bookman Old Style" w:eastAsia="Arial" w:hAnsi="Bookman Old Style" w:cs="Arial"/>
        </w:rPr>
        <w:t>íquidos así:</w:t>
      </w:r>
    </w:p>
    <w:p w14:paraId="6F079E41" w14:textId="77777777" w:rsidR="00C04748" w:rsidRPr="0035176C" w:rsidRDefault="00C04748" w:rsidP="00C04748">
      <w:pPr>
        <w:ind w:left="0"/>
        <w:jc w:val="both"/>
        <w:rPr>
          <w:rFonts w:ascii="Bookman Old Style" w:eastAsia="Arial" w:hAnsi="Bookman Old Style" w:cs="Arial"/>
        </w:rPr>
      </w:pPr>
    </w:p>
    <w:p w14:paraId="124F14D5" w14:textId="77777777" w:rsidR="00C04748" w:rsidRPr="00CD00A9" w:rsidRDefault="00C04748" w:rsidP="00C04748">
      <w:pPr>
        <w:widowControl w:val="0"/>
        <w:jc w:val="both"/>
        <w:rPr>
          <w:rFonts w:ascii="Bookman Old Style" w:hAnsi="Bookman Old Style" w:cs="Arial"/>
        </w:rPr>
      </w:pPr>
      <w:r w:rsidRPr="0035176C">
        <w:rPr>
          <w:rFonts w:ascii="Bookman Old Style" w:hAnsi="Bookman Old Style" w:cs="Arial"/>
        </w:rPr>
        <w:t>“</w:t>
      </w:r>
      <w:r w:rsidRPr="00CD00A9">
        <w:rPr>
          <w:rFonts w:ascii="Bookman Old Style" w:hAnsi="Bookman Old Style" w:cs="Arial"/>
        </w:rPr>
        <w:t>b) Funciones en relación con el sector combustibles líquidos derivados del petróleo:</w:t>
      </w:r>
    </w:p>
    <w:p w14:paraId="7EDEF489"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4A581EB6"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1. Expedir la regulación económica referente a las actividades de refinación, importación, almacenamiento, distribución, y transporte de combustibles líquidos derivados de hidrocarburos, tales como gasolina motor corriente, ACPM, Jet A1, diésel marino, </w:t>
      </w:r>
      <w:proofErr w:type="spellStart"/>
      <w:r w:rsidRPr="00CD00A9">
        <w:rPr>
          <w:rFonts w:ascii="Bookman Old Style" w:hAnsi="Bookman Old Style" w:cs="Arial"/>
        </w:rPr>
        <w:t>avigas</w:t>
      </w:r>
      <w:proofErr w:type="spellEnd"/>
      <w:r w:rsidRPr="00CD00A9">
        <w:rPr>
          <w:rFonts w:ascii="Bookman Old Style" w:hAnsi="Bookman Old Style" w:cs="Arial"/>
        </w:rPr>
        <w:t xml:space="preserve">, gasolina extra, kerosene, entre otros, salvo fijar los precios para gasolina motor corriente y ACPM. </w:t>
      </w:r>
    </w:p>
    <w:p w14:paraId="319EF82C"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3AA37179"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2. Definir los criterios y condiciones a los que deben sujetarse los diferentes agentes de la cadena de combustibles en sus relaciones contractuales y sus niveles de integración empresarial.</w:t>
      </w:r>
    </w:p>
    <w:p w14:paraId="2B44FF5B"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11051C14"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3. Determinar la metodología para remunerar los activos que garanticen el abastecimiento estratégico de combustibles.</w:t>
      </w:r>
    </w:p>
    <w:p w14:paraId="0C12F2D3"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4DFA4E09"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4. Determinar los parámetros y la metodología de referencia, utilizada por el Ministerio de Minas y Energía, para fijar el precio de ingreso al productor y de venta al público de la gasolina motor corriente, el ACPM y los biocombustibles.</w:t>
      </w:r>
    </w:p>
    <w:p w14:paraId="169090C1"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430DFBA7"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5. Definir la metodología y establecer las fórmulas para la fijación de los precios y las tarifas de las actividades de refinación, importación, almacenamiento, distribución y transporte de los combustibles líquidos derivados de hidrocarburos, diferentes al precio de ingreso al productor y de venta al público de la gasolina motor corriente, el ACPM y los biocombustibles. </w:t>
      </w:r>
    </w:p>
    <w:p w14:paraId="0A7C10B6"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5499BDD4"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6. Fijar los precios de los productos derivados del petróleo a lo largo de toda la cadena de producción y distribución, salvo para la gasolina motor corriente, el ACPM y los biocombustibles.</w:t>
      </w:r>
    </w:p>
    <w:p w14:paraId="29145232"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0BA21C63"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7. Definir la metodología y establecer las fórmulas para la fijación de los precios y las tarifas de gas para uso vehicular.</w:t>
      </w:r>
    </w:p>
    <w:p w14:paraId="6527BBBC"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t xml:space="preserve"> </w:t>
      </w:r>
    </w:p>
    <w:p w14:paraId="4059F6DC" w14:textId="77777777" w:rsidR="00C04748" w:rsidRDefault="00C04748" w:rsidP="00C04748">
      <w:pPr>
        <w:widowControl w:val="0"/>
        <w:jc w:val="both"/>
        <w:rPr>
          <w:rFonts w:ascii="Bookman Old Style" w:hAnsi="Bookman Old Style" w:cs="Arial"/>
        </w:rPr>
      </w:pPr>
      <w:r w:rsidRPr="00CD00A9">
        <w:rPr>
          <w:rFonts w:ascii="Bookman Old Style" w:hAnsi="Bookman Old Style" w:cs="Arial"/>
        </w:rPr>
        <w:t xml:space="preserve">8. Definir la metodología y establecer las fórmulas para la fijación de los precios y las tarifas del transporte de combustibles, terrestre y por poliductos. </w:t>
      </w:r>
    </w:p>
    <w:p w14:paraId="42E15FD7" w14:textId="77777777" w:rsidR="00C04748" w:rsidRPr="00CD00A9" w:rsidRDefault="00C04748" w:rsidP="00C04748">
      <w:pPr>
        <w:widowControl w:val="0"/>
        <w:jc w:val="both"/>
        <w:rPr>
          <w:rFonts w:ascii="Bookman Old Style" w:hAnsi="Bookman Old Style" w:cs="Arial"/>
        </w:rPr>
      </w:pPr>
      <w:r w:rsidRPr="00CD00A9">
        <w:rPr>
          <w:rFonts w:ascii="Bookman Old Style" w:hAnsi="Bookman Old Style" w:cs="Arial"/>
        </w:rPr>
        <w:lastRenderedPageBreak/>
        <w:t>9. Establecer las normas sobre medida de los combustibles en las diferentes actividades de la cadena</w:t>
      </w:r>
      <w:r>
        <w:rPr>
          <w:rFonts w:ascii="Bookman Old Style" w:hAnsi="Bookman Old Style" w:cs="Arial"/>
        </w:rPr>
        <w:t>”.</w:t>
      </w:r>
    </w:p>
    <w:p w14:paraId="5B2691F2" w14:textId="77777777" w:rsidR="00C04748" w:rsidRPr="0035176C" w:rsidRDefault="00C04748" w:rsidP="00C04748">
      <w:pPr>
        <w:widowControl w:val="0"/>
        <w:jc w:val="both"/>
        <w:rPr>
          <w:rFonts w:ascii="Bookman Old Style" w:hAnsi="Bookman Old Style" w:cs="Arial"/>
          <w:highlight w:val="yellow"/>
        </w:rPr>
      </w:pPr>
      <w:r w:rsidRPr="00CD00A9">
        <w:rPr>
          <w:rFonts w:ascii="Bookman Old Style" w:hAnsi="Bookman Old Style" w:cs="Arial"/>
        </w:rPr>
        <w:t xml:space="preserve"> </w:t>
      </w:r>
    </w:p>
    <w:p w14:paraId="71B9DEC2" w14:textId="77777777" w:rsidR="00C04748" w:rsidRPr="0035176C" w:rsidRDefault="00C04748" w:rsidP="00C04748">
      <w:pPr>
        <w:widowControl w:val="0"/>
        <w:ind w:left="0"/>
        <w:jc w:val="both"/>
        <w:rPr>
          <w:rFonts w:ascii="Bookman Old Style" w:hAnsi="Bookman Old Style"/>
        </w:rPr>
      </w:pPr>
      <w:r w:rsidRPr="0035176C">
        <w:rPr>
          <w:rFonts w:ascii="Bookman Old Style" w:eastAsia="Arial" w:hAnsi="Bookman Old Style" w:cs="Arial"/>
        </w:rPr>
        <w:t xml:space="preserve">Posteriormente, a través del Decreto 1073 de 2015, el Gobierno Nacional expidió el Decreto Único Reglamentario del Sector Administrativo Minas y Energía, recogiendo en su artículo </w:t>
      </w:r>
      <w:r w:rsidRPr="0035176C">
        <w:rPr>
          <w:rFonts w:ascii="Bookman Old Style" w:hAnsi="Bookman Old Style"/>
        </w:rPr>
        <w:t>2.2.1.1.2.2.1.3 lo dispuesto por el artículo 3 del Decreto 4299 de 2005, modificado por el numeral 5 del artículo 3 del</w:t>
      </w:r>
      <w:r>
        <w:rPr>
          <w:rFonts w:ascii="Bookman Old Style" w:hAnsi="Bookman Old Style"/>
        </w:rPr>
        <w:t xml:space="preserve"> </w:t>
      </w:r>
      <w:r w:rsidRPr="0035176C">
        <w:rPr>
          <w:rFonts w:ascii="Bookman Old Style" w:hAnsi="Bookman Old Style"/>
        </w:rPr>
        <w:t xml:space="preserve">Decreto Ley 4130 de 2011. </w:t>
      </w:r>
    </w:p>
    <w:p w14:paraId="02A39D42" w14:textId="77777777" w:rsidR="00C04748" w:rsidRPr="00F340A2" w:rsidRDefault="00C04748" w:rsidP="00C04748">
      <w:pPr>
        <w:ind w:left="0" w:right="51"/>
        <w:jc w:val="both"/>
        <w:rPr>
          <w:rFonts w:ascii="Bookman Old Style" w:hAnsi="Bookman Old Style" w:cs="Arial"/>
          <w:bCs/>
        </w:rPr>
      </w:pPr>
    </w:p>
    <w:p w14:paraId="59D4AC4A" w14:textId="77777777" w:rsidR="00C04748" w:rsidRPr="00F340A2" w:rsidRDefault="00C04748" w:rsidP="00C04748">
      <w:pPr>
        <w:ind w:left="0"/>
        <w:jc w:val="both"/>
        <w:rPr>
          <w:rFonts w:ascii="Bookman Old Style" w:hAnsi="Bookman Old Style"/>
        </w:rPr>
      </w:pPr>
      <w:r w:rsidRPr="00F340A2">
        <w:rPr>
          <w:rFonts w:ascii="Bookman Old Style" w:hAnsi="Bookman Old Style" w:cs="Arial"/>
        </w:rPr>
        <w:t>Mediante la Resolución CREG 038 de 2008 se hizo público un proyecto de resol</w:t>
      </w:r>
      <w:r>
        <w:rPr>
          <w:rFonts w:ascii="Bookman Old Style" w:hAnsi="Bookman Old Style" w:cs="Arial"/>
        </w:rPr>
        <w:t>ución mediante la cual se definió</w:t>
      </w:r>
      <w:r w:rsidRPr="00F340A2">
        <w:rPr>
          <w:rFonts w:ascii="Bookman Old Style" w:hAnsi="Bookman Old Style" w:cs="Arial"/>
        </w:rPr>
        <w:t xml:space="preserve"> la </w:t>
      </w:r>
      <w:r w:rsidRPr="00F340A2">
        <w:rPr>
          <w:rFonts w:ascii="Bookman Old Style" w:hAnsi="Bookman Old Style"/>
        </w:rPr>
        <w:t xml:space="preserve">metodología para determinar la tasa de retorno, del período de vida útil regulatoria de los activos de transporte de GLP y el factor de productividad para remunerar la actividad de transporte de los gases licuados del petróleo (GLP) por ductos. </w:t>
      </w:r>
    </w:p>
    <w:p w14:paraId="4EE27F61" w14:textId="77777777" w:rsidR="00C04748" w:rsidRPr="00F340A2" w:rsidRDefault="00C04748" w:rsidP="00C04748">
      <w:pPr>
        <w:ind w:left="0" w:right="51"/>
        <w:jc w:val="both"/>
        <w:rPr>
          <w:rFonts w:ascii="Bookman Old Style" w:hAnsi="Bookman Old Style" w:cs="Arial"/>
          <w:bCs/>
        </w:rPr>
      </w:pPr>
    </w:p>
    <w:p w14:paraId="623D9DAE" w14:textId="77777777" w:rsidR="00C04748" w:rsidRPr="00F340A2" w:rsidRDefault="00C04748" w:rsidP="00C04748">
      <w:pPr>
        <w:ind w:left="0" w:right="51"/>
        <w:jc w:val="both"/>
        <w:rPr>
          <w:rFonts w:ascii="Bookman Old Style" w:hAnsi="Bookman Old Style" w:cs="Arial"/>
        </w:rPr>
      </w:pPr>
      <w:r w:rsidRPr="00F340A2">
        <w:rPr>
          <w:rFonts w:ascii="Bookman Old Style" w:hAnsi="Bookman Old Style" w:cs="Arial"/>
          <w:bCs/>
        </w:rPr>
        <w:t xml:space="preserve">Mediante la Resolución CREG 122 de 2008, la comisión estableció </w:t>
      </w:r>
      <w:r w:rsidRPr="00F340A2">
        <w:rPr>
          <w:rFonts w:ascii="Bookman Old Style" w:hAnsi="Bookman Old Style"/>
        </w:rPr>
        <w:t>los criterios generales para determinar la remuneración de la actividad de transporte de gas licuado del petróleo (GLP) por ductos.</w:t>
      </w:r>
    </w:p>
    <w:p w14:paraId="70D6F632" w14:textId="77777777" w:rsidR="00C04748" w:rsidRPr="00F340A2" w:rsidRDefault="00C04748" w:rsidP="00C04748">
      <w:pPr>
        <w:ind w:left="0"/>
        <w:jc w:val="both"/>
        <w:rPr>
          <w:rFonts w:ascii="Bookman Old Style" w:hAnsi="Bookman Old Style" w:cs="Arial"/>
        </w:rPr>
      </w:pPr>
    </w:p>
    <w:p w14:paraId="01AFE224" w14:textId="77777777" w:rsidR="00C04748" w:rsidRPr="00F340A2" w:rsidRDefault="00C04748" w:rsidP="00C04748">
      <w:pPr>
        <w:ind w:left="0"/>
        <w:jc w:val="both"/>
        <w:rPr>
          <w:rFonts w:ascii="Bookman Old Style" w:hAnsi="Bookman Old Style" w:cs="Arial"/>
        </w:rPr>
      </w:pPr>
      <w:r w:rsidRPr="00F340A2">
        <w:rPr>
          <w:rFonts w:ascii="Bookman Old Style" w:hAnsi="Bookman Old Style" w:cs="Arial"/>
        </w:rPr>
        <w:t>Mediante la Resolución CREG 083 de 2014 se sometió a consulta un proyecto de resolución “Por la cual se define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14:paraId="538329DC" w14:textId="77777777" w:rsidR="00C04748" w:rsidRDefault="00C04748" w:rsidP="00C04748">
      <w:pPr>
        <w:ind w:left="0"/>
        <w:jc w:val="both"/>
        <w:rPr>
          <w:rFonts w:ascii="Bookman Old Style" w:hAnsi="Bookman Old Style" w:cs="Arial"/>
        </w:rPr>
      </w:pPr>
    </w:p>
    <w:p w14:paraId="69E9D242" w14:textId="77777777" w:rsidR="00C04748" w:rsidRPr="00F340A2" w:rsidRDefault="00C04748" w:rsidP="00C04748">
      <w:pPr>
        <w:ind w:left="0"/>
        <w:jc w:val="both"/>
        <w:rPr>
          <w:rFonts w:ascii="Bookman Old Style" w:hAnsi="Bookman Old Style" w:cs="Arial"/>
        </w:rPr>
      </w:pPr>
      <w:r>
        <w:rPr>
          <w:rFonts w:ascii="Bookman Old Style" w:hAnsi="Bookman Old Style" w:cs="Arial"/>
        </w:rPr>
        <w:t>Mediante la Resolución CREG 095 de 2015</w:t>
      </w:r>
      <w:r w:rsidRPr="00F340A2">
        <w:rPr>
          <w:rFonts w:ascii="Bookman Old Style" w:hAnsi="Bookman Old Style" w:cs="Arial"/>
        </w:rPr>
        <w:t xml:space="preserve"> se </w:t>
      </w:r>
      <w:r>
        <w:rPr>
          <w:rFonts w:ascii="Bookman Old Style" w:hAnsi="Bookman Old Style" w:cs="Arial"/>
        </w:rPr>
        <w:t>definió</w:t>
      </w:r>
      <w:r w:rsidRPr="00F340A2">
        <w:rPr>
          <w:rFonts w:ascii="Bookman Old Style" w:hAnsi="Bookman Old Style" w:cs="Arial"/>
        </w:rPr>
        <w:t xml:space="preserve">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w:t>
      </w:r>
      <w:r>
        <w:rPr>
          <w:rFonts w:ascii="Bookman Old Style" w:hAnsi="Bookman Old Style" w:cs="Arial"/>
        </w:rPr>
        <w:t>ica en zonas no interconectadas</w:t>
      </w:r>
      <w:r w:rsidR="00483803">
        <w:rPr>
          <w:rFonts w:ascii="Bookman Old Style" w:hAnsi="Bookman Old Style" w:cs="Arial"/>
        </w:rPr>
        <w:t xml:space="preserve"> –ZNI-</w:t>
      </w:r>
      <w:r w:rsidRPr="00F340A2">
        <w:rPr>
          <w:rFonts w:ascii="Bookman Old Style" w:hAnsi="Bookman Old Style" w:cs="Arial"/>
        </w:rPr>
        <w:t>.</w:t>
      </w:r>
    </w:p>
    <w:p w14:paraId="4A34300D" w14:textId="77777777" w:rsidR="00C04748" w:rsidRDefault="00C04748" w:rsidP="00C04748">
      <w:pPr>
        <w:ind w:left="0"/>
        <w:jc w:val="both"/>
        <w:rPr>
          <w:rFonts w:ascii="Bookman Old Style" w:hAnsi="Bookman Old Style" w:cs="Arial"/>
        </w:rPr>
      </w:pPr>
    </w:p>
    <w:p w14:paraId="4F244926" w14:textId="10A5AB69" w:rsidR="0012112B" w:rsidRPr="0012112B" w:rsidRDefault="0012112B" w:rsidP="0012112B">
      <w:pPr>
        <w:ind w:left="0"/>
        <w:jc w:val="both"/>
        <w:rPr>
          <w:rFonts w:ascii="Bookman Old Style" w:hAnsi="Bookman Old Style" w:cs="Arial"/>
        </w:rPr>
      </w:pPr>
      <w:r>
        <w:rPr>
          <w:rFonts w:ascii="Bookman Old Style" w:hAnsi="Bookman Old Style" w:cs="Arial"/>
        </w:rPr>
        <w:t>Posteriormente, e</w:t>
      </w:r>
      <w:r w:rsidRPr="0012112B">
        <w:rPr>
          <w:rFonts w:ascii="Bookman Old Style" w:hAnsi="Bookman Old Style" w:cs="Arial"/>
        </w:rPr>
        <w:t xml:space="preserve">n el desarrollo de las funciones asignadas a la Comisión </w:t>
      </w:r>
      <w:r w:rsidR="0002107C">
        <w:rPr>
          <w:rFonts w:ascii="Bookman Old Style" w:hAnsi="Bookman Old Style" w:cs="Arial"/>
        </w:rPr>
        <w:t>mediante el Decreto 4130 de 2011</w:t>
      </w:r>
      <w:r w:rsidRPr="0012112B">
        <w:rPr>
          <w:rFonts w:ascii="Bookman Old Style" w:hAnsi="Bookman Old Style" w:cs="Arial"/>
        </w:rPr>
        <w:t>, se identificó la necesidad de establecer una metodología para el cálculo de la tasa de descuento en las actividades de la cadena de distribución de combustibles líquidos.</w:t>
      </w:r>
    </w:p>
    <w:p w14:paraId="3E171C42" w14:textId="77777777" w:rsidR="0012112B" w:rsidRPr="0012112B" w:rsidRDefault="0012112B" w:rsidP="0012112B">
      <w:pPr>
        <w:ind w:left="0"/>
        <w:jc w:val="both"/>
        <w:rPr>
          <w:rFonts w:ascii="Bookman Old Style" w:hAnsi="Bookman Old Style" w:cs="Arial"/>
        </w:rPr>
      </w:pPr>
    </w:p>
    <w:p w14:paraId="05F78C7B" w14:textId="6D0DE9B1" w:rsidR="00FC4F9D" w:rsidRDefault="001C22E9" w:rsidP="00C6136F">
      <w:pPr>
        <w:ind w:left="0"/>
        <w:jc w:val="both"/>
        <w:rPr>
          <w:rFonts w:ascii="Bookman Old Style" w:hAnsi="Bookman Old Style" w:cs="Arial"/>
        </w:rPr>
      </w:pPr>
      <w:r>
        <w:rPr>
          <w:rFonts w:ascii="Bookman Old Style" w:hAnsi="Bookman Old Style" w:cs="Arial"/>
        </w:rPr>
        <w:t>L</w:t>
      </w:r>
      <w:r w:rsidR="006B36B6">
        <w:rPr>
          <w:rFonts w:ascii="Bookman Old Style" w:hAnsi="Bookman Old Style" w:cs="Arial"/>
        </w:rPr>
        <w:t xml:space="preserve">a Comisión </w:t>
      </w:r>
      <w:r w:rsidR="0012112B" w:rsidRPr="0012112B">
        <w:rPr>
          <w:rFonts w:ascii="Bookman Old Style" w:hAnsi="Bookman Old Style" w:cs="Arial"/>
        </w:rPr>
        <w:t>encuentra conveniente contar con una única metodología de cálculo de tasa de descuento para el transporte de</w:t>
      </w:r>
      <w:r>
        <w:rPr>
          <w:rFonts w:ascii="Bookman Old Style" w:hAnsi="Bookman Old Style" w:cs="Arial"/>
        </w:rPr>
        <w:t>l gas licuado del petróleo</w:t>
      </w:r>
      <w:r w:rsidR="0012112B" w:rsidRPr="0012112B">
        <w:rPr>
          <w:rFonts w:ascii="Bookman Old Style" w:hAnsi="Bookman Old Style" w:cs="Arial"/>
        </w:rPr>
        <w:t xml:space="preserve"> </w:t>
      </w:r>
      <w:r>
        <w:rPr>
          <w:rFonts w:ascii="Bookman Old Style" w:hAnsi="Bookman Old Style" w:cs="Arial"/>
        </w:rPr>
        <w:t>–</w:t>
      </w:r>
      <w:r w:rsidR="0012112B" w:rsidRPr="0012112B">
        <w:rPr>
          <w:rFonts w:ascii="Bookman Old Style" w:hAnsi="Bookman Old Style" w:cs="Arial"/>
        </w:rPr>
        <w:t>GLP</w:t>
      </w:r>
      <w:r>
        <w:rPr>
          <w:rFonts w:ascii="Bookman Old Style" w:hAnsi="Bookman Old Style" w:cs="Arial"/>
        </w:rPr>
        <w:t>-</w:t>
      </w:r>
      <w:r w:rsidR="0012112B" w:rsidRPr="0012112B">
        <w:rPr>
          <w:rFonts w:ascii="Bookman Old Style" w:hAnsi="Bookman Old Style" w:cs="Arial"/>
        </w:rPr>
        <w:t xml:space="preserve"> </w:t>
      </w:r>
      <w:r>
        <w:rPr>
          <w:rFonts w:ascii="Bookman Old Style" w:hAnsi="Bookman Old Style" w:cs="Arial"/>
        </w:rPr>
        <w:t>y lo</w:t>
      </w:r>
      <w:r w:rsidR="00485DEF">
        <w:rPr>
          <w:rFonts w:ascii="Bookman Old Style" w:hAnsi="Bookman Old Style" w:cs="Arial"/>
        </w:rPr>
        <w:t>s</w:t>
      </w:r>
      <w:r>
        <w:rPr>
          <w:rFonts w:ascii="Bookman Old Style" w:hAnsi="Bookman Old Style" w:cs="Arial"/>
        </w:rPr>
        <w:t xml:space="preserve"> combustibles </w:t>
      </w:r>
      <w:r w:rsidR="0012112B" w:rsidRPr="0012112B">
        <w:rPr>
          <w:rFonts w:ascii="Bookman Old Style" w:hAnsi="Bookman Old Style" w:cs="Arial"/>
        </w:rPr>
        <w:t xml:space="preserve">líquidos por </w:t>
      </w:r>
      <w:r>
        <w:rPr>
          <w:rFonts w:ascii="Bookman Old Style" w:hAnsi="Bookman Old Style" w:cs="Arial"/>
        </w:rPr>
        <w:t>ductos</w:t>
      </w:r>
      <w:r w:rsidR="0012112B" w:rsidRPr="0012112B">
        <w:rPr>
          <w:rFonts w:ascii="Bookman Old Style" w:hAnsi="Bookman Old Style" w:cs="Arial"/>
        </w:rPr>
        <w:t>, y en general, para todas aquellas actividades de la cadena distribución de combustibles líquidos cuya metodología de remuneración utilice una tasa de descuento.</w:t>
      </w:r>
    </w:p>
    <w:p w14:paraId="6E281DBD" w14:textId="63B70006" w:rsidR="0002107C" w:rsidRDefault="0002107C" w:rsidP="00C6136F">
      <w:pPr>
        <w:ind w:left="0"/>
        <w:jc w:val="both"/>
        <w:rPr>
          <w:rFonts w:ascii="Bookman Old Style" w:hAnsi="Bookman Old Style" w:cs="Arial"/>
        </w:rPr>
      </w:pPr>
    </w:p>
    <w:p w14:paraId="325B25CC" w14:textId="0ADFC097" w:rsidR="0002107C" w:rsidRDefault="0002107C" w:rsidP="0002107C">
      <w:pPr>
        <w:ind w:left="0" w:right="-23"/>
        <w:jc w:val="both"/>
        <w:rPr>
          <w:rFonts w:ascii="Bookman Old Style" w:hAnsi="Bookman Old Style"/>
        </w:rPr>
      </w:pPr>
      <w:r>
        <w:rPr>
          <w:rFonts w:ascii="Bookman Old Style" w:eastAsia="Malgun Gothic" w:hAnsi="Bookman Old Style" w:cs="Arial"/>
        </w:rPr>
        <w:t>Mediante la Resolución CREG 158 de 2017</w:t>
      </w:r>
      <w:r w:rsidRPr="004E696C">
        <w:rPr>
          <w:rFonts w:ascii="Bookman Old Style" w:eastAsia="Malgun Gothic" w:hAnsi="Bookman Old Style" w:cs="Arial"/>
        </w:rPr>
        <w:t xml:space="preserve"> la CREG ordenó publicar un proyecto de resolución por la cual se </w:t>
      </w:r>
      <w:r w:rsidRPr="00EC39FB">
        <w:rPr>
          <w:rFonts w:ascii="Bookman Old Style" w:hAnsi="Bookman Old Style" w:cs="Arial"/>
        </w:rPr>
        <w:t xml:space="preserve">define la metodología para el cálculo de la tasa de descuento que se </w:t>
      </w:r>
      <w:r w:rsidRPr="00EC39FB">
        <w:rPr>
          <w:rFonts w:ascii="Bookman Old Style" w:hAnsi="Bookman Old Style"/>
        </w:rPr>
        <w:t xml:space="preserve">aplicará a </w:t>
      </w:r>
      <w:r w:rsidRPr="00EC39FB">
        <w:rPr>
          <w:rFonts w:ascii="Bookman Old Style" w:hAnsi="Bookman Old Style" w:cs="Arial"/>
        </w:rPr>
        <w:t>las actividades de la cadena de distribución de combustibles líquidos</w:t>
      </w:r>
      <w:r>
        <w:rPr>
          <w:rFonts w:ascii="Bookman Old Style" w:hAnsi="Bookman Old Style" w:cs="Arial"/>
        </w:rPr>
        <w:t xml:space="preserve"> y </w:t>
      </w:r>
      <w:r>
        <w:rPr>
          <w:rFonts w:ascii="Bookman Old Style" w:hAnsi="Bookman Old Style"/>
        </w:rPr>
        <w:t>al transporte de GLP</w:t>
      </w:r>
      <w:r w:rsidR="00485DEF">
        <w:rPr>
          <w:rFonts w:ascii="Bookman Old Style" w:hAnsi="Bookman Old Style"/>
        </w:rPr>
        <w:t>.</w:t>
      </w:r>
      <w:r>
        <w:rPr>
          <w:rFonts w:ascii="Bookman Old Style" w:hAnsi="Bookman Old Style"/>
        </w:rPr>
        <w:t xml:space="preserve"> </w:t>
      </w:r>
    </w:p>
    <w:p w14:paraId="44EC1754" w14:textId="77777777" w:rsidR="009E0351" w:rsidRPr="004E696C" w:rsidRDefault="009E0351" w:rsidP="0002107C">
      <w:pPr>
        <w:ind w:left="0" w:right="-23"/>
        <w:jc w:val="both"/>
        <w:rPr>
          <w:rFonts w:ascii="Bookman Old Style" w:eastAsia="Malgun Gothic" w:hAnsi="Bookman Old Style" w:cs="Arial"/>
        </w:rPr>
      </w:pPr>
    </w:p>
    <w:p w14:paraId="1DAD2C38" w14:textId="427213AF" w:rsidR="0002107C" w:rsidRDefault="0002107C" w:rsidP="0002107C">
      <w:pPr>
        <w:adjustRightInd w:val="0"/>
        <w:ind w:left="0"/>
        <w:jc w:val="both"/>
        <w:textAlignment w:val="baseline"/>
        <w:rPr>
          <w:rFonts w:ascii="Bookman Old Style" w:hAnsi="Bookman Old Style"/>
        </w:rPr>
      </w:pPr>
    </w:p>
    <w:p w14:paraId="45AB41F7" w14:textId="58C8FDEB" w:rsidR="00391CFA" w:rsidRDefault="00391CFA" w:rsidP="00391CFA">
      <w:pPr>
        <w:pStyle w:val="Textosinformato"/>
        <w:spacing w:line="240" w:lineRule="auto"/>
        <w:rPr>
          <w:rFonts w:ascii="Bookman Old Style" w:hAnsi="Bookman Old Style" w:cs="Tahoma"/>
          <w:color w:val="000000" w:themeColor="text1"/>
          <w:sz w:val="24"/>
          <w:szCs w:val="24"/>
        </w:rPr>
      </w:pPr>
      <w:r w:rsidRPr="00F340A2">
        <w:rPr>
          <w:rFonts w:ascii="Bookman Old Style" w:hAnsi="Bookman Old Style" w:cs="Tahoma"/>
          <w:color w:val="000000" w:themeColor="text1"/>
          <w:sz w:val="24"/>
          <w:szCs w:val="24"/>
        </w:rPr>
        <w:lastRenderedPageBreak/>
        <w:t>Durante el período de con</w:t>
      </w:r>
      <w:r w:rsidR="00764B60">
        <w:rPr>
          <w:rFonts w:ascii="Bookman Old Style" w:hAnsi="Bookman Old Style" w:cs="Tahoma"/>
          <w:color w:val="000000" w:themeColor="text1"/>
          <w:sz w:val="24"/>
          <w:szCs w:val="24"/>
        </w:rPr>
        <w:t>sulta se recibieron comentarios</w:t>
      </w:r>
      <w:r w:rsidRPr="00F340A2">
        <w:rPr>
          <w:rFonts w:ascii="Bookman Old Style" w:hAnsi="Bookman Old Style" w:cs="Tahoma"/>
          <w:color w:val="000000" w:themeColor="text1"/>
          <w:sz w:val="24"/>
          <w:szCs w:val="24"/>
        </w:rPr>
        <w:t xml:space="preserve"> </w:t>
      </w:r>
      <w:r>
        <w:rPr>
          <w:rFonts w:ascii="Bookman Old Style" w:hAnsi="Bookman Old Style" w:cs="Tahoma"/>
          <w:color w:val="000000" w:themeColor="text1"/>
          <w:sz w:val="24"/>
          <w:szCs w:val="24"/>
        </w:rPr>
        <w:t xml:space="preserve">por parte de la Unión de Empresas Colombianas de Gas Propano –GASNOVA- (E-2017-011499), Asociación Colombiana del Petróleo –ACP- (E-2017-011524) y </w:t>
      </w:r>
      <w:r w:rsidR="00764B60">
        <w:rPr>
          <w:rFonts w:ascii="Bookman Old Style" w:hAnsi="Bookman Old Style" w:cs="Tahoma"/>
          <w:color w:val="000000" w:themeColor="text1"/>
          <w:sz w:val="24"/>
          <w:szCs w:val="24"/>
        </w:rPr>
        <w:t xml:space="preserve">Cenit Transporte y Logística de Hidrocarburos S.A.S –CENIT- (E-2017-011572) </w:t>
      </w:r>
      <w:r w:rsidRPr="00F340A2">
        <w:rPr>
          <w:rFonts w:ascii="Bookman Old Style" w:hAnsi="Bookman Old Style" w:cs="Tahoma"/>
          <w:color w:val="000000" w:themeColor="text1"/>
          <w:sz w:val="24"/>
          <w:szCs w:val="24"/>
        </w:rPr>
        <w:t>los cuales se an</w:t>
      </w:r>
      <w:r>
        <w:rPr>
          <w:rFonts w:ascii="Bookman Old Style" w:hAnsi="Bookman Old Style" w:cs="Tahoma"/>
          <w:color w:val="000000" w:themeColor="text1"/>
          <w:sz w:val="24"/>
          <w:szCs w:val="24"/>
        </w:rPr>
        <w:t>alizaron en el Documento CREG-</w:t>
      </w:r>
      <w:r w:rsidR="009E0351">
        <w:rPr>
          <w:rFonts w:ascii="Bookman Old Style" w:hAnsi="Bookman Old Style" w:cs="Tahoma"/>
          <w:color w:val="000000" w:themeColor="text1"/>
          <w:sz w:val="24"/>
          <w:szCs w:val="24"/>
        </w:rPr>
        <w:t>025</w:t>
      </w:r>
      <w:r>
        <w:rPr>
          <w:rFonts w:ascii="Bookman Old Style" w:hAnsi="Bookman Old Style" w:cs="Tahoma"/>
          <w:color w:val="000000" w:themeColor="text1"/>
          <w:sz w:val="24"/>
          <w:szCs w:val="24"/>
        </w:rPr>
        <w:t xml:space="preserve"> de 2018</w:t>
      </w:r>
      <w:r w:rsidRPr="00F340A2">
        <w:rPr>
          <w:rFonts w:ascii="Bookman Old Style" w:hAnsi="Bookman Old Style" w:cs="Tahoma"/>
          <w:color w:val="000000" w:themeColor="text1"/>
          <w:sz w:val="24"/>
          <w:szCs w:val="24"/>
        </w:rPr>
        <w:t>.</w:t>
      </w:r>
    </w:p>
    <w:p w14:paraId="1FC04936" w14:textId="572AAE6B" w:rsidR="0002107C" w:rsidRPr="00500790" w:rsidRDefault="0002107C" w:rsidP="0002107C">
      <w:pPr>
        <w:ind w:left="0"/>
        <w:jc w:val="both"/>
        <w:rPr>
          <w:rFonts w:ascii="Bookman Old Style" w:hAnsi="Bookman Old Style" w:cs="Arial"/>
        </w:rPr>
      </w:pPr>
    </w:p>
    <w:p w14:paraId="136E1D61" w14:textId="7984EE2C" w:rsidR="00764B60" w:rsidRDefault="0002107C" w:rsidP="0002107C">
      <w:pPr>
        <w:ind w:left="0"/>
        <w:jc w:val="both"/>
        <w:rPr>
          <w:rFonts w:ascii="Bookman Old Style" w:hAnsi="Bookman Old Style" w:cs="Arial"/>
        </w:rPr>
      </w:pPr>
      <w:r w:rsidRPr="000A0338">
        <w:rPr>
          <w:rFonts w:ascii="Bookman Old Style" w:hAnsi="Bookman Old Style" w:cs="Arial"/>
        </w:rPr>
        <w:t>En cumplimiento de lo establecido en la Ley 1340 de 2009, la Resolución SIC 44649 de 2010</w:t>
      </w:r>
      <w:r w:rsidR="00B015D3">
        <w:rPr>
          <w:rFonts w:ascii="Bookman Old Style" w:hAnsi="Bookman Old Style" w:cs="Arial"/>
        </w:rPr>
        <w:t xml:space="preserve"> y el </w:t>
      </w:r>
      <w:r w:rsidR="00B015D3" w:rsidRPr="000A0338">
        <w:rPr>
          <w:rFonts w:ascii="Bookman Old Style" w:hAnsi="Bookman Old Style" w:cs="Arial"/>
        </w:rPr>
        <w:t xml:space="preserve">artículo </w:t>
      </w:r>
      <w:r w:rsidR="00B015D3" w:rsidRPr="00C46C00">
        <w:rPr>
          <w:rFonts w:ascii="Bookman Old Style" w:hAnsi="Bookman Old Style" w:cs="Tahoma"/>
          <w:color w:val="000000" w:themeColor="text1"/>
        </w:rPr>
        <w:t>2.2.2.30.8.</w:t>
      </w:r>
      <w:r w:rsidR="00B015D3">
        <w:rPr>
          <w:rFonts w:ascii="Bookman Old Style" w:hAnsi="Bookman Old Style" w:cs="Tahoma"/>
          <w:color w:val="000000" w:themeColor="text1"/>
        </w:rPr>
        <w:t xml:space="preserve"> </w:t>
      </w:r>
      <w:r w:rsidR="00B015D3" w:rsidRPr="000A0338">
        <w:rPr>
          <w:rFonts w:ascii="Bookman Old Style" w:hAnsi="Bookman Old Style" w:cs="Arial"/>
        </w:rPr>
        <w:t xml:space="preserve">del Decreto </w:t>
      </w:r>
      <w:r w:rsidR="00B015D3">
        <w:rPr>
          <w:rFonts w:ascii="Bookman Old Style" w:hAnsi="Bookman Old Style" w:cs="Arial"/>
        </w:rPr>
        <w:t>1074 de 2015 (</w:t>
      </w:r>
      <w:r w:rsidR="00B015D3" w:rsidRPr="00B015D3">
        <w:rPr>
          <w:rFonts w:ascii="Bookman Old Style" w:hAnsi="Bookman Old Style" w:cs="Arial"/>
        </w:rPr>
        <w:t>Decreto Único Reglamentario del Sector Comercio, Industria y Turismo</w:t>
      </w:r>
      <w:r w:rsidR="00B015D3">
        <w:rPr>
          <w:rFonts w:ascii="Bookman Old Style" w:hAnsi="Bookman Old Style" w:cs="Arial"/>
        </w:rPr>
        <w:t>)</w:t>
      </w:r>
      <w:r w:rsidRPr="000A0338">
        <w:rPr>
          <w:rFonts w:ascii="Bookman Old Style" w:hAnsi="Bookman Old Style" w:cs="Arial"/>
        </w:rPr>
        <w:t xml:space="preserve">, la CREG procedió a dar respuesta al cuestionario expedido por la Superintendencia de Industria y Comercio </w:t>
      </w:r>
      <w:r w:rsidR="00764B60">
        <w:rPr>
          <w:rFonts w:ascii="Bookman Old Style" w:hAnsi="Bookman Old Style" w:cs="Arial"/>
        </w:rPr>
        <w:t>–</w:t>
      </w:r>
      <w:r w:rsidRPr="000A0338">
        <w:rPr>
          <w:rFonts w:ascii="Bookman Old Style" w:hAnsi="Bookman Old Style" w:cs="Arial"/>
        </w:rPr>
        <w:t>SIC</w:t>
      </w:r>
      <w:r w:rsidR="00764B60">
        <w:rPr>
          <w:rFonts w:ascii="Bookman Old Style" w:hAnsi="Bookman Old Style" w:cs="Arial"/>
        </w:rPr>
        <w:t>-</w:t>
      </w:r>
      <w:r w:rsidRPr="000A0338">
        <w:rPr>
          <w:rFonts w:ascii="Bookman Old Style" w:hAnsi="Bookman Old Style" w:cs="Arial"/>
        </w:rPr>
        <w:t xml:space="preserve">, </w:t>
      </w:r>
      <w:r w:rsidR="00764B60">
        <w:rPr>
          <w:rFonts w:ascii="Bookman Old Style" w:hAnsi="Bookman Old Style" w:cs="Arial"/>
        </w:rPr>
        <w:t xml:space="preserve">para la evaluación de la incidencia sobre la libre competencia de los actos administrativos expedidos con fines regulatorios, llegando a la conclusión que no es necesaria su revisión </w:t>
      </w:r>
      <w:r w:rsidR="00B015D3">
        <w:rPr>
          <w:rFonts w:ascii="Bookman Old Style" w:hAnsi="Bookman Old Style" w:cs="Arial"/>
        </w:rPr>
        <w:t>por la</w:t>
      </w:r>
      <w:r w:rsidR="00764B60">
        <w:rPr>
          <w:rFonts w:ascii="Bookman Old Style" w:hAnsi="Bookman Old Style" w:cs="Arial"/>
        </w:rPr>
        <w:t xml:space="preserve"> autoridad de competencia. El formula</w:t>
      </w:r>
      <w:r w:rsidR="00B249CC">
        <w:rPr>
          <w:rFonts w:ascii="Bookman Old Style" w:hAnsi="Bookman Old Style" w:cs="Arial"/>
        </w:rPr>
        <w:t>rio se encuentra en el anexo 2</w:t>
      </w:r>
      <w:r w:rsidR="00764B60">
        <w:rPr>
          <w:rFonts w:ascii="Bookman Old Style" w:hAnsi="Bookman Old Style" w:cs="Arial"/>
        </w:rPr>
        <w:t xml:space="preserve"> del Documento CREG </w:t>
      </w:r>
      <w:r w:rsidR="009E0351">
        <w:rPr>
          <w:rFonts w:ascii="Bookman Old Style" w:hAnsi="Bookman Old Style" w:cs="Arial"/>
        </w:rPr>
        <w:t>025</w:t>
      </w:r>
      <w:r w:rsidR="00764B60">
        <w:rPr>
          <w:rFonts w:ascii="Bookman Old Style" w:hAnsi="Bookman Old Style" w:cs="Arial"/>
        </w:rPr>
        <w:t xml:space="preserve"> de 2018.</w:t>
      </w:r>
    </w:p>
    <w:p w14:paraId="64CF012C" w14:textId="6FB42411" w:rsidR="0002107C" w:rsidRPr="000A0338" w:rsidRDefault="0002107C" w:rsidP="0002107C">
      <w:pPr>
        <w:ind w:left="0"/>
        <w:jc w:val="both"/>
        <w:rPr>
          <w:rFonts w:ascii="Bookman Old Style" w:hAnsi="Bookman Old Style" w:cs="Arial"/>
        </w:rPr>
      </w:pPr>
    </w:p>
    <w:p w14:paraId="746CD065" w14:textId="0DB6462B" w:rsidR="0002107C" w:rsidRDefault="0002107C" w:rsidP="0002107C">
      <w:pPr>
        <w:widowControl w:val="0"/>
        <w:adjustRightInd w:val="0"/>
        <w:ind w:left="0"/>
        <w:jc w:val="both"/>
        <w:textAlignment w:val="baseline"/>
        <w:rPr>
          <w:rFonts w:ascii="Bookman Old Style" w:hAnsi="Bookman Old Style" w:cs="Arial"/>
        </w:rPr>
      </w:pPr>
      <w:r w:rsidRPr="000A0338">
        <w:rPr>
          <w:rFonts w:ascii="Bookman Old Style" w:hAnsi="Bookman Old Style" w:cs="Arial"/>
        </w:rPr>
        <w:t xml:space="preserve">Según lo previsto en el artículo </w:t>
      </w:r>
      <w:r w:rsidR="006A5A3C" w:rsidRPr="006A5A3C">
        <w:rPr>
          <w:rFonts w:ascii="Bookman Old Style" w:hAnsi="Bookman Old Style" w:cs="Arial"/>
        </w:rPr>
        <w:t xml:space="preserve">2.2.13.3.2. </w:t>
      </w:r>
      <w:r w:rsidR="006A5A3C">
        <w:rPr>
          <w:rFonts w:ascii="Bookman Old Style" w:hAnsi="Bookman Old Style" w:cs="Arial"/>
        </w:rPr>
        <w:t>9 del Decreto 1078</w:t>
      </w:r>
      <w:r w:rsidRPr="000A0338">
        <w:rPr>
          <w:rFonts w:ascii="Bookman Old Style" w:hAnsi="Bookman Old Style" w:cs="Arial"/>
        </w:rPr>
        <w:t xml:space="preserve"> d</w:t>
      </w:r>
      <w:r w:rsidR="006A5A3C">
        <w:rPr>
          <w:rFonts w:ascii="Bookman Old Style" w:hAnsi="Bookman Old Style" w:cs="Arial"/>
        </w:rPr>
        <w:t>e 2015 (Decreto Único Reglamentario del Sector de Tecnologías de la Información y las Comunicaciones)</w:t>
      </w:r>
      <w:r w:rsidRPr="000A0338">
        <w:rPr>
          <w:rFonts w:ascii="Bookman Old Style" w:hAnsi="Bookman Old Style" w:cs="Arial"/>
        </w:rPr>
        <w:t>, concordante con el artículo 8 del Código de Procedimiento Administrativo y de lo Contencioso Administrativo, la regulación que mediante la presente resolución se adopta ha surtido el proceso de publicidad previo correspondiente según las normas vigentes, garantizándose de esta manera la participación de todos los agentes del sector y demás interesados</w:t>
      </w:r>
      <w:r>
        <w:rPr>
          <w:rFonts w:ascii="Bookman Old Style" w:hAnsi="Bookman Old Style" w:cs="Arial"/>
        </w:rPr>
        <w:t>.</w:t>
      </w:r>
    </w:p>
    <w:p w14:paraId="0D83A39D" w14:textId="77777777" w:rsidR="0002107C" w:rsidRDefault="0002107C" w:rsidP="0002107C">
      <w:pPr>
        <w:widowControl w:val="0"/>
        <w:adjustRightInd w:val="0"/>
        <w:ind w:left="0"/>
        <w:jc w:val="both"/>
        <w:textAlignment w:val="baseline"/>
        <w:rPr>
          <w:rFonts w:ascii="Bookman Old Style" w:hAnsi="Bookman Old Style"/>
        </w:rPr>
      </w:pPr>
    </w:p>
    <w:p w14:paraId="0E286753" w14:textId="2631B8C0" w:rsidR="0002107C" w:rsidRDefault="0002107C" w:rsidP="0002107C">
      <w:pPr>
        <w:ind w:left="0"/>
        <w:jc w:val="both"/>
        <w:rPr>
          <w:rFonts w:ascii="Bookman Old Style" w:hAnsi="Bookman Old Style"/>
        </w:rPr>
      </w:pPr>
      <w:r>
        <w:rPr>
          <w:rFonts w:ascii="Bookman Old Style" w:hAnsi="Bookman Old Style"/>
        </w:rPr>
        <w:t>Que la Comisión de Regulación de Ene</w:t>
      </w:r>
      <w:r w:rsidR="00391CFA">
        <w:rPr>
          <w:rFonts w:ascii="Bookman Old Style" w:hAnsi="Bookman Old Style"/>
        </w:rPr>
        <w:t xml:space="preserve">rgía y Gas, en su sesión No. </w:t>
      </w:r>
      <w:r w:rsidR="00493D78">
        <w:rPr>
          <w:rFonts w:ascii="Bookman Old Style" w:hAnsi="Bookman Old Style"/>
        </w:rPr>
        <w:t xml:space="preserve">840 </w:t>
      </w:r>
      <w:r w:rsidR="00391CFA">
        <w:rPr>
          <w:rFonts w:ascii="Bookman Old Style" w:hAnsi="Bookman Old Style"/>
        </w:rPr>
        <w:t xml:space="preserve">del </w:t>
      </w:r>
      <w:r w:rsidR="00DD2328">
        <w:rPr>
          <w:rFonts w:ascii="Bookman Old Style" w:hAnsi="Bookman Old Style"/>
        </w:rPr>
        <w:t>1</w:t>
      </w:r>
      <w:r w:rsidR="00493D78">
        <w:rPr>
          <w:rFonts w:ascii="Bookman Old Style" w:hAnsi="Bookman Old Style"/>
        </w:rPr>
        <w:t xml:space="preserve">2 </w:t>
      </w:r>
      <w:r>
        <w:rPr>
          <w:rFonts w:ascii="Bookman Old Style" w:hAnsi="Bookman Old Style"/>
        </w:rPr>
        <w:t xml:space="preserve">de </w:t>
      </w:r>
      <w:r w:rsidR="00391CFA">
        <w:rPr>
          <w:rFonts w:ascii="Bookman Old Style" w:hAnsi="Bookman Old Style"/>
        </w:rPr>
        <w:t>febrero de 2018</w:t>
      </w:r>
      <w:r>
        <w:rPr>
          <w:rFonts w:ascii="Bookman Old Style" w:hAnsi="Bookman Old Style"/>
        </w:rPr>
        <w:t>, acordó expedir la presente resolución;</w:t>
      </w:r>
    </w:p>
    <w:p w14:paraId="7B5DAE99" w14:textId="77777777" w:rsidR="00C04748" w:rsidRPr="00F20212" w:rsidRDefault="00C04748" w:rsidP="00C04748">
      <w:pPr>
        <w:ind w:left="0"/>
        <w:jc w:val="both"/>
        <w:rPr>
          <w:rFonts w:ascii="Bookman Old Style" w:hAnsi="Bookman Old Style" w:cs="Arial"/>
        </w:rPr>
      </w:pPr>
    </w:p>
    <w:p w14:paraId="54000C42" w14:textId="77777777" w:rsidR="00C04748" w:rsidRDefault="00C04748" w:rsidP="00C04748">
      <w:pPr>
        <w:tabs>
          <w:tab w:val="left" w:pos="6435"/>
        </w:tabs>
        <w:ind w:left="0"/>
        <w:jc w:val="both"/>
        <w:rPr>
          <w:rFonts w:ascii="Bookman Old Style" w:hAnsi="Bookman Old Style" w:cs="Arial"/>
        </w:rPr>
      </w:pPr>
    </w:p>
    <w:p w14:paraId="20E31060" w14:textId="77777777" w:rsidR="00C04748" w:rsidRPr="00F340A2" w:rsidRDefault="00C04748" w:rsidP="00C04748">
      <w:pPr>
        <w:suppressAutoHyphens/>
        <w:ind w:left="0"/>
        <w:jc w:val="center"/>
        <w:rPr>
          <w:rFonts w:ascii="Bookman Old Style" w:hAnsi="Bookman Old Style"/>
          <w:spacing w:val="-3"/>
        </w:rPr>
      </w:pPr>
      <w:r w:rsidRPr="00F340A2">
        <w:rPr>
          <w:rFonts w:ascii="Bookman Old Style" w:hAnsi="Bookman Old Style"/>
          <w:b/>
          <w:spacing w:val="-3"/>
        </w:rPr>
        <w:t>R E S U E L V E:</w:t>
      </w:r>
    </w:p>
    <w:p w14:paraId="41F808E5" w14:textId="77777777" w:rsidR="00C04748" w:rsidRPr="00F340A2" w:rsidRDefault="00C04748" w:rsidP="00C04748">
      <w:pPr>
        <w:pStyle w:val="Textodebloque"/>
        <w:widowControl w:val="0"/>
        <w:tabs>
          <w:tab w:val="left" w:pos="8789"/>
        </w:tabs>
        <w:suppressAutoHyphens w:val="0"/>
        <w:adjustRightInd w:val="0"/>
        <w:spacing w:after="0"/>
        <w:ind w:left="0" w:right="51"/>
        <w:textAlignment w:val="baseline"/>
        <w:rPr>
          <w:rFonts w:cs="Arial"/>
          <w:szCs w:val="24"/>
        </w:rPr>
      </w:pPr>
      <w:bookmarkStart w:id="1" w:name="_Ref164237694"/>
    </w:p>
    <w:p w14:paraId="637A00BF" w14:textId="77777777" w:rsidR="00C04748" w:rsidRPr="00F340A2" w:rsidRDefault="00C04748" w:rsidP="00C04748">
      <w:pPr>
        <w:pStyle w:val="Textodebloque"/>
        <w:widowControl w:val="0"/>
        <w:tabs>
          <w:tab w:val="left" w:pos="8789"/>
        </w:tabs>
        <w:suppressAutoHyphens w:val="0"/>
        <w:adjustRightInd w:val="0"/>
        <w:spacing w:after="0"/>
        <w:ind w:left="0" w:right="51"/>
        <w:textAlignment w:val="baseline"/>
        <w:rPr>
          <w:rFonts w:cs="Arial"/>
          <w:szCs w:val="24"/>
        </w:rPr>
      </w:pPr>
      <w:r w:rsidRPr="00F340A2">
        <w:rPr>
          <w:rFonts w:ascii="Bookman Old Style" w:hAnsi="Bookman Old Style" w:cs="Arial"/>
          <w:b/>
          <w:szCs w:val="24"/>
        </w:rPr>
        <w:t>ARTÍCULO 1</w:t>
      </w:r>
      <w:r w:rsidRPr="00F340A2">
        <w:rPr>
          <w:rFonts w:ascii="Bookman Old Style" w:hAnsi="Bookman Old Style" w:cs="Arial"/>
          <w:szCs w:val="24"/>
        </w:rPr>
        <w:t xml:space="preserve">. La presente resolución tiene como </w:t>
      </w:r>
      <w:r w:rsidR="004A55D8">
        <w:rPr>
          <w:rFonts w:ascii="Bookman Old Style" w:hAnsi="Bookman Old Style" w:cs="Arial"/>
          <w:szCs w:val="24"/>
        </w:rPr>
        <w:t xml:space="preserve">objeto definir </w:t>
      </w:r>
      <w:r>
        <w:rPr>
          <w:rFonts w:ascii="Bookman Old Style" w:hAnsi="Bookman Old Style" w:cs="Arial"/>
          <w:szCs w:val="24"/>
        </w:rPr>
        <w:t xml:space="preserve">la metodología del cálculo de la tasa de descuento </w:t>
      </w:r>
      <w:r w:rsidR="004A55D8">
        <w:rPr>
          <w:rFonts w:ascii="Bookman Old Style" w:hAnsi="Bookman Old Style" w:cs="Arial"/>
          <w:szCs w:val="24"/>
        </w:rPr>
        <w:t xml:space="preserve">que se aplicará a las </w:t>
      </w:r>
      <w:r>
        <w:rPr>
          <w:rFonts w:ascii="Bookman Old Style" w:hAnsi="Bookman Old Style" w:cs="Arial"/>
          <w:szCs w:val="24"/>
        </w:rPr>
        <w:t>actividades de la cadena de distribución de combustibles líquidos</w:t>
      </w:r>
      <w:r w:rsidR="004A55D8">
        <w:rPr>
          <w:rFonts w:ascii="Bookman Old Style" w:hAnsi="Bookman Old Style" w:cs="Arial"/>
          <w:szCs w:val="24"/>
        </w:rPr>
        <w:t xml:space="preserve"> y transporte de GLP por ductos</w:t>
      </w:r>
      <w:r>
        <w:rPr>
          <w:rFonts w:ascii="Bookman Old Style" w:hAnsi="Bookman Old Style" w:cs="Arial"/>
          <w:szCs w:val="24"/>
        </w:rPr>
        <w:t>, según el alcance de las funciones asignadas a la Comisión.</w:t>
      </w:r>
      <w:r w:rsidRPr="00993026" w:rsidDel="00993026">
        <w:rPr>
          <w:rFonts w:ascii="Bookman Old Style" w:hAnsi="Bookman Old Style" w:cs="Arial"/>
          <w:szCs w:val="24"/>
        </w:rPr>
        <w:t xml:space="preserve"> </w:t>
      </w:r>
      <w:bookmarkEnd w:id="1"/>
    </w:p>
    <w:p w14:paraId="5A7B8B22" w14:textId="77777777" w:rsidR="00C04748" w:rsidRPr="00F340A2" w:rsidRDefault="00C04748" w:rsidP="00C04748">
      <w:pPr>
        <w:ind w:left="0"/>
        <w:rPr>
          <w:rFonts w:ascii="Bookman Old Style" w:hAnsi="Bookman Old Style" w:cs="Arial"/>
          <w:b/>
          <w:bCs/>
          <w:lang w:val="es-ES_tradnl"/>
        </w:rPr>
      </w:pPr>
    </w:p>
    <w:p w14:paraId="509578D5" w14:textId="77777777" w:rsidR="00C04748" w:rsidRPr="00F340A2" w:rsidRDefault="00C04748" w:rsidP="00C04748">
      <w:pPr>
        <w:ind w:left="0"/>
        <w:jc w:val="both"/>
        <w:rPr>
          <w:rFonts w:ascii="Bookman Old Style" w:hAnsi="Bookman Old Style" w:cs="Arial"/>
        </w:rPr>
      </w:pPr>
      <w:r w:rsidRPr="00F340A2">
        <w:rPr>
          <w:rFonts w:ascii="Bookman Old Style" w:hAnsi="Bookman Old Style" w:cs="Arial"/>
          <w:b/>
          <w:bCs/>
        </w:rPr>
        <w:t xml:space="preserve">ARTÍCULO 2. </w:t>
      </w:r>
      <w:r w:rsidRPr="00DF006B">
        <w:rPr>
          <w:rFonts w:ascii="Bookman Old Style" w:hAnsi="Bookman Old Style" w:cs="Arial"/>
          <w:b/>
          <w:bCs/>
        </w:rPr>
        <w:t>Definiciones.</w:t>
      </w:r>
      <w:r w:rsidRPr="00F340A2">
        <w:rPr>
          <w:rFonts w:ascii="Bookman Old Style" w:hAnsi="Bookman Old Style" w:cs="Arial"/>
        </w:rPr>
        <w:t xml:space="preserve"> </w:t>
      </w:r>
      <w:r w:rsidRPr="00B27614">
        <w:rPr>
          <w:rFonts w:ascii="Bookman Old Style" w:hAnsi="Bookman Old Style" w:cs="Arial"/>
        </w:rPr>
        <w:t>Para la interpretación y aplicación de esta resolución se tendrán en cuenta, además de las definiciones contenidas en la</w:t>
      </w:r>
      <w:r>
        <w:rPr>
          <w:rFonts w:ascii="Bookman Old Style" w:hAnsi="Bookman Old Style" w:cs="Arial"/>
        </w:rPr>
        <w:t xml:space="preserve"> </w:t>
      </w:r>
      <w:r w:rsidRPr="00B27614">
        <w:rPr>
          <w:rFonts w:ascii="Bookman Old Style" w:hAnsi="Bookman Old Style" w:cs="Arial"/>
        </w:rPr>
        <w:t>ley 142 de 1994 y en las resoluciones vigentes de la CREG, las siguientes:</w:t>
      </w:r>
    </w:p>
    <w:p w14:paraId="11496949" w14:textId="77777777" w:rsidR="00C04748" w:rsidRPr="00F340A2" w:rsidRDefault="00C04748" w:rsidP="00C04748">
      <w:pPr>
        <w:ind w:left="0"/>
        <w:jc w:val="both"/>
        <w:rPr>
          <w:rFonts w:ascii="Bookman Old Style" w:hAnsi="Bookman Old Style" w:cs="Arial"/>
          <w:color w:val="000000"/>
        </w:rPr>
      </w:pPr>
    </w:p>
    <w:p w14:paraId="4858CA32" w14:textId="77777777" w:rsidR="00C04748" w:rsidRDefault="00C04748" w:rsidP="00C04748">
      <w:pPr>
        <w:ind w:left="0"/>
        <w:jc w:val="both"/>
        <w:rPr>
          <w:rFonts w:ascii="Bookman Old Style" w:hAnsi="Bookman Old Style" w:cs="Arial"/>
        </w:rPr>
      </w:pPr>
      <w:r w:rsidRPr="00F340A2">
        <w:rPr>
          <w:rFonts w:ascii="Bookman Old Style" w:hAnsi="Bookman Old Style" w:cs="Arial"/>
          <w:b/>
          <w:color w:val="000000"/>
        </w:rPr>
        <w:t>Actividades por redes:</w:t>
      </w:r>
      <w:r w:rsidRPr="00F340A2">
        <w:rPr>
          <w:rFonts w:ascii="Bookman Old Style" w:hAnsi="Bookman Old Style" w:cs="Arial"/>
          <w:color w:val="000000"/>
        </w:rPr>
        <w:t xml:space="preserve"> Corresponde a las actividades de </w:t>
      </w:r>
      <w:r w:rsidRPr="00F340A2">
        <w:rPr>
          <w:rFonts w:ascii="Bookman Old Style" w:hAnsi="Bookman Old Style" w:cs="Arial"/>
        </w:rPr>
        <w:t>transporte</w:t>
      </w:r>
      <w:r>
        <w:rPr>
          <w:rFonts w:ascii="Bookman Old Style" w:hAnsi="Bookman Old Style" w:cs="Arial"/>
        </w:rPr>
        <w:t xml:space="preserve"> de GLP</w:t>
      </w:r>
      <w:r w:rsidRPr="00F340A2">
        <w:rPr>
          <w:rFonts w:ascii="Bookman Old Style" w:hAnsi="Bookman Old Style" w:cs="Arial"/>
        </w:rPr>
        <w:t xml:space="preserve"> por ductos </w:t>
      </w:r>
      <w:r>
        <w:rPr>
          <w:rFonts w:ascii="Bookman Old Style" w:hAnsi="Bookman Old Style" w:cs="Arial"/>
        </w:rPr>
        <w:t>y la cadena de distribución de combustibles líquidos.</w:t>
      </w:r>
    </w:p>
    <w:p w14:paraId="1151AE3E" w14:textId="77777777" w:rsidR="00C04748" w:rsidRDefault="00C04748" w:rsidP="00C04748">
      <w:pPr>
        <w:ind w:left="0"/>
        <w:jc w:val="both"/>
        <w:rPr>
          <w:rFonts w:ascii="Bookman Old Style" w:hAnsi="Bookman Old Style" w:cs="Arial"/>
        </w:rPr>
      </w:pPr>
    </w:p>
    <w:p w14:paraId="05963E58" w14:textId="77777777" w:rsidR="00C04748" w:rsidRPr="00F340A2" w:rsidRDefault="00C04748" w:rsidP="00C04748">
      <w:pPr>
        <w:ind w:left="0"/>
        <w:jc w:val="both"/>
        <w:rPr>
          <w:rFonts w:ascii="Bookman Old Style" w:hAnsi="Bookman Old Style" w:cs="Arial"/>
        </w:rPr>
      </w:pPr>
      <w:r w:rsidRPr="0021136B">
        <w:rPr>
          <w:rFonts w:ascii="Bookman Old Style" w:hAnsi="Bookman Old Style" w:cs="Arial"/>
          <w:b/>
        </w:rPr>
        <w:t>Momento t:</w:t>
      </w:r>
      <w:r>
        <w:rPr>
          <w:rFonts w:ascii="Bookman Old Style" w:hAnsi="Bookman Old Style" w:cs="Arial"/>
        </w:rPr>
        <w:t xml:space="preserve"> Corresponde a la fecha de cálculo que se defina para cada actividad, en resolución aparte.</w:t>
      </w:r>
    </w:p>
    <w:p w14:paraId="6FE263D3" w14:textId="77777777" w:rsidR="00C04748" w:rsidRPr="00F340A2" w:rsidRDefault="00C04748" w:rsidP="00C04748">
      <w:pPr>
        <w:ind w:left="0"/>
        <w:jc w:val="both"/>
        <w:rPr>
          <w:rFonts w:ascii="Bookman Old Style" w:hAnsi="Bookman Old Style" w:cs="Arial"/>
          <w:color w:val="000000"/>
        </w:rPr>
      </w:pPr>
    </w:p>
    <w:p w14:paraId="5B1C75C9" w14:textId="77777777" w:rsidR="00C04748" w:rsidRPr="00F340A2" w:rsidRDefault="00C04748" w:rsidP="00C04748">
      <w:pPr>
        <w:ind w:left="0"/>
        <w:jc w:val="both"/>
        <w:rPr>
          <w:rFonts w:ascii="Bookman Old Style" w:hAnsi="Bookman Old Style" w:cs="Arial"/>
          <w:lang w:val="es-CO"/>
        </w:rPr>
      </w:pPr>
      <w:r w:rsidRPr="00B27614">
        <w:rPr>
          <w:rFonts w:ascii="Bookman Old Style" w:hAnsi="Bookman Old Style" w:cs="Arial"/>
          <w:b/>
          <w:color w:val="000000"/>
        </w:rPr>
        <w:t xml:space="preserve">Tasa de descuento: </w:t>
      </w:r>
      <w:r w:rsidRPr="00B27614">
        <w:rPr>
          <w:rFonts w:ascii="Bookman Old Style" w:hAnsi="Bookman Old Style"/>
        </w:rPr>
        <w:t xml:space="preserve">Tasa calculada a partir de la estimación del costo promedio ponderado de capital (WACC por sus siglas en inglés) establecida para las </w:t>
      </w:r>
      <w:r>
        <w:rPr>
          <w:rFonts w:ascii="Bookman Old Style" w:hAnsi="Bookman Old Style"/>
        </w:rPr>
        <w:t xml:space="preserve">actividades de </w:t>
      </w:r>
      <w:r>
        <w:rPr>
          <w:rFonts w:ascii="Bookman Old Style" w:hAnsi="Bookman Old Style"/>
          <w:szCs w:val="20"/>
        </w:rPr>
        <w:t xml:space="preserve">transporte de GLP por ductos y la cadena de </w:t>
      </w:r>
      <w:r>
        <w:rPr>
          <w:rFonts w:ascii="Bookman Old Style" w:hAnsi="Bookman Old Style"/>
        </w:rPr>
        <w:t>distribución de combustibles líquidos.</w:t>
      </w:r>
    </w:p>
    <w:p w14:paraId="6DDF7BA8" w14:textId="77777777" w:rsidR="00C04748" w:rsidRPr="00F340A2" w:rsidRDefault="00C04748" w:rsidP="00C04748">
      <w:pPr>
        <w:ind w:left="0"/>
        <w:jc w:val="both"/>
        <w:rPr>
          <w:rFonts w:ascii="Bookman Old Style" w:hAnsi="Bookman Old Style" w:cs="Arial"/>
        </w:rPr>
      </w:pPr>
      <w:bookmarkStart w:id="2" w:name="_Ref30434909"/>
    </w:p>
    <w:p w14:paraId="3197BB7E" w14:textId="77777777" w:rsidR="00C04748" w:rsidRPr="00F340A2" w:rsidRDefault="00C04748" w:rsidP="00C04748">
      <w:pPr>
        <w:ind w:left="0"/>
        <w:jc w:val="both"/>
        <w:rPr>
          <w:rFonts w:ascii="Bookman Old Style" w:hAnsi="Bookman Old Style" w:cs="Arial"/>
        </w:rPr>
      </w:pPr>
      <w:r w:rsidRPr="00F340A2">
        <w:rPr>
          <w:rFonts w:ascii="Bookman Old Style" w:hAnsi="Bookman Old Style" w:cs="Arial"/>
          <w:b/>
        </w:rPr>
        <w:lastRenderedPageBreak/>
        <w:t xml:space="preserve">ARTÍCULO 3. Metodología de cálculo de la tasa de descuento en pesos. </w:t>
      </w:r>
      <w:r w:rsidRPr="00F340A2">
        <w:rPr>
          <w:rFonts w:ascii="Bookman Old Style" w:hAnsi="Bookman Old Style" w:cs="Arial"/>
        </w:rPr>
        <w:t>Para el cálculo de la tasa de descuento en pesos la Comisión aplicará la siguiente fórmula:</w:t>
      </w:r>
    </w:p>
    <w:p w14:paraId="25009423" w14:textId="77777777" w:rsidR="00C04748" w:rsidRPr="00F340A2" w:rsidRDefault="00C04748" w:rsidP="00C04748">
      <w:pPr>
        <w:ind w:left="0"/>
        <w:jc w:val="both"/>
        <w:rPr>
          <w:rFonts w:ascii="Bookman Old Style" w:hAnsi="Bookman Old Style" w:cs="Arial"/>
        </w:rPr>
      </w:pPr>
    </w:p>
    <w:p w14:paraId="223FC182" w14:textId="77777777" w:rsidR="00C04748" w:rsidRPr="00F340A2" w:rsidRDefault="00501037" w:rsidP="00C04748">
      <w:pPr>
        <w:ind w:left="0"/>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TD</m:t>
              </m:r>
            </m:e>
            <m:sub>
              <m:r>
                <m:rPr>
                  <m:sty m:val="p"/>
                </m:rPr>
                <w:rPr>
                  <w:rFonts w:ascii="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WACC</m:t>
                  </m:r>
                </m:e>
                <m:sub>
                  <m:r>
                    <m:rPr>
                      <m:sty m:val="p"/>
                    </m:rPr>
                    <w:rPr>
                      <w:rFonts w:ascii="Cambria Math" w:hAnsi="Cambria Math" w:cs="Arial"/>
                      <w:color w:val="000000" w:themeColor="text1"/>
                      <w:kern w:val="24"/>
                    </w:rPr>
                    <m:t>cop,a,t</m:t>
                  </m:r>
                </m:sub>
              </m:sSub>
              <m:r>
                <m:rPr>
                  <m:sty m:val="p"/>
                </m:rPr>
                <w:rPr>
                  <w:rFonts w:ascii="Cambria Math" w:eastAsiaTheme="minorEastAsia"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π</m:t>
                  </m:r>
                </m:e>
                <m:sub>
                  <m:r>
                    <m:rPr>
                      <m:sty m:val="p"/>
                    </m:rPr>
                    <w:rPr>
                      <w:rFonts w:ascii="Cambria Math" w:eastAsia="Cambria Math" w:hAnsi="Cambria Math" w:cs="Arial"/>
                      <w:color w:val="000000" w:themeColor="text1"/>
                      <w:kern w:val="24"/>
                    </w:rPr>
                    <m:t>cop,t</m:t>
                  </m:r>
                </m:sub>
              </m:sSub>
            </m:num>
            <m:den>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π</m:t>
                  </m:r>
                </m:e>
                <m:sub>
                  <m:r>
                    <m:rPr>
                      <m:sty m:val="p"/>
                    </m:rPr>
                    <w:rPr>
                      <w:rFonts w:ascii="Cambria Math" w:eastAsia="Cambria Math" w:hAnsi="Cambria Math" w:cs="Arial"/>
                      <w:color w:val="000000" w:themeColor="text1"/>
                      <w:kern w:val="24"/>
                    </w:rPr>
                    <m:t>cop,t</m:t>
                  </m:r>
                </m:sub>
              </m:sSub>
            </m:den>
          </m:f>
        </m:oMath>
      </m:oMathPara>
    </w:p>
    <w:p w14:paraId="02EF53F3" w14:textId="77777777" w:rsidR="00C04748" w:rsidRPr="00F340A2" w:rsidRDefault="00C04748" w:rsidP="00C04748">
      <w:pPr>
        <w:ind w:left="0"/>
        <w:contextualSpacing/>
        <w:jc w:val="both"/>
        <w:rPr>
          <w:rFonts w:ascii="Bookman Old Style" w:hAnsi="Bookman Old Style" w:cs="Arial"/>
        </w:rPr>
      </w:pPr>
    </w:p>
    <w:p w14:paraId="32743BD6"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14:paraId="3028612E" w14:textId="77777777" w:rsidR="00C04748" w:rsidRPr="00F340A2" w:rsidRDefault="00C04748" w:rsidP="00C04748">
      <w:pPr>
        <w:ind w:left="0"/>
        <w:rPr>
          <w:rFonts w:ascii="Bookman Old Style" w:hAnsi="Bookman Old Style"/>
          <w:lang w:val="es-ES_tradn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14:paraId="518C82FE" w14:textId="77777777" w:rsidTr="007F06FE">
        <w:tc>
          <w:tcPr>
            <w:tcW w:w="1384" w:type="dxa"/>
          </w:tcPr>
          <w:p w14:paraId="1824E36D"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TD</m:t>
                    </m:r>
                  </m:e>
                  <m:sub>
                    <m:r>
                      <m:rPr>
                        <m:sty m:val="b"/>
                      </m:rPr>
                      <w:rPr>
                        <w:rFonts w:ascii="Cambria Math" w:hAnsi="Cambria Math" w:cs="Arial"/>
                        <w:color w:val="000000" w:themeColor="text1"/>
                        <w:kern w:val="24"/>
                      </w:rPr>
                      <m:t>cop,a,t</m:t>
                    </m:r>
                  </m:sub>
                </m:sSub>
              </m:oMath>
            </m:oMathPara>
          </w:p>
        </w:tc>
        <w:tc>
          <w:tcPr>
            <w:tcW w:w="284" w:type="dxa"/>
          </w:tcPr>
          <w:p w14:paraId="5A358B89" w14:textId="77777777"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7796" w:type="dxa"/>
            <w:vAlign w:val="center"/>
          </w:tcPr>
          <w:p w14:paraId="5336F6C9"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T</w:t>
            </w:r>
            <w:r w:rsidRPr="00F340A2">
              <w:rPr>
                <w:rFonts w:ascii="Bookman Old Style" w:hAnsi="Bookman Old Style" w:cs="Arial"/>
              </w:rPr>
              <w:t xml:space="preserve">asa de descuento antes de impuestos y en pesos constantes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rPr>
                <m:t>t</m:t>
              </m:r>
            </m:oMath>
            <w:r w:rsidRPr="00F340A2">
              <w:rPr>
                <w:rFonts w:ascii="Bookman Old Style" w:hAnsi="Bookman Old Style" w:cs="Arial"/>
              </w:rPr>
              <w:t>.</w:t>
            </w:r>
            <w:r w:rsidRPr="00F340A2">
              <w:rPr>
                <w:rFonts w:ascii="Bookman Old Style" w:hAnsi="Bookman Old Style" w:cs="Arial"/>
                <w:iCs/>
              </w:rPr>
              <w:t xml:space="preserve"> </w:t>
            </w:r>
            <w:r w:rsidRPr="002C7B37">
              <w:rPr>
                <w:rFonts w:ascii="Bookman Old Style" w:hAnsi="Bookman Old Style" w:cs="Arial"/>
                <w:iCs/>
              </w:rPr>
              <w:t xml:space="preserve">Tasa utilizada en </w:t>
            </w:r>
            <w:r w:rsidRPr="002C7B37">
              <w:rPr>
                <w:rFonts w:ascii="Bookman Old Style" w:hAnsi="Bookman Old Style"/>
                <w:szCs w:val="20"/>
              </w:rPr>
              <w:t>transporte</w:t>
            </w:r>
            <w:r>
              <w:rPr>
                <w:rFonts w:ascii="Bookman Old Style" w:hAnsi="Bookman Old Style"/>
                <w:szCs w:val="20"/>
              </w:rPr>
              <w:t xml:space="preserve"> de GLP por ductos y en </w:t>
            </w:r>
            <w:r w:rsidRPr="002C7B37">
              <w:rPr>
                <w:rFonts w:ascii="Bookman Old Style" w:hAnsi="Bookman Old Style" w:cs="Arial"/>
                <w:iCs/>
              </w:rPr>
              <w:t>la c</w:t>
            </w:r>
            <w:r>
              <w:rPr>
                <w:rFonts w:ascii="Bookman Old Style" w:hAnsi="Bookman Old Style" w:cs="Arial"/>
                <w:iCs/>
              </w:rPr>
              <w:t>adena de distribución de combustibles líquidos.</w:t>
            </w:r>
          </w:p>
          <w:p w14:paraId="7EA66C0F" w14:textId="77777777" w:rsidR="00C04748" w:rsidRPr="00F340A2" w:rsidRDefault="00C04748" w:rsidP="007F06FE">
            <w:pPr>
              <w:ind w:left="0"/>
              <w:jc w:val="both"/>
              <w:rPr>
                <w:rFonts w:ascii="Bookman Old Style" w:hAnsi="Bookman Old Style"/>
                <w:lang w:val="es-ES_tradnl"/>
              </w:rPr>
            </w:pPr>
          </w:p>
        </w:tc>
      </w:tr>
      <w:tr w:rsidR="00C04748" w:rsidRPr="00F340A2" w14:paraId="378186D0" w14:textId="77777777" w:rsidTr="007F06FE">
        <w:tc>
          <w:tcPr>
            <w:tcW w:w="1384" w:type="dxa"/>
          </w:tcPr>
          <w:p w14:paraId="168A3ABE" w14:textId="77777777" w:rsidR="00C04748" w:rsidRPr="00F340A2" w:rsidRDefault="00501037" w:rsidP="007F06FE">
            <w:pPr>
              <w:ind w:left="0"/>
              <w:contextualSpacing/>
              <w:rPr>
                <w:rFonts w:ascii="Bookman Old Style" w:hAnsi="Bookman Old Style" w:cs="Arial"/>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WACC</m:t>
                    </m:r>
                  </m:e>
                  <m:sub>
                    <m:r>
                      <m:rPr>
                        <m:sty m:val="b"/>
                      </m:rPr>
                      <w:rPr>
                        <w:rFonts w:ascii="Cambria Math" w:hAnsi="Cambria Math" w:cs="Arial"/>
                        <w:color w:val="000000" w:themeColor="text1"/>
                        <w:kern w:val="24"/>
                      </w:rPr>
                      <m:t>cop,a,t</m:t>
                    </m:r>
                  </m:sub>
                </m:sSub>
              </m:oMath>
            </m:oMathPara>
          </w:p>
        </w:tc>
        <w:tc>
          <w:tcPr>
            <w:tcW w:w="284" w:type="dxa"/>
          </w:tcPr>
          <w:p w14:paraId="4FFC5726" w14:textId="77777777" w:rsidR="00C04748" w:rsidRPr="00F340A2" w:rsidRDefault="00C04748" w:rsidP="007F06FE">
            <w:pPr>
              <w:ind w:left="0"/>
              <w:contextualSpacing/>
              <w:rPr>
                <w:rFonts w:ascii="Bookman Old Style" w:hAnsi="Bookman Old Style" w:cs="Arial"/>
                <w:b/>
              </w:rPr>
            </w:pPr>
            <w:r w:rsidRPr="00F340A2">
              <w:rPr>
                <w:rFonts w:ascii="Bookman Old Style" w:hAnsi="Bookman Old Style" w:cs="Arial"/>
                <w:b/>
              </w:rPr>
              <w:t>:</w:t>
            </w:r>
          </w:p>
        </w:tc>
        <w:tc>
          <w:tcPr>
            <w:tcW w:w="7796" w:type="dxa"/>
          </w:tcPr>
          <w:p w14:paraId="1EA83BA0" w14:textId="77777777" w:rsidR="00C04748" w:rsidRPr="00F340A2" w:rsidRDefault="00C04748" w:rsidP="007F06FE">
            <w:pPr>
              <w:ind w:left="0"/>
              <w:contextualSpacing/>
              <w:jc w:val="both"/>
              <w:rPr>
                <w:rFonts w:ascii="Bookman Old Style" w:hAnsi="Bookman Old Style" w:cs="Arial"/>
              </w:rPr>
            </w:pPr>
            <w:r w:rsidRPr="00F340A2">
              <w:rPr>
                <w:rFonts w:ascii="Bookman Old Style" w:hAnsi="Bookman Old Style" w:cs="Arial"/>
              </w:rPr>
              <w:t xml:space="preserve">Costo promedio ponderado de capital en pesos corrientes y antes de impuestos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14:paraId="37043567" w14:textId="77777777" w:rsidR="00C04748" w:rsidRPr="00F340A2" w:rsidRDefault="00C04748" w:rsidP="007F06FE">
            <w:pPr>
              <w:ind w:left="0"/>
              <w:contextualSpacing/>
              <w:jc w:val="both"/>
              <w:rPr>
                <w:rFonts w:ascii="Bookman Old Style" w:hAnsi="Bookman Old Style" w:cs="Arial"/>
                <w:iCs/>
                <w:color w:val="000000" w:themeColor="text1"/>
                <w:kern w:val="24"/>
              </w:rPr>
            </w:pPr>
          </w:p>
        </w:tc>
      </w:tr>
      <w:tr w:rsidR="00C04748" w:rsidRPr="00F340A2" w14:paraId="13AE5965" w14:textId="77777777" w:rsidTr="007F06FE">
        <w:tc>
          <w:tcPr>
            <w:tcW w:w="1384" w:type="dxa"/>
          </w:tcPr>
          <w:p w14:paraId="7F1D9D98" w14:textId="77777777" w:rsidR="00C04748" w:rsidRPr="00F340A2" w:rsidRDefault="00501037" w:rsidP="007F06FE">
            <w:pPr>
              <w:ind w:left="0"/>
              <w:contextualSpacing/>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π</m:t>
                    </m:r>
                  </m:e>
                  <m:sub>
                    <m:r>
                      <m:rPr>
                        <m:sty m:val="b"/>
                      </m:rPr>
                      <w:rPr>
                        <w:rFonts w:ascii="Cambria Math" w:eastAsia="Cambria Math" w:hAnsi="Cambria Math" w:cs="Arial"/>
                        <w:color w:val="000000" w:themeColor="text1"/>
                        <w:kern w:val="24"/>
                      </w:rPr>
                      <m:t>cop,t</m:t>
                    </m:r>
                  </m:sub>
                </m:sSub>
              </m:oMath>
            </m:oMathPara>
          </w:p>
        </w:tc>
        <w:tc>
          <w:tcPr>
            <w:tcW w:w="284" w:type="dxa"/>
          </w:tcPr>
          <w:p w14:paraId="2E33CDBA" w14:textId="77777777" w:rsidR="00C04748" w:rsidRPr="00F340A2" w:rsidRDefault="00C04748" w:rsidP="007F06FE">
            <w:pPr>
              <w:ind w:left="0"/>
              <w:contextualSpacing/>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tcPr>
          <w:p w14:paraId="146815A4" w14:textId="77777777" w:rsidR="00C04748" w:rsidRPr="002C7B37" w:rsidRDefault="00C04748" w:rsidP="007F06FE">
            <w:pPr>
              <w:ind w:left="0"/>
              <w:contextualSpacing/>
              <w:jc w:val="both"/>
              <w:rPr>
                <w:rFonts w:ascii="Bookman Old Style" w:hAnsi="Bookman Old Style" w:cs="Arial"/>
                <w:iCs/>
                <w:color w:val="000000" w:themeColor="text1"/>
                <w:kern w:val="24"/>
              </w:rPr>
            </w:pPr>
            <w:r w:rsidRPr="002C7B37">
              <w:rPr>
                <w:rFonts w:ascii="Bookman Old Style" w:hAnsi="Bookman Old Style" w:cs="Arial"/>
                <w:iCs/>
                <w:color w:val="000000" w:themeColor="text1"/>
                <w:kern w:val="24"/>
              </w:rPr>
              <w:t xml:space="preserve">Promedio de la expectativa de inflación en el momento </w:t>
            </w:r>
            <m:oMath>
              <m:r>
                <m:rPr>
                  <m:sty m:val="p"/>
                </m:rPr>
                <w:rPr>
                  <w:rFonts w:ascii="Cambria Math" w:hAnsi="Cambria Math" w:cs="Arial"/>
                </w:rPr>
                <m:t>t</m:t>
              </m:r>
            </m:oMath>
            <w:r w:rsidRPr="002C7B37">
              <w:rPr>
                <w:rFonts w:ascii="Bookman Old Style" w:hAnsi="Bookman Old Style" w:cs="Arial"/>
                <w:iCs/>
                <w:color w:val="000000" w:themeColor="text1"/>
                <w:kern w:val="24"/>
              </w:rPr>
              <w:t xml:space="preserve">, calculada como el promedio aritmético de los diferenciales entre las tasas, del plazo de 3650 días, de las curvas cero cupón de los títulos de tesorería TES COP y TES UVR, que se obtienen a partir de la información que es publicada por </w:t>
            </w:r>
            <w:proofErr w:type="spellStart"/>
            <w:r w:rsidRPr="002C7B37">
              <w:rPr>
                <w:rFonts w:ascii="Bookman Old Style" w:hAnsi="Bookman Old Style" w:cs="Arial"/>
                <w:iCs/>
                <w:color w:val="000000" w:themeColor="text1"/>
                <w:kern w:val="24"/>
              </w:rPr>
              <w:t>Infovalmer</w:t>
            </w:r>
            <w:proofErr w:type="spellEnd"/>
            <w:r w:rsidRPr="002C7B37">
              <w:rPr>
                <w:rFonts w:ascii="Bookman Old Style" w:hAnsi="Bookman Old Style" w:cs="Arial"/>
                <w:iCs/>
                <w:color w:val="000000" w:themeColor="text1"/>
                <w:kern w:val="24"/>
              </w:rPr>
              <w:t>. Cada uno de los diferenciales se calcula de la siguiente manera:</w:t>
            </w:r>
          </w:p>
          <w:p w14:paraId="7812E979" w14:textId="77777777" w:rsidR="00C04748" w:rsidRPr="002C7B37" w:rsidRDefault="00C04748" w:rsidP="007F06FE">
            <w:pPr>
              <w:ind w:left="0"/>
              <w:contextualSpacing/>
              <w:jc w:val="both"/>
              <w:rPr>
                <w:rFonts w:ascii="Bookman Old Style" w:hAnsi="Bookman Old Style" w:cs="Arial"/>
                <w:iCs/>
                <w:color w:val="000000" w:themeColor="text1"/>
                <w:kern w:val="24"/>
              </w:rPr>
            </w:pPr>
          </w:p>
          <w:p w14:paraId="0893D04E" w14:textId="77777777" w:rsidR="00C04748" w:rsidRPr="002C7B37" w:rsidRDefault="00501037" w:rsidP="007F06FE">
            <w:pPr>
              <w:ind w:left="0"/>
              <w:contextualSpacing/>
              <w:jc w:val="both"/>
              <w:rPr>
                <w:rFonts w:ascii="Bookman Old Style" w:hAnsi="Bookman Old Style" w:cs="Arial"/>
                <w:iCs/>
                <w:color w:val="000000" w:themeColor="text1"/>
                <w:kern w:val="24"/>
              </w:rPr>
            </w:pPr>
            <m:oMathPara>
              <m:oMathParaPr>
                <m:jc m:val="center"/>
              </m:oMathParaPr>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π</m:t>
                    </m:r>
                  </m:e>
                  <m:sub>
                    <m:r>
                      <m:rPr>
                        <m:sty m:val="p"/>
                      </m:rPr>
                      <w:rPr>
                        <w:rFonts w:ascii="Cambria Math" w:hAnsi="Cambria Math" w:cs="Arial"/>
                        <w:color w:val="000000" w:themeColor="text1"/>
                        <w:kern w:val="24"/>
                      </w:rPr>
                      <m:t>cop,i</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Tasa TES COP</m:t>
                        </m:r>
                      </m:e>
                      <m:sub>
                        <m:r>
                          <m:rPr>
                            <m:sty m:val="p"/>
                          </m:rPr>
                          <w:rPr>
                            <w:rFonts w:ascii="Cambria Math" w:eastAsia="Cambria Math" w:hAnsi="Cambria Math" w:cs="Arial"/>
                            <w:color w:val="000000" w:themeColor="text1"/>
                            <w:kern w:val="24"/>
                          </w:rPr>
                          <m:t>i</m:t>
                        </m:r>
                      </m:sub>
                    </m:sSub>
                  </m:num>
                  <m:den>
                    <m:r>
                      <m:rPr>
                        <m:sty m:val="p"/>
                      </m:rPr>
                      <w:rPr>
                        <w:rFonts w:ascii="Cambria Math" w:eastAsia="Cambria Math" w:hAnsi="Cambria Math" w:cs="Arial"/>
                        <w:color w:val="000000" w:themeColor="text1"/>
                        <w:kern w:val="24"/>
                      </w:rPr>
                      <m:t>1+</m:t>
                    </m:r>
                    <m:sSub>
                      <m:sSubPr>
                        <m:ctrlPr>
                          <w:rPr>
                            <w:rFonts w:ascii="Cambria Math" w:eastAsiaTheme="minorEastAsia" w:hAnsi="Cambria Math" w:cs="Arial"/>
                            <w:iCs/>
                            <w:color w:val="000000" w:themeColor="text1"/>
                            <w:kern w:val="24"/>
                          </w:rPr>
                        </m:ctrlPr>
                      </m:sSubPr>
                      <m:e>
                        <m:r>
                          <m:rPr>
                            <m:sty m:val="p"/>
                          </m:rPr>
                          <w:rPr>
                            <w:rFonts w:ascii="Cambria Math" w:eastAsiaTheme="minorEastAsia" w:hAnsi="Cambria Math" w:cs="Arial"/>
                            <w:color w:val="000000" w:themeColor="text1"/>
                            <w:kern w:val="24"/>
                          </w:rPr>
                          <m:t>Tasa TES UVR</m:t>
                        </m:r>
                      </m:e>
                      <m:sub>
                        <m:r>
                          <m:rPr>
                            <m:sty m:val="p"/>
                          </m:rPr>
                          <w:rPr>
                            <w:rFonts w:ascii="Cambria Math" w:eastAsiaTheme="minorEastAsia" w:hAnsi="Cambria Math" w:cs="Arial"/>
                            <w:color w:val="000000" w:themeColor="text1"/>
                            <w:kern w:val="24"/>
                          </w:rPr>
                          <m:t>i</m:t>
                        </m:r>
                      </m:sub>
                    </m:sSub>
                  </m:den>
                </m:f>
                <m:r>
                  <m:rPr>
                    <m:sty m:val="p"/>
                  </m:rPr>
                  <w:rPr>
                    <w:rFonts w:ascii="Cambria Math" w:eastAsia="Cambria Math" w:hAnsi="Cambria Math" w:cs="Arial"/>
                    <w:color w:val="000000" w:themeColor="text1"/>
                    <w:kern w:val="24"/>
                  </w:rPr>
                  <m:t>-1</m:t>
                </m:r>
              </m:oMath>
            </m:oMathPara>
          </w:p>
          <w:p w14:paraId="29AAF1DD" w14:textId="77777777" w:rsidR="00C04748" w:rsidRPr="002C7B37" w:rsidRDefault="00C04748" w:rsidP="007F06FE">
            <w:pPr>
              <w:ind w:left="0"/>
              <w:contextualSpacing/>
              <w:jc w:val="both"/>
              <w:rPr>
                <w:rFonts w:ascii="Bookman Old Style" w:hAnsi="Bookman Old Style"/>
                <w:lang w:val="es-ES_tradnl"/>
              </w:rPr>
            </w:pPr>
          </w:p>
          <w:p w14:paraId="1E0D8799" w14:textId="77777777" w:rsidR="00C04748" w:rsidRPr="002C7B37" w:rsidRDefault="00C04748" w:rsidP="007F06FE">
            <w:pPr>
              <w:ind w:left="0"/>
              <w:contextualSpacing/>
              <w:jc w:val="both"/>
              <w:rPr>
                <w:rFonts w:ascii="Bookman Old Style" w:hAnsi="Bookman Old Style"/>
                <w:lang w:val="es-ES_tradnl"/>
              </w:rPr>
            </w:pPr>
            <w:r w:rsidRPr="002C7B37">
              <w:rPr>
                <w:rFonts w:ascii="Bookman Old Style" w:hAnsi="Bookman Old Style"/>
                <w:lang w:val="es-ES_tradnl"/>
              </w:rPr>
              <w:t>En donde i es cada una de las fechas para las que existe información.</w:t>
            </w:r>
          </w:p>
          <w:p w14:paraId="0817CA08" w14:textId="77777777" w:rsidR="00C04748" w:rsidRPr="002C7B37" w:rsidRDefault="00C04748" w:rsidP="007F06FE">
            <w:pPr>
              <w:ind w:left="0"/>
              <w:contextualSpacing/>
              <w:jc w:val="both"/>
              <w:rPr>
                <w:rFonts w:ascii="Bookman Old Style" w:hAnsi="Bookman Old Style"/>
                <w:lang w:val="es-ES_tradnl"/>
              </w:rPr>
            </w:pPr>
          </w:p>
        </w:tc>
      </w:tr>
      <w:tr w:rsidR="00C04748" w:rsidRPr="00F340A2" w14:paraId="5A26437E" w14:textId="77777777" w:rsidTr="007F06FE">
        <w:tc>
          <w:tcPr>
            <w:tcW w:w="1384" w:type="dxa"/>
          </w:tcPr>
          <w:p w14:paraId="22A82BEB" w14:textId="77777777" w:rsidR="00C04748" w:rsidRPr="002C7B37" w:rsidRDefault="00C04748" w:rsidP="007F06FE">
            <w:pPr>
              <w:ind w:left="0"/>
              <w:jc w:val="center"/>
              <w:rPr>
                <w:rFonts w:ascii="Bookman Old Style" w:hAnsi="Bookman Old Style"/>
                <w:b/>
                <w:iCs/>
                <w:color w:val="000000" w:themeColor="text1"/>
                <w:kern w:val="24"/>
              </w:rPr>
            </w:pPr>
            <m:oMathPara>
              <m:oMathParaPr>
                <m:jc m:val="left"/>
              </m:oMathParaPr>
              <m:oMath>
                <m:r>
                  <m:rPr>
                    <m:sty m:val="b"/>
                  </m:rPr>
                  <w:rPr>
                    <w:rFonts w:ascii="Cambria Math" w:hAnsi="Cambria Math"/>
                  </w:rPr>
                  <m:t>a</m:t>
                </m:r>
              </m:oMath>
            </m:oMathPara>
          </w:p>
        </w:tc>
        <w:tc>
          <w:tcPr>
            <w:tcW w:w="284" w:type="dxa"/>
          </w:tcPr>
          <w:p w14:paraId="28A9A100" w14:textId="77777777" w:rsidR="00C04748" w:rsidRPr="002C7B37" w:rsidRDefault="00C04748" w:rsidP="007F06FE">
            <w:pPr>
              <w:ind w:left="0"/>
              <w:jc w:val="both"/>
              <w:rPr>
                <w:rFonts w:ascii="Bookman Old Style" w:hAnsi="Bookman Old Style"/>
                <w:b/>
                <w:iCs/>
                <w:color w:val="000000" w:themeColor="text1"/>
                <w:kern w:val="24"/>
              </w:rPr>
            </w:pPr>
            <w:r w:rsidRPr="002C7B37">
              <w:rPr>
                <w:rFonts w:ascii="Bookman Old Style" w:hAnsi="Bookman Old Style"/>
                <w:b/>
                <w:iCs/>
                <w:color w:val="000000" w:themeColor="text1"/>
                <w:kern w:val="24"/>
              </w:rPr>
              <w:t>:</w:t>
            </w:r>
          </w:p>
        </w:tc>
        <w:tc>
          <w:tcPr>
            <w:tcW w:w="7796" w:type="dxa"/>
            <w:vAlign w:val="center"/>
          </w:tcPr>
          <w:p w14:paraId="0E92538C" w14:textId="77777777" w:rsidR="00C04748" w:rsidRPr="002C7B37" w:rsidRDefault="00C04748" w:rsidP="007F06FE">
            <w:pPr>
              <w:ind w:left="0"/>
              <w:jc w:val="both"/>
              <w:rPr>
                <w:rFonts w:ascii="Bookman Old Style" w:hAnsi="Bookman Old Style" w:cs="Arial"/>
                <w:iCs/>
                <w:color w:val="000000" w:themeColor="text1"/>
                <w:kern w:val="24"/>
              </w:rPr>
            </w:pPr>
            <w:r w:rsidRPr="002C7B37">
              <w:rPr>
                <w:rFonts w:ascii="Bookman Old Style" w:hAnsi="Bookman Old Style" w:cs="Arial"/>
              </w:rPr>
              <w:t xml:space="preserve">Actividades de </w:t>
            </w:r>
            <w:r w:rsidRPr="002C7B37">
              <w:rPr>
                <w:rFonts w:ascii="Bookman Old Style" w:hAnsi="Bookman Old Style"/>
                <w:szCs w:val="20"/>
              </w:rPr>
              <w:t xml:space="preserve">transporte de GLP por ductos y </w:t>
            </w:r>
            <w:r>
              <w:rPr>
                <w:rFonts w:ascii="Bookman Old Style" w:hAnsi="Bookman Old Style"/>
                <w:szCs w:val="20"/>
              </w:rPr>
              <w:t xml:space="preserve">de la </w:t>
            </w:r>
            <w:r w:rsidRPr="002C7B37">
              <w:rPr>
                <w:rFonts w:ascii="Bookman Old Style" w:hAnsi="Bookman Old Style" w:cs="Arial"/>
              </w:rPr>
              <w:t xml:space="preserve">cadena de </w:t>
            </w:r>
            <w:r>
              <w:rPr>
                <w:rFonts w:ascii="Bookman Old Style" w:hAnsi="Bookman Old Style" w:cs="Arial"/>
              </w:rPr>
              <w:t xml:space="preserve">distribución de </w:t>
            </w:r>
            <w:r w:rsidRPr="002C7B37">
              <w:rPr>
                <w:rFonts w:ascii="Bookman Old Style" w:hAnsi="Bookman Old Style" w:cs="Arial"/>
              </w:rPr>
              <w:t>combustibles líquidos, que son reguladas por la CREG</w:t>
            </w:r>
            <w:r w:rsidRPr="002C7B37">
              <w:rPr>
                <w:rFonts w:ascii="Bookman Old Style" w:hAnsi="Bookman Old Style" w:cs="Arial"/>
                <w:iCs/>
                <w:color w:val="000000" w:themeColor="text1"/>
                <w:kern w:val="24"/>
              </w:rPr>
              <w:t>.</w:t>
            </w:r>
          </w:p>
          <w:p w14:paraId="1E9BCD78" w14:textId="77777777" w:rsidR="00C04748" w:rsidRPr="002C7B37" w:rsidRDefault="00C04748" w:rsidP="007F06FE">
            <w:pPr>
              <w:ind w:left="0"/>
              <w:jc w:val="both"/>
              <w:rPr>
                <w:rFonts w:ascii="Bookman Old Style" w:hAnsi="Bookman Old Style" w:cs="Arial"/>
                <w:iCs/>
                <w:color w:val="000000" w:themeColor="text1"/>
                <w:kern w:val="24"/>
              </w:rPr>
            </w:pPr>
          </w:p>
        </w:tc>
      </w:tr>
      <w:tr w:rsidR="00C04748" w:rsidRPr="00F340A2" w14:paraId="288BED81" w14:textId="77777777" w:rsidTr="007F06FE">
        <w:tc>
          <w:tcPr>
            <w:tcW w:w="1384" w:type="dxa"/>
          </w:tcPr>
          <w:p w14:paraId="08F81CE2" w14:textId="77777777" w:rsidR="00C04748" w:rsidRPr="00F340A2" w:rsidRDefault="00C04748" w:rsidP="007F06FE">
            <w:pPr>
              <w:ind w:left="0"/>
              <w:rPr>
                <w:rFonts w:ascii="Bookman Old Style" w:hAnsi="Bookman Old Style"/>
                <w:b/>
                <w:iCs/>
                <w:color w:val="000000" w:themeColor="text1"/>
                <w:kern w:val="24"/>
              </w:rPr>
            </w:pPr>
            <m:oMathPara>
              <m:oMathParaPr>
                <m:jc m:val="left"/>
              </m:oMathParaPr>
              <m:oMath>
                <m:r>
                  <m:rPr>
                    <m:sty m:val="b"/>
                  </m:rPr>
                  <w:rPr>
                    <w:rFonts w:ascii="Cambria Math" w:hAnsi="Cambria Math"/>
                  </w:rPr>
                  <m:t>t</m:t>
                </m:r>
              </m:oMath>
            </m:oMathPara>
          </w:p>
        </w:tc>
        <w:tc>
          <w:tcPr>
            <w:tcW w:w="284" w:type="dxa"/>
          </w:tcPr>
          <w:p w14:paraId="3178B0FE" w14:textId="77777777"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7796" w:type="dxa"/>
            <w:vAlign w:val="center"/>
          </w:tcPr>
          <w:p w14:paraId="7E2ABE29"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Último día del mes anterior a la fecha de cálculo.</w:t>
            </w:r>
          </w:p>
          <w:p w14:paraId="48CE2C72" w14:textId="77777777" w:rsidR="00C04748" w:rsidRPr="00F340A2" w:rsidRDefault="00C04748" w:rsidP="007F06FE">
            <w:pPr>
              <w:ind w:left="0"/>
              <w:jc w:val="both"/>
              <w:rPr>
                <w:rFonts w:ascii="Bookman Old Style" w:hAnsi="Bookman Old Style" w:cs="Arial"/>
                <w:iCs/>
                <w:color w:val="000000" w:themeColor="text1"/>
                <w:kern w:val="24"/>
              </w:rPr>
            </w:pPr>
          </w:p>
        </w:tc>
      </w:tr>
    </w:tbl>
    <w:p w14:paraId="1B232A68" w14:textId="77777777" w:rsidR="00C04748" w:rsidRPr="00F340A2" w:rsidRDefault="00C04748" w:rsidP="00C04748">
      <w:pPr>
        <w:ind w:left="0"/>
        <w:contextualSpacing/>
        <w:jc w:val="both"/>
        <w:rPr>
          <w:rFonts w:ascii="Bookman Old Style" w:hAnsi="Bookman Old Style" w:cs="Arial"/>
        </w:rPr>
      </w:pPr>
    </w:p>
    <w:p w14:paraId="2F1EA8A1"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b/>
        </w:rPr>
        <w:t>Parágrafo 1.</w:t>
      </w:r>
      <w:r w:rsidRPr="00F340A2">
        <w:rPr>
          <w:rFonts w:ascii="Bookman Old Style" w:hAnsi="Bookman Old Style" w:cs="Arial"/>
        </w:rPr>
        <w:t xml:space="preserve"> El costo promedio ponderado de capital en pesos corrientes y antes de impuestos para la actividad a, en el momento t, está dado por la siguiente expresión:</w:t>
      </w:r>
    </w:p>
    <w:p w14:paraId="463801F4" w14:textId="77777777" w:rsidR="00C04748" w:rsidRPr="00F340A2" w:rsidRDefault="00C04748" w:rsidP="00C04748">
      <w:pPr>
        <w:ind w:left="0"/>
        <w:contextualSpacing/>
        <w:jc w:val="both"/>
        <w:rPr>
          <w:rFonts w:ascii="Bookman Old Style" w:hAnsi="Bookman Old Style" w:cs="Arial"/>
        </w:rPr>
      </w:pPr>
    </w:p>
    <w:p w14:paraId="6DAFC2D5" w14:textId="77777777" w:rsidR="00C04748" w:rsidRPr="00F340A2" w:rsidRDefault="00501037" w:rsidP="00C04748">
      <w:pPr>
        <w:ind w:left="0"/>
        <w:contextualSpacing/>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WACC</m:t>
              </m:r>
            </m:e>
            <m:sub>
              <m:r>
                <m:rPr>
                  <m:sty m:val="p"/>
                </m:rPr>
                <w:rPr>
                  <w:rFonts w:ascii="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W</m:t>
              </m:r>
            </m:e>
            <m:sub>
              <m:r>
                <m:rPr>
                  <m:sty m:val="p"/>
                </m:rPr>
                <w:rPr>
                  <w:rFonts w:ascii="Cambria Math" w:eastAsia="Cambria Math" w:hAnsi="Cambria Math" w:cs="Arial"/>
                  <w:color w:val="000000" w:themeColor="text1"/>
                  <w:kern w:val="24"/>
                </w:rPr>
                <m:t>d</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Kd</m:t>
              </m:r>
            </m:e>
            <m:sub>
              <m:r>
                <m:rPr>
                  <m:sty m:val="p"/>
                </m:rPr>
                <w:rPr>
                  <w:rFonts w:ascii="Cambria Math" w:eastAsia="Cambria Math" w:hAnsi="Cambria Math" w:cs="Arial"/>
                  <w:color w:val="000000" w:themeColor="text1"/>
                  <w:kern w:val="24"/>
                </w:rPr>
                <m:t>cop,t</m:t>
              </m:r>
            </m:sub>
          </m:sSub>
          <m:r>
            <m:rPr>
              <m:sty m:val="p"/>
            </m:rPr>
            <w:rPr>
              <w:rFonts w:ascii="Cambria Math" w:eastAsia="Cambria Math" w:hAnsi="Cambria Math" w:cs="Arial"/>
              <w:color w:val="000000" w:themeColor="text1"/>
              <w:kern w:val="24"/>
            </w:rPr>
            <m:t>+</m:t>
          </m:r>
          <m:f>
            <m:fPr>
              <m:ctrlPr>
                <w:rPr>
                  <w:rFonts w:ascii="Cambria Math" w:eastAsia="Cambria Math" w:hAnsi="Cambria Math" w:cs="Arial"/>
                  <w:iCs/>
                  <w:color w:val="000000" w:themeColor="text1"/>
                  <w:kern w:val="24"/>
                </w:rPr>
              </m:ctrlPr>
            </m:fPr>
            <m:num>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W</m:t>
                  </m:r>
                </m:e>
                <m:sub>
                  <m:r>
                    <m:rPr>
                      <m:sty m:val="p"/>
                    </m:rPr>
                    <w:rPr>
                      <w:rFonts w:ascii="Cambria Math" w:eastAsia="Cambria Math" w:hAnsi="Cambria Math" w:cs="Arial"/>
                      <w:color w:val="000000" w:themeColor="text1"/>
                      <w:kern w:val="24"/>
                    </w:rPr>
                    <m:t>e</m:t>
                  </m:r>
                </m:sub>
              </m:sSub>
              <m:r>
                <m:rPr>
                  <m:sty m:val="p"/>
                </m:rPr>
                <w:rPr>
                  <w:rFonts w:ascii="Cambria Math" w:eastAsia="Cambria Math" w:hAnsi="Cambria Math" w:cs="Arial"/>
                  <w:color w:val="000000" w:themeColor="text1"/>
                  <w:kern w:val="24"/>
                </w:rPr>
                <m:t>*</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cop,a,t</m:t>
                  </m:r>
                </m:sub>
              </m:sSub>
            </m:num>
            <m:den>
              <m:d>
                <m:dPr>
                  <m:ctrlPr>
                    <w:rPr>
                      <w:rFonts w:ascii="Cambria Math" w:eastAsia="Cambria Math" w:hAnsi="Cambria Math" w:cs="Arial"/>
                      <w:iCs/>
                      <w:color w:val="000000" w:themeColor="text1"/>
                      <w:kern w:val="24"/>
                    </w:rPr>
                  </m:ctrlPr>
                </m:dPr>
                <m:e>
                  <m:r>
                    <m:rPr>
                      <m:sty m:val="p"/>
                    </m:rPr>
                    <w:rPr>
                      <w:rFonts w:ascii="Cambria Math" w:eastAsia="Cambria Math" w:hAnsi="Cambria Math" w:cs="Arial"/>
                      <w:color w:val="000000" w:themeColor="text1"/>
                      <w:kern w:val="24"/>
                    </w:rPr>
                    <m:t>1-Tx</m:t>
                  </m:r>
                </m:e>
              </m:d>
            </m:den>
          </m:f>
        </m:oMath>
      </m:oMathPara>
    </w:p>
    <w:p w14:paraId="0AD25361" w14:textId="77777777" w:rsidR="00C04748" w:rsidRDefault="00C04748" w:rsidP="00C04748">
      <w:pPr>
        <w:ind w:left="0"/>
        <w:contextualSpacing/>
        <w:jc w:val="both"/>
        <w:rPr>
          <w:rFonts w:ascii="Bookman Old Style" w:hAnsi="Bookman Old Style" w:cs="Arial"/>
        </w:rPr>
      </w:pPr>
    </w:p>
    <w:p w14:paraId="41D5563A"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14:paraId="3059CC6F" w14:textId="77777777" w:rsidR="00C04748" w:rsidRPr="00F340A2" w:rsidRDefault="00C04748" w:rsidP="00C04748">
      <w:pPr>
        <w:ind w:left="0"/>
        <w:contextualSpacing/>
        <w:jc w:val="both"/>
        <w:rPr>
          <w:rFonts w:ascii="Bookman Old Style" w:hAnsi="Bookman Old Style" w:cs="Aria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98"/>
        <w:gridCol w:w="8065"/>
      </w:tblGrid>
      <w:tr w:rsidR="00C04748" w:rsidRPr="00F340A2" w14:paraId="143E2164" w14:textId="77777777" w:rsidTr="007F06FE">
        <w:tc>
          <w:tcPr>
            <w:tcW w:w="1101" w:type="dxa"/>
          </w:tcPr>
          <w:p w14:paraId="00047E3E"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W</m:t>
                    </m:r>
                  </m:e>
                  <m:sub>
                    <m:r>
                      <m:rPr>
                        <m:sty m:val="b"/>
                      </m:rPr>
                      <w:rPr>
                        <w:rFonts w:ascii="Cambria Math" w:eastAsia="Cambria Math" w:hAnsi="Cambria Math" w:cstheme="minorBidi"/>
                        <w:color w:val="000000" w:themeColor="text1"/>
                        <w:kern w:val="24"/>
                      </w:rPr>
                      <m:t>d</m:t>
                    </m:r>
                  </m:sub>
                </m:sSub>
              </m:oMath>
            </m:oMathPara>
          </w:p>
        </w:tc>
        <w:tc>
          <w:tcPr>
            <w:tcW w:w="298" w:type="dxa"/>
          </w:tcPr>
          <w:p w14:paraId="476BC1AD"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14:paraId="0BF1E9B0"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Ponderador para el costo de la deuda. El valor a aplicar para efectos de cálculo es 40%.</w:t>
            </w:r>
          </w:p>
          <w:p w14:paraId="5A9EAC20" w14:textId="77777777" w:rsidR="00C04748" w:rsidRPr="00F340A2" w:rsidRDefault="00C04748" w:rsidP="007F06FE">
            <w:pPr>
              <w:ind w:left="0"/>
              <w:jc w:val="both"/>
              <w:rPr>
                <w:rFonts w:ascii="Bookman Old Style" w:hAnsi="Bookman Old Style"/>
                <w:lang w:val="es-ES_tradnl"/>
              </w:rPr>
            </w:pPr>
          </w:p>
        </w:tc>
      </w:tr>
      <w:tr w:rsidR="00C04748" w:rsidRPr="00F340A2" w14:paraId="68F2F136" w14:textId="77777777" w:rsidTr="007F06FE">
        <w:tc>
          <w:tcPr>
            <w:tcW w:w="1101" w:type="dxa"/>
          </w:tcPr>
          <w:p w14:paraId="2E93C408"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W</m:t>
                    </m:r>
                  </m:e>
                  <m:sub>
                    <m:r>
                      <m:rPr>
                        <m:sty m:val="b"/>
                      </m:rPr>
                      <w:rPr>
                        <w:rFonts w:ascii="Cambria Math" w:eastAsia="Cambria Math" w:hAnsi="Cambria Math" w:cstheme="minorBidi"/>
                        <w:color w:val="000000" w:themeColor="text1"/>
                        <w:kern w:val="24"/>
                      </w:rPr>
                      <m:t>e</m:t>
                    </m:r>
                  </m:sub>
                </m:sSub>
              </m:oMath>
            </m:oMathPara>
          </w:p>
        </w:tc>
        <w:tc>
          <w:tcPr>
            <w:tcW w:w="298" w:type="dxa"/>
          </w:tcPr>
          <w:p w14:paraId="75D4446A"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14:paraId="6B518AB8"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rPr>
              <w:t xml:space="preserve">Ponderador para el costo del capital propio. El valor a aplicar para efectos de cálculo es </w:t>
            </w:r>
            <m:oMath>
              <m:r>
                <m:rPr>
                  <m:sty m:val="p"/>
                </m:rPr>
                <w:rPr>
                  <w:rFonts w:ascii="Cambria Math" w:eastAsiaTheme="minorEastAsia" w:hAnsi="Cambria Math"/>
                  <w:color w:val="000000" w:themeColor="text1"/>
                  <w:kern w:val="24"/>
                </w:rPr>
                <m:t>1-</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d</m:t>
                  </m:r>
                </m:sub>
              </m:sSub>
              <m:r>
                <m:rPr>
                  <m:sty m:val="p"/>
                </m:rPr>
                <w:rPr>
                  <w:rFonts w:ascii="Cambria Math" w:eastAsia="Cambria Math" w:hAnsi="Cambria Math" w:cstheme="minorBidi"/>
                  <w:color w:val="000000" w:themeColor="text1"/>
                  <w:kern w:val="24"/>
                </w:rPr>
                <m:t>=60%</m:t>
              </m:r>
            </m:oMath>
            <w:r w:rsidRPr="00F340A2">
              <w:rPr>
                <w:rFonts w:ascii="Bookman Old Style" w:hAnsi="Bookman Old Style" w:cs="Arial"/>
                <w:iCs/>
                <w:color w:val="000000" w:themeColor="text1"/>
                <w:kern w:val="24"/>
              </w:rPr>
              <w:t>.</w:t>
            </w:r>
          </w:p>
          <w:p w14:paraId="3243AA8F" w14:textId="77777777" w:rsidR="00C04748" w:rsidRPr="00F340A2" w:rsidRDefault="00C04748" w:rsidP="007F06FE">
            <w:pPr>
              <w:ind w:left="0"/>
              <w:jc w:val="both"/>
              <w:rPr>
                <w:rFonts w:ascii="Bookman Old Style" w:hAnsi="Bookman Old Style"/>
                <w:lang w:val="es-ES_tradnl"/>
              </w:rPr>
            </w:pPr>
          </w:p>
        </w:tc>
      </w:tr>
      <w:tr w:rsidR="00C04748" w:rsidRPr="00F340A2" w14:paraId="2FD2A3B4" w14:textId="77777777" w:rsidTr="007F06FE">
        <w:tc>
          <w:tcPr>
            <w:tcW w:w="1101" w:type="dxa"/>
          </w:tcPr>
          <w:p w14:paraId="4B1C8679"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Kd</m:t>
                    </m:r>
                  </m:e>
                  <m:sub>
                    <m:r>
                      <m:rPr>
                        <m:sty m:val="b"/>
                      </m:rPr>
                      <w:rPr>
                        <w:rFonts w:ascii="Cambria Math" w:eastAsia="Cambria Math" w:hAnsi="Cambria Math" w:cs="Arial"/>
                        <w:color w:val="000000" w:themeColor="text1"/>
                        <w:kern w:val="24"/>
                      </w:rPr>
                      <m:t>cop,t</m:t>
                    </m:r>
                  </m:sub>
                </m:sSub>
              </m:oMath>
            </m:oMathPara>
          </w:p>
        </w:tc>
        <w:tc>
          <w:tcPr>
            <w:tcW w:w="298" w:type="dxa"/>
          </w:tcPr>
          <w:p w14:paraId="205FB257"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14:paraId="12497A0B"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 la deuda en pesos en el momento </w:t>
            </w:r>
            <m:oMath>
              <m:r>
                <m:rPr>
                  <m:sty m:val="p"/>
                </m:rPr>
                <w:rPr>
                  <w:rFonts w:ascii="Cambria Math" w:hAnsi="Cambria Math" w:cs="Arial"/>
                </w:rPr>
                <m:t>t</m:t>
              </m:r>
            </m:oMath>
            <w:r w:rsidRPr="00F340A2">
              <w:rPr>
                <w:rFonts w:ascii="Bookman Old Style" w:hAnsi="Bookman Old Style" w:cs="Arial"/>
              </w:rPr>
              <w:t xml:space="preserve">. Corresponde al promedio ponderado, por monto de </w:t>
            </w:r>
            <w:r>
              <w:rPr>
                <w:rFonts w:ascii="Bookman Old Style" w:hAnsi="Bookman Old Style" w:cs="Arial"/>
              </w:rPr>
              <w:t>colocación</w:t>
            </w:r>
            <w:r w:rsidRPr="00F340A2">
              <w:rPr>
                <w:rFonts w:ascii="Bookman Old Style" w:hAnsi="Bookman Old Style" w:cs="Arial"/>
              </w:rPr>
              <w:t>, de las tasas de colocación de créditos comerciales (preferencial o corporativo), a más de 1825 días, del total de establecimientos (no incluye las tasas de las entidades financieras especiales excepto el Fondo Nacional de Ahorro). La información para efectuar el cálculo es publicada por el Banco de la República con base en la información del formato 088 de la Superintendencia Financiera de Colombia.</w:t>
            </w:r>
          </w:p>
          <w:p w14:paraId="27DBA195" w14:textId="77777777" w:rsidR="00C04748" w:rsidRPr="00C520CE" w:rsidRDefault="00C04748" w:rsidP="007F06FE">
            <w:pPr>
              <w:ind w:left="0"/>
              <w:jc w:val="both"/>
              <w:rPr>
                <w:rFonts w:ascii="Bookman Old Style" w:hAnsi="Bookman Old Style"/>
                <w:sz w:val="22"/>
                <w:lang w:val="es-ES_tradnl"/>
              </w:rPr>
            </w:pPr>
          </w:p>
        </w:tc>
      </w:tr>
      <w:tr w:rsidR="00C04748" w:rsidRPr="00F340A2" w14:paraId="16C302AD" w14:textId="77777777" w:rsidTr="007F06FE">
        <w:tc>
          <w:tcPr>
            <w:tcW w:w="1101" w:type="dxa"/>
          </w:tcPr>
          <w:p w14:paraId="3EDEEA50"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Ke</m:t>
                    </m:r>
                  </m:e>
                  <m:sub>
                    <m:r>
                      <m:rPr>
                        <m:sty m:val="b"/>
                      </m:rPr>
                      <w:rPr>
                        <w:rFonts w:ascii="Cambria Math" w:eastAsia="Cambria Math" w:hAnsi="Cambria Math" w:cs="Arial"/>
                        <w:color w:val="000000" w:themeColor="text1"/>
                        <w:kern w:val="24"/>
                      </w:rPr>
                      <m:t>cop,a,t</m:t>
                    </m:r>
                  </m:sub>
                </m:sSub>
              </m:oMath>
            </m:oMathPara>
          </w:p>
        </w:tc>
        <w:tc>
          <w:tcPr>
            <w:tcW w:w="298" w:type="dxa"/>
          </w:tcPr>
          <w:p w14:paraId="08CFC234"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14:paraId="2559EEC7"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del capital propio en pesos, equivalente al costo del capital propio en dólares,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14:paraId="062A1061" w14:textId="77777777" w:rsidR="00C04748" w:rsidRPr="00C520CE" w:rsidRDefault="00C04748" w:rsidP="007F06FE">
            <w:pPr>
              <w:ind w:left="0"/>
              <w:jc w:val="both"/>
              <w:rPr>
                <w:rFonts w:ascii="Bookman Old Style" w:hAnsi="Bookman Old Style"/>
                <w:sz w:val="22"/>
                <w:lang w:val="es-ES_tradnl"/>
              </w:rPr>
            </w:pPr>
          </w:p>
        </w:tc>
      </w:tr>
      <w:tr w:rsidR="00C04748" w:rsidRPr="00F340A2" w14:paraId="28BB32CF" w14:textId="77777777" w:rsidTr="007F06FE">
        <w:tc>
          <w:tcPr>
            <w:tcW w:w="1101" w:type="dxa"/>
          </w:tcPr>
          <w:p w14:paraId="524A6B7B" w14:textId="77777777"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eastAsia="Cambria Math" w:hAnsi="Cambria Math" w:cs="Arial"/>
                    <w:color w:val="000000" w:themeColor="text1"/>
                    <w:kern w:val="24"/>
                  </w:rPr>
                  <m:t>Tx</m:t>
                </m:r>
              </m:oMath>
            </m:oMathPara>
          </w:p>
        </w:tc>
        <w:tc>
          <w:tcPr>
            <w:tcW w:w="298" w:type="dxa"/>
          </w:tcPr>
          <w:p w14:paraId="0C0A3636"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8065" w:type="dxa"/>
            <w:vAlign w:val="center"/>
          </w:tcPr>
          <w:p w14:paraId="376E979D" w14:textId="0BD74699" w:rsidR="00C04748" w:rsidRPr="00F340A2" w:rsidRDefault="00595924" w:rsidP="008E5EAE">
            <w:pPr>
              <w:ind w:left="0"/>
              <w:jc w:val="both"/>
              <w:rPr>
                <w:rFonts w:ascii="Bookman Old Style" w:hAnsi="Bookman Old Style"/>
                <w:lang w:val="es-ES_tradnl"/>
              </w:rPr>
            </w:pPr>
            <w:r>
              <w:rPr>
                <w:rFonts w:ascii="Bookman Old Style" w:hAnsi="Bookman Old Style" w:cs="Arial"/>
              </w:rPr>
              <w:t>Suma de los tributos sobre la renta que aplicaren a las personas jurídicas, establecidos en el Estatuto Tributario vigente a la fecha del cálculo.</w:t>
            </w:r>
          </w:p>
        </w:tc>
      </w:tr>
    </w:tbl>
    <w:p w14:paraId="309901B2" w14:textId="77777777" w:rsidR="00C04748" w:rsidRPr="00C520CE" w:rsidRDefault="00C04748" w:rsidP="00C04748">
      <w:pPr>
        <w:tabs>
          <w:tab w:val="left" w:pos="2550"/>
        </w:tabs>
        <w:ind w:left="1416"/>
        <w:contextualSpacing/>
        <w:jc w:val="both"/>
        <w:rPr>
          <w:rFonts w:ascii="Bookman Old Style" w:hAnsi="Bookman Old Style" w:cs="Arial"/>
          <w:sz w:val="22"/>
        </w:rPr>
      </w:pPr>
    </w:p>
    <w:p w14:paraId="78E2E2FA" w14:textId="77777777" w:rsidR="00C04748" w:rsidRDefault="00C04748" w:rsidP="00C04748">
      <w:pPr>
        <w:ind w:left="0"/>
        <w:contextualSpacing/>
        <w:jc w:val="both"/>
        <w:rPr>
          <w:rFonts w:ascii="Bookman Old Style" w:hAnsi="Bookman Old Style" w:cs="Arial"/>
        </w:rPr>
      </w:pPr>
      <w:r w:rsidRPr="00F340A2">
        <w:rPr>
          <w:rFonts w:ascii="Bookman Old Style" w:hAnsi="Bookman Old Style" w:cs="Arial"/>
          <w:b/>
        </w:rPr>
        <w:t>Parágrafo 2.</w:t>
      </w:r>
      <w:r w:rsidRPr="00F340A2">
        <w:rPr>
          <w:rFonts w:ascii="Bookman Old Style" w:hAnsi="Bookman Old Style" w:cs="Arial"/>
        </w:rPr>
        <w:t xml:space="preserve"> El costo del capital propio en pesos, equivalente al costo del capital propio en dólares,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xml:space="preserve"> está dado por la siguiente expresión:</w:t>
      </w:r>
    </w:p>
    <w:p w14:paraId="332A7E71" w14:textId="77777777" w:rsidR="00C04748" w:rsidRPr="00F340A2" w:rsidRDefault="00501037" w:rsidP="00C04748">
      <w:pPr>
        <w:rPr>
          <w:rFonts w:cs="Arial"/>
        </w:rPr>
      </w:pPr>
      <m:oMathPara>
        <m:oMath>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cop,a,t</m:t>
              </m:r>
            </m:sub>
          </m:sSub>
          <m:r>
            <m:rPr>
              <m:sty m:val="p"/>
            </m:rPr>
            <w:rPr>
              <w:rFonts w:ascii="Cambria Math" w:eastAsia="Cambria Math" w:hAnsi="Cambria Math" w:cs="Arial"/>
              <w:color w:val="000000" w:themeColor="text1"/>
              <w:kern w:val="24"/>
            </w:rPr>
            <m:t>=</m:t>
          </m:r>
          <m:sSup>
            <m:sSupPr>
              <m:ctrlPr>
                <w:rPr>
                  <w:rFonts w:ascii="Cambria Math" w:eastAsiaTheme="minorEastAsia" w:hAnsi="Cambria Math" w:cs="Arial"/>
                  <w:iCs/>
                  <w:color w:val="000000" w:themeColor="text1"/>
                  <w:kern w:val="24"/>
                </w:rPr>
              </m:ctrlPr>
            </m:sSupPr>
            <m:e>
              <m:d>
                <m:dPr>
                  <m:begChr m:val="["/>
                  <m:endChr m:val="]"/>
                  <m:ctrlPr>
                    <w:rPr>
                      <w:rFonts w:ascii="Cambria Math" w:eastAsiaTheme="minorEastAsia" w:hAnsi="Cambria Math" w:cs="Arial"/>
                      <w:iCs/>
                      <w:color w:val="000000" w:themeColor="text1"/>
                      <w:kern w:val="24"/>
                    </w:rPr>
                  </m:ctrlPr>
                </m:dPr>
                <m:e>
                  <m:f>
                    <m:fPr>
                      <m:ctrlPr>
                        <w:rPr>
                          <w:rFonts w:ascii="Cambria Math" w:eastAsiaTheme="minorEastAsia" w:hAnsi="Cambria Math" w:cs="Arial"/>
                          <w:iCs/>
                          <w:color w:val="000000" w:themeColor="text1"/>
                          <w:kern w:val="24"/>
                        </w:rPr>
                      </m:ctrlPr>
                    </m:fPr>
                    <m:num>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Ke</m:t>
                              </m:r>
                            </m:e>
                            <m:sub>
                              <m:r>
                                <m:rPr>
                                  <m:sty m:val="p"/>
                                </m:rPr>
                                <w:rPr>
                                  <w:rFonts w:ascii="Cambria Math" w:eastAsia="Cambria Math" w:hAnsi="Cambria Math" w:cs="Arial"/>
                                  <w:color w:val="000000" w:themeColor="text1"/>
                                  <w:kern w:val="24"/>
                                </w:rPr>
                                <m:t>usd,a,t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r>
                        <m:rPr>
                          <m:sty m:val="p"/>
                        </m:rPr>
                        <w:rPr>
                          <w:rFonts w:ascii="Cambria Math" w:eastAsia="Cambria Math" w:hAnsi="Cambria Math" w:cs="Arial"/>
                          <w:color w:val="000000" w:themeColor="text1"/>
                          <w:kern w:val="24"/>
                        </w:rPr>
                        <m:t>*</m:t>
                      </m:r>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Swap</m:t>
                              </m:r>
                            </m:e>
                            <m:sub>
                              <m:r>
                                <m:rPr>
                                  <m:sty m:val="p"/>
                                </m:rPr>
                                <w:rPr>
                                  <w:rFonts w:ascii="Cambria Math" w:eastAsia="Cambria Math" w:hAnsi="Cambria Math" w:cs="Arial"/>
                                  <w:color w:val="000000" w:themeColor="text1"/>
                                  <w:kern w:val="24"/>
                                </w:rPr>
                                <m:t>cop, n,t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num>
                    <m:den>
                      <m:sSup>
                        <m:sSupPr>
                          <m:ctrlPr>
                            <w:rPr>
                              <w:rFonts w:ascii="Cambria Math" w:eastAsia="Cambria Math" w:hAnsi="Cambria Math" w:cs="Arial"/>
                              <w:iCs/>
                              <w:color w:val="000000" w:themeColor="text1"/>
                              <w:kern w:val="24"/>
                            </w:rPr>
                          </m:ctrlPr>
                        </m:sSupPr>
                        <m:e>
                          <m:r>
                            <m:rPr>
                              <m:sty m:val="p"/>
                            </m:rPr>
                            <w:rPr>
                              <w:rFonts w:ascii="Cambria Math" w:eastAsia="Cambria Math" w:hAnsi="Cambria Math" w:cs="Arial"/>
                              <w:color w:val="000000" w:themeColor="text1"/>
                              <w:kern w:val="24"/>
                            </w:rPr>
                            <m:t>(1+</m:t>
                          </m:r>
                          <m:sSub>
                            <m:sSubPr>
                              <m:ctrlPr>
                                <w:rPr>
                                  <w:rFonts w:ascii="Cambria Math" w:eastAsia="Cambria Math" w:hAnsi="Cambria Math" w:cs="Arial"/>
                                  <w:iCs/>
                                  <w:color w:val="000000" w:themeColor="text1"/>
                                  <w:kern w:val="24"/>
                                </w:rPr>
                              </m:ctrlPr>
                            </m:sSubPr>
                            <m:e>
                              <m:r>
                                <m:rPr>
                                  <m:sty m:val="p"/>
                                </m:rPr>
                                <w:rPr>
                                  <w:rFonts w:ascii="Cambria Math" w:eastAsia="Cambria Math" w:hAnsi="Cambria Math" w:cs="Arial"/>
                                  <w:color w:val="000000" w:themeColor="text1"/>
                                  <w:kern w:val="24"/>
                                </w:rPr>
                                <m:t>Swap</m:t>
                              </m:r>
                            </m:e>
                            <m:sub>
                              <m:r>
                                <m:rPr>
                                  <m:sty m:val="p"/>
                                </m:rPr>
                                <w:rPr>
                                  <w:rFonts w:ascii="Cambria Math" w:eastAsia="Cambria Math" w:hAnsi="Cambria Math" w:cs="Arial"/>
                                  <w:color w:val="000000" w:themeColor="text1"/>
                                  <w:kern w:val="24"/>
                                </w:rPr>
                                <m:t>usd,n,t</m:t>
                              </m:r>
                            </m:sub>
                          </m:sSub>
                          <m:r>
                            <m:rPr>
                              <m:sty m:val="p"/>
                            </m:rPr>
                            <w:rPr>
                              <w:rFonts w:ascii="Cambria Math" w:eastAsia="Cambria Math" w:hAnsi="Cambria Math" w:cs="Arial"/>
                              <w:color w:val="000000" w:themeColor="text1"/>
                              <w:kern w:val="24"/>
                            </w:rPr>
                            <m:t>)</m:t>
                          </m:r>
                        </m:e>
                        <m:sup>
                          <m:r>
                            <m:rPr>
                              <m:sty m:val="p"/>
                            </m:rPr>
                            <w:rPr>
                              <w:rFonts w:ascii="Cambria Math" w:eastAsia="Cambria Math" w:hAnsi="Cambria Math" w:cs="Arial"/>
                              <w:color w:val="000000" w:themeColor="text1"/>
                              <w:kern w:val="24"/>
                            </w:rPr>
                            <m:t>n</m:t>
                          </m:r>
                        </m:sup>
                      </m:sSup>
                    </m:den>
                  </m:f>
                </m:e>
              </m:d>
            </m:e>
            <m:sup>
              <m:f>
                <m:fPr>
                  <m:ctrlPr>
                    <w:rPr>
                      <w:rFonts w:ascii="Cambria Math" w:eastAsiaTheme="minorEastAsia" w:hAnsi="Cambria Math" w:cs="Arial"/>
                      <w:iCs/>
                      <w:color w:val="000000" w:themeColor="text1"/>
                      <w:kern w:val="24"/>
                    </w:rPr>
                  </m:ctrlPr>
                </m:fPr>
                <m:num>
                  <m:r>
                    <m:rPr>
                      <m:sty m:val="p"/>
                    </m:rPr>
                    <w:rPr>
                      <w:rFonts w:ascii="Cambria Math" w:eastAsiaTheme="minorEastAsia" w:hAnsi="Cambria Math" w:cs="Arial"/>
                      <w:color w:val="000000" w:themeColor="text1"/>
                      <w:kern w:val="24"/>
                    </w:rPr>
                    <m:t>1</m:t>
                  </m:r>
                </m:num>
                <m:den>
                  <m:r>
                    <m:rPr>
                      <m:sty m:val="p"/>
                    </m:rPr>
                    <w:rPr>
                      <w:rFonts w:ascii="Cambria Math" w:eastAsiaTheme="minorEastAsia" w:hAnsi="Cambria Math" w:cs="Arial"/>
                      <w:color w:val="000000" w:themeColor="text1"/>
                      <w:kern w:val="24"/>
                    </w:rPr>
                    <m:t>n</m:t>
                  </m:r>
                </m:den>
              </m:f>
            </m:sup>
          </m:sSup>
          <m:r>
            <m:rPr>
              <m:sty m:val="p"/>
            </m:rPr>
            <w:rPr>
              <w:rFonts w:ascii="Cambria Math" w:eastAsiaTheme="minorEastAsia" w:hAnsi="Cambria Math" w:cs="Arial"/>
              <w:color w:val="000000" w:themeColor="text1"/>
              <w:kern w:val="24"/>
            </w:rPr>
            <m:t>-1</m:t>
          </m:r>
        </m:oMath>
      </m:oMathPara>
    </w:p>
    <w:p w14:paraId="00418501"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Donde,</w:t>
      </w:r>
      <w:r>
        <w:rPr>
          <w:rFonts w:ascii="Bookman Old Style" w:hAnsi="Bookman Old Style" w:cs="Arial"/>
        </w:rPr>
        <w:t xml:space="preserve">                                                      </w:t>
      </w:r>
      <w:r w:rsidRPr="00F340A2">
        <w:rPr>
          <w:rFonts w:ascii="Bookman Old Style" w:hAnsi="Bookman Old Style" w:cs="Arial"/>
        </w:rPr>
        <w:t xml:space="preserve"> </w:t>
      </w:r>
    </w:p>
    <w:p w14:paraId="6C982392" w14:textId="77777777" w:rsidR="00C04748" w:rsidRPr="00C520CE" w:rsidRDefault="00C04748" w:rsidP="00C04748">
      <w:pPr>
        <w:ind w:left="0"/>
        <w:contextualSpacing/>
        <w:jc w:val="both"/>
        <w:rPr>
          <w:rFonts w:ascii="Bookman Old Style" w:hAnsi="Bookman Old Style" w:cs="Arial"/>
          <w:sz w:val="20"/>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14:paraId="689C9F54" w14:textId="77777777" w:rsidTr="007F06FE">
        <w:tc>
          <w:tcPr>
            <w:tcW w:w="1384" w:type="dxa"/>
          </w:tcPr>
          <w:p w14:paraId="23997853"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Ke</m:t>
                    </m:r>
                  </m:e>
                  <m:sub>
                    <m:r>
                      <m:rPr>
                        <m:sty m:val="b"/>
                      </m:rPr>
                      <w:rPr>
                        <w:rFonts w:ascii="Cambria Math" w:eastAsia="Cambria Math" w:hAnsi="Cambria Math" w:cs="Arial"/>
                        <w:color w:val="000000" w:themeColor="text1"/>
                        <w:kern w:val="24"/>
                      </w:rPr>
                      <m:t>usd,a,t</m:t>
                    </m:r>
                  </m:sub>
                </m:sSub>
              </m:oMath>
            </m:oMathPara>
          </w:p>
        </w:tc>
        <w:tc>
          <w:tcPr>
            <w:tcW w:w="284" w:type="dxa"/>
          </w:tcPr>
          <w:p w14:paraId="51A9D9C0"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14:paraId="7C136D2B"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Costo del capital propio en dólares, equivalente al costo del capital propio en pesos,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14:paraId="10500355" w14:textId="77777777" w:rsidR="00C04748" w:rsidRPr="00F340A2" w:rsidRDefault="00C04748" w:rsidP="007F06FE">
            <w:pPr>
              <w:ind w:left="0"/>
              <w:jc w:val="both"/>
              <w:rPr>
                <w:rFonts w:ascii="Bookman Old Style" w:hAnsi="Bookman Old Style"/>
                <w:lang w:val="es-ES_tradnl"/>
              </w:rPr>
            </w:pPr>
          </w:p>
        </w:tc>
      </w:tr>
      <w:tr w:rsidR="00C04748" w:rsidRPr="00F340A2" w14:paraId="4459BA50" w14:textId="77777777" w:rsidTr="007F06FE">
        <w:tc>
          <w:tcPr>
            <w:tcW w:w="1384" w:type="dxa"/>
          </w:tcPr>
          <w:p w14:paraId="5B995658" w14:textId="77777777" w:rsidR="00C04748" w:rsidRPr="00F340A2" w:rsidRDefault="00501037" w:rsidP="007F06FE">
            <w:pPr>
              <w:ind w:left="0"/>
              <w:rPr>
                <w:b/>
                <w:iCs/>
                <w:color w:val="000000" w:themeColor="text1"/>
                <w:kern w:val="24"/>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Swap</m:t>
                    </m:r>
                  </m:e>
                  <m:sub>
                    <m:r>
                      <m:rPr>
                        <m:sty m:val="b"/>
                      </m:rPr>
                      <w:rPr>
                        <w:rFonts w:ascii="Cambria Math" w:eastAsia="Cambria Math" w:hAnsi="Cambria Math" w:cs="Arial"/>
                        <w:color w:val="000000" w:themeColor="text1"/>
                        <w:kern w:val="24"/>
                      </w:rPr>
                      <m:t>cop,n,t</m:t>
                    </m:r>
                  </m:sub>
                </m:sSub>
              </m:oMath>
            </m:oMathPara>
          </w:p>
        </w:tc>
        <w:tc>
          <w:tcPr>
            <w:tcW w:w="284" w:type="dxa"/>
          </w:tcPr>
          <w:p w14:paraId="24925F56"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14:paraId="1E603944"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Promedio de la tasa de la curva swap libor peso al plazo </w:t>
            </w:r>
            <m:oMath>
              <m:r>
                <m:rPr>
                  <m:sty m:val="p"/>
                </m:rPr>
                <w:rPr>
                  <w:rFonts w:ascii="Cambria Math" w:hAnsi="Cambria Math" w:cs="Arial"/>
                </w:rPr>
                <m:t>n</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Ticker Bloomberg: CLSWU10 Curncy.</w:t>
            </w:r>
          </w:p>
          <w:p w14:paraId="6C81A311" w14:textId="77777777" w:rsidR="00C04748" w:rsidRPr="00C520CE" w:rsidRDefault="00C04748" w:rsidP="007F06FE">
            <w:pPr>
              <w:ind w:left="0"/>
              <w:jc w:val="both"/>
              <w:rPr>
                <w:rFonts w:ascii="Bookman Old Style" w:hAnsi="Bookman Old Style" w:cs="Arial"/>
                <w:sz w:val="18"/>
              </w:rPr>
            </w:pPr>
          </w:p>
        </w:tc>
      </w:tr>
      <w:tr w:rsidR="00C04748" w:rsidRPr="00F340A2" w14:paraId="51CB20DD" w14:textId="77777777" w:rsidTr="007F06FE">
        <w:tc>
          <w:tcPr>
            <w:tcW w:w="1384" w:type="dxa"/>
          </w:tcPr>
          <w:p w14:paraId="414D61B5" w14:textId="77777777" w:rsidR="00C04748" w:rsidRPr="00F340A2" w:rsidRDefault="00501037" w:rsidP="007F06FE">
            <w:pPr>
              <w:ind w:left="0"/>
              <w:rPr>
                <w:b/>
                <w:iCs/>
                <w:color w:val="000000" w:themeColor="text1"/>
                <w:kern w:val="24"/>
              </w:rPr>
            </w:pPr>
            <m:oMathPara>
              <m:oMathParaPr>
                <m:jc m:val="left"/>
              </m:oMathParaPr>
              <m:oMath>
                <m:sSub>
                  <m:sSubPr>
                    <m:ctrlPr>
                      <w:rPr>
                        <w:rFonts w:ascii="Cambria Math" w:eastAsia="Cambria Math" w:hAnsi="Cambria Math" w:cs="Arial"/>
                        <w:b/>
                        <w:iCs/>
                        <w:color w:val="000000" w:themeColor="text1"/>
                        <w:kern w:val="24"/>
                      </w:rPr>
                    </m:ctrlPr>
                  </m:sSubPr>
                  <m:e>
                    <m:r>
                      <m:rPr>
                        <m:sty m:val="b"/>
                      </m:rPr>
                      <w:rPr>
                        <w:rFonts w:ascii="Cambria Math" w:eastAsia="Cambria Math" w:hAnsi="Cambria Math" w:cs="Arial"/>
                        <w:color w:val="000000" w:themeColor="text1"/>
                        <w:kern w:val="24"/>
                      </w:rPr>
                      <m:t>Swap</m:t>
                    </m:r>
                  </m:e>
                  <m:sub>
                    <m:r>
                      <m:rPr>
                        <m:sty m:val="b"/>
                      </m:rPr>
                      <w:rPr>
                        <w:rFonts w:ascii="Cambria Math" w:eastAsia="Cambria Math" w:hAnsi="Cambria Math" w:cs="Arial"/>
                        <w:color w:val="000000" w:themeColor="text1"/>
                        <w:kern w:val="24"/>
                      </w:rPr>
                      <m:t>usd,n,t</m:t>
                    </m:r>
                  </m:sub>
                </m:sSub>
              </m:oMath>
            </m:oMathPara>
          </w:p>
        </w:tc>
        <w:tc>
          <w:tcPr>
            <w:tcW w:w="284" w:type="dxa"/>
          </w:tcPr>
          <w:p w14:paraId="50AA4401"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14:paraId="2EFFBFBE"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Promedio de la tasa de la curva swap libor al plazo </w:t>
            </w:r>
            <m:oMath>
              <m:r>
                <m:rPr>
                  <m:sty m:val="p"/>
                </m:rPr>
                <w:rPr>
                  <w:rFonts w:ascii="Cambria Math" w:hAnsi="Cambria Math" w:cs="Arial"/>
                </w:rPr>
                <m:t>n</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xml:space="preserve">. </w:t>
            </w:r>
            <w:proofErr w:type="spellStart"/>
            <w:r w:rsidRPr="00F340A2">
              <w:rPr>
                <w:rFonts w:ascii="Bookman Old Style" w:hAnsi="Bookman Old Style" w:cs="Arial"/>
              </w:rPr>
              <w:t>Ticker</w:t>
            </w:r>
            <w:proofErr w:type="spellEnd"/>
            <w:r w:rsidRPr="00F340A2">
              <w:rPr>
                <w:rFonts w:ascii="Bookman Old Style" w:hAnsi="Bookman Old Style" w:cs="Arial"/>
              </w:rPr>
              <w:t xml:space="preserve"> </w:t>
            </w:r>
            <w:proofErr w:type="spellStart"/>
            <w:r w:rsidRPr="00F340A2">
              <w:rPr>
                <w:rFonts w:ascii="Bookman Old Style" w:hAnsi="Bookman Old Style" w:cs="Arial"/>
              </w:rPr>
              <w:t>Bloomberg</w:t>
            </w:r>
            <w:proofErr w:type="spellEnd"/>
            <w:r w:rsidRPr="00F340A2">
              <w:rPr>
                <w:rFonts w:ascii="Bookman Old Style" w:hAnsi="Bookman Old Style" w:cs="Arial"/>
              </w:rPr>
              <w:t>:</w:t>
            </w:r>
            <w:r w:rsidRPr="00F340A2">
              <w:t xml:space="preserve"> </w:t>
            </w:r>
            <w:r w:rsidRPr="00F340A2">
              <w:rPr>
                <w:rFonts w:ascii="Bookman Old Style" w:hAnsi="Bookman Old Style" w:cs="Arial"/>
              </w:rPr>
              <w:t xml:space="preserve">USSWAP10 </w:t>
            </w:r>
            <w:proofErr w:type="spellStart"/>
            <w:r w:rsidRPr="00F340A2">
              <w:rPr>
                <w:rFonts w:ascii="Bookman Old Style" w:hAnsi="Bookman Old Style" w:cs="Arial"/>
              </w:rPr>
              <w:t>Curncy</w:t>
            </w:r>
            <w:proofErr w:type="spellEnd"/>
            <w:r w:rsidRPr="00F340A2">
              <w:rPr>
                <w:rFonts w:ascii="Bookman Old Style" w:hAnsi="Bookman Old Style" w:cs="Arial"/>
              </w:rPr>
              <w:t>.</w:t>
            </w:r>
          </w:p>
          <w:p w14:paraId="246BACA6" w14:textId="77777777" w:rsidR="00C04748" w:rsidRPr="00C520CE" w:rsidRDefault="00C04748" w:rsidP="007F06FE">
            <w:pPr>
              <w:ind w:left="0"/>
              <w:jc w:val="both"/>
              <w:rPr>
                <w:rFonts w:ascii="Bookman Old Style" w:hAnsi="Bookman Old Style" w:cs="Arial"/>
                <w:sz w:val="18"/>
              </w:rPr>
            </w:pPr>
          </w:p>
        </w:tc>
      </w:tr>
      <w:tr w:rsidR="00C04748" w:rsidRPr="00F340A2" w14:paraId="213A71B9" w14:textId="77777777" w:rsidTr="007F06FE">
        <w:tc>
          <w:tcPr>
            <w:tcW w:w="1384" w:type="dxa"/>
          </w:tcPr>
          <w:p w14:paraId="78B89FD7" w14:textId="77777777"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cs="Arial"/>
                  </w:rPr>
                  <m:t>n</m:t>
                </m:r>
              </m:oMath>
            </m:oMathPara>
          </w:p>
        </w:tc>
        <w:tc>
          <w:tcPr>
            <w:tcW w:w="284" w:type="dxa"/>
          </w:tcPr>
          <w:p w14:paraId="5DD8E7FA"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tcPr>
          <w:p w14:paraId="654838CF"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Plazo en años. El valor a aplicar para efectos de cálculo es 10 años.</w:t>
            </w:r>
          </w:p>
          <w:p w14:paraId="1EB858FC" w14:textId="77777777" w:rsidR="00C04748" w:rsidRPr="00F340A2" w:rsidRDefault="00C04748" w:rsidP="007F06FE">
            <w:pPr>
              <w:ind w:left="0"/>
              <w:jc w:val="both"/>
              <w:rPr>
                <w:rFonts w:ascii="Bookman Old Style" w:hAnsi="Bookman Old Style"/>
                <w:lang w:val="es-ES_tradnl"/>
              </w:rPr>
            </w:pPr>
          </w:p>
        </w:tc>
      </w:tr>
    </w:tbl>
    <w:p w14:paraId="5A298632"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b/>
        </w:rPr>
        <w:t>Parágrafo 3.</w:t>
      </w:r>
      <w:r w:rsidRPr="00F340A2">
        <w:rPr>
          <w:rFonts w:ascii="Bookman Old Style" w:hAnsi="Bookman Old Style" w:cs="Arial"/>
        </w:rPr>
        <w:t xml:space="preserve"> El costo del capital propio en dólares, equivalente al costo del capital propio en pesos, para la actividad </w:t>
      </w:r>
      <m:oMath>
        <m:r>
          <m:rPr>
            <m:sty m:val="p"/>
          </m:rPr>
          <w:rPr>
            <w:rFonts w:ascii="Cambria Math" w:hAnsi="Cambria Math" w:cs="Arial"/>
          </w:rPr>
          <m:t>a</m:t>
        </m:r>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 está dado por la siguiente expresión:</w:t>
      </w:r>
    </w:p>
    <w:p w14:paraId="060E0AA7" w14:textId="77777777" w:rsidR="00C04748" w:rsidRPr="00F340A2" w:rsidRDefault="00C04748" w:rsidP="00C04748">
      <w:pPr>
        <w:ind w:left="0"/>
        <w:contextualSpacing/>
        <w:jc w:val="both"/>
        <w:rPr>
          <w:rFonts w:ascii="Bookman Old Style" w:hAnsi="Bookman Old Style" w:cs="Arial"/>
          <w:lang w:val="es-ES_tradnl"/>
        </w:rPr>
      </w:pPr>
    </w:p>
    <w:p w14:paraId="63BB5E04" w14:textId="77777777" w:rsidR="00C04748" w:rsidRPr="00F340A2" w:rsidRDefault="00501037" w:rsidP="00C04748">
      <w:pPr>
        <w:ind w:left="0"/>
        <w:contextualSpacing/>
        <w:jc w:val="both"/>
        <w:rPr>
          <w:rFonts w:ascii="Bookman Old Style" w:hAnsi="Bookman Old Style" w:cs="Arial"/>
          <w:lang w:val="es-ES_tradnl"/>
        </w:rPr>
      </w:pPr>
      <m:oMathPara>
        <m:oMath>
          <m:sSub>
            <m:sSubPr>
              <m:ctrlPr>
                <w:rPr>
                  <w:rFonts w:ascii="Cambria Math" w:eastAsiaTheme="minorEastAsia" w:hAnsi="Cambria Math" w:cstheme="minorBidi"/>
                  <w:iCs/>
                  <w:color w:val="000000" w:themeColor="text1"/>
                  <w:kern w:val="24"/>
                </w:rPr>
              </m:ctrlPr>
            </m:sSubPr>
            <m:e>
              <m:r>
                <m:rPr>
                  <m:sty m:val="p"/>
                </m:rPr>
                <w:rPr>
                  <w:rFonts w:ascii="Cambria Math" w:hAnsi="Cambria Math" w:cstheme="minorBidi"/>
                  <w:color w:val="000000" w:themeColor="text1"/>
                  <w:kern w:val="24"/>
                </w:rPr>
                <m:t>Ke</m:t>
              </m:r>
            </m:e>
            <m:sub>
              <m:r>
                <m:rPr>
                  <m:sty m:val="p"/>
                </m:rPr>
                <w:rPr>
                  <w:rFonts w:ascii="Cambria Math" w:hAnsi="Cambria Math" w:cstheme="minorBidi"/>
                  <w:color w:val="000000" w:themeColor="text1"/>
                  <w:kern w:val="24"/>
                </w:rPr>
                <m:t>usd,a,t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f,t</m:t>
              </m:r>
            </m:sub>
          </m:sSub>
          <m:r>
            <m:rPr>
              <m:sty m:val="p"/>
            </m:rPr>
            <w:rPr>
              <w:rFonts w:ascii="Cambria Math" w:eastAsia="Cambria Math" w:hAnsi="Cambria Math" w:cstheme="minorBidi"/>
              <w:color w:val="000000" w:themeColor="text1"/>
              <w:kern w:val="24"/>
            </w:rPr>
            <m:t>+</m:t>
          </m:r>
          <m:d>
            <m:dPr>
              <m:ctrlPr>
                <w:rPr>
                  <w:rFonts w:ascii="Cambria Math" w:eastAsia="Cambria Math" w:hAnsi="Cambria Math" w:cstheme="minorBidi"/>
                  <w:iCs/>
                  <w:color w:val="000000" w:themeColor="text1"/>
                  <w:kern w:val="24"/>
                </w:rPr>
              </m:ctrlPr>
            </m:dPr>
            <m:e>
              <m:sSub>
                <m:sSubPr>
                  <m:ctrlPr>
                    <w:rPr>
                      <w:rFonts w:ascii="Cambria Math" w:eastAsia="Cambria Math" w:hAnsi="Cambria Math" w:cstheme="minorBidi"/>
                      <w:iCs/>
                      <w:color w:val="000000" w:themeColor="text1"/>
                      <w:kern w:val="24"/>
                    </w:rPr>
                  </m:ctrlPr>
                </m:sSubPr>
                <m:e>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L,t</m:t>
                      </m:r>
                    </m:sub>
                  </m:sSub>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m,t</m:t>
                  </m:r>
                </m:sub>
              </m:sSub>
            </m:e>
          </m:d>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p,t</m:t>
              </m:r>
            </m:sub>
          </m:sSub>
          <m: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R</m:t>
              </m:r>
            </m:e>
            <m:sub>
              <m:r>
                <m:rPr>
                  <m:sty m:val="p"/>
                </m:rPr>
                <w:rPr>
                  <w:rFonts w:ascii="Cambria Math" w:eastAsia="Cambria Math" w:hAnsi="Cambria Math" w:cstheme="minorBidi"/>
                  <w:color w:val="000000" w:themeColor="text1"/>
                  <w:kern w:val="24"/>
                </w:rPr>
                <m:t>r,a</m:t>
              </m:r>
            </m:sub>
          </m:sSub>
        </m:oMath>
      </m:oMathPara>
    </w:p>
    <w:p w14:paraId="2612A5E2" w14:textId="77777777" w:rsidR="00C04748" w:rsidRPr="00F340A2" w:rsidRDefault="00C04748" w:rsidP="00C04748">
      <w:pPr>
        <w:ind w:left="0"/>
        <w:contextualSpacing/>
        <w:jc w:val="both"/>
        <w:rPr>
          <w:rFonts w:ascii="Bookman Old Style" w:hAnsi="Bookman Old Style" w:cs="Arial"/>
          <w:lang w:val="es-ES_tradnl"/>
        </w:rPr>
      </w:pPr>
    </w:p>
    <w:p w14:paraId="34728E31" w14:textId="77777777" w:rsidR="00C04748" w:rsidRPr="00F340A2" w:rsidRDefault="00C04748" w:rsidP="00C04748">
      <w:pPr>
        <w:ind w:left="0"/>
        <w:contextualSpacing/>
        <w:jc w:val="both"/>
        <w:rPr>
          <w:rFonts w:ascii="Bookman Old Style" w:hAnsi="Bookman Old Style" w:cs="Arial"/>
          <w:lang w:val="es-ES_tradnl"/>
        </w:rPr>
      </w:pPr>
      <w:r w:rsidRPr="00F340A2">
        <w:rPr>
          <w:rFonts w:ascii="Bookman Old Style" w:hAnsi="Bookman Old Style" w:cs="Arial"/>
          <w:lang w:val="es-ES_tradnl"/>
        </w:rPr>
        <w:t>Donde,</w:t>
      </w:r>
    </w:p>
    <w:p w14:paraId="29C5C565" w14:textId="77777777" w:rsidR="00C04748" w:rsidRPr="00F340A2" w:rsidRDefault="00C04748" w:rsidP="00C04748">
      <w:pPr>
        <w:ind w:left="0"/>
        <w:contextualSpacing/>
        <w:jc w:val="both"/>
        <w:rPr>
          <w:rFonts w:ascii="Bookman Old Style" w:hAnsi="Bookman Old Style" w:cs="Arial"/>
          <w:lang w:val="es-ES_tradn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7796"/>
      </w:tblGrid>
      <w:tr w:rsidR="00C04748" w:rsidRPr="00F340A2" w14:paraId="218E60A4" w14:textId="77777777" w:rsidTr="007F06FE">
        <w:tc>
          <w:tcPr>
            <w:tcW w:w="1384" w:type="dxa"/>
          </w:tcPr>
          <w:p w14:paraId="23327422" w14:textId="77777777" w:rsidR="00C04748" w:rsidRPr="00F340A2" w:rsidRDefault="00501037" w:rsidP="007F06FE">
            <w:pPr>
              <w:ind w:left="0"/>
              <w:rPr>
                <w:rFonts w:ascii="Bookman Old Style" w:hAnsi="Bookman Old Style"/>
                <w:b/>
                <w:lang w:val="es-ES_tradnl"/>
              </w:rPr>
            </w:p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f,t</m:t>
                  </m:r>
                </m:sub>
              </m:sSub>
            </m:oMath>
            <w:r w:rsidR="00C04748" w:rsidRPr="00F340A2">
              <w:rPr>
                <w:rFonts w:ascii="Bookman Old Style" w:hAnsi="Bookman Old Style"/>
                <w:b/>
                <w:iCs/>
                <w:color w:val="000000" w:themeColor="text1"/>
                <w:kern w:val="24"/>
              </w:rPr>
              <w:t xml:space="preserve"> </w:t>
            </w:r>
          </w:p>
        </w:tc>
        <w:tc>
          <w:tcPr>
            <w:tcW w:w="284" w:type="dxa"/>
          </w:tcPr>
          <w:p w14:paraId="619DF7EB"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14:paraId="043CDBB9"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 xml:space="preserve">Promedio de la tasa </w:t>
            </w:r>
            <w:r w:rsidRPr="00F340A2">
              <w:rPr>
                <w:rFonts w:ascii="Bookman Old Style" w:hAnsi="Bookman Old Style" w:cs="Arial"/>
              </w:rPr>
              <w:t xml:space="preserve">libre de riesgo en el momento </w:t>
            </w:r>
            <m:oMath>
              <m:r>
                <m:rPr>
                  <m:sty m:val="p"/>
                </m:rPr>
                <w:rPr>
                  <w:rFonts w:ascii="Cambria Math" w:hAnsi="Cambria Math" w:cs="Arial"/>
                </w:rPr>
                <m:t>t</m:t>
              </m:r>
            </m:oMath>
            <w:r w:rsidRPr="00F340A2">
              <w:rPr>
                <w:rFonts w:ascii="Bookman Old Style" w:hAnsi="Bookman Old Style" w:cs="Arial"/>
              </w:rPr>
              <w:t>. Mid yield del bono de los Estados Unidos de América a 10 años. Ticker Bloomberg: USGG10YR Index.</w:t>
            </w:r>
          </w:p>
          <w:p w14:paraId="2DC60A85" w14:textId="77777777" w:rsidR="00C04748" w:rsidRPr="00F340A2" w:rsidRDefault="00C04748" w:rsidP="007F06FE">
            <w:pPr>
              <w:ind w:left="0"/>
              <w:jc w:val="both"/>
              <w:rPr>
                <w:rFonts w:ascii="Bookman Old Style" w:hAnsi="Bookman Old Style"/>
                <w:lang w:val="es-ES_tradnl"/>
              </w:rPr>
            </w:pPr>
          </w:p>
        </w:tc>
      </w:tr>
      <w:tr w:rsidR="00C04748" w:rsidRPr="00F340A2" w14:paraId="3668F3F9" w14:textId="77777777" w:rsidTr="007F06FE">
        <w:tc>
          <w:tcPr>
            <w:tcW w:w="1384" w:type="dxa"/>
          </w:tcPr>
          <w:p w14:paraId="6E1E42A0"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L,t</m:t>
                    </m:r>
                  </m:sub>
                </m:sSub>
              </m:oMath>
            </m:oMathPara>
          </w:p>
        </w:tc>
        <w:tc>
          <w:tcPr>
            <w:tcW w:w="284" w:type="dxa"/>
          </w:tcPr>
          <w:p w14:paraId="19EEE62B"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796" w:type="dxa"/>
            <w:vAlign w:val="center"/>
          </w:tcPr>
          <w:p w14:paraId="7D00C4C7"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Beta apalancado en el momento </w:t>
            </w:r>
            <m:oMath>
              <m:r>
                <m:rPr>
                  <m:sty m:val="p"/>
                </m:rPr>
                <w:rPr>
                  <w:rFonts w:ascii="Cambria Math" w:hAnsi="Cambria Math" w:cs="Arial"/>
                </w:rPr>
                <m:t>t</m:t>
              </m:r>
            </m:oMath>
            <w:r w:rsidRPr="00F340A2">
              <w:rPr>
                <w:rFonts w:ascii="Bookman Old Style" w:hAnsi="Bookman Old Style" w:cs="Arial"/>
              </w:rPr>
              <w:t>, donde:</w:t>
            </w:r>
          </w:p>
          <w:p w14:paraId="2189F93C" w14:textId="77777777" w:rsidR="00C04748" w:rsidRPr="00F340A2" w:rsidRDefault="00C04748" w:rsidP="007F06FE">
            <w:pPr>
              <w:ind w:left="0"/>
              <w:jc w:val="both"/>
              <w:rPr>
                <w:rFonts w:ascii="Bookman Old Style" w:hAnsi="Bookman Old Style" w:cs="Arial"/>
              </w:rPr>
            </w:pPr>
          </w:p>
          <w:p w14:paraId="452B3ED9" w14:textId="77777777" w:rsidR="00C04748" w:rsidRPr="00F340A2" w:rsidRDefault="00501037" w:rsidP="007F06FE">
            <w:pPr>
              <w:ind w:left="0"/>
              <w:jc w:val="both"/>
              <w:rPr>
                <w:rFonts w:ascii="Bookman Old Style" w:hAnsi="Bookman Old Style" w:cs="Arial"/>
              </w:rPr>
            </w:pPr>
            <m:oMathPara>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L,t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r>
                  <m:rPr>
                    <m:sty m:val="p"/>
                  </m:rPr>
                  <w:rPr>
                    <w:rFonts w:ascii="Cambria Math" w:eastAsia="Cambria Math" w:hAnsi="Cambria Math" w:cstheme="minorBidi"/>
                    <w:color w:val="000000" w:themeColor="text1"/>
                    <w:kern w:val="24"/>
                  </w:rPr>
                  <m:t>*</m:t>
                </m:r>
                <m:d>
                  <m:dPr>
                    <m:ctrlPr>
                      <w:rPr>
                        <w:rFonts w:ascii="Cambria Math" w:eastAsia="Cambria Math" w:hAnsi="Cambria Math" w:cstheme="minorBidi"/>
                        <w:color w:val="000000" w:themeColor="text1"/>
                        <w:kern w:val="24"/>
                      </w:rPr>
                    </m:ctrlPr>
                  </m:dPr>
                  <m:e>
                    <m:r>
                      <m:rPr>
                        <m:sty m:val="p"/>
                      </m:rPr>
                      <w:rPr>
                        <w:rFonts w:ascii="Cambria Math" w:eastAsia="Cambria Math" w:hAnsi="Cambria Math" w:cstheme="minorBidi"/>
                        <w:color w:val="000000" w:themeColor="text1"/>
                        <w:kern w:val="24"/>
                      </w:rPr>
                      <m:t>1+</m:t>
                    </m:r>
                    <m:d>
                      <m:dPr>
                        <m:ctrlPr>
                          <w:rPr>
                            <w:rFonts w:ascii="Cambria Math" w:eastAsia="Cambria Math" w:hAnsi="Cambria Math" w:cstheme="minorBidi"/>
                            <w:iCs/>
                            <w:color w:val="000000" w:themeColor="text1"/>
                            <w:kern w:val="24"/>
                          </w:rPr>
                        </m:ctrlPr>
                      </m:dPr>
                      <m:e>
                        <m:r>
                          <m:rPr>
                            <m:sty m:val="p"/>
                          </m:rPr>
                          <w:rPr>
                            <w:rFonts w:ascii="Cambria Math" w:eastAsia="Cambria Math" w:hAnsi="Cambria Math" w:cstheme="minorBidi"/>
                            <w:color w:val="000000" w:themeColor="text1"/>
                            <w:kern w:val="24"/>
                          </w:rPr>
                          <m:t>1-Tx</m:t>
                        </m:r>
                      </m:e>
                    </m:d>
                    <m:f>
                      <m:fPr>
                        <m:ctrlPr>
                          <w:rPr>
                            <w:rFonts w:ascii="Cambria Math" w:eastAsia="Cambria Math" w:hAnsi="Cambria Math" w:cstheme="minorBidi"/>
                            <w:iCs/>
                            <w:color w:val="000000" w:themeColor="text1"/>
                            <w:kern w:val="24"/>
                          </w:rPr>
                        </m:ctrlPr>
                      </m:fPr>
                      <m:num>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d</m:t>
                            </m:r>
                          </m:sub>
                        </m:sSub>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W</m:t>
                            </m:r>
                          </m:e>
                          <m:sub>
                            <m:r>
                              <m:rPr>
                                <m:sty m:val="p"/>
                              </m:rPr>
                              <w:rPr>
                                <w:rFonts w:ascii="Cambria Math" w:eastAsia="Cambria Math" w:hAnsi="Cambria Math" w:cstheme="minorBidi"/>
                                <w:color w:val="000000" w:themeColor="text1"/>
                                <w:kern w:val="24"/>
                              </w:rPr>
                              <m:t>e</m:t>
                            </m:r>
                          </m:sub>
                        </m:sSub>
                      </m:den>
                    </m:f>
                  </m:e>
                </m:d>
              </m:oMath>
            </m:oMathPara>
          </w:p>
          <w:p w14:paraId="2716F2AF" w14:textId="77777777" w:rsidR="00C04748" w:rsidRPr="00F340A2" w:rsidRDefault="00C04748" w:rsidP="007F06FE">
            <w:pPr>
              <w:ind w:left="0"/>
              <w:jc w:val="both"/>
              <w:rPr>
                <w:rFonts w:ascii="Bookman Old Style" w:hAnsi="Bookman Old Style"/>
                <w:lang w:val="es-ES_tradnl"/>
              </w:rPr>
            </w:pPr>
          </w:p>
        </w:tc>
      </w:tr>
      <w:tr w:rsidR="00C04748" w:rsidRPr="00F340A2" w14:paraId="4AA8C3B0" w14:textId="77777777" w:rsidTr="007F06FE">
        <w:tc>
          <w:tcPr>
            <w:tcW w:w="1384" w:type="dxa"/>
          </w:tcPr>
          <w:p w14:paraId="73646D79" w14:textId="77777777" w:rsidR="00C04748" w:rsidRPr="00F340A2" w:rsidRDefault="00C04748" w:rsidP="007F06FE">
            <w:pPr>
              <w:ind w:left="0"/>
              <w:rPr>
                <w:rFonts w:ascii="Bookman Old Style" w:hAnsi="Bookman Old Style"/>
                <w:b/>
                <w:lang w:val="es-ES_tradnl"/>
              </w:rPr>
            </w:pPr>
            <m:oMathPara>
              <m:oMathParaPr>
                <m:jc m:val="left"/>
              </m:oMathParaPr>
              <m:oMath>
                <m:r>
                  <m:rPr>
                    <m:sty m:val="bi"/>
                  </m:rPr>
                  <w:rPr>
                    <w:rFonts w:ascii="Cambria Math" w:hAnsi="Cambria Math"/>
                    <w:lang w:val="es-ES_tradnl"/>
                  </w:rPr>
                  <m:t xml:space="preserve"> </m:t>
                </m:r>
                <m:sSub>
                  <m:sSubPr>
                    <m:ctrlPr>
                      <w:rPr>
                        <w:rFonts w:ascii="Cambria Math" w:hAnsi="Cambria Math"/>
                        <w:b/>
                        <w:iCs/>
                        <w:lang w:val="es-ES_tradnl"/>
                      </w:rPr>
                    </m:ctrlPr>
                  </m:sSubPr>
                  <m:e>
                    <m:r>
                      <m:rPr>
                        <m:sty m:val="b"/>
                      </m:rPr>
                      <w:rPr>
                        <w:rFonts w:ascii="Cambria Math" w:hAnsi="Cambria Math"/>
                      </w:rPr>
                      <m:t>R</m:t>
                    </m:r>
                  </m:e>
                  <m:sub>
                    <m:r>
                      <m:rPr>
                        <m:sty m:val="b"/>
                      </m:rPr>
                      <w:rPr>
                        <w:rFonts w:ascii="Cambria Math" w:hAnsi="Cambria Math"/>
                      </w:rPr>
                      <m:t>m,t</m:t>
                    </m:r>
                  </m:sub>
                </m:sSub>
              </m:oMath>
            </m:oMathPara>
          </w:p>
        </w:tc>
        <w:tc>
          <w:tcPr>
            <w:tcW w:w="284" w:type="dxa"/>
          </w:tcPr>
          <w:p w14:paraId="6EC8A8E0" w14:textId="77777777" w:rsidR="00C04748" w:rsidRPr="00F340A2" w:rsidRDefault="00C04748" w:rsidP="007F06FE">
            <w:pPr>
              <w:ind w:left="0"/>
              <w:rPr>
                <w:rFonts w:ascii="Bookman Old Style" w:hAnsi="Bookman Old Style" w:cs="Arial"/>
                <w:b/>
                <w:iCs/>
              </w:rPr>
            </w:pPr>
            <w:r w:rsidRPr="00F340A2">
              <w:rPr>
                <w:rFonts w:ascii="Bookman Old Style" w:hAnsi="Bookman Old Style" w:cs="Arial"/>
                <w:b/>
                <w:iCs/>
              </w:rPr>
              <w:t>:</w:t>
            </w:r>
          </w:p>
        </w:tc>
        <w:tc>
          <w:tcPr>
            <w:tcW w:w="7796" w:type="dxa"/>
            <w:vAlign w:val="center"/>
          </w:tcPr>
          <w:p w14:paraId="23038533"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iCs/>
              </w:rPr>
              <w:t>Promedio de la p</w:t>
            </w:r>
            <w:r w:rsidRPr="00F340A2">
              <w:rPr>
                <w:rFonts w:ascii="Bookman Old Style" w:hAnsi="Bookman Old Style" w:cs="Arial"/>
                <w:iCs/>
                <w:lang w:val="es-ES_tradnl"/>
              </w:rPr>
              <w:t xml:space="preserve">rima de mercado en el momento </w:t>
            </w:r>
            <m:oMath>
              <m:r>
                <m:rPr>
                  <m:sty m:val="p"/>
                </m:rPr>
                <w:rPr>
                  <w:rFonts w:ascii="Cambria Math" w:hAnsi="Cambria Math"/>
                </w:rPr>
                <m:t>t</m:t>
              </m:r>
            </m:oMath>
            <w:r w:rsidRPr="00F340A2">
              <w:rPr>
                <w:rFonts w:ascii="Bookman Old Style" w:hAnsi="Bookman Old Style" w:cs="Arial"/>
              </w:rPr>
              <w:t xml:space="preserve">. Corresponde al promedio aritmético de las primas de mercado anuales, estimadas a partir del Standard &amp; Poor’s 500 y de los bonos de los Estados Unidos de América con plazo de emisión a 10 años, desde 1928 hasta el año anterior a la fecha de cálculo, según publicación en </w:t>
            </w:r>
            <w:r w:rsidRPr="00577AEB">
              <w:rPr>
                <w:rFonts w:ascii="Bookman Old Style" w:hAnsi="Bookman Old Style" w:cs="Arial"/>
                <w:sz w:val="16"/>
              </w:rPr>
              <w:t>http://www.stern.nyu.edu/~adamodar/pc/datasets/histretSP.xls.</w:t>
            </w:r>
          </w:p>
          <w:p w14:paraId="5919B7B0" w14:textId="77777777" w:rsidR="00C04748" w:rsidRPr="00F340A2" w:rsidRDefault="00C04748" w:rsidP="007F06FE">
            <w:pPr>
              <w:ind w:left="0"/>
              <w:jc w:val="both"/>
              <w:rPr>
                <w:rFonts w:ascii="Bookman Old Style" w:hAnsi="Bookman Old Style"/>
                <w:lang w:val="es-ES_tradnl"/>
              </w:rPr>
            </w:pPr>
          </w:p>
        </w:tc>
      </w:tr>
      <w:tr w:rsidR="00C04748" w:rsidRPr="00F340A2" w14:paraId="0E105791" w14:textId="77777777" w:rsidTr="007F06FE">
        <w:tc>
          <w:tcPr>
            <w:tcW w:w="1384" w:type="dxa"/>
          </w:tcPr>
          <w:p w14:paraId="47680E3B"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p,t</m:t>
                    </m:r>
                  </m:sub>
                </m:sSub>
              </m:oMath>
            </m:oMathPara>
          </w:p>
        </w:tc>
        <w:tc>
          <w:tcPr>
            <w:tcW w:w="284" w:type="dxa"/>
          </w:tcPr>
          <w:p w14:paraId="7DF6B85C"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14:paraId="7D0B93D5"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Promedio de la p</w:t>
            </w:r>
            <w:r w:rsidRPr="00F340A2">
              <w:rPr>
                <w:rFonts w:ascii="Bookman Old Style" w:hAnsi="Bookman Old Style" w:cs="Arial"/>
              </w:rPr>
              <w:t xml:space="preserve">rima por riesgo país en el momento </w:t>
            </w:r>
            <m:oMath>
              <m:r>
                <m:rPr>
                  <m:sty m:val="p"/>
                </m:rPr>
                <w:rPr>
                  <w:rFonts w:ascii="Cambria Math" w:hAnsi="Cambria Math" w:cs="Arial"/>
                </w:rPr>
                <m:t>t</m:t>
              </m:r>
            </m:oMath>
            <w:r w:rsidRPr="00F340A2">
              <w:rPr>
                <w:rFonts w:ascii="Bookman Old Style" w:hAnsi="Bookman Old Style" w:cs="Arial"/>
              </w:rPr>
              <w:t xml:space="preserve">. Se calcula como la diferencia entre el promedio del CDS de 10 años de Colombia (Ticker Bloomberg: COLOM CDS USD SR 10Y CBIN </w:t>
            </w:r>
            <w:proofErr w:type="spellStart"/>
            <w:r w:rsidRPr="00F340A2">
              <w:rPr>
                <w:rFonts w:ascii="Bookman Old Style" w:hAnsi="Bookman Old Style" w:cs="Arial"/>
              </w:rPr>
              <w:t>Corp</w:t>
            </w:r>
            <w:proofErr w:type="spellEnd"/>
            <w:r w:rsidRPr="00F340A2">
              <w:rPr>
                <w:rFonts w:ascii="Bookman Old Style" w:hAnsi="Bookman Old Style" w:cs="Arial"/>
              </w:rPr>
              <w:t>) y el promedio del CDS de 10 años de Estados Unidos (</w:t>
            </w:r>
            <w:proofErr w:type="spellStart"/>
            <w:r w:rsidRPr="00F340A2">
              <w:rPr>
                <w:rFonts w:ascii="Bookman Old Style" w:hAnsi="Bookman Old Style" w:cs="Arial"/>
              </w:rPr>
              <w:t>Ticker</w:t>
            </w:r>
            <w:proofErr w:type="spellEnd"/>
            <w:r w:rsidRPr="00F340A2">
              <w:rPr>
                <w:rFonts w:ascii="Bookman Old Style" w:hAnsi="Bookman Old Style" w:cs="Arial"/>
              </w:rPr>
              <w:t xml:space="preserve"> </w:t>
            </w:r>
            <w:proofErr w:type="spellStart"/>
            <w:r w:rsidRPr="00F340A2">
              <w:rPr>
                <w:rFonts w:ascii="Bookman Old Style" w:hAnsi="Bookman Old Style" w:cs="Arial"/>
              </w:rPr>
              <w:t>Bloomberg</w:t>
            </w:r>
            <w:proofErr w:type="spellEnd"/>
            <w:r w:rsidRPr="00F340A2">
              <w:rPr>
                <w:rFonts w:ascii="Bookman Old Style" w:hAnsi="Bookman Old Style" w:cs="Arial"/>
              </w:rPr>
              <w:t xml:space="preserve">: US CDS EUR SR 10Y </w:t>
            </w:r>
            <w:proofErr w:type="spellStart"/>
            <w:r w:rsidRPr="00F340A2">
              <w:rPr>
                <w:rFonts w:ascii="Bookman Old Style" w:hAnsi="Bookman Old Style" w:cs="Arial"/>
              </w:rPr>
              <w:t>Corp</w:t>
            </w:r>
            <w:proofErr w:type="spellEnd"/>
            <w:r w:rsidRPr="00F340A2">
              <w:rPr>
                <w:rFonts w:ascii="Bookman Old Style" w:hAnsi="Bookman Old Style" w:cs="Arial"/>
              </w:rPr>
              <w:t>).</w:t>
            </w:r>
          </w:p>
          <w:p w14:paraId="403360AB" w14:textId="77777777" w:rsidR="00C04748" w:rsidRPr="00F340A2" w:rsidRDefault="00C04748" w:rsidP="007F06FE">
            <w:pPr>
              <w:ind w:left="0"/>
              <w:jc w:val="both"/>
              <w:rPr>
                <w:rFonts w:ascii="Bookman Old Style" w:hAnsi="Bookman Old Style"/>
                <w:lang w:val="es-ES_tradnl"/>
              </w:rPr>
            </w:pPr>
          </w:p>
        </w:tc>
      </w:tr>
      <w:tr w:rsidR="00C04748" w:rsidRPr="00F340A2" w14:paraId="36B9AC54" w14:textId="77777777" w:rsidTr="007F06FE">
        <w:tc>
          <w:tcPr>
            <w:tcW w:w="1384" w:type="dxa"/>
          </w:tcPr>
          <w:p w14:paraId="23FC082E"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R</m:t>
                    </m:r>
                  </m:e>
                  <m:sub>
                    <m:r>
                      <m:rPr>
                        <m:sty m:val="b"/>
                      </m:rPr>
                      <w:rPr>
                        <w:rFonts w:ascii="Cambria Math" w:eastAsia="Cambria Math" w:hAnsi="Cambria Math" w:cstheme="minorBidi"/>
                        <w:color w:val="000000" w:themeColor="text1"/>
                        <w:kern w:val="24"/>
                      </w:rPr>
                      <m:t>r,a</m:t>
                    </m:r>
                  </m:sub>
                </m:sSub>
              </m:oMath>
            </m:oMathPara>
          </w:p>
        </w:tc>
        <w:tc>
          <w:tcPr>
            <w:tcW w:w="284" w:type="dxa"/>
          </w:tcPr>
          <w:p w14:paraId="16D29086"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796" w:type="dxa"/>
            <w:vAlign w:val="center"/>
          </w:tcPr>
          <w:p w14:paraId="26FF26EB" w14:textId="77777777" w:rsidR="00C04748" w:rsidRPr="00F340A2" w:rsidRDefault="00C04748" w:rsidP="007F06FE">
            <w:pPr>
              <w:ind w:left="0"/>
              <w:jc w:val="both"/>
              <w:rPr>
                <w:rFonts w:ascii="Bookman Old Style" w:hAnsi="Bookman Old Style"/>
                <w:lang w:val="es-ES_tradnl"/>
              </w:rPr>
            </w:pPr>
            <w:r w:rsidRPr="00F340A2">
              <w:rPr>
                <w:rFonts w:ascii="Bookman Old Style" w:hAnsi="Bookman Old Style" w:cs="Arial"/>
                <w:iCs/>
                <w:color w:val="000000" w:themeColor="text1"/>
                <w:kern w:val="24"/>
              </w:rPr>
              <w:t>P</w:t>
            </w:r>
            <w:r w:rsidRPr="00F340A2">
              <w:rPr>
                <w:rFonts w:ascii="Bookman Old Style" w:hAnsi="Bookman Old Style" w:cs="Arial"/>
              </w:rPr>
              <w:t xml:space="preserve">rima por </w:t>
            </w:r>
            <w:r w:rsidRPr="00F340A2">
              <w:rPr>
                <w:rFonts w:ascii="Bookman Old Style" w:hAnsi="Bookman Old Style" w:cs="Arial"/>
                <w:iCs/>
                <w:color w:val="000000" w:themeColor="text1"/>
                <w:kern w:val="24"/>
              </w:rPr>
              <w:t xml:space="preserve">diferencias entre el esquema de remuneración del mercado de referencia (Estados Unidos de América) y el esquema aplicado </w:t>
            </w:r>
            <w:r w:rsidRPr="00F340A2">
              <w:rPr>
                <w:rFonts w:ascii="Bookman Old Style" w:hAnsi="Bookman Old Style" w:cs="Arial"/>
              </w:rPr>
              <w:t xml:space="preserve">en Colombia para la actividad </w:t>
            </w:r>
            <m:oMath>
              <m:r>
                <m:rPr>
                  <m:sty m:val="p"/>
                </m:rPr>
                <w:rPr>
                  <w:rFonts w:ascii="Cambria Math" w:hAnsi="Cambria Math" w:cs="Arial"/>
                </w:rPr>
                <m:t>a</m:t>
              </m:r>
            </m:oMath>
            <w:r w:rsidRPr="00F340A2">
              <w:rPr>
                <w:rFonts w:ascii="Bookman Old Style" w:hAnsi="Bookman Old Style" w:cs="Arial"/>
              </w:rPr>
              <w:t xml:space="preserve">. El valor para efectos de cálculo de cada actividad será publicado en resolución aparte y considerará, en cada caso, la </w:t>
            </w:r>
            <w:r w:rsidRPr="00F340A2">
              <w:rPr>
                <w:rFonts w:ascii="Bookman Old Style" w:hAnsi="Bookman Old Style" w:cs="Arial"/>
                <w:iCs/>
                <w:color w:val="000000" w:themeColor="text1"/>
                <w:kern w:val="24"/>
              </w:rPr>
              <w:t>nueva metodología de remuneración que se encuentre en proceso de ser adoptada por la CREG.</w:t>
            </w:r>
          </w:p>
          <w:p w14:paraId="2584CEBA" w14:textId="77777777" w:rsidR="00C04748" w:rsidRDefault="00C04748" w:rsidP="007F06FE">
            <w:pPr>
              <w:ind w:left="0"/>
              <w:jc w:val="both"/>
              <w:rPr>
                <w:rFonts w:ascii="Bookman Old Style" w:hAnsi="Bookman Old Style"/>
                <w:lang w:val="es-ES_tradnl"/>
              </w:rPr>
            </w:pPr>
          </w:p>
          <w:p w14:paraId="72FB88BD" w14:textId="77777777" w:rsidR="00C04748" w:rsidRPr="00F340A2" w:rsidRDefault="00C04748" w:rsidP="007F06FE">
            <w:pPr>
              <w:ind w:left="0"/>
              <w:jc w:val="both"/>
              <w:rPr>
                <w:rFonts w:ascii="Bookman Old Style" w:hAnsi="Bookman Old Style"/>
                <w:lang w:val="es-ES_tradnl"/>
              </w:rPr>
            </w:pPr>
          </w:p>
        </w:tc>
      </w:tr>
    </w:tbl>
    <w:p w14:paraId="0C14DB20" w14:textId="77777777" w:rsidR="00C04748" w:rsidRPr="00F340A2" w:rsidRDefault="00C04748" w:rsidP="00C04748">
      <w:pPr>
        <w:ind w:left="0"/>
        <w:jc w:val="both"/>
        <w:rPr>
          <w:rFonts w:ascii="Bookman Old Style" w:hAnsi="Bookman Old Style" w:cs="Arial"/>
        </w:rPr>
      </w:pPr>
      <w:r w:rsidRPr="00F340A2">
        <w:rPr>
          <w:rFonts w:ascii="Bookman Old Style" w:hAnsi="Bookman Old Style" w:cs="Arial"/>
          <w:b/>
          <w:iCs/>
          <w:color w:val="000000" w:themeColor="text1"/>
          <w:kern w:val="24"/>
        </w:rPr>
        <w:t xml:space="preserve">Parágrafo 4. </w:t>
      </w:r>
      <w:proofErr w:type="gramStart"/>
      <w:r w:rsidRPr="00F340A2">
        <w:rPr>
          <w:rFonts w:ascii="Bookman Old Style" w:hAnsi="Bookman Old Style" w:cs="Arial"/>
          <w:lang w:val="es-ES_tradnl"/>
        </w:rPr>
        <w:t>El beta</w:t>
      </w:r>
      <w:proofErr w:type="gramEnd"/>
      <w:r w:rsidRPr="00F340A2">
        <w:rPr>
          <w:rFonts w:ascii="Bookman Old Style" w:hAnsi="Bookman Old Style" w:cs="Arial"/>
          <w:lang w:val="es-ES_tradnl"/>
        </w:rPr>
        <w:t xml:space="preserve"> </w:t>
      </w:r>
      <w:proofErr w:type="spellStart"/>
      <w:r w:rsidRPr="00F340A2">
        <w:rPr>
          <w:rFonts w:ascii="Bookman Old Style" w:hAnsi="Bookman Old Style" w:cs="Arial"/>
          <w:lang w:val="es-ES_tradnl"/>
        </w:rPr>
        <w:t>desapalancado</w:t>
      </w:r>
      <w:proofErr w:type="spellEnd"/>
      <w:r w:rsidRPr="00F340A2">
        <w:rPr>
          <w:rFonts w:ascii="Bookman Old Style" w:hAnsi="Bookman Old Style" w:cs="Arial"/>
          <w:lang w:val="es-ES_tradnl"/>
        </w:rPr>
        <w:t xml:space="preserve"> </w:t>
      </w:r>
      <w:r w:rsidRPr="00F340A2">
        <w:rPr>
          <w:rFonts w:ascii="Bookman Old Style" w:hAnsi="Bookman Old Style" w:cs="Arial"/>
          <w:iCs/>
          <w:lang w:val="es-ES_tradnl"/>
        </w:rPr>
        <w:t>está dado por la siguiente expresión:</w:t>
      </w:r>
    </w:p>
    <w:p w14:paraId="17270E7A" w14:textId="77777777" w:rsidR="00C04748" w:rsidRPr="00F340A2" w:rsidRDefault="00C04748" w:rsidP="00C04748">
      <w:pPr>
        <w:ind w:left="0"/>
        <w:contextualSpacing/>
        <w:jc w:val="both"/>
        <w:rPr>
          <w:rFonts w:ascii="Bookman Old Style" w:hAnsi="Bookman Old Style" w:cs="Arial"/>
        </w:rPr>
      </w:pPr>
    </w:p>
    <w:p w14:paraId="50632C78" w14:textId="77777777" w:rsidR="00C04748" w:rsidRPr="00F340A2" w:rsidRDefault="00501037" w:rsidP="00C04748">
      <w:pPr>
        <w:ind w:left="0"/>
        <w:contextualSpacing/>
        <w:jc w:val="both"/>
        <w:rPr>
          <w:rFonts w:ascii="Bookman Old Style" w:hAnsi="Bookman Old Style" w:cs="Arial"/>
        </w:rPr>
      </w:pPr>
      <m:oMathPara>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r>
            <m:rPr>
              <m:sty m:val="p"/>
            </m:rPr>
            <w:rPr>
              <w:rFonts w:ascii="Cambria Math" w:eastAsia="Cambria Math" w:hAnsi="Cambria Math" w:cstheme="minorBidi"/>
              <w:color w:val="000000" w:themeColor="text1"/>
              <w:kern w:val="24"/>
            </w:rPr>
            <m:t>=</m:t>
          </m:r>
          <m:f>
            <m:fPr>
              <m:ctrlPr>
                <w:rPr>
                  <w:rFonts w:ascii="Cambria Math" w:eastAsia="Cambria Math" w:hAnsi="Cambria Math" w:cstheme="minorBidi"/>
                  <w:iCs/>
                  <w:color w:val="000000" w:themeColor="text1"/>
                  <w:kern w:val="24"/>
                </w:rPr>
              </m:ctrlPr>
            </m:fPr>
            <m:num>
              <m:f>
                <m:fPr>
                  <m:ctrlPr>
                    <w:rPr>
                      <w:rFonts w:ascii="Cambria Math" w:eastAsia="Cambria Math" w:hAnsi="Cambria Math" w:cstheme="minorBidi"/>
                      <w:iCs/>
                      <w:color w:val="000000" w:themeColor="text1"/>
                      <w:kern w:val="24"/>
                    </w:rPr>
                  </m:ctrlPr>
                </m:fPr>
                <m:num>
                  <m:nary>
                    <m:naryPr>
                      <m:chr m:val="∑"/>
                      <m:limLoc m:val="undOvr"/>
                      <m:ctrlPr>
                        <w:rPr>
                          <w:rFonts w:ascii="Cambria Math" w:eastAsia="Cambria Math" w:hAnsi="Cambria Math" w:cstheme="minorBidi"/>
                          <w:iCs/>
                          <w:color w:val="000000" w:themeColor="text1"/>
                          <w:kern w:val="24"/>
                        </w:rPr>
                      </m:ctrlPr>
                    </m:naryPr>
                    <m:sub>
                      <m:r>
                        <m:rPr>
                          <m:sty m:val="p"/>
                        </m:rPr>
                        <w:rPr>
                          <w:rFonts w:ascii="Cambria Math" w:eastAsia="Cambria Math" w:hAnsi="Cambria Math" w:cstheme="minorBidi"/>
                          <w:color w:val="000000" w:themeColor="text1"/>
                          <w:kern w:val="24"/>
                        </w:rPr>
                        <m:t>i=1</m:t>
                      </m:r>
                    </m:sub>
                    <m:sup>
                      <m:r>
                        <m:rPr>
                          <m:sty m:val="p"/>
                        </m:rPr>
                        <w:rPr>
                          <w:rFonts w:ascii="Cambria Math" w:eastAsia="Cambria Math" w:hAnsi="Cambria Math" w:cstheme="minorBidi"/>
                          <w:color w:val="000000" w:themeColor="text1"/>
                          <w:kern w:val="24"/>
                        </w:rPr>
                        <m:t>NE</m:t>
                      </m:r>
                    </m:sup>
                    <m:e>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i,t</m:t>
                          </m:r>
                        </m:sub>
                      </m:sSub>
                      <m:r>
                        <m:rPr>
                          <m:sty m:val="p"/>
                        </m:rPr>
                        <w:rPr>
                          <w:rFonts w:ascii="Cambria Math" w:eastAsia="Cambria Math" w:hAnsi="Cambria Math" w:cstheme="minorBidi"/>
                          <w:color w:val="000000" w:themeColor="text1"/>
                          <w:kern w:val="24"/>
                        </w:rPr>
                        <m:t>*</m:t>
                      </m:r>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m:t>
                          </m:r>
                        </m:e>
                        <m:sub>
                          <m:r>
                            <m:rPr>
                              <m:sty m:val="p"/>
                            </m:rPr>
                            <w:rPr>
                              <w:rFonts w:ascii="Cambria Math" w:eastAsia="Cambria Math" w:hAnsi="Cambria Math" w:cstheme="minorBidi"/>
                              <w:color w:val="000000" w:themeColor="text1"/>
                              <w:kern w:val="24"/>
                            </w:rPr>
                            <m:t>i,t</m:t>
                          </m:r>
                        </m:sub>
                      </m:sSub>
                    </m:e>
                  </m:nary>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Mkt_Cap_Total</m:t>
                      </m:r>
                    </m:e>
                    <m:sub>
                      <m:r>
                        <m:rPr>
                          <m:sty m:val="p"/>
                        </m:rPr>
                        <w:rPr>
                          <w:rFonts w:ascii="Cambria Math" w:eastAsia="Cambria Math" w:hAnsi="Cambria Math" w:cstheme="minorBidi"/>
                          <w:color w:val="000000" w:themeColor="text1"/>
                          <w:kern w:val="24"/>
                        </w:rPr>
                        <m:t>t</m:t>
                      </m:r>
                    </m:sub>
                  </m:sSub>
                </m:den>
              </m:f>
            </m:num>
            <m:den>
              <m:d>
                <m:dPr>
                  <m:ctrlPr>
                    <w:rPr>
                      <w:rFonts w:ascii="Cambria Math" w:eastAsia="Cambria Math" w:hAnsi="Cambria Math" w:cstheme="minorBidi"/>
                      <w:color w:val="000000" w:themeColor="text1"/>
                      <w:kern w:val="24"/>
                    </w:rPr>
                  </m:ctrlPr>
                </m:dPr>
                <m:e>
                  <m:r>
                    <m:rPr>
                      <m:sty m:val="p"/>
                    </m:rPr>
                    <w:rPr>
                      <w:rFonts w:ascii="Cambria Math" w:eastAsia="Cambria Math" w:hAnsi="Cambria Math" w:cstheme="minorBidi"/>
                      <w:color w:val="000000" w:themeColor="text1"/>
                      <w:kern w:val="24"/>
                    </w:rPr>
                    <m:t>1+</m:t>
                  </m:r>
                  <m:d>
                    <m:dPr>
                      <m:ctrlPr>
                        <w:rPr>
                          <w:rFonts w:ascii="Cambria Math" w:eastAsia="Cambria Math" w:hAnsi="Cambria Math" w:cstheme="minorBidi"/>
                          <w:iCs/>
                          <w:color w:val="000000" w:themeColor="text1"/>
                          <w:kern w:val="24"/>
                        </w:rPr>
                      </m:ctrlPr>
                    </m:dPr>
                    <m:e>
                      <m:r>
                        <m:rPr>
                          <m:sty m:val="p"/>
                        </m:rPr>
                        <w:rPr>
                          <w:rFonts w:ascii="Cambria Math" w:eastAsia="Cambria Math" w:hAnsi="Cambria Math" w:cstheme="minorBidi"/>
                          <w:color w:val="000000" w:themeColor="text1"/>
                          <w:kern w:val="24"/>
                        </w:rPr>
                        <m:t>1-Corp_Tax</m:t>
                      </m:r>
                    </m:e>
                  </m:d>
                  <m:f>
                    <m:fPr>
                      <m:ctrlPr>
                        <w:rPr>
                          <w:rFonts w:ascii="Cambria Math" w:eastAsia="Cambria Math" w:hAnsi="Cambria Math" w:cstheme="minorBidi"/>
                          <w:iCs/>
                          <w:color w:val="000000" w:themeColor="text1"/>
                          <w:kern w:val="24"/>
                        </w:rPr>
                      </m:ctrlPr>
                    </m:fPr>
                    <m:num>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Debt_Total</m:t>
                          </m:r>
                        </m:e>
                        <m:sub>
                          <m:r>
                            <m:rPr>
                              <m:sty m:val="p"/>
                            </m:rPr>
                            <w:rPr>
                              <w:rFonts w:ascii="Cambria Math" w:eastAsia="Cambria Math" w:hAnsi="Cambria Math" w:cstheme="minorBidi"/>
                              <w:color w:val="000000" w:themeColor="text1"/>
                              <w:kern w:val="24"/>
                            </w:rPr>
                            <m:t>t</m:t>
                          </m:r>
                        </m:sub>
                      </m:sSub>
                    </m:num>
                    <m:den>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Mkt_Cap_Total</m:t>
                          </m:r>
                        </m:e>
                        <m:sub>
                          <m:r>
                            <m:rPr>
                              <m:sty m:val="p"/>
                            </m:rPr>
                            <w:rPr>
                              <w:rFonts w:ascii="Cambria Math" w:eastAsia="Cambria Math" w:hAnsi="Cambria Math" w:cstheme="minorBidi"/>
                              <w:color w:val="000000" w:themeColor="text1"/>
                              <w:kern w:val="24"/>
                            </w:rPr>
                            <m:t>t</m:t>
                          </m:r>
                        </m:sub>
                      </m:sSub>
                    </m:den>
                  </m:f>
                </m:e>
              </m:d>
            </m:den>
          </m:f>
        </m:oMath>
      </m:oMathPara>
    </w:p>
    <w:p w14:paraId="07ADE2BF" w14:textId="77777777" w:rsidR="00C04748" w:rsidRPr="00F340A2" w:rsidRDefault="00C04748" w:rsidP="00C04748">
      <w:pPr>
        <w:ind w:left="0"/>
        <w:contextualSpacing/>
        <w:jc w:val="both"/>
        <w:rPr>
          <w:rFonts w:ascii="Bookman Old Style" w:hAnsi="Bookman Old Style" w:cs="Arial"/>
        </w:rPr>
      </w:pPr>
    </w:p>
    <w:p w14:paraId="34E0631F" w14:textId="77777777" w:rsidR="00C04748" w:rsidRPr="00F340A2" w:rsidRDefault="00C04748" w:rsidP="00C04748">
      <w:pPr>
        <w:ind w:left="0"/>
        <w:contextualSpacing/>
        <w:jc w:val="both"/>
        <w:rPr>
          <w:rFonts w:ascii="Bookman Old Style" w:hAnsi="Bookman Old Style" w:cs="Arial"/>
        </w:rPr>
      </w:pPr>
      <w:r w:rsidRPr="00F340A2">
        <w:rPr>
          <w:rFonts w:ascii="Bookman Old Style" w:hAnsi="Bookman Old Style" w:cs="Arial"/>
        </w:rPr>
        <w:t xml:space="preserve">Donde, </w:t>
      </w:r>
    </w:p>
    <w:p w14:paraId="1F477CC6" w14:textId="77777777" w:rsidR="00C04748" w:rsidRDefault="00C04748" w:rsidP="00C04748">
      <w:pPr>
        <w:ind w:left="0"/>
        <w:contextualSpacing/>
        <w:jc w:val="both"/>
        <w:rPr>
          <w:rFonts w:ascii="Bookman Old Style" w:hAnsi="Bookman Old Style" w:cs="Arial"/>
        </w:rPr>
      </w:pPr>
    </w:p>
    <w:p w14:paraId="148A699C" w14:textId="77777777" w:rsidR="00C04748" w:rsidRPr="00F340A2" w:rsidRDefault="00C04748" w:rsidP="00C04748">
      <w:pPr>
        <w:ind w:left="0"/>
        <w:contextualSpacing/>
        <w:jc w:val="both"/>
        <w:rPr>
          <w:rFonts w:ascii="Bookman Old Style" w:hAnsi="Bookman Old Style" w:cs="Arial"/>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088"/>
      </w:tblGrid>
      <w:tr w:rsidR="00C04748" w:rsidRPr="00F340A2" w14:paraId="277B7E9C" w14:textId="77777777" w:rsidTr="007F06FE">
        <w:tc>
          <w:tcPr>
            <w:tcW w:w="2093" w:type="dxa"/>
          </w:tcPr>
          <w:p w14:paraId="1D02498F" w14:textId="77777777" w:rsidR="00C04748" w:rsidRPr="00F340A2" w:rsidRDefault="00501037" w:rsidP="007F06FE">
            <w:pPr>
              <w:ind w:left="0"/>
              <w:rPr>
                <w:rFonts w:ascii="Bookman Old Style" w:hAnsi="Bookman Old Style"/>
                <w:b/>
                <w:lang w:val="es-ES_tradnl"/>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U,t</m:t>
                    </m:r>
                  </m:sub>
                </m:sSub>
              </m:oMath>
            </m:oMathPara>
          </w:p>
        </w:tc>
        <w:tc>
          <w:tcPr>
            <w:tcW w:w="283" w:type="dxa"/>
          </w:tcPr>
          <w:p w14:paraId="7BCCBC27"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785B0FC3"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iCs/>
                <w:color w:val="000000" w:themeColor="text1"/>
                <w:kern w:val="24"/>
              </w:rPr>
              <w:t>B</w:t>
            </w:r>
            <w:r w:rsidRPr="00F340A2">
              <w:rPr>
                <w:rFonts w:ascii="Bookman Old Style" w:hAnsi="Bookman Old Style" w:cs="Arial"/>
              </w:rPr>
              <w:t xml:space="preserve">eta </w:t>
            </w:r>
            <w:proofErr w:type="spellStart"/>
            <w:r w:rsidRPr="00F340A2">
              <w:rPr>
                <w:rFonts w:ascii="Bookman Old Style" w:hAnsi="Bookman Old Style" w:cs="Arial"/>
              </w:rPr>
              <w:t>desapalancado</w:t>
            </w:r>
            <w:proofErr w:type="spellEnd"/>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cs="Arial"/>
              </w:rPr>
              <w:t>.</w:t>
            </w:r>
          </w:p>
          <w:p w14:paraId="5878A5BF" w14:textId="77777777" w:rsidR="00C04748" w:rsidRPr="00F340A2" w:rsidRDefault="00C04748" w:rsidP="007F06FE">
            <w:pPr>
              <w:ind w:left="0"/>
              <w:rPr>
                <w:rFonts w:ascii="Bookman Old Style" w:hAnsi="Bookman Old Style"/>
              </w:rPr>
            </w:pPr>
          </w:p>
        </w:tc>
      </w:tr>
      <w:tr w:rsidR="00C04748" w:rsidRPr="00F340A2" w14:paraId="66B306B7" w14:textId="77777777" w:rsidTr="007F06FE">
        <w:tc>
          <w:tcPr>
            <w:tcW w:w="2093" w:type="dxa"/>
          </w:tcPr>
          <w:p w14:paraId="47B4E191" w14:textId="77777777" w:rsidR="00C04748" w:rsidRPr="00F340A2" w:rsidRDefault="00501037"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β</m:t>
                    </m:r>
                  </m:e>
                  <m:sub>
                    <m:r>
                      <m:rPr>
                        <m:sty m:val="b"/>
                      </m:rPr>
                      <w:rPr>
                        <w:rFonts w:ascii="Cambria Math" w:eastAsia="Cambria Math" w:hAnsi="Cambria Math" w:cstheme="minorBidi"/>
                        <w:color w:val="000000" w:themeColor="text1"/>
                        <w:kern w:val="24"/>
                      </w:rPr>
                      <m:t>i,t</m:t>
                    </m:r>
                  </m:sub>
                </m:sSub>
              </m:oMath>
            </m:oMathPara>
          </w:p>
        </w:tc>
        <w:tc>
          <w:tcPr>
            <w:tcW w:w="283" w:type="dxa"/>
          </w:tcPr>
          <w:p w14:paraId="013E48AD"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4D76D5E3"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rPr>
              <w:t>B</w:t>
            </w:r>
            <w:r w:rsidRPr="00F340A2">
              <w:rPr>
                <w:rFonts w:ascii="Bookman Old Style" w:hAnsi="Bookman Old Style"/>
                <w:lang w:val="es-ES_tradnl"/>
              </w:rPr>
              <w:t xml:space="preserve">eta apalancado de cada una de las empresas seleccionadas para efectuar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rPr>
              <w:t xml:space="preserve">, en el momento </w:t>
            </w:r>
            <m:oMath>
              <m:r>
                <m:rPr>
                  <m:sty m:val="p"/>
                </m:rPr>
                <w:rPr>
                  <w:rFonts w:ascii="Cambria Math" w:hAnsi="Cambria Math" w:cs="Arial"/>
                </w:rPr>
                <m:t>t.</m:t>
              </m:r>
            </m:oMath>
            <w:r w:rsidRPr="00F340A2">
              <w:rPr>
                <w:rFonts w:ascii="Bookman Old Style" w:hAnsi="Bookman Old Style"/>
                <w:iCs/>
                <w:color w:val="000000" w:themeColor="text1"/>
                <w:kern w:val="24"/>
              </w:rPr>
              <w:t xml:space="preserve"> </w:t>
            </w:r>
            <w:r w:rsidRPr="00F340A2">
              <w:rPr>
                <w:rFonts w:ascii="Bookman Old Style" w:hAnsi="Bookman Old Style"/>
                <w:lang w:val="es-ES_tradnl"/>
              </w:rPr>
              <w:t xml:space="preserve">Se calcula a partir de los retornos diarios de los últimos 60 meses, contados a partir del último día del mes anterior a la fecha de cálculo. </w:t>
            </w:r>
            <w:r w:rsidRPr="00F340A2">
              <w:rPr>
                <w:rFonts w:ascii="Bookman Old Style" w:hAnsi="Bookman Old Style" w:cs="Arial"/>
                <w:iCs/>
                <w:color w:val="000000" w:themeColor="text1"/>
                <w:kern w:val="24"/>
              </w:rPr>
              <w:t>En donde i es cada una de las empresas consideradas para el cálculo.</w:t>
            </w:r>
          </w:p>
          <w:p w14:paraId="62F8326A"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1679E2E0" w14:textId="77777777" w:rsidTr="007F06FE">
        <w:tc>
          <w:tcPr>
            <w:tcW w:w="2093" w:type="dxa"/>
          </w:tcPr>
          <w:p w14:paraId="7D157E22" w14:textId="77777777" w:rsidR="00C04748" w:rsidRPr="00F340A2" w:rsidRDefault="00501037"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Mkt_Cap</m:t>
                    </m:r>
                  </m:e>
                  <m:sub>
                    <m:r>
                      <m:rPr>
                        <m:sty m:val="b"/>
                      </m:rPr>
                      <w:rPr>
                        <w:rFonts w:ascii="Cambria Math" w:eastAsia="Cambria Math" w:hAnsi="Cambria Math" w:cstheme="minorBidi"/>
                        <w:color w:val="000000" w:themeColor="text1"/>
                        <w:kern w:val="24"/>
                      </w:rPr>
                      <m:t>i,t</m:t>
                    </m:r>
                  </m:sub>
                </m:sSub>
              </m:oMath>
            </m:oMathPara>
          </w:p>
        </w:tc>
        <w:tc>
          <w:tcPr>
            <w:tcW w:w="283" w:type="dxa"/>
          </w:tcPr>
          <w:p w14:paraId="3C94CE85"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33C39B02"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capitalización bursátil (en </w:t>
            </w:r>
            <w:proofErr w:type="spellStart"/>
            <w:r w:rsidRPr="00F340A2">
              <w:rPr>
                <w:rFonts w:ascii="Bookman Old Style" w:hAnsi="Bookman Old Style" w:cs="Arial"/>
                <w:iCs/>
                <w:color w:val="000000" w:themeColor="text1"/>
                <w:kern w:val="24"/>
              </w:rPr>
              <w:t>Bloomberg</w:t>
            </w:r>
            <w:proofErr w:type="spellEnd"/>
            <w:r w:rsidRPr="00F340A2">
              <w:rPr>
                <w:rFonts w:ascii="Bookman Old Style" w:hAnsi="Bookman Old Style" w:cs="Arial"/>
                <w:iCs/>
                <w:color w:val="000000" w:themeColor="text1"/>
                <w:kern w:val="24"/>
              </w:rPr>
              <w:t xml:space="preserve"> identificada como </w:t>
            </w:r>
            <w:r w:rsidRPr="00F340A2">
              <w:rPr>
                <w:rFonts w:ascii="Bookman Old Style" w:hAnsi="Bookman Old Style" w:cs="Arial"/>
                <w:iCs/>
                <w:color w:val="000000" w:themeColor="text1"/>
                <w:kern w:val="24"/>
              </w:rPr>
              <w:lastRenderedPageBreak/>
              <w:t xml:space="preserve">CUR_MKT_CAP) de la empresa </w:t>
            </w:r>
            <m:oMath>
              <m:r>
                <m:rPr>
                  <m:sty m:val="p"/>
                </m:rPr>
                <w:rPr>
                  <w:rFonts w:ascii="Cambria Math" w:hAnsi="Cambria Math" w:cs="Arial"/>
                </w:rPr>
                <m:t>i</m:t>
              </m:r>
            </m:oMath>
            <w:r w:rsidRPr="00F340A2">
              <w:rPr>
                <w:rFonts w:ascii="Bookman Old Style" w:hAnsi="Bookman Old Style" w:cs="Arial"/>
              </w:rPr>
              <w:t xml:space="preserve">, </w:t>
            </w:r>
            <w:r w:rsidRPr="00F340A2">
              <w:rPr>
                <w:rFonts w:ascii="Bookman Old Style" w:hAnsi="Bookman Old Style" w:cs="Arial"/>
                <w:iCs/>
                <w:color w:val="000000" w:themeColor="text1"/>
                <w:kern w:val="24"/>
              </w:rPr>
              <w:t xml:space="preserve">considerada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14:paraId="721E7BA2"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28D8F74A" w14:textId="77777777" w:rsidTr="007F06FE">
        <w:tc>
          <w:tcPr>
            <w:tcW w:w="2093" w:type="dxa"/>
          </w:tcPr>
          <w:p w14:paraId="5D0169F0" w14:textId="77777777" w:rsidR="00C04748" w:rsidRPr="00F340A2" w:rsidRDefault="00501037"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Mkt_Cap_Total</m:t>
                    </m:r>
                  </m:e>
                  <m:sub>
                    <m:r>
                      <m:rPr>
                        <m:sty m:val="b"/>
                      </m:rPr>
                      <w:rPr>
                        <w:rFonts w:ascii="Cambria Math" w:eastAsia="Cambria Math" w:hAnsi="Cambria Math" w:cstheme="minorBidi"/>
                        <w:color w:val="000000" w:themeColor="text1"/>
                        <w:kern w:val="24"/>
                      </w:rPr>
                      <m:t>t</m:t>
                    </m:r>
                  </m:sub>
                </m:sSub>
              </m:oMath>
            </m:oMathPara>
          </w:p>
        </w:tc>
        <w:tc>
          <w:tcPr>
            <w:tcW w:w="283" w:type="dxa"/>
          </w:tcPr>
          <w:p w14:paraId="1A4A0FBB"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264A2FDC"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capitalización bursátil (en </w:t>
            </w:r>
            <w:proofErr w:type="spellStart"/>
            <w:r w:rsidRPr="00F340A2">
              <w:rPr>
                <w:rFonts w:ascii="Bookman Old Style" w:hAnsi="Bookman Old Style" w:cs="Arial"/>
                <w:iCs/>
                <w:color w:val="000000" w:themeColor="text1"/>
                <w:kern w:val="24"/>
              </w:rPr>
              <w:t>Bloomberg</w:t>
            </w:r>
            <w:proofErr w:type="spellEnd"/>
            <w:r w:rsidRPr="00F340A2">
              <w:rPr>
                <w:rFonts w:ascii="Bookman Old Style" w:hAnsi="Bookman Old Style" w:cs="Arial"/>
                <w:iCs/>
                <w:color w:val="000000" w:themeColor="text1"/>
                <w:kern w:val="24"/>
              </w:rPr>
              <w:t xml:space="preserve"> identificada como CUR_MKT_CAP) de todas las empresas consideradas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14:paraId="071AC3DF"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640B4B7B" w14:textId="77777777" w:rsidTr="007F06FE">
        <w:tc>
          <w:tcPr>
            <w:tcW w:w="2093" w:type="dxa"/>
          </w:tcPr>
          <w:p w14:paraId="26938AFB" w14:textId="77777777" w:rsidR="00C04748" w:rsidRPr="00F340A2" w:rsidRDefault="00501037" w:rsidP="007F06FE">
            <w:pPr>
              <w:ind w:left="0"/>
              <w:rPr>
                <w:rFonts w:ascii="Bookman Old Style" w:hAnsi="Bookman Old Style" w:cs="Arial"/>
                <w:b/>
                <w:iCs/>
                <w:color w:val="000000" w:themeColor="text1"/>
                <w:kern w:val="24"/>
              </w:rPr>
            </w:pPr>
            <m:oMathPara>
              <m:oMathParaPr>
                <m:jc m:val="left"/>
              </m:oMathParaPr>
              <m:oMath>
                <m:sSub>
                  <m:sSubPr>
                    <m:ctrlPr>
                      <w:rPr>
                        <w:rFonts w:ascii="Cambria Math" w:eastAsia="Cambria Math" w:hAnsi="Cambria Math" w:cstheme="minorBidi"/>
                        <w:b/>
                        <w:iCs/>
                        <w:color w:val="000000" w:themeColor="text1"/>
                        <w:kern w:val="24"/>
                      </w:rPr>
                    </m:ctrlPr>
                  </m:sSubPr>
                  <m:e>
                    <m:r>
                      <m:rPr>
                        <m:sty m:val="b"/>
                      </m:rPr>
                      <w:rPr>
                        <w:rFonts w:ascii="Cambria Math" w:eastAsia="Cambria Math" w:hAnsi="Cambria Math" w:cstheme="minorBidi"/>
                        <w:color w:val="000000" w:themeColor="text1"/>
                        <w:kern w:val="24"/>
                      </w:rPr>
                      <m:t>Debt_Total</m:t>
                    </m:r>
                  </m:e>
                  <m:sub>
                    <m:r>
                      <m:rPr>
                        <m:sty m:val="b"/>
                      </m:rPr>
                      <w:rPr>
                        <w:rFonts w:ascii="Cambria Math" w:eastAsia="Cambria Math" w:hAnsi="Cambria Math" w:cstheme="minorBidi"/>
                        <w:color w:val="000000" w:themeColor="text1"/>
                        <w:kern w:val="24"/>
                      </w:rPr>
                      <m:t>t</m:t>
                    </m:r>
                  </m:sub>
                </m:sSub>
              </m:oMath>
            </m:oMathPara>
          </w:p>
        </w:tc>
        <w:tc>
          <w:tcPr>
            <w:tcW w:w="283" w:type="dxa"/>
          </w:tcPr>
          <w:p w14:paraId="05478266"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236233E9"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Corresponde a la suma del reporte mensual de deuda financiera de corto y largo plazo (en </w:t>
            </w:r>
            <w:proofErr w:type="spellStart"/>
            <w:r w:rsidRPr="00F340A2">
              <w:rPr>
                <w:rFonts w:ascii="Bookman Old Style" w:hAnsi="Bookman Old Style" w:cs="Arial"/>
                <w:iCs/>
                <w:color w:val="000000" w:themeColor="text1"/>
                <w:kern w:val="24"/>
              </w:rPr>
              <w:t>Bloomberg</w:t>
            </w:r>
            <w:proofErr w:type="spellEnd"/>
            <w:r w:rsidRPr="00F340A2">
              <w:rPr>
                <w:rFonts w:ascii="Bookman Old Style" w:hAnsi="Bookman Old Style" w:cs="Arial"/>
                <w:iCs/>
                <w:color w:val="000000" w:themeColor="text1"/>
                <w:kern w:val="24"/>
              </w:rPr>
              <w:t xml:space="preserve"> identificada como SHORT_AND_LONG_TERM_DEBT) de todas las empresas consideradas para el cálculo 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 Se calcula con información mensual de los últimos 60 meses, contados a partir del último día del mes anterior a la fecha de cálculo.</w:t>
            </w:r>
          </w:p>
          <w:p w14:paraId="096E359C"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58B0DA33" w14:textId="77777777" w:rsidTr="007F06FE">
        <w:tc>
          <w:tcPr>
            <w:tcW w:w="2093" w:type="dxa"/>
          </w:tcPr>
          <w:p w14:paraId="205B9529" w14:textId="77777777" w:rsidR="00C04748" w:rsidRPr="00F340A2" w:rsidRDefault="00C04748" w:rsidP="007F06FE">
            <w:pPr>
              <w:ind w:left="0"/>
              <w:rPr>
                <w:rFonts w:ascii="Bookman Old Style" w:hAnsi="Bookman Old Style" w:cs="Arial"/>
                <w:b/>
                <w:iCs/>
                <w:color w:val="000000" w:themeColor="text1"/>
                <w:kern w:val="24"/>
              </w:rPr>
            </w:pPr>
            <m:oMathPara>
              <m:oMathParaPr>
                <m:jc m:val="left"/>
              </m:oMathParaPr>
              <m:oMath>
                <m:r>
                  <m:rPr>
                    <m:sty m:val="b"/>
                  </m:rPr>
                  <w:rPr>
                    <w:rFonts w:ascii="Cambria Math" w:eastAsia="Cambria Math" w:hAnsi="Cambria Math" w:cstheme="minorBidi"/>
                    <w:color w:val="000000" w:themeColor="text1"/>
                    <w:kern w:val="24"/>
                  </w:rPr>
                  <m:t>Corp_Tax</m:t>
                </m:r>
              </m:oMath>
            </m:oMathPara>
          </w:p>
        </w:tc>
        <w:tc>
          <w:tcPr>
            <w:tcW w:w="283" w:type="dxa"/>
          </w:tcPr>
          <w:p w14:paraId="747619D0" w14:textId="77777777" w:rsidR="00C04748" w:rsidRPr="00F340A2" w:rsidRDefault="00C04748" w:rsidP="007F06FE">
            <w:pPr>
              <w:ind w:left="0"/>
              <w:rPr>
                <w:rFonts w:ascii="Bookman Old Style" w:hAnsi="Bookman Old Style" w:cs="Arial"/>
                <w:b/>
                <w:iCs/>
                <w:color w:val="000000" w:themeColor="text1"/>
                <w:kern w:val="24"/>
              </w:rPr>
            </w:pPr>
            <w:r w:rsidRPr="00F340A2">
              <w:rPr>
                <w:rFonts w:ascii="Bookman Old Style" w:hAnsi="Bookman Old Style" w:cs="Arial"/>
                <w:b/>
                <w:iCs/>
                <w:color w:val="000000" w:themeColor="text1"/>
                <w:kern w:val="24"/>
              </w:rPr>
              <w:t>:</w:t>
            </w:r>
          </w:p>
        </w:tc>
        <w:tc>
          <w:tcPr>
            <w:tcW w:w="7088" w:type="dxa"/>
          </w:tcPr>
          <w:p w14:paraId="71C92B2F" w14:textId="356C8631"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Corresponde al impuesto corporativo a la renta, aplicable en los Estados Unidos de América</w:t>
            </w:r>
            <w:r w:rsidR="00E633F4">
              <w:rPr>
                <w:rFonts w:ascii="Bookman Old Style" w:hAnsi="Bookman Old Style" w:cs="Arial"/>
                <w:iCs/>
                <w:color w:val="000000" w:themeColor="text1"/>
                <w:kern w:val="24"/>
              </w:rPr>
              <w:t xml:space="preserve"> y que esté vigente en el momento de</w:t>
            </w:r>
            <w:r w:rsidR="00DD2328">
              <w:rPr>
                <w:rFonts w:ascii="Bookman Old Style" w:hAnsi="Bookman Old Style" w:cs="Arial"/>
                <w:iCs/>
                <w:color w:val="000000" w:themeColor="text1"/>
                <w:kern w:val="24"/>
              </w:rPr>
              <w:t>l</w:t>
            </w:r>
            <w:r w:rsidR="00E633F4">
              <w:rPr>
                <w:rFonts w:ascii="Bookman Old Style" w:hAnsi="Bookman Old Style" w:cs="Arial"/>
                <w:iCs/>
                <w:color w:val="000000" w:themeColor="text1"/>
                <w:kern w:val="24"/>
              </w:rPr>
              <w:t xml:space="preserve"> cálculo de la tasa de descuento</w:t>
            </w:r>
            <w:r w:rsidRPr="00F340A2">
              <w:rPr>
                <w:rFonts w:ascii="Bookman Old Style" w:hAnsi="Bookman Old Style" w:cs="Arial"/>
                <w:iCs/>
                <w:color w:val="000000" w:themeColor="text1"/>
                <w:kern w:val="24"/>
              </w:rPr>
              <w:t xml:space="preserve">. </w:t>
            </w:r>
          </w:p>
          <w:p w14:paraId="4D8A9632" w14:textId="58E0CEAC" w:rsidR="00ED4C59" w:rsidRPr="00F340A2" w:rsidRDefault="00ED4C59" w:rsidP="007F06FE">
            <w:pPr>
              <w:ind w:left="0"/>
              <w:jc w:val="both"/>
              <w:rPr>
                <w:rFonts w:ascii="Bookman Old Style" w:hAnsi="Bookman Old Style" w:cs="Arial"/>
                <w:iCs/>
                <w:color w:val="000000" w:themeColor="text1"/>
                <w:kern w:val="24"/>
              </w:rPr>
            </w:pPr>
          </w:p>
        </w:tc>
      </w:tr>
      <w:tr w:rsidR="00C04748" w:rsidRPr="00F340A2" w14:paraId="624772B0" w14:textId="77777777" w:rsidTr="007F06FE">
        <w:tc>
          <w:tcPr>
            <w:tcW w:w="2093" w:type="dxa"/>
          </w:tcPr>
          <w:p w14:paraId="13AFAECC" w14:textId="77777777"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cs="Arial"/>
                  </w:rPr>
                  <m:t>NE</m:t>
                </m:r>
              </m:oMath>
            </m:oMathPara>
          </w:p>
        </w:tc>
        <w:tc>
          <w:tcPr>
            <w:tcW w:w="283" w:type="dxa"/>
          </w:tcPr>
          <w:p w14:paraId="55D17A89" w14:textId="77777777" w:rsidR="00C04748" w:rsidRPr="00F340A2" w:rsidRDefault="00C04748" w:rsidP="007F06FE">
            <w:pPr>
              <w:ind w:left="0"/>
              <w:rPr>
                <w:rFonts w:ascii="Bookman Old Style" w:hAnsi="Bookman Old Style" w:cs="Arial"/>
                <w:b/>
              </w:rPr>
            </w:pPr>
            <w:r w:rsidRPr="00F340A2">
              <w:rPr>
                <w:rFonts w:ascii="Bookman Old Style" w:hAnsi="Bookman Old Style" w:cs="Arial"/>
                <w:b/>
              </w:rPr>
              <w:t>:</w:t>
            </w:r>
          </w:p>
        </w:tc>
        <w:tc>
          <w:tcPr>
            <w:tcW w:w="7088" w:type="dxa"/>
          </w:tcPr>
          <w:p w14:paraId="6056BCF9"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Número de empresas consideradas en el cálculo </w:t>
            </w:r>
            <w:r w:rsidRPr="00F340A2">
              <w:rPr>
                <w:rFonts w:ascii="Bookman Old Style" w:hAnsi="Bookman Old Style" w:cs="Arial"/>
                <w:iCs/>
                <w:color w:val="000000" w:themeColor="text1"/>
                <w:kern w:val="24"/>
              </w:rPr>
              <w:t xml:space="preserve">del </w:t>
            </w:r>
            <m:oMath>
              <m:sSub>
                <m:sSubPr>
                  <m:ctrlPr>
                    <w:rPr>
                      <w:rFonts w:ascii="Cambria Math" w:eastAsia="Cambria Math" w:hAnsi="Cambria Math" w:cstheme="minorBidi"/>
                      <w:iCs/>
                      <w:color w:val="000000" w:themeColor="text1"/>
                      <w:kern w:val="24"/>
                    </w:rPr>
                  </m:ctrlPr>
                </m:sSubPr>
                <m:e>
                  <m:r>
                    <m:rPr>
                      <m:sty m:val="p"/>
                    </m:rPr>
                    <w:rPr>
                      <w:rFonts w:ascii="Cambria Math" w:eastAsia="Cambria Math" w:hAnsi="Cambria Math" w:cstheme="minorBidi"/>
                      <w:color w:val="000000" w:themeColor="text1"/>
                      <w:kern w:val="24"/>
                    </w:rPr>
                    <m:t>β</m:t>
                  </m:r>
                </m:e>
                <m:sub>
                  <m:r>
                    <m:rPr>
                      <m:sty m:val="p"/>
                    </m:rPr>
                    <w:rPr>
                      <w:rFonts w:ascii="Cambria Math" w:eastAsia="Cambria Math" w:hAnsi="Cambria Math" w:cstheme="minorBidi"/>
                      <w:color w:val="000000" w:themeColor="text1"/>
                      <w:kern w:val="24"/>
                    </w:rPr>
                    <m:t>U,t</m:t>
                  </m:r>
                </m:sub>
              </m:sSub>
            </m:oMath>
            <w:r w:rsidRPr="00F340A2">
              <w:rPr>
                <w:rFonts w:ascii="Bookman Old Style" w:hAnsi="Bookman Old Style" w:cs="Arial"/>
                <w:iCs/>
                <w:color w:val="000000" w:themeColor="text1"/>
                <w:kern w:val="24"/>
              </w:rPr>
              <w:t>, en el momento t.</w:t>
            </w:r>
          </w:p>
          <w:p w14:paraId="7A9C892D" w14:textId="77777777" w:rsidR="00C04748" w:rsidRPr="00F340A2" w:rsidRDefault="00C04748" w:rsidP="007F06FE">
            <w:pPr>
              <w:ind w:left="0"/>
              <w:jc w:val="both"/>
              <w:rPr>
                <w:rFonts w:ascii="Bookman Old Style" w:hAnsi="Bookman Old Style"/>
              </w:rPr>
            </w:pPr>
          </w:p>
        </w:tc>
      </w:tr>
    </w:tbl>
    <w:p w14:paraId="6A07C724" w14:textId="77777777" w:rsidR="00C04748" w:rsidRPr="00F340A2" w:rsidRDefault="00C04748" w:rsidP="00C04748">
      <w:pPr>
        <w:ind w:left="0"/>
        <w:contextualSpacing/>
        <w:jc w:val="both"/>
        <w:rPr>
          <w:rFonts w:ascii="Bookman Old Style" w:hAnsi="Bookman Old Style" w:cs="Arial"/>
        </w:rPr>
      </w:pPr>
    </w:p>
    <w:p w14:paraId="476F9DEC" w14:textId="55C7A55A" w:rsidR="00C04748" w:rsidRDefault="00C04748" w:rsidP="00C04748">
      <w:pPr>
        <w:ind w:left="0"/>
        <w:contextualSpacing/>
        <w:jc w:val="both"/>
        <w:rPr>
          <w:rFonts w:ascii="Bookman Old Style" w:hAnsi="Bookman Old Style" w:cs="Arial"/>
        </w:rPr>
      </w:pPr>
      <w:r w:rsidRPr="00F340A2">
        <w:rPr>
          <w:rFonts w:ascii="Bookman Old Style" w:hAnsi="Bookman Old Style" w:cs="Arial"/>
          <w:b/>
        </w:rPr>
        <w:t>Parágrafo 5.</w:t>
      </w:r>
      <w:r w:rsidRPr="00F340A2">
        <w:rPr>
          <w:rFonts w:ascii="Bookman Old Style" w:hAnsi="Bookman Old Style" w:cs="Arial"/>
        </w:rPr>
        <w:t xml:space="preserve"> Los parámetros que corresponden al promedio de sus observaciones se obtienen mediante el siguiente procedimiento:</w:t>
      </w:r>
    </w:p>
    <w:p w14:paraId="200A4B84" w14:textId="77777777" w:rsidR="00C04748" w:rsidRPr="00F340A2" w:rsidRDefault="00C04748" w:rsidP="00C04748">
      <w:pPr>
        <w:ind w:left="0"/>
        <w:contextualSpacing/>
        <w:jc w:val="both"/>
        <w:rPr>
          <w:rFonts w:ascii="Bookman Old Style" w:hAnsi="Bookman Old Style" w:cs="Arial"/>
        </w:rPr>
      </w:pPr>
    </w:p>
    <w:p w14:paraId="45FFC631" w14:textId="77777777" w:rsidR="00C04748" w:rsidRPr="00F340A2" w:rsidRDefault="00501037" w:rsidP="00C04748">
      <w:pPr>
        <w:ind w:left="0"/>
        <w:contextualSpacing/>
        <w:jc w:val="both"/>
        <w:rPr>
          <w:rFonts w:ascii="Bookman Old Style" w:hAnsi="Bookman Old Style" w:cs="Arial"/>
        </w:rPr>
      </w:pPr>
      <m:oMathPara>
        <m:oMath>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X</m:t>
              </m:r>
            </m:e>
            <m:sub>
              <m:r>
                <m:rPr>
                  <m:sty m:val="p"/>
                </m:rPr>
                <w:rPr>
                  <w:rFonts w:ascii="Cambria Math" w:hAnsi="Cambria Math" w:cs="Arial"/>
                  <w:color w:val="000000" w:themeColor="text1"/>
                  <w:kern w:val="24"/>
                </w:rPr>
                <m:t>t</m:t>
              </m:r>
            </m:sub>
          </m:sSub>
          <m:r>
            <m:rPr>
              <m:sty m:val="p"/>
            </m:rPr>
            <w:rPr>
              <w:rFonts w:ascii="Cambria Math" w:eastAsia="Cambria Math" w:hAnsi="Cambria Math" w:cs="Arial"/>
              <w:color w:val="000000" w:themeColor="text1"/>
              <w:kern w:val="24"/>
            </w:rPr>
            <m:t>=</m:t>
          </m:r>
          <m:f>
            <m:fPr>
              <m:ctrlPr>
                <w:rPr>
                  <w:rFonts w:ascii="Cambria Math" w:eastAsiaTheme="minorEastAsia" w:hAnsi="Cambria Math" w:cs="Arial"/>
                  <w:iCs/>
                  <w:color w:val="000000" w:themeColor="text1"/>
                  <w:kern w:val="24"/>
                </w:rPr>
              </m:ctrlPr>
            </m:fPr>
            <m:num>
              <m:nary>
                <m:naryPr>
                  <m:chr m:val="∑"/>
                  <m:limLoc m:val="undOvr"/>
                  <m:ctrlPr>
                    <w:rPr>
                      <w:rFonts w:ascii="Cambria Math" w:eastAsiaTheme="minorEastAsia" w:hAnsi="Cambria Math" w:cs="Arial"/>
                      <w:iCs/>
                      <w:color w:val="000000" w:themeColor="text1"/>
                      <w:kern w:val="24"/>
                    </w:rPr>
                  </m:ctrlPr>
                </m:naryPr>
                <m:sub>
                  <m:r>
                    <m:rPr>
                      <m:sty m:val="p"/>
                    </m:rPr>
                    <w:rPr>
                      <w:rFonts w:ascii="Cambria Math" w:eastAsiaTheme="minorEastAsia" w:hAnsi="Cambria Math" w:cs="Arial"/>
                      <w:color w:val="000000" w:themeColor="text1"/>
                      <w:kern w:val="24"/>
                    </w:rPr>
                    <m:t>i=j</m:t>
                  </m:r>
                </m:sub>
                <m:sup>
                  <m:r>
                    <m:rPr>
                      <m:sty m:val="p"/>
                    </m:rPr>
                    <w:rPr>
                      <w:rFonts w:ascii="Cambria Math" w:eastAsiaTheme="minorEastAsia" w:hAnsi="Cambria Math" w:cs="Arial"/>
                      <w:color w:val="000000" w:themeColor="text1"/>
                      <w:kern w:val="24"/>
                    </w:rPr>
                    <m:t>t</m:t>
                  </m:r>
                </m:sup>
                <m:e>
                  <m:sSub>
                    <m:sSubPr>
                      <m:ctrlPr>
                        <w:rPr>
                          <w:rFonts w:ascii="Cambria Math" w:eastAsiaTheme="minorEastAsia" w:hAnsi="Cambria Math" w:cs="Arial"/>
                          <w:iCs/>
                          <w:color w:val="000000" w:themeColor="text1"/>
                          <w:kern w:val="24"/>
                        </w:rPr>
                      </m:ctrlPr>
                    </m:sSubPr>
                    <m:e>
                      <m:r>
                        <m:rPr>
                          <m:sty m:val="p"/>
                        </m:rPr>
                        <w:rPr>
                          <w:rFonts w:ascii="Cambria Math" w:hAnsi="Cambria Math" w:cs="Arial"/>
                          <w:color w:val="000000" w:themeColor="text1"/>
                          <w:kern w:val="24"/>
                        </w:rPr>
                        <m:t>X</m:t>
                      </m:r>
                    </m:e>
                    <m:sub>
                      <m:r>
                        <m:rPr>
                          <m:sty m:val="p"/>
                        </m:rPr>
                        <w:rPr>
                          <w:rFonts w:ascii="Cambria Math" w:hAnsi="Cambria Math" w:cs="Arial"/>
                          <w:color w:val="000000" w:themeColor="text1"/>
                          <w:kern w:val="24"/>
                        </w:rPr>
                        <m:t>i</m:t>
                      </m:r>
                    </m:sub>
                  </m:sSub>
                </m:e>
              </m:nary>
            </m:num>
            <m:den>
              <m:r>
                <m:rPr>
                  <m:sty m:val="p"/>
                </m:rPr>
                <w:rPr>
                  <w:rFonts w:ascii="Cambria Math" w:eastAsiaTheme="minorEastAsia" w:hAnsi="Cambria Math" w:cs="Arial"/>
                  <w:color w:val="000000" w:themeColor="text1"/>
                  <w:kern w:val="24"/>
                </w:rPr>
                <m:t>k</m:t>
              </m:r>
            </m:den>
          </m:f>
        </m:oMath>
      </m:oMathPara>
    </w:p>
    <w:p w14:paraId="00632B55" w14:textId="77777777" w:rsidR="00C04748" w:rsidRPr="00F340A2" w:rsidRDefault="00C04748" w:rsidP="00C04748">
      <w:pPr>
        <w:ind w:left="0"/>
        <w:contextualSpacing/>
        <w:jc w:val="both"/>
        <w:rPr>
          <w:rFonts w:ascii="Bookman Old Style" w:hAnsi="Bookman Old Style" w:cs="Arial"/>
        </w:rPr>
      </w:pPr>
    </w:p>
    <w:tbl>
      <w:tblPr>
        <w:tblStyle w:val="Tablaconcuadrcula"/>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84"/>
        <w:gridCol w:w="8476"/>
      </w:tblGrid>
      <w:tr w:rsidR="00C04748" w:rsidRPr="00F340A2" w14:paraId="6B3B4A22" w14:textId="77777777" w:rsidTr="007F06FE">
        <w:tc>
          <w:tcPr>
            <w:tcW w:w="817" w:type="dxa"/>
          </w:tcPr>
          <w:p w14:paraId="77821412" w14:textId="77777777" w:rsidR="00C04748" w:rsidRPr="00F340A2" w:rsidRDefault="00501037" w:rsidP="007F06FE">
            <w:pPr>
              <w:ind w:left="0"/>
              <w:rPr>
                <w:rFonts w:ascii="Bookman Old Style" w:hAnsi="Bookman Old Style"/>
                <w:b/>
                <w:iCs/>
                <w:color w:val="000000" w:themeColor="text1"/>
                <w:kern w:val="24"/>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X</m:t>
                    </m:r>
                  </m:e>
                  <m:sub>
                    <m:r>
                      <m:rPr>
                        <m:sty m:val="b"/>
                      </m:rPr>
                      <w:rPr>
                        <w:rFonts w:ascii="Cambria Math" w:hAnsi="Cambria Math" w:cs="Arial"/>
                        <w:color w:val="000000" w:themeColor="text1"/>
                        <w:kern w:val="24"/>
                      </w:rPr>
                      <m:t>t</m:t>
                    </m:r>
                  </m:sub>
                </m:sSub>
              </m:oMath>
            </m:oMathPara>
          </w:p>
        </w:tc>
        <w:tc>
          <w:tcPr>
            <w:tcW w:w="284" w:type="dxa"/>
          </w:tcPr>
          <w:p w14:paraId="5448FF95" w14:textId="77777777"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14:paraId="0F81E7E6"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Promedio del parámetro </w:t>
            </w:r>
            <m:oMath>
              <m:r>
                <m:rPr>
                  <m:sty m:val="p"/>
                </m:rPr>
                <w:rPr>
                  <w:rFonts w:ascii="Cambria Math" w:hAnsi="Cambria Math" w:cs="Arial"/>
                  <w:color w:val="000000" w:themeColor="text1"/>
                  <w:kern w:val="24"/>
                </w:rPr>
                <m:t>X</m:t>
              </m:r>
            </m:oMath>
            <w:r w:rsidRPr="00F340A2">
              <w:rPr>
                <w:rFonts w:ascii="Bookman Old Style" w:hAnsi="Bookman Old Style" w:cs="Arial"/>
                <w:iCs/>
                <w:color w:val="000000" w:themeColor="text1"/>
                <w:kern w:val="24"/>
              </w:rPr>
              <w:t xml:space="preserve"> en el </w:t>
            </w:r>
            <w:r w:rsidRPr="00F340A2">
              <w:rPr>
                <w:rFonts w:ascii="Bookman Old Style" w:hAnsi="Bookman Old Style" w:cs="Arial"/>
              </w:rPr>
              <w:t xml:space="preserve">momento </w:t>
            </w:r>
            <m:oMath>
              <m:r>
                <m:rPr>
                  <m:sty m:val="p"/>
                </m:rPr>
                <w:rPr>
                  <w:rFonts w:ascii="Cambria Math" w:hAnsi="Cambria Math"/>
                </w:rPr>
                <m:t>t</m:t>
              </m:r>
            </m:oMath>
            <w:r w:rsidRPr="00F340A2">
              <w:rPr>
                <w:rFonts w:ascii="Bookman Old Style" w:hAnsi="Bookman Old Style" w:cs="Arial"/>
                <w:iCs/>
                <w:color w:val="000000" w:themeColor="text1"/>
                <w:kern w:val="24"/>
              </w:rPr>
              <w:t>.</w:t>
            </w:r>
          </w:p>
          <w:p w14:paraId="05AA2432"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22682CA0" w14:textId="77777777" w:rsidTr="007F06FE">
        <w:tc>
          <w:tcPr>
            <w:tcW w:w="817" w:type="dxa"/>
          </w:tcPr>
          <w:p w14:paraId="5C97EE7D" w14:textId="77777777" w:rsidR="00C04748" w:rsidRPr="00F340A2" w:rsidRDefault="00501037" w:rsidP="007F06FE">
            <w:pPr>
              <w:ind w:left="0"/>
              <w:rPr>
                <w:rFonts w:ascii="Bookman Old Style" w:hAnsi="Bookman Old Style"/>
                <w:b/>
                <w:iCs/>
                <w:color w:val="000000" w:themeColor="text1"/>
                <w:kern w:val="24"/>
              </w:rPr>
            </w:pPr>
            <m:oMathPara>
              <m:oMathParaPr>
                <m:jc m:val="left"/>
              </m:oMathParaPr>
              <m:oMath>
                <m:sSub>
                  <m:sSubPr>
                    <m:ctrlPr>
                      <w:rPr>
                        <w:rFonts w:ascii="Cambria Math" w:eastAsiaTheme="minorEastAsia" w:hAnsi="Cambria Math" w:cs="Arial"/>
                        <w:b/>
                        <w:iCs/>
                        <w:color w:val="000000" w:themeColor="text1"/>
                        <w:kern w:val="24"/>
                      </w:rPr>
                    </m:ctrlPr>
                  </m:sSubPr>
                  <m:e>
                    <m:r>
                      <m:rPr>
                        <m:sty m:val="b"/>
                      </m:rPr>
                      <w:rPr>
                        <w:rFonts w:ascii="Cambria Math" w:hAnsi="Cambria Math" w:cs="Arial"/>
                        <w:color w:val="000000" w:themeColor="text1"/>
                        <w:kern w:val="24"/>
                      </w:rPr>
                      <m:t>X</m:t>
                    </m:r>
                  </m:e>
                  <m:sub>
                    <m:r>
                      <m:rPr>
                        <m:sty m:val="b"/>
                      </m:rPr>
                      <w:rPr>
                        <w:rFonts w:ascii="Cambria Math" w:hAnsi="Cambria Math" w:cs="Arial"/>
                        <w:color w:val="000000" w:themeColor="text1"/>
                        <w:kern w:val="24"/>
                      </w:rPr>
                      <m:t>i</m:t>
                    </m:r>
                  </m:sub>
                </m:sSub>
              </m:oMath>
            </m:oMathPara>
          </w:p>
        </w:tc>
        <w:tc>
          <w:tcPr>
            <w:tcW w:w="284" w:type="dxa"/>
          </w:tcPr>
          <w:p w14:paraId="4BA5203B" w14:textId="77777777"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14:paraId="18D243B7"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 xml:space="preserve">Valor del parámetro </w:t>
            </w:r>
            <m:oMath>
              <m:r>
                <m:rPr>
                  <m:sty m:val="p"/>
                </m:rPr>
                <w:rPr>
                  <w:rFonts w:ascii="Cambria Math" w:hAnsi="Cambria Math" w:cs="Arial"/>
                  <w:color w:val="000000" w:themeColor="text1"/>
                  <w:kern w:val="24"/>
                </w:rPr>
                <m:t>X</m:t>
              </m:r>
            </m:oMath>
            <w:r w:rsidRPr="00F340A2">
              <w:rPr>
                <w:rFonts w:ascii="Bookman Old Style" w:hAnsi="Bookman Old Style" w:cs="Arial"/>
                <w:iCs/>
                <w:color w:val="000000" w:themeColor="text1"/>
                <w:kern w:val="24"/>
              </w:rPr>
              <w:t xml:space="preserve"> en </w:t>
            </w:r>
            <w:r w:rsidRPr="00F340A2">
              <w:rPr>
                <w:rFonts w:ascii="Bookman Old Style" w:hAnsi="Bookman Old Style" w:cs="Arial"/>
              </w:rPr>
              <w:t xml:space="preserve">el momento </w:t>
            </w:r>
            <m:oMath>
              <m:r>
                <m:rPr>
                  <m:sty m:val="p"/>
                </m:rPr>
                <w:rPr>
                  <w:rFonts w:ascii="Cambria Math" w:hAnsi="Cambria Math"/>
                </w:rPr>
                <m:t>i</m:t>
              </m:r>
            </m:oMath>
            <w:r w:rsidRPr="00F340A2">
              <w:rPr>
                <w:rFonts w:ascii="Bookman Old Style" w:hAnsi="Bookman Old Style" w:cs="Arial"/>
                <w:iCs/>
                <w:color w:val="000000" w:themeColor="text1"/>
                <w:kern w:val="24"/>
              </w:rPr>
              <w:t>.</w:t>
            </w:r>
          </w:p>
          <w:p w14:paraId="557C7382" w14:textId="77777777" w:rsidR="00C04748" w:rsidRPr="00F340A2" w:rsidRDefault="00C04748" w:rsidP="007F06FE">
            <w:pPr>
              <w:ind w:left="0"/>
              <w:jc w:val="both"/>
              <w:rPr>
                <w:rFonts w:ascii="Bookman Old Style" w:hAnsi="Bookman Old Style" w:cs="Arial"/>
                <w:iCs/>
                <w:color w:val="000000" w:themeColor="text1"/>
                <w:kern w:val="24"/>
              </w:rPr>
            </w:pPr>
          </w:p>
        </w:tc>
      </w:tr>
      <w:tr w:rsidR="00C04748" w:rsidRPr="00F340A2" w14:paraId="11302F12" w14:textId="77777777" w:rsidTr="007F06FE">
        <w:tc>
          <w:tcPr>
            <w:tcW w:w="817" w:type="dxa"/>
          </w:tcPr>
          <w:p w14:paraId="1184CD45" w14:textId="77777777" w:rsidR="00C04748" w:rsidRPr="00F340A2" w:rsidRDefault="00C04748" w:rsidP="007F06FE">
            <w:pPr>
              <w:ind w:left="0"/>
              <w:rPr>
                <w:rFonts w:ascii="Bookman Old Style" w:hAnsi="Bookman Old Style"/>
                <w:b/>
                <w:iCs/>
                <w:color w:val="000000" w:themeColor="text1"/>
                <w:kern w:val="24"/>
              </w:rPr>
            </w:pPr>
            <m:oMathPara>
              <m:oMathParaPr>
                <m:jc m:val="left"/>
              </m:oMathParaPr>
              <m:oMath>
                <m:r>
                  <m:rPr>
                    <m:sty m:val="b"/>
                  </m:rPr>
                  <w:rPr>
                    <w:rFonts w:ascii="Cambria Math" w:hAnsi="Cambria Math"/>
                  </w:rPr>
                  <m:t>t</m:t>
                </m:r>
              </m:oMath>
            </m:oMathPara>
          </w:p>
        </w:tc>
        <w:tc>
          <w:tcPr>
            <w:tcW w:w="284" w:type="dxa"/>
          </w:tcPr>
          <w:p w14:paraId="2EC38D0F" w14:textId="77777777" w:rsidR="00C04748" w:rsidRPr="00F340A2" w:rsidRDefault="00C04748" w:rsidP="007F06FE">
            <w:pPr>
              <w:ind w:left="0"/>
              <w:jc w:val="both"/>
              <w:rPr>
                <w:rFonts w:ascii="Bookman Old Style" w:hAnsi="Bookman Old Style"/>
                <w:b/>
                <w:iCs/>
                <w:color w:val="000000" w:themeColor="text1"/>
                <w:kern w:val="24"/>
              </w:rPr>
            </w:pPr>
            <w:r w:rsidRPr="00F340A2">
              <w:rPr>
                <w:rFonts w:ascii="Bookman Old Style" w:hAnsi="Bookman Old Style"/>
                <w:b/>
                <w:iCs/>
                <w:color w:val="000000" w:themeColor="text1"/>
                <w:kern w:val="24"/>
              </w:rPr>
              <w:t>:</w:t>
            </w:r>
          </w:p>
        </w:tc>
        <w:tc>
          <w:tcPr>
            <w:tcW w:w="8476" w:type="dxa"/>
          </w:tcPr>
          <w:p w14:paraId="1F074CBF" w14:textId="77777777" w:rsidR="00C04748" w:rsidRPr="00F340A2" w:rsidRDefault="00C04748" w:rsidP="007F06FE">
            <w:pPr>
              <w:ind w:left="0"/>
              <w:jc w:val="both"/>
              <w:rPr>
                <w:rFonts w:ascii="Bookman Old Style" w:hAnsi="Bookman Old Style" w:cs="Arial"/>
                <w:iCs/>
                <w:color w:val="000000" w:themeColor="text1"/>
                <w:kern w:val="24"/>
              </w:rPr>
            </w:pPr>
            <w:r w:rsidRPr="00F340A2">
              <w:rPr>
                <w:rFonts w:ascii="Bookman Old Style" w:hAnsi="Bookman Old Style" w:cs="Arial"/>
                <w:iCs/>
                <w:color w:val="000000" w:themeColor="text1"/>
                <w:kern w:val="24"/>
              </w:rPr>
              <w:t>Último día del mes anterior a la fecha de cálculo.</w:t>
            </w:r>
          </w:p>
          <w:p w14:paraId="7C63E42B" w14:textId="266841A6" w:rsidR="00C04748" w:rsidRPr="00D17FBD" w:rsidRDefault="00C04748" w:rsidP="00D17FBD">
            <w:pPr>
              <w:rPr>
                <w:rFonts w:ascii="Bookman Old Style" w:hAnsi="Bookman Old Style" w:cs="Arial"/>
              </w:rPr>
            </w:pPr>
          </w:p>
        </w:tc>
      </w:tr>
      <w:tr w:rsidR="00C04748" w:rsidRPr="00F340A2" w14:paraId="7CBF6ABF" w14:textId="77777777" w:rsidTr="007F06FE">
        <w:tc>
          <w:tcPr>
            <w:tcW w:w="817" w:type="dxa"/>
          </w:tcPr>
          <w:p w14:paraId="008A781F" w14:textId="77777777"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rPr>
                  <m:t>j</m:t>
                </m:r>
              </m:oMath>
            </m:oMathPara>
          </w:p>
        </w:tc>
        <w:tc>
          <w:tcPr>
            <w:tcW w:w="284" w:type="dxa"/>
          </w:tcPr>
          <w:p w14:paraId="5B2EE1AD" w14:textId="77777777"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14:paraId="30948E54"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Fecha que corresponde a </w:t>
            </w:r>
            <m:oMath>
              <m:r>
                <m:rPr>
                  <m:sty m:val="p"/>
                </m:rPr>
                <w:rPr>
                  <w:rFonts w:ascii="Cambria Math" w:hAnsi="Cambria Math"/>
                </w:rPr>
                <m:t>t</m:t>
              </m:r>
            </m:oMath>
            <w:r w:rsidRPr="00F340A2">
              <w:rPr>
                <w:rFonts w:ascii="Bookman Old Style" w:hAnsi="Bookman Old Style" w:cs="Arial"/>
              </w:rPr>
              <w:t xml:space="preserve"> menos 12 meses.</w:t>
            </w:r>
          </w:p>
          <w:p w14:paraId="4E2501B5" w14:textId="77777777" w:rsidR="00C04748" w:rsidRPr="00F340A2" w:rsidRDefault="00C04748" w:rsidP="007F06FE">
            <w:pPr>
              <w:ind w:left="0"/>
              <w:jc w:val="both"/>
              <w:rPr>
                <w:rFonts w:ascii="Bookman Old Style" w:hAnsi="Bookman Old Style"/>
                <w:lang w:val="es-ES_tradnl"/>
              </w:rPr>
            </w:pPr>
          </w:p>
        </w:tc>
      </w:tr>
      <w:tr w:rsidR="00C04748" w:rsidRPr="00F340A2" w14:paraId="682D1D7F" w14:textId="77777777" w:rsidTr="007F06FE">
        <w:tc>
          <w:tcPr>
            <w:tcW w:w="817" w:type="dxa"/>
          </w:tcPr>
          <w:p w14:paraId="566F141A" w14:textId="77777777" w:rsidR="00C04748" w:rsidRPr="00F340A2" w:rsidRDefault="00C04748" w:rsidP="007F06FE">
            <w:pPr>
              <w:ind w:left="0"/>
              <w:rPr>
                <w:rFonts w:ascii="Bookman Old Style" w:hAnsi="Bookman Old Style"/>
                <w:b/>
                <w:lang w:val="es-ES_tradnl"/>
              </w:rPr>
            </w:pPr>
            <m:oMathPara>
              <m:oMathParaPr>
                <m:jc m:val="left"/>
              </m:oMathParaPr>
              <m:oMath>
                <m:r>
                  <m:rPr>
                    <m:sty m:val="b"/>
                  </m:rPr>
                  <w:rPr>
                    <w:rFonts w:ascii="Cambria Math" w:hAnsi="Cambria Math"/>
                  </w:rPr>
                  <m:t>i</m:t>
                </m:r>
              </m:oMath>
            </m:oMathPara>
          </w:p>
        </w:tc>
        <w:tc>
          <w:tcPr>
            <w:tcW w:w="284" w:type="dxa"/>
          </w:tcPr>
          <w:p w14:paraId="7E6306E1" w14:textId="77777777" w:rsidR="00C04748" w:rsidRPr="00F340A2" w:rsidRDefault="00C04748" w:rsidP="007F06FE">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14:paraId="380BD2FC" w14:textId="77777777" w:rsidR="00C04748" w:rsidRPr="00F340A2" w:rsidRDefault="00C04748" w:rsidP="007F06FE">
            <w:pPr>
              <w:ind w:left="0"/>
              <w:jc w:val="both"/>
              <w:rPr>
                <w:rFonts w:ascii="Bookman Old Style" w:hAnsi="Bookman Old Style" w:cs="Arial"/>
              </w:rPr>
            </w:pPr>
            <w:r w:rsidRPr="00F340A2">
              <w:rPr>
                <w:rFonts w:ascii="Bookman Old Style" w:hAnsi="Bookman Old Style" w:cs="Arial"/>
              </w:rPr>
              <w:t xml:space="preserve">Cada una de las fechas para las que existe información, desde </w:t>
            </w:r>
            <m:oMath>
              <m:r>
                <m:rPr>
                  <m:sty m:val="p"/>
                </m:rPr>
                <w:rPr>
                  <w:rFonts w:ascii="Cambria Math" w:hAnsi="Cambria Math" w:cs="Arial"/>
                </w:rPr>
                <m:t>j</m:t>
              </m:r>
            </m:oMath>
            <w:r w:rsidRPr="00F340A2">
              <w:rPr>
                <w:rFonts w:ascii="Bookman Old Style" w:hAnsi="Bookman Old Style" w:cs="Arial"/>
              </w:rPr>
              <w:t xml:space="preserve"> hasta </w:t>
            </w:r>
            <m:oMath>
              <m:r>
                <m:rPr>
                  <m:sty m:val="p"/>
                </m:rPr>
                <w:rPr>
                  <w:rFonts w:ascii="Cambria Math" w:hAnsi="Cambria Math" w:cs="Arial"/>
                </w:rPr>
                <m:t>t</m:t>
              </m:r>
            </m:oMath>
            <w:r w:rsidRPr="00F340A2">
              <w:rPr>
                <w:rFonts w:ascii="Bookman Old Style" w:hAnsi="Bookman Old Style" w:cs="Arial"/>
              </w:rPr>
              <w:t>. La periodicidad de la información deberá ser la de mayor frecuencia posible con la que esta sea publicada, en el evento en el que la frecuencia de publicación no sea diaria.</w:t>
            </w:r>
          </w:p>
          <w:p w14:paraId="38A9E118" w14:textId="77777777" w:rsidR="00C04748" w:rsidRPr="00F340A2" w:rsidRDefault="00C04748" w:rsidP="007F06FE">
            <w:pPr>
              <w:ind w:left="0"/>
              <w:jc w:val="both"/>
              <w:rPr>
                <w:rFonts w:ascii="Bookman Old Style" w:hAnsi="Bookman Old Style" w:cs="Arial"/>
              </w:rPr>
            </w:pPr>
          </w:p>
        </w:tc>
      </w:tr>
      <w:tr w:rsidR="00C04748" w:rsidRPr="00F340A2" w14:paraId="780DE3E2" w14:textId="77777777" w:rsidTr="007F06FE">
        <w:tc>
          <w:tcPr>
            <w:tcW w:w="817" w:type="dxa"/>
          </w:tcPr>
          <w:p w14:paraId="25D191CA" w14:textId="77777777" w:rsidR="00C04748" w:rsidRPr="00F340A2" w:rsidRDefault="00C04748" w:rsidP="009E0351">
            <w:pPr>
              <w:ind w:left="0"/>
              <w:rPr>
                <w:rFonts w:ascii="Bookman Old Style" w:hAnsi="Bookman Old Style"/>
                <w:b/>
                <w:lang w:val="es-ES_tradnl"/>
              </w:rPr>
            </w:pPr>
            <m:oMathPara>
              <m:oMathParaPr>
                <m:jc m:val="left"/>
              </m:oMathParaPr>
              <m:oMath>
                <m:r>
                  <m:rPr>
                    <m:sty m:val="b"/>
                  </m:rPr>
                  <w:rPr>
                    <w:rFonts w:ascii="Cambria Math" w:hAnsi="Cambria Math"/>
                  </w:rPr>
                  <m:t>k</m:t>
                </m:r>
              </m:oMath>
            </m:oMathPara>
          </w:p>
        </w:tc>
        <w:tc>
          <w:tcPr>
            <w:tcW w:w="284" w:type="dxa"/>
          </w:tcPr>
          <w:p w14:paraId="73D2C780" w14:textId="77777777" w:rsidR="00C04748" w:rsidRPr="00F340A2" w:rsidRDefault="00C04748" w:rsidP="009E0351">
            <w:pPr>
              <w:ind w:left="0"/>
              <w:jc w:val="both"/>
              <w:rPr>
                <w:rFonts w:ascii="Bookman Old Style" w:hAnsi="Bookman Old Style"/>
                <w:b/>
                <w:lang w:val="es-ES_tradnl"/>
              </w:rPr>
            </w:pPr>
            <w:r w:rsidRPr="00F340A2">
              <w:rPr>
                <w:rFonts w:ascii="Bookman Old Style" w:hAnsi="Bookman Old Style"/>
                <w:b/>
                <w:lang w:val="es-ES_tradnl"/>
              </w:rPr>
              <w:t>:</w:t>
            </w:r>
          </w:p>
        </w:tc>
        <w:tc>
          <w:tcPr>
            <w:tcW w:w="8476" w:type="dxa"/>
            <w:vAlign w:val="center"/>
          </w:tcPr>
          <w:p w14:paraId="3F4FEB97" w14:textId="199FAA3C" w:rsidR="00C04748" w:rsidRPr="00F340A2" w:rsidRDefault="00C04748" w:rsidP="009E0351">
            <w:pPr>
              <w:ind w:left="0"/>
              <w:jc w:val="both"/>
              <w:rPr>
                <w:rFonts w:ascii="Bookman Old Style" w:hAnsi="Bookman Old Style"/>
                <w:lang w:val="es-ES_tradnl"/>
              </w:rPr>
            </w:pPr>
            <w:r w:rsidRPr="00F340A2">
              <w:rPr>
                <w:rFonts w:ascii="Bookman Old Style" w:hAnsi="Bookman Old Style" w:cs="Arial"/>
              </w:rPr>
              <w:t xml:space="preserve">Número de datos existentes desde </w:t>
            </w:r>
            <m:oMath>
              <m:r>
                <m:rPr>
                  <m:sty m:val="p"/>
                </m:rPr>
                <w:rPr>
                  <w:rFonts w:ascii="Cambria Math" w:hAnsi="Cambria Math" w:cs="Arial"/>
                </w:rPr>
                <m:t>j</m:t>
              </m:r>
            </m:oMath>
            <w:r w:rsidRPr="00F340A2">
              <w:rPr>
                <w:rFonts w:ascii="Bookman Old Style" w:hAnsi="Bookman Old Style" w:cs="Arial"/>
              </w:rPr>
              <w:t xml:space="preserve"> hasta </w:t>
            </w:r>
            <m:oMath>
              <m:r>
                <m:rPr>
                  <m:sty m:val="p"/>
                </m:rPr>
                <w:rPr>
                  <w:rFonts w:ascii="Cambria Math" w:hAnsi="Cambria Math" w:cs="Arial"/>
                </w:rPr>
                <m:t>t</m:t>
              </m:r>
            </m:oMath>
            <w:r w:rsidRPr="00F340A2">
              <w:rPr>
                <w:rFonts w:ascii="Bookman Old Style" w:hAnsi="Bookman Old Style" w:cs="Arial"/>
              </w:rPr>
              <w:t xml:space="preserve">. El valor de </w:t>
            </w:r>
            <m:oMath>
              <m:r>
                <m:rPr>
                  <m:sty m:val="p"/>
                </m:rPr>
                <w:rPr>
                  <w:rFonts w:ascii="Cambria Math" w:hAnsi="Cambria Math"/>
                </w:rPr>
                <m:t>k</m:t>
              </m:r>
            </m:oMath>
            <w:r w:rsidRPr="00F340A2">
              <w:rPr>
                <w:rFonts w:ascii="Bookman Old Style" w:hAnsi="Bookman Old Style" w:cs="Arial"/>
              </w:rPr>
              <w:t xml:space="preserve"> dependerá de la información disponible para cada parámetro.</w:t>
            </w:r>
          </w:p>
        </w:tc>
      </w:tr>
    </w:tbl>
    <w:p w14:paraId="47EC41BF" w14:textId="77777777" w:rsidR="00C04748" w:rsidRDefault="00C04748" w:rsidP="009E0351">
      <w:pPr>
        <w:ind w:left="0"/>
        <w:jc w:val="both"/>
        <w:rPr>
          <w:rFonts w:ascii="Bookman Old Style" w:hAnsi="Bookman Old Style" w:cs="Arial"/>
        </w:rPr>
      </w:pPr>
      <w:r w:rsidRPr="00F340A2">
        <w:rPr>
          <w:rFonts w:ascii="Bookman Old Style" w:hAnsi="Bookman Old Style" w:cs="Arial"/>
          <w:b/>
        </w:rPr>
        <w:lastRenderedPageBreak/>
        <w:t xml:space="preserve">ARTÍCULO </w:t>
      </w:r>
      <w:r>
        <w:rPr>
          <w:rFonts w:ascii="Bookman Old Style" w:hAnsi="Bookman Old Style" w:cs="Arial"/>
          <w:b/>
        </w:rPr>
        <w:t>4</w:t>
      </w:r>
      <w:r w:rsidRPr="00F340A2">
        <w:rPr>
          <w:rFonts w:ascii="Bookman Old Style" w:hAnsi="Bookman Old Style" w:cs="Arial"/>
          <w:b/>
        </w:rPr>
        <w:t xml:space="preserve">. Valor de la tasa de descuento. </w:t>
      </w:r>
      <w:r w:rsidRPr="00F340A2">
        <w:rPr>
          <w:rFonts w:ascii="Bookman Old Style" w:hAnsi="Bookman Old Style" w:cs="Arial"/>
        </w:rPr>
        <w:t>Los valores de las tasas de descuento para cada actividad serán definidos por la CREG en resoluciones posteriores. Los valores se calcularán y publicarán por una sola vez para cada metodología de cálcul</w:t>
      </w:r>
      <w:r>
        <w:rPr>
          <w:rFonts w:ascii="Bookman Old Style" w:hAnsi="Bookman Old Style" w:cs="Arial"/>
        </w:rPr>
        <w:t xml:space="preserve">o de cargos que defina la CREG. </w:t>
      </w:r>
      <w:r w:rsidRPr="00F340A2">
        <w:rPr>
          <w:rFonts w:ascii="Bookman Old Style" w:hAnsi="Bookman Old Style" w:cs="Arial"/>
        </w:rPr>
        <w:t>Dichos valores permanecerán vigentes durante todo el periodo tarifario para calcular los cargos nuevos que sean solicitados, excepto en los casos en los que expresamente la CREG lo establezca.</w:t>
      </w:r>
    </w:p>
    <w:p w14:paraId="4DA324E9" w14:textId="77777777" w:rsidR="00C6136F" w:rsidRPr="00F340A2" w:rsidRDefault="00C6136F" w:rsidP="00C04748">
      <w:pPr>
        <w:ind w:left="0"/>
        <w:jc w:val="both"/>
        <w:rPr>
          <w:rFonts w:ascii="Bookman Old Style" w:hAnsi="Bookman Old Style" w:cs="Arial"/>
        </w:rPr>
      </w:pPr>
    </w:p>
    <w:p w14:paraId="06CBE766" w14:textId="77777777" w:rsidR="00D51E55" w:rsidRPr="00F340A2" w:rsidRDefault="00C04748" w:rsidP="007F46DD">
      <w:pPr>
        <w:pStyle w:val="Textodebloque"/>
        <w:widowControl w:val="0"/>
        <w:tabs>
          <w:tab w:val="left" w:pos="8789"/>
        </w:tabs>
        <w:suppressAutoHyphens w:val="0"/>
        <w:adjustRightInd w:val="0"/>
        <w:spacing w:after="0"/>
        <w:ind w:left="0" w:right="0"/>
        <w:textAlignment w:val="baseline"/>
        <w:rPr>
          <w:rFonts w:cs="Arial"/>
          <w:szCs w:val="24"/>
        </w:rPr>
      </w:pPr>
      <w:r w:rsidRPr="00F340A2">
        <w:rPr>
          <w:rFonts w:ascii="Bookman Old Style" w:hAnsi="Bookman Old Style" w:cs="Arial"/>
          <w:b/>
        </w:rPr>
        <w:t xml:space="preserve">ARTÍCULO </w:t>
      </w:r>
      <w:r>
        <w:rPr>
          <w:rFonts w:ascii="Bookman Old Style" w:hAnsi="Bookman Old Style" w:cs="Arial"/>
          <w:b/>
        </w:rPr>
        <w:t>5</w:t>
      </w:r>
      <w:r w:rsidRPr="00F340A2">
        <w:rPr>
          <w:rFonts w:ascii="Bookman Old Style" w:hAnsi="Bookman Old Style" w:cs="Arial"/>
          <w:b/>
        </w:rPr>
        <w:t xml:space="preserve">. Vigencia. </w:t>
      </w:r>
      <w:r w:rsidRPr="00F340A2">
        <w:rPr>
          <w:rFonts w:ascii="Bookman Old Style" w:hAnsi="Bookman Old Style" w:cs="Arial"/>
          <w:spacing w:val="-4"/>
        </w:rPr>
        <w:t xml:space="preserve">La presente resolución rige a partir de la fecha de su publicación en el </w:t>
      </w:r>
      <w:r w:rsidRPr="00F340A2">
        <w:rPr>
          <w:rFonts w:ascii="Bookman Old Style" w:hAnsi="Bookman Old Style" w:cs="Arial"/>
          <w:i/>
          <w:spacing w:val="-4"/>
        </w:rPr>
        <w:t>Diario Oficial</w:t>
      </w:r>
      <w:r w:rsidRPr="00F340A2">
        <w:rPr>
          <w:rFonts w:ascii="Bookman Old Style" w:hAnsi="Bookman Old Style" w:cs="Arial"/>
          <w:spacing w:val="-4"/>
        </w:rPr>
        <w:t xml:space="preserve"> y </w:t>
      </w:r>
      <w:r w:rsidR="00D51E55">
        <w:rPr>
          <w:rFonts w:ascii="Bookman Old Style" w:hAnsi="Bookman Old Style" w:cs="Arial"/>
          <w:spacing w:val="-4"/>
        </w:rPr>
        <w:t xml:space="preserve">modifica el alcance del artículo 1 de la Resolución CREG 095 de 2015, en el sentido que sólo aplica </w:t>
      </w:r>
      <w:r w:rsidR="00D51E55" w:rsidRPr="00F340A2">
        <w:rPr>
          <w:rFonts w:ascii="Bookman Old Style" w:hAnsi="Bookman Old Style"/>
          <w:szCs w:val="24"/>
        </w:rPr>
        <w:t xml:space="preserve">en </w:t>
      </w:r>
      <w:r w:rsidR="00D51E55" w:rsidRPr="00F340A2">
        <w:rPr>
          <w:rFonts w:ascii="Bookman Old Style" w:hAnsi="Bookman Old Style" w:cs="Arial"/>
          <w:szCs w:val="24"/>
        </w:rPr>
        <w:t>las actividades de</w:t>
      </w:r>
      <w:r w:rsidR="00D51E55" w:rsidRPr="00F340A2">
        <w:rPr>
          <w:rFonts w:ascii="Bookman Old Style" w:hAnsi="Bookman Old Style" w:cs="Arial"/>
          <w:i/>
          <w:szCs w:val="24"/>
        </w:rPr>
        <w:t xml:space="preserve"> </w:t>
      </w:r>
      <w:r w:rsidR="00D51E55" w:rsidRPr="00F340A2">
        <w:rPr>
          <w:rFonts w:ascii="Bookman Old Style" w:hAnsi="Bookman Old Style" w:cs="Arial"/>
          <w:szCs w:val="24"/>
        </w:rPr>
        <w:t>transporte de gas natural, distribución de gas combustible, transmisión y distribución de energía eléctrica en el sistema interconectado nacional, y generación y distribución de energía eléctrica en zonas no interconectadas</w:t>
      </w:r>
      <w:r w:rsidR="00483803">
        <w:rPr>
          <w:rFonts w:ascii="Bookman Old Style" w:hAnsi="Bookman Old Style" w:cs="Arial"/>
          <w:szCs w:val="24"/>
        </w:rPr>
        <w:t xml:space="preserve"> –ZNI-</w:t>
      </w:r>
      <w:r w:rsidR="00D51E55" w:rsidRPr="00F340A2">
        <w:rPr>
          <w:rFonts w:ascii="Bookman Old Style" w:hAnsi="Bookman Old Style"/>
          <w:i/>
          <w:szCs w:val="24"/>
        </w:rPr>
        <w:t>.</w:t>
      </w:r>
    </w:p>
    <w:p w14:paraId="5778E4FB" w14:textId="77777777" w:rsidR="00D51E55" w:rsidRPr="00F340A2" w:rsidRDefault="00D51E55" w:rsidP="00D51E55">
      <w:pPr>
        <w:jc w:val="center"/>
        <w:rPr>
          <w:rFonts w:ascii="Bookman Old Style" w:hAnsi="Bookman Old Style"/>
          <w:b/>
        </w:rPr>
      </w:pPr>
    </w:p>
    <w:bookmarkEnd w:id="2"/>
    <w:p w14:paraId="53F56279" w14:textId="77777777" w:rsidR="00C04748" w:rsidRPr="00F340A2" w:rsidRDefault="00C04748" w:rsidP="00C04748">
      <w:pPr>
        <w:jc w:val="center"/>
        <w:rPr>
          <w:rFonts w:ascii="Bookman Old Style" w:hAnsi="Bookman Old Style"/>
          <w:b/>
        </w:rPr>
      </w:pPr>
      <w:r w:rsidRPr="00F340A2">
        <w:rPr>
          <w:rFonts w:ascii="Bookman Old Style" w:hAnsi="Bookman Old Style"/>
          <w:b/>
        </w:rPr>
        <w:t>PUBLÍQUESE Y CÚMPLASE</w:t>
      </w:r>
    </w:p>
    <w:p w14:paraId="07CFAE60" w14:textId="77777777" w:rsidR="00C04748" w:rsidRPr="00F340A2" w:rsidRDefault="00C04748" w:rsidP="00C04748">
      <w:pPr>
        <w:ind w:left="0"/>
        <w:rPr>
          <w:rFonts w:ascii="Bookman Old Style" w:hAnsi="Bookman Old Style"/>
        </w:rPr>
      </w:pPr>
    </w:p>
    <w:p w14:paraId="45615A5D" w14:textId="21C844ED" w:rsidR="00C04748" w:rsidRPr="003014F9" w:rsidRDefault="00C04748" w:rsidP="00C04748">
      <w:pPr>
        <w:ind w:left="0"/>
        <w:rPr>
          <w:rFonts w:ascii="Bookman Old Style" w:hAnsi="Bookman Old Style"/>
        </w:rPr>
      </w:pPr>
      <w:r w:rsidRPr="003014F9">
        <w:rPr>
          <w:rFonts w:ascii="Bookman Old Style" w:hAnsi="Bookman Old Style"/>
        </w:rPr>
        <w:t xml:space="preserve">Dada en Bogotá, D.C. </w:t>
      </w:r>
    </w:p>
    <w:p w14:paraId="42D4722F" w14:textId="77777777" w:rsidR="00C04748" w:rsidRDefault="00C04748" w:rsidP="00C04748">
      <w:pPr>
        <w:ind w:left="0"/>
        <w:rPr>
          <w:rFonts w:ascii="Bookman Old Style" w:hAnsi="Bookman Old Style"/>
          <w:sz w:val="22"/>
        </w:rPr>
      </w:pPr>
    </w:p>
    <w:p w14:paraId="6B2D4B17" w14:textId="77777777" w:rsidR="00C04748" w:rsidRPr="00F340A2" w:rsidRDefault="00C04748" w:rsidP="00C04748">
      <w:pPr>
        <w:ind w:left="0"/>
        <w:rPr>
          <w:rFonts w:ascii="Bookman Old Style" w:hAnsi="Bookman Old Style"/>
          <w:sz w:val="22"/>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3014F9" w14:paraId="6348AC6E" w14:textId="77777777" w:rsidTr="00FF3F4B">
        <w:trPr>
          <w:tblCellSpacing w:w="0" w:type="dxa"/>
          <w:jc w:val="center"/>
        </w:trPr>
        <w:tc>
          <w:tcPr>
            <w:tcW w:w="5529" w:type="dxa"/>
            <w:hideMark/>
          </w:tcPr>
          <w:p w14:paraId="43A69F46" w14:textId="63BA264F" w:rsidR="003014F9" w:rsidRDefault="003014F9" w:rsidP="00FF3F4B">
            <w:pPr>
              <w:ind w:left="66"/>
              <w:jc w:val="center"/>
              <w:rPr>
                <w:rFonts w:ascii="Bookman Old Style" w:hAnsi="Bookman Old Style" w:cs="Arial"/>
                <w:b/>
                <w:spacing w:val="-3"/>
              </w:rPr>
            </w:pPr>
          </w:p>
          <w:p w14:paraId="775C8F05" w14:textId="77777777" w:rsidR="009E0351" w:rsidRPr="003014F9" w:rsidRDefault="009E0351" w:rsidP="00FF3F4B">
            <w:pPr>
              <w:ind w:left="66"/>
              <w:jc w:val="center"/>
              <w:rPr>
                <w:rFonts w:ascii="Bookman Old Style" w:hAnsi="Bookman Old Style" w:cs="Arial"/>
                <w:b/>
                <w:spacing w:val="-3"/>
              </w:rPr>
            </w:pPr>
          </w:p>
          <w:p w14:paraId="6A392C40" w14:textId="77777777" w:rsidR="003014F9" w:rsidRPr="003014F9" w:rsidRDefault="003014F9" w:rsidP="00FF3F4B">
            <w:pPr>
              <w:ind w:left="66"/>
              <w:jc w:val="center"/>
              <w:rPr>
                <w:rFonts w:ascii="Bookman Old Style" w:hAnsi="Bookman Old Style" w:cs="Arial"/>
                <w:b/>
                <w:spacing w:val="-3"/>
              </w:rPr>
            </w:pPr>
          </w:p>
          <w:p w14:paraId="2E637BB4" w14:textId="10DD8D05" w:rsidR="003014F9" w:rsidRPr="00304638" w:rsidRDefault="009E0351" w:rsidP="00304638">
            <w:pPr>
              <w:tabs>
                <w:tab w:val="left" w:pos="-720"/>
              </w:tabs>
              <w:suppressAutoHyphens/>
              <w:ind w:left="0"/>
              <w:jc w:val="center"/>
              <w:rPr>
                <w:rFonts w:ascii="Bookman Old Style" w:hAnsi="Bookman Old Style"/>
                <w:b/>
              </w:rPr>
            </w:pPr>
            <w:r>
              <w:rPr>
                <w:rFonts w:ascii="Bookman Old Style" w:hAnsi="Bookman Old Style"/>
                <w:b/>
              </w:rPr>
              <w:t>GERMÁN ARCE ZAPATA</w:t>
            </w:r>
          </w:p>
        </w:tc>
        <w:tc>
          <w:tcPr>
            <w:tcW w:w="3969" w:type="dxa"/>
            <w:hideMark/>
          </w:tcPr>
          <w:p w14:paraId="398D63CF" w14:textId="77777777" w:rsidR="003014F9" w:rsidRPr="003014F9" w:rsidRDefault="003014F9" w:rsidP="00FF3F4B">
            <w:pPr>
              <w:ind w:left="89"/>
              <w:jc w:val="center"/>
              <w:rPr>
                <w:rFonts w:ascii="Bookman Old Style" w:hAnsi="Bookman Old Style" w:cs="Arial"/>
                <w:b/>
                <w:spacing w:val="-3"/>
              </w:rPr>
            </w:pPr>
          </w:p>
          <w:p w14:paraId="003AD79E" w14:textId="77777777" w:rsidR="003014F9" w:rsidRPr="003014F9" w:rsidRDefault="003014F9" w:rsidP="00FF3F4B">
            <w:pPr>
              <w:ind w:left="89"/>
              <w:jc w:val="center"/>
              <w:rPr>
                <w:rFonts w:ascii="Bookman Old Style" w:hAnsi="Bookman Old Style" w:cs="Arial"/>
                <w:b/>
                <w:spacing w:val="-3"/>
              </w:rPr>
            </w:pPr>
          </w:p>
          <w:p w14:paraId="67AA494E" w14:textId="77777777" w:rsidR="009E0351" w:rsidRDefault="009E0351" w:rsidP="00FF3F4B">
            <w:pPr>
              <w:ind w:left="89"/>
              <w:jc w:val="center"/>
              <w:rPr>
                <w:rFonts w:ascii="Bookman Old Style" w:hAnsi="Bookman Old Style" w:cs="Arial"/>
                <w:b/>
                <w:spacing w:val="-3"/>
              </w:rPr>
            </w:pPr>
          </w:p>
          <w:p w14:paraId="6C6E6C96" w14:textId="2523C0DB" w:rsidR="003014F9" w:rsidRPr="003014F9" w:rsidRDefault="003014F9" w:rsidP="00FF3F4B">
            <w:pPr>
              <w:ind w:left="89"/>
              <w:jc w:val="center"/>
              <w:rPr>
                <w:rFonts w:ascii="Bookman Old Style" w:hAnsi="Bookman Old Style" w:cs="Arial"/>
                <w:b/>
                <w:spacing w:val="-3"/>
              </w:rPr>
            </w:pPr>
            <w:r w:rsidRPr="003014F9">
              <w:rPr>
                <w:rFonts w:ascii="Bookman Old Style" w:hAnsi="Bookman Old Style" w:cs="Arial"/>
                <w:b/>
                <w:spacing w:val="-3"/>
              </w:rPr>
              <w:t>GERMÁN CASTRO FERREIRA</w:t>
            </w:r>
          </w:p>
        </w:tc>
      </w:tr>
      <w:tr w:rsidR="003014F9" w14:paraId="3C9BF966" w14:textId="77777777" w:rsidTr="00FF3F4B">
        <w:trPr>
          <w:tblCellSpacing w:w="0" w:type="dxa"/>
          <w:jc w:val="center"/>
        </w:trPr>
        <w:tc>
          <w:tcPr>
            <w:tcW w:w="5529" w:type="dxa"/>
            <w:hideMark/>
          </w:tcPr>
          <w:p w14:paraId="4014A4C8" w14:textId="133F133E" w:rsidR="003014F9" w:rsidRPr="003014F9" w:rsidRDefault="003014F9" w:rsidP="00FF3F4B">
            <w:pPr>
              <w:ind w:left="66"/>
              <w:jc w:val="center"/>
              <w:rPr>
                <w:rFonts w:ascii="Bookman Old Style" w:eastAsia="Arial Unicode MS" w:hAnsi="Bookman Old Style" w:cs="Arial"/>
                <w:color w:val="000000"/>
              </w:rPr>
            </w:pPr>
            <w:r w:rsidRPr="003014F9">
              <w:rPr>
                <w:rFonts w:ascii="Bookman Old Style" w:hAnsi="Bookman Old Style" w:cs="Arial"/>
                <w:spacing w:val="-3"/>
              </w:rPr>
              <w:t>Ministro de Minas y Energía</w:t>
            </w:r>
          </w:p>
        </w:tc>
        <w:tc>
          <w:tcPr>
            <w:tcW w:w="3969" w:type="dxa"/>
            <w:hideMark/>
          </w:tcPr>
          <w:p w14:paraId="73025C4D" w14:textId="77777777" w:rsidR="003014F9" w:rsidRPr="003014F9" w:rsidRDefault="003014F9" w:rsidP="00FF3F4B">
            <w:pPr>
              <w:jc w:val="center"/>
              <w:rPr>
                <w:rFonts w:ascii="Bookman Old Style" w:eastAsia="Arial Unicode MS" w:hAnsi="Bookman Old Style" w:cs="Arial"/>
                <w:color w:val="000000"/>
              </w:rPr>
            </w:pPr>
            <w:r w:rsidRPr="003014F9">
              <w:rPr>
                <w:rFonts w:ascii="Bookman Old Style" w:hAnsi="Bookman Old Style" w:cs="Arial"/>
                <w:spacing w:val="-3"/>
              </w:rPr>
              <w:t>Director Ejecutivo</w:t>
            </w:r>
          </w:p>
        </w:tc>
      </w:tr>
      <w:tr w:rsidR="003014F9" w14:paraId="4B017EFB" w14:textId="77777777" w:rsidTr="00FF3F4B">
        <w:trPr>
          <w:tblCellSpacing w:w="0" w:type="dxa"/>
          <w:jc w:val="center"/>
        </w:trPr>
        <w:tc>
          <w:tcPr>
            <w:tcW w:w="5529" w:type="dxa"/>
            <w:hideMark/>
          </w:tcPr>
          <w:p w14:paraId="46BB889C" w14:textId="77777777" w:rsidR="003014F9" w:rsidRPr="003014F9" w:rsidRDefault="003014F9" w:rsidP="00FF3F4B">
            <w:pPr>
              <w:ind w:left="66"/>
              <w:jc w:val="center"/>
              <w:rPr>
                <w:rFonts w:ascii="Bookman Old Style" w:eastAsia="Arial Unicode MS" w:hAnsi="Bookman Old Style" w:cs="Arial"/>
                <w:color w:val="000000"/>
              </w:rPr>
            </w:pPr>
            <w:r w:rsidRPr="003014F9">
              <w:rPr>
                <w:rFonts w:ascii="Bookman Old Style" w:hAnsi="Bookman Old Style" w:cs="Arial"/>
                <w:spacing w:val="-3"/>
              </w:rPr>
              <w:t>Presidente</w:t>
            </w:r>
          </w:p>
        </w:tc>
        <w:tc>
          <w:tcPr>
            <w:tcW w:w="3969" w:type="dxa"/>
          </w:tcPr>
          <w:p w14:paraId="2374983F" w14:textId="77777777" w:rsidR="003014F9" w:rsidRPr="003014F9" w:rsidRDefault="003014F9" w:rsidP="00FF3F4B">
            <w:pPr>
              <w:jc w:val="center"/>
              <w:rPr>
                <w:rFonts w:ascii="Bookman Old Style" w:eastAsia="Arial Unicode MS" w:hAnsi="Bookman Old Style" w:cs="Arial"/>
                <w:color w:val="000000"/>
              </w:rPr>
            </w:pPr>
          </w:p>
        </w:tc>
      </w:tr>
    </w:tbl>
    <w:p w14:paraId="137131B6" w14:textId="77777777" w:rsidR="00B103F1" w:rsidRPr="00C04748" w:rsidRDefault="00B103F1" w:rsidP="00C04748"/>
    <w:sectPr w:rsidR="00B103F1" w:rsidRPr="00C04748" w:rsidSect="002301BC">
      <w:headerReference w:type="default" r:id="rId10"/>
      <w:headerReference w:type="first" r:id="rId11"/>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8697C" w14:textId="77777777" w:rsidR="009071D6" w:rsidRDefault="009071D6">
      <w:r>
        <w:separator/>
      </w:r>
    </w:p>
  </w:endnote>
  <w:endnote w:type="continuationSeparator" w:id="0">
    <w:p w14:paraId="1A57F3A0" w14:textId="77777777" w:rsidR="009071D6" w:rsidRDefault="0090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0FC7" w14:textId="77777777" w:rsidR="009071D6" w:rsidRDefault="009071D6">
      <w:r>
        <w:separator/>
      </w:r>
    </w:p>
  </w:footnote>
  <w:footnote w:type="continuationSeparator" w:id="0">
    <w:p w14:paraId="0B861D95" w14:textId="77777777" w:rsidR="009071D6" w:rsidRDefault="009071D6">
      <w:r>
        <w:continuationSeparator/>
      </w:r>
    </w:p>
  </w:footnote>
  <w:footnote w:id="1">
    <w:p w14:paraId="0EB644BD" w14:textId="77777777" w:rsidR="009012D4" w:rsidRPr="00B27614" w:rsidRDefault="009012D4" w:rsidP="00C04748">
      <w:pPr>
        <w:pStyle w:val="Textonotapie"/>
        <w:spacing w:line="240" w:lineRule="auto"/>
        <w:rPr>
          <w:lang w:val="es-CO"/>
        </w:rPr>
      </w:pPr>
      <w:r>
        <w:rPr>
          <w:rStyle w:val="Refdenotaalpie"/>
        </w:rPr>
        <w:footnoteRef/>
      </w:r>
      <w:r>
        <w:t xml:space="preserve"> </w:t>
      </w:r>
      <w:r>
        <w:rPr>
          <w:lang w:val="es-CO"/>
        </w:rPr>
        <w:t xml:space="preserve">Actualmente compilado en el artículo 2.2.1.1.2.2.1.3 del Decreto 1073 de 2015 – Decreto Único Reglamentario del Sector Administrativo de Minas y Energía-. </w:t>
      </w:r>
    </w:p>
  </w:footnote>
  <w:footnote w:id="2">
    <w:p w14:paraId="0177B20C" w14:textId="77777777" w:rsidR="009012D4" w:rsidRPr="00CD00A9" w:rsidRDefault="009012D4" w:rsidP="00C04748">
      <w:pPr>
        <w:pStyle w:val="Textonotapie"/>
        <w:spacing w:line="240" w:lineRule="auto"/>
        <w:rPr>
          <w:rFonts w:ascii="Bookman Old Style" w:hAnsi="Bookman Old Style"/>
        </w:rPr>
      </w:pPr>
      <w:r>
        <w:rPr>
          <w:rStyle w:val="Refdenotaalpie"/>
        </w:rPr>
        <w:footnoteRef/>
      </w:r>
      <w:r>
        <w:t xml:space="preserve"> </w:t>
      </w:r>
      <w:r w:rsidRPr="00B27614">
        <w:rPr>
          <w:lang w:val="es-CO"/>
        </w:rPr>
        <w:t>Actualmente compilado en el artículo 1.2.1.1.3.1.1. del Decreto 1073 de 2015 -Decreto Único Reglamentario del Sector Administrativo de Minas y Energía-.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AA29" w14:textId="77777777" w:rsidR="009012D4" w:rsidRDefault="009012D4" w:rsidP="00951F79">
    <w:pPr>
      <w:pStyle w:val="Ttulo1"/>
      <w:ind w:right="6"/>
      <w:jc w:val="left"/>
      <w:rPr>
        <w:rFonts w:ascii="Bookman Old Style" w:hAnsi="Bookman Old Style" w:cs="Arial"/>
        <w:b w:val="0"/>
        <w:sz w:val="22"/>
        <w:szCs w:val="22"/>
      </w:rPr>
    </w:pPr>
  </w:p>
  <w:p w14:paraId="677DD077" w14:textId="63F6AE12" w:rsidR="009012D4" w:rsidRPr="00951F79" w:rsidRDefault="009012D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01037">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01037" w:rsidRPr="00501037">
        <w:rPr>
          <w:rFonts w:ascii="Bookman Old Style" w:hAnsi="Bookman Old Style" w:cs="Arial"/>
          <w:b w:val="0"/>
          <w:noProof/>
          <w:sz w:val="22"/>
          <w:szCs w:val="22"/>
        </w:rPr>
        <w:t>10</w:t>
      </w:r>
    </w:fldSimple>
  </w:p>
  <w:p w14:paraId="60B362CF" w14:textId="77777777" w:rsidR="009012D4" w:rsidRDefault="009012D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752" behindDoc="0" locked="0" layoutInCell="1" allowOverlap="1" wp14:anchorId="0177D74F" wp14:editId="6D8BAF3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6E41" id="Rectangle 1" o:spid="_x0000_s1026" style="position:absolute;margin-left:-13.8pt;margin-top:10.95pt;width:493.5pt;height:77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CE28985" w14:textId="77777777" w:rsidR="009012D4" w:rsidRPr="003014F9" w:rsidRDefault="009012D4" w:rsidP="003014F9">
    <w:pPr>
      <w:ind w:left="0" w:right="51"/>
      <w:jc w:val="both"/>
      <w:rPr>
        <w:rFonts w:ascii="Bookman Old Style" w:hAnsi="Bookman Old Style" w:cs="Arial"/>
        <w:sz w:val="22"/>
        <w:szCs w:val="22"/>
      </w:rPr>
    </w:pPr>
    <w:r w:rsidRPr="003014F9">
      <w:rPr>
        <w:rFonts w:ascii="Bookman Old Style" w:hAnsi="Bookman Old Style" w:cs="Arial"/>
        <w:sz w:val="22"/>
        <w:szCs w:val="22"/>
      </w:rPr>
      <w:t xml:space="preserve">Por la cual se define la metodología para el cálculo de la tasa de descuento que se </w:t>
    </w:r>
    <w:r w:rsidRPr="003014F9">
      <w:rPr>
        <w:rFonts w:ascii="Bookman Old Style" w:hAnsi="Bookman Old Style"/>
        <w:sz w:val="22"/>
        <w:szCs w:val="22"/>
      </w:rPr>
      <w:t xml:space="preserve">aplicará a </w:t>
    </w:r>
    <w:r w:rsidRPr="003014F9">
      <w:rPr>
        <w:rFonts w:ascii="Bookman Old Style" w:hAnsi="Bookman Old Style" w:cs="Arial"/>
        <w:sz w:val="22"/>
        <w:szCs w:val="22"/>
      </w:rPr>
      <w:t xml:space="preserve">las actividades de la cadena de distribución de combustibles líquidos y </w:t>
    </w:r>
    <w:r w:rsidRPr="003014F9">
      <w:rPr>
        <w:rFonts w:ascii="Bookman Old Style" w:hAnsi="Bookman Old Style"/>
        <w:sz w:val="22"/>
        <w:szCs w:val="22"/>
      </w:rPr>
      <w:t>al transporte de GLP por ductos</w:t>
    </w:r>
  </w:p>
  <w:p w14:paraId="79C2A9DA" w14:textId="77777777" w:rsidR="009012D4" w:rsidRPr="003014F9" w:rsidRDefault="009012D4" w:rsidP="003014F9">
    <w:pPr>
      <w:pBdr>
        <w:bottom w:val="single" w:sz="4" w:space="1" w:color="auto"/>
      </w:pBdr>
      <w:ind w:left="0" w:right="148"/>
      <w:jc w:val="both"/>
      <w:rPr>
        <w:b/>
        <w:sz w:val="22"/>
        <w:szCs w:val="22"/>
      </w:rPr>
    </w:pPr>
  </w:p>
  <w:p w14:paraId="3BFAF7AC" w14:textId="77777777" w:rsidR="009012D4" w:rsidRDefault="009012D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1AE9" w14:textId="77777777" w:rsidR="009012D4" w:rsidRDefault="009012D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0DD4493" w14:textId="77777777" w:rsidR="009012D4" w:rsidRDefault="009012D4">
    <w:pPr>
      <w:pStyle w:val="Encabezado"/>
      <w:jc w:val="center"/>
      <w:rPr>
        <w:rFonts w:ascii="Arial" w:hAnsi="Arial" w:cs="Arial"/>
        <w:spacing w:val="20"/>
        <w:sz w:val="20"/>
      </w:rPr>
    </w:pPr>
  </w:p>
  <w:p w14:paraId="639C6C67" w14:textId="77777777" w:rsidR="009012D4" w:rsidRDefault="009012D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CDAFB1" wp14:editId="47D9EF18">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00D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6"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9"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2"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6"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9"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3"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5"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7"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6"/>
  </w:num>
  <w:num w:numId="2">
    <w:abstractNumId w:val="2"/>
  </w:num>
  <w:num w:numId="3">
    <w:abstractNumId w:val="15"/>
  </w:num>
  <w:num w:numId="4">
    <w:abstractNumId w:val="17"/>
  </w:num>
  <w:num w:numId="5">
    <w:abstractNumId w:val="0"/>
  </w:num>
  <w:num w:numId="6">
    <w:abstractNumId w:val="5"/>
  </w:num>
  <w:num w:numId="7">
    <w:abstractNumId w:val="8"/>
    <w:lvlOverride w:ilvl="0">
      <w:startOverride w:val="1"/>
    </w:lvlOverride>
  </w:num>
  <w:num w:numId="8">
    <w:abstractNumId w:val="4"/>
  </w:num>
  <w:num w:numId="9">
    <w:abstractNumId w:val="14"/>
  </w:num>
  <w:num w:numId="10">
    <w:abstractNumId w:val="30"/>
  </w:num>
  <w:num w:numId="11">
    <w:abstractNumId w:val="7"/>
  </w:num>
  <w:num w:numId="12">
    <w:abstractNumId w:val="26"/>
  </w:num>
  <w:num w:numId="13">
    <w:abstractNumId w:val="16"/>
  </w:num>
  <w:num w:numId="14">
    <w:abstractNumId w:val="27"/>
  </w:num>
  <w:num w:numId="15">
    <w:abstractNumId w:val="11"/>
  </w:num>
  <w:num w:numId="16">
    <w:abstractNumId w:val="23"/>
  </w:num>
  <w:num w:numId="17">
    <w:abstractNumId w:val="12"/>
  </w:num>
  <w:num w:numId="18">
    <w:abstractNumId w:val="25"/>
  </w:num>
  <w:num w:numId="19">
    <w:abstractNumId w:val="19"/>
  </w:num>
  <w:num w:numId="20">
    <w:abstractNumId w:val="21"/>
  </w:num>
  <w:num w:numId="21">
    <w:abstractNumId w:val="10"/>
  </w:num>
  <w:num w:numId="22">
    <w:abstractNumId w:val="18"/>
  </w:num>
  <w:num w:numId="23">
    <w:abstractNumId w:val="9"/>
  </w:num>
  <w:num w:numId="24">
    <w:abstractNumId w:val="22"/>
  </w:num>
  <w:num w:numId="25">
    <w:abstractNumId w:val="13"/>
  </w:num>
  <w:num w:numId="26">
    <w:abstractNumId w:val="28"/>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2E"/>
    <w:rsid w:val="00002027"/>
    <w:rsid w:val="000035BA"/>
    <w:rsid w:val="00003C0B"/>
    <w:rsid w:val="000053E3"/>
    <w:rsid w:val="00006AE2"/>
    <w:rsid w:val="000076A1"/>
    <w:rsid w:val="000103AE"/>
    <w:rsid w:val="00010596"/>
    <w:rsid w:val="00012259"/>
    <w:rsid w:val="000131A1"/>
    <w:rsid w:val="00016471"/>
    <w:rsid w:val="0002107C"/>
    <w:rsid w:val="0002310D"/>
    <w:rsid w:val="00023D67"/>
    <w:rsid w:val="000248FE"/>
    <w:rsid w:val="00025383"/>
    <w:rsid w:val="00026E30"/>
    <w:rsid w:val="00031BF2"/>
    <w:rsid w:val="00032A5E"/>
    <w:rsid w:val="00032AE0"/>
    <w:rsid w:val="00033817"/>
    <w:rsid w:val="00036B2A"/>
    <w:rsid w:val="00037353"/>
    <w:rsid w:val="00041B16"/>
    <w:rsid w:val="000451DE"/>
    <w:rsid w:val="00045D3D"/>
    <w:rsid w:val="000471D3"/>
    <w:rsid w:val="000532EB"/>
    <w:rsid w:val="00063657"/>
    <w:rsid w:val="00065763"/>
    <w:rsid w:val="0006733E"/>
    <w:rsid w:val="00074C13"/>
    <w:rsid w:val="00076680"/>
    <w:rsid w:val="00076A1D"/>
    <w:rsid w:val="000776BE"/>
    <w:rsid w:val="00077A7C"/>
    <w:rsid w:val="0008073E"/>
    <w:rsid w:val="00081C12"/>
    <w:rsid w:val="000840AB"/>
    <w:rsid w:val="0008464E"/>
    <w:rsid w:val="0008510B"/>
    <w:rsid w:val="0008532D"/>
    <w:rsid w:val="0008579D"/>
    <w:rsid w:val="00090CCD"/>
    <w:rsid w:val="000910C8"/>
    <w:rsid w:val="00091CDB"/>
    <w:rsid w:val="00092B2B"/>
    <w:rsid w:val="000931A3"/>
    <w:rsid w:val="000938B0"/>
    <w:rsid w:val="0009477F"/>
    <w:rsid w:val="00095053"/>
    <w:rsid w:val="000A106F"/>
    <w:rsid w:val="000A19AC"/>
    <w:rsid w:val="000A4B28"/>
    <w:rsid w:val="000B2646"/>
    <w:rsid w:val="000B2D6B"/>
    <w:rsid w:val="000B2EC9"/>
    <w:rsid w:val="000B3A44"/>
    <w:rsid w:val="000B636C"/>
    <w:rsid w:val="000C1725"/>
    <w:rsid w:val="000C2F14"/>
    <w:rsid w:val="000C3105"/>
    <w:rsid w:val="000C31BF"/>
    <w:rsid w:val="000C3F2B"/>
    <w:rsid w:val="000C4C64"/>
    <w:rsid w:val="000C5381"/>
    <w:rsid w:val="000D26F8"/>
    <w:rsid w:val="000D3338"/>
    <w:rsid w:val="000D358B"/>
    <w:rsid w:val="000D4382"/>
    <w:rsid w:val="000D4681"/>
    <w:rsid w:val="000D5AF8"/>
    <w:rsid w:val="000D6688"/>
    <w:rsid w:val="000D7E69"/>
    <w:rsid w:val="000E0508"/>
    <w:rsid w:val="000E072B"/>
    <w:rsid w:val="000E33AE"/>
    <w:rsid w:val="000E4BE9"/>
    <w:rsid w:val="000E7538"/>
    <w:rsid w:val="000E7550"/>
    <w:rsid w:val="000E7742"/>
    <w:rsid w:val="000E792F"/>
    <w:rsid w:val="000F02ED"/>
    <w:rsid w:val="000F0637"/>
    <w:rsid w:val="000F0EDA"/>
    <w:rsid w:val="000F160C"/>
    <w:rsid w:val="000F3745"/>
    <w:rsid w:val="000F3B75"/>
    <w:rsid w:val="000F43F0"/>
    <w:rsid w:val="0010227B"/>
    <w:rsid w:val="00111DBE"/>
    <w:rsid w:val="001142FA"/>
    <w:rsid w:val="00116BE0"/>
    <w:rsid w:val="00117FFD"/>
    <w:rsid w:val="0012112B"/>
    <w:rsid w:val="00122975"/>
    <w:rsid w:val="00123579"/>
    <w:rsid w:val="00124DE5"/>
    <w:rsid w:val="00124E88"/>
    <w:rsid w:val="0012515F"/>
    <w:rsid w:val="00126899"/>
    <w:rsid w:val="001312F4"/>
    <w:rsid w:val="0013526C"/>
    <w:rsid w:val="00135432"/>
    <w:rsid w:val="00136507"/>
    <w:rsid w:val="001405C6"/>
    <w:rsid w:val="00141013"/>
    <w:rsid w:val="00143885"/>
    <w:rsid w:val="0015022D"/>
    <w:rsid w:val="00150B1C"/>
    <w:rsid w:val="00153E8D"/>
    <w:rsid w:val="001550F1"/>
    <w:rsid w:val="00155596"/>
    <w:rsid w:val="0015769B"/>
    <w:rsid w:val="0016290D"/>
    <w:rsid w:val="00164C71"/>
    <w:rsid w:val="00164FDA"/>
    <w:rsid w:val="00167807"/>
    <w:rsid w:val="00171691"/>
    <w:rsid w:val="0017476B"/>
    <w:rsid w:val="0018073E"/>
    <w:rsid w:val="00180ACD"/>
    <w:rsid w:val="00183625"/>
    <w:rsid w:val="001845A8"/>
    <w:rsid w:val="0018573D"/>
    <w:rsid w:val="00186449"/>
    <w:rsid w:val="001864E9"/>
    <w:rsid w:val="00186864"/>
    <w:rsid w:val="00192C6C"/>
    <w:rsid w:val="00192CBF"/>
    <w:rsid w:val="00192FF1"/>
    <w:rsid w:val="00197478"/>
    <w:rsid w:val="001A33E2"/>
    <w:rsid w:val="001A5C46"/>
    <w:rsid w:val="001A5D15"/>
    <w:rsid w:val="001A5F1B"/>
    <w:rsid w:val="001A73AB"/>
    <w:rsid w:val="001B1756"/>
    <w:rsid w:val="001B1C22"/>
    <w:rsid w:val="001B3455"/>
    <w:rsid w:val="001B34C6"/>
    <w:rsid w:val="001B6221"/>
    <w:rsid w:val="001B6B42"/>
    <w:rsid w:val="001C22E9"/>
    <w:rsid w:val="001C253A"/>
    <w:rsid w:val="001C3F62"/>
    <w:rsid w:val="001C4B62"/>
    <w:rsid w:val="001C4FA2"/>
    <w:rsid w:val="001C52D4"/>
    <w:rsid w:val="001C5B0A"/>
    <w:rsid w:val="001D1211"/>
    <w:rsid w:val="001D4287"/>
    <w:rsid w:val="001D51F0"/>
    <w:rsid w:val="001D5F3F"/>
    <w:rsid w:val="001D62D6"/>
    <w:rsid w:val="001D72E8"/>
    <w:rsid w:val="001D7832"/>
    <w:rsid w:val="001E0F40"/>
    <w:rsid w:val="001E200A"/>
    <w:rsid w:val="001E7F82"/>
    <w:rsid w:val="001F07B0"/>
    <w:rsid w:val="001F4A23"/>
    <w:rsid w:val="001F55D1"/>
    <w:rsid w:val="0020144A"/>
    <w:rsid w:val="00202960"/>
    <w:rsid w:val="0020432A"/>
    <w:rsid w:val="002046BF"/>
    <w:rsid w:val="00210DC1"/>
    <w:rsid w:val="0021136B"/>
    <w:rsid w:val="00211C80"/>
    <w:rsid w:val="00211D34"/>
    <w:rsid w:val="0021287A"/>
    <w:rsid w:val="00212CA8"/>
    <w:rsid w:val="002132F8"/>
    <w:rsid w:val="0021451A"/>
    <w:rsid w:val="002147D8"/>
    <w:rsid w:val="00214F04"/>
    <w:rsid w:val="002171AE"/>
    <w:rsid w:val="0021723C"/>
    <w:rsid w:val="00217893"/>
    <w:rsid w:val="002202FA"/>
    <w:rsid w:val="00220B81"/>
    <w:rsid w:val="00221050"/>
    <w:rsid w:val="00221D3F"/>
    <w:rsid w:val="00223C3A"/>
    <w:rsid w:val="00223E05"/>
    <w:rsid w:val="00225A29"/>
    <w:rsid w:val="00226540"/>
    <w:rsid w:val="0022753E"/>
    <w:rsid w:val="002275C4"/>
    <w:rsid w:val="002301BC"/>
    <w:rsid w:val="00231CC5"/>
    <w:rsid w:val="00233810"/>
    <w:rsid w:val="00235FB7"/>
    <w:rsid w:val="00237A03"/>
    <w:rsid w:val="002446D1"/>
    <w:rsid w:val="0024732F"/>
    <w:rsid w:val="00251EE7"/>
    <w:rsid w:val="00253361"/>
    <w:rsid w:val="00253CE1"/>
    <w:rsid w:val="00253EC7"/>
    <w:rsid w:val="0025530B"/>
    <w:rsid w:val="00255D23"/>
    <w:rsid w:val="00257D25"/>
    <w:rsid w:val="00261A8F"/>
    <w:rsid w:val="00266CD6"/>
    <w:rsid w:val="00270880"/>
    <w:rsid w:val="00275DAB"/>
    <w:rsid w:val="002768F8"/>
    <w:rsid w:val="00276F91"/>
    <w:rsid w:val="00277813"/>
    <w:rsid w:val="002804E8"/>
    <w:rsid w:val="00282522"/>
    <w:rsid w:val="00283300"/>
    <w:rsid w:val="00284CBA"/>
    <w:rsid w:val="00285702"/>
    <w:rsid w:val="002923B9"/>
    <w:rsid w:val="00297BDE"/>
    <w:rsid w:val="002A0283"/>
    <w:rsid w:val="002A23B8"/>
    <w:rsid w:val="002A2A03"/>
    <w:rsid w:val="002A782A"/>
    <w:rsid w:val="002B0EA7"/>
    <w:rsid w:val="002B11E2"/>
    <w:rsid w:val="002B1E70"/>
    <w:rsid w:val="002B24B8"/>
    <w:rsid w:val="002B43D7"/>
    <w:rsid w:val="002B46ED"/>
    <w:rsid w:val="002B5983"/>
    <w:rsid w:val="002C0ECD"/>
    <w:rsid w:val="002C12E5"/>
    <w:rsid w:val="002C4F1B"/>
    <w:rsid w:val="002C5890"/>
    <w:rsid w:val="002C7B37"/>
    <w:rsid w:val="002D3156"/>
    <w:rsid w:val="002D356F"/>
    <w:rsid w:val="002D3AE9"/>
    <w:rsid w:val="002D3DC4"/>
    <w:rsid w:val="002D4510"/>
    <w:rsid w:val="002D5C44"/>
    <w:rsid w:val="002D6CB3"/>
    <w:rsid w:val="002D7CE0"/>
    <w:rsid w:val="002E14DC"/>
    <w:rsid w:val="002E1BB9"/>
    <w:rsid w:val="002E2A06"/>
    <w:rsid w:val="002E40B9"/>
    <w:rsid w:val="002E522A"/>
    <w:rsid w:val="002E74DC"/>
    <w:rsid w:val="002F0734"/>
    <w:rsid w:val="002F3DA9"/>
    <w:rsid w:val="002F41D0"/>
    <w:rsid w:val="002F46E7"/>
    <w:rsid w:val="002F4ACF"/>
    <w:rsid w:val="002F64A7"/>
    <w:rsid w:val="002F6E46"/>
    <w:rsid w:val="00300543"/>
    <w:rsid w:val="003014F9"/>
    <w:rsid w:val="00304638"/>
    <w:rsid w:val="00306439"/>
    <w:rsid w:val="00306FAE"/>
    <w:rsid w:val="003101DA"/>
    <w:rsid w:val="00311832"/>
    <w:rsid w:val="00312A45"/>
    <w:rsid w:val="00312A7B"/>
    <w:rsid w:val="00314757"/>
    <w:rsid w:val="003163BC"/>
    <w:rsid w:val="00316C60"/>
    <w:rsid w:val="00317FBA"/>
    <w:rsid w:val="0032044F"/>
    <w:rsid w:val="003211CE"/>
    <w:rsid w:val="00324B47"/>
    <w:rsid w:val="0032679A"/>
    <w:rsid w:val="0032698B"/>
    <w:rsid w:val="003301B7"/>
    <w:rsid w:val="00330B9B"/>
    <w:rsid w:val="0033223A"/>
    <w:rsid w:val="00335F52"/>
    <w:rsid w:val="003426D3"/>
    <w:rsid w:val="0034480C"/>
    <w:rsid w:val="0034567B"/>
    <w:rsid w:val="0035176C"/>
    <w:rsid w:val="0035403A"/>
    <w:rsid w:val="003541B6"/>
    <w:rsid w:val="003550A9"/>
    <w:rsid w:val="00355519"/>
    <w:rsid w:val="00355910"/>
    <w:rsid w:val="00361A4D"/>
    <w:rsid w:val="00362A66"/>
    <w:rsid w:val="0036394B"/>
    <w:rsid w:val="00364375"/>
    <w:rsid w:val="003645D5"/>
    <w:rsid w:val="00364787"/>
    <w:rsid w:val="0036593E"/>
    <w:rsid w:val="0036677A"/>
    <w:rsid w:val="00366DB6"/>
    <w:rsid w:val="003709B5"/>
    <w:rsid w:val="0037168D"/>
    <w:rsid w:val="00374F22"/>
    <w:rsid w:val="003759C2"/>
    <w:rsid w:val="00387095"/>
    <w:rsid w:val="00387313"/>
    <w:rsid w:val="00391CFA"/>
    <w:rsid w:val="00394052"/>
    <w:rsid w:val="00395D05"/>
    <w:rsid w:val="00397365"/>
    <w:rsid w:val="003A0E77"/>
    <w:rsid w:val="003A2D69"/>
    <w:rsid w:val="003A31F6"/>
    <w:rsid w:val="003A4743"/>
    <w:rsid w:val="003A4783"/>
    <w:rsid w:val="003A6AFC"/>
    <w:rsid w:val="003B24D5"/>
    <w:rsid w:val="003B3050"/>
    <w:rsid w:val="003B77B7"/>
    <w:rsid w:val="003C16E1"/>
    <w:rsid w:val="003C3447"/>
    <w:rsid w:val="003C5A8F"/>
    <w:rsid w:val="003D076C"/>
    <w:rsid w:val="003D0CA7"/>
    <w:rsid w:val="003D0E62"/>
    <w:rsid w:val="003D2578"/>
    <w:rsid w:val="003D2CC6"/>
    <w:rsid w:val="003D43FA"/>
    <w:rsid w:val="003D6594"/>
    <w:rsid w:val="003D68D4"/>
    <w:rsid w:val="003E3419"/>
    <w:rsid w:val="003E3CD6"/>
    <w:rsid w:val="003E6876"/>
    <w:rsid w:val="003E6924"/>
    <w:rsid w:val="003E6D5C"/>
    <w:rsid w:val="003E74DD"/>
    <w:rsid w:val="003E76A0"/>
    <w:rsid w:val="003E78B5"/>
    <w:rsid w:val="003F0023"/>
    <w:rsid w:val="003F17B4"/>
    <w:rsid w:val="003F1F3D"/>
    <w:rsid w:val="003F232A"/>
    <w:rsid w:val="003F50D9"/>
    <w:rsid w:val="003F557E"/>
    <w:rsid w:val="004004AA"/>
    <w:rsid w:val="004034E8"/>
    <w:rsid w:val="004109E9"/>
    <w:rsid w:val="0041221F"/>
    <w:rsid w:val="004151D1"/>
    <w:rsid w:val="00415405"/>
    <w:rsid w:val="00415BAB"/>
    <w:rsid w:val="00415ED2"/>
    <w:rsid w:val="004161AE"/>
    <w:rsid w:val="00416BC7"/>
    <w:rsid w:val="0042068C"/>
    <w:rsid w:val="00421929"/>
    <w:rsid w:val="00422ADE"/>
    <w:rsid w:val="00427A91"/>
    <w:rsid w:val="004309BE"/>
    <w:rsid w:val="004315A6"/>
    <w:rsid w:val="00437F71"/>
    <w:rsid w:val="00442203"/>
    <w:rsid w:val="00442475"/>
    <w:rsid w:val="0044318E"/>
    <w:rsid w:val="00443EE2"/>
    <w:rsid w:val="00444034"/>
    <w:rsid w:val="004475F0"/>
    <w:rsid w:val="00450409"/>
    <w:rsid w:val="004514EA"/>
    <w:rsid w:val="00452003"/>
    <w:rsid w:val="004525E6"/>
    <w:rsid w:val="004601B9"/>
    <w:rsid w:val="00460CB8"/>
    <w:rsid w:val="004616C2"/>
    <w:rsid w:val="004676AA"/>
    <w:rsid w:val="00467840"/>
    <w:rsid w:val="0047122B"/>
    <w:rsid w:val="0047352F"/>
    <w:rsid w:val="00473B7A"/>
    <w:rsid w:val="00474F0B"/>
    <w:rsid w:val="004757EE"/>
    <w:rsid w:val="0048144E"/>
    <w:rsid w:val="00482B54"/>
    <w:rsid w:val="00483803"/>
    <w:rsid w:val="00483996"/>
    <w:rsid w:val="00485027"/>
    <w:rsid w:val="00485647"/>
    <w:rsid w:val="00485DEF"/>
    <w:rsid w:val="00486E70"/>
    <w:rsid w:val="00493101"/>
    <w:rsid w:val="00493D78"/>
    <w:rsid w:val="004960E9"/>
    <w:rsid w:val="004A054C"/>
    <w:rsid w:val="004A0C0D"/>
    <w:rsid w:val="004A24EC"/>
    <w:rsid w:val="004A2E88"/>
    <w:rsid w:val="004A36E2"/>
    <w:rsid w:val="004A405C"/>
    <w:rsid w:val="004A429E"/>
    <w:rsid w:val="004A4BBC"/>
    <w:rsid w:val="004A515E"/>
    <w:rsid w:val="004A5305"/>
    <w:rsid w:val="004A55D8"/>
    <w:rsid w:val="004A6A50"/>
    <w:rsid w:val="004B234D"/>
    <w:rsid w:val="004B25B5"/>
    <w:rsid w:val="004B4069"/>
    <w:rsid w:val="004B448D"/>
    <w:rsid w:val="004B44F3"/>
    <w:rsid w:val="004B4EF4"/>
    <w:rsid w:val="004B6F1F"/>
    <w:rsid w:val="004B7B4C"/>
    <w:rsid w:val="004C25C9"/>
    <w:rsid w:val="004C5D17"/>
    <w:rsid w:val="004C5DF0"/>
    <w:rsid w:val="004D20DD"/>
    <w:rsid w:val="004D2855"/>
    <w:rsid w:val="004D44FC"/>
    <w:rsid w:val="004D7634"/>
    <w:rsid w:val="004E1595"/>
    <w:rsid w:val="004E1F1E"/>
    <w:rsid w:val="004E2397"/>
    <w:rsid w:val="004E298F"/>
    <w:rsid w:val="004E2A17"/>
    <w:rsid w:val="004E5324"/>
    <w:rsid w:val="004E611A"/>
    <w:rsid w:val="004F045B"/>
    <w:rsid w:val="004F2A6B"/>
    <w:rsid w:val="004F6EC9"/>
    <w:rsid w:val="00501037"/>
    <w:rsid w:val="00506E23"/>
    <w:rsid w:val="0050764A"/>
    <w:rsid w:val="005104A4"/>
    <w:rsid w:val="00510F81"/>
    <w:rsid w:val="00511A77"/>
    <w:rsid w:val="00511B08"/>
    <w:rsid w:val="00522517"/>
    <w:rsid w:val="00524E81"/>
    <w:rsid w:val="00527AB8"/>
    <w:rsid w:val="005300D3"/>
    <w:rsid w:val="00535305"/>
    <w:rsid w:val="00535C07"/>
    <w:rsid w:val="00537B0A"/>
    <w:rsid w:val="00541403"/>
    <w:rsid w:val="00541942"/>
    <w:rsid w:val="00544C47"/>
    <w:rsid w:val="00544F82"/>
    <w:rsid w:val="00545704"/>
    <w:rsid w:val="0054740F"/>
    <w:rsid w:val="0055018E"/>
    <w:rsid w:val="005509D2"/>
    <w:rsid w:val="005515FC"/>
    <w:rsid w:val="005516CD"/>
    <w:rsid w:val="00554FC4"/>
    <w:rsid w:val="005563D3"/>
    <w:rsid w:val="005611A3"/>
    <w:rsid w:val="00561929"/>
    <w:rsid w:val="005702E1"/>
    <w:rsid w:val="00570794"/>
    <w:rsid w:val="00570DA8"/>
    <w:rsid w:val="005715A2"/>
    <w:rsid w:val="005726B8"/>
    <w:rsid w:val="0057392D"/>
    <w:rsid w:val="00576694"/>
    <w:rsid w:val="00576E38"/>
    <w:rsid w:val="0057713D"/>
    <w:rsid w:val="00577E51"/>
    <w:rsid w:val="00582C5F"/>
    <w:rsid w:val="005840CC"/>
    <w:rsid w:val="00584439"/>
    <w:rsid w:val="00584631"/>
    <w:rsid w:val="005858E8"/>
    <w:rsid w:val="0058683D"/>
    <w:rsid w:val="00590422"/>
    <w:rsid w:val="00591585"/>
    <w:rsid w:val="00591D8A"/>
    <w:rsid w:val="00593617"/>
    <w:rsid w:val="0059376D"/>
    <w:rsid w:val="00593C4F"/>
    <w:rsid w:val="005946A8"/>
    <w:rsid w:val="00595924"/>
    <w:rsid w:val="0059659F"/>
    <w:rsid w:val="00597A07"/>
    <w:rsid w:val="00597C25"/>
    <w:rsid w:val="005A3CF2"/>
    <w:rsid w:val="005A4407"/>
    <w:rsid w:val="005A59EF"/>
    <w:rsid w:val="005A5E31"/>
    <w:rsid w:val="005A721A"/>
    <w:rsid w:val="005A74EA"/>
    <w:rsid w:val="005B1B0D"/>
    <w:rsid w:val="005B1C7E"/>
    <w:rsid w:val="005B7C37"/>
    <w:rsid w:val="005C1759"/>
    <w:rsid w:val="005C4EEC"/>
    <w:rsid w:val="005C6976"/>
    <w:rsid w:val="005D286E"/>
    <w:rsid w:val="005D37D8"/>
    <w:rsid w:val="005D50E5"/>
    <w:rsid w:val="005D56D7"/>
    <w:rsid w:val="005D72CF"/>
    <w:rsid w:val="005E1CDE"/>
    <w:rsid w:val="005E345C"/>
    <w:rsid w:val="005E3BD9"/>
    <w:rsid w:val="005E44E2"/>
    <w:rsid w:val="005F1176"/>
    <w:rsid w:val="005F3983"/>
    <w:rsid w:val="005F4788"/>
    <w:rsid w:val="005F5232"/>
    <w:rsid w:val="005F6F41"/>
    <w:rsid w:val="005F7C5C"/>
    <w:rsid w:val="00601B06"/>
    <w:rsid w:val="00603107"/>
    <w:rsid w:val="00603CE3"/>
    <w:rsid w:val="00606DA8"/>
    <w:rsid w:val="00606E32"/>
    <w:rsid w:val="00610746"/>
    <w:rsid w:val="00610A50"/>
    <w:rsid w:val="00610FD5"/>
    <w:rsid w:val="00614E31"/>
    <w:rsid w:val="00615506"/>
    <w:rsid w:val="00615969"/>
    <w:rsid w:val="00615E9D"/>
    <w:rsid w:val="006200F2"/>
    <w:rsid w:val="00622F56"/>
    <w:rsid w:val="0062322F"/>
    <w:rsid w:val="00624F5A"/>
    <w:rsid w:val="00625DC6"/>
    <w:rsid w:val="0063182C"/>
    <w:rsid w:val="00631C12"/>
    <w:rsid w:val="00632B03"/>
    <w:rsid w:val="00632C72"/>
    <w:rsid w:val="00632F0A"/>
    <w:rsid w:val="00633D58"/>
    <w:rsid w:val="00634722"/>
    <w:rsid w:val="00635410"/>
    <w:rsid w:val="00636261"/>
    <w:rsid w:val="00636C6D"/>
    <w:rsid w:val="006406C8"/>
    <w:rsid w:val="006411C9"/>
    <w:rsid w:val="006413AB"/>
    <w:rsid w:val="00642984"/>
    <w:rsid w:val="00642ADE"/>
    <w:rsid w:val="006434CA"/>
    <w:rsid w:val="0064391D"/>
    <w:rsid w:val="00643C62"/>
    <w:rsid w:val="00645CB0"/>
    <w:rsid w:val="00646032"/>
    <w:rsid w:val="00647193"/>
    <w:rsid w:val="0065057D"/>
    <w:rsid w:val="00651051"/>
    <w:rsid w:val="00651821"/>
    <w:rsid w:val="00654384"/>
    <w:rsid w:val="006565D2"/>
    <w:rsid w:val="00656BAB"/>
    <w:rsid w:val="00657398"/>
    <w:rsid w:val="006575D6"/>
    <w:rsid w:val="0066163F"/>
    <w:rsid w:val="00662E41"/>
    <w:rsid w:val="0066686B"/>
    <w:rsid w:val="006675CD"/>
    <w:rsid w:val="00670AA8"/>
    <w:rsid w:val="00670F3C"/>
    <w:rsid w:val="00682264"/>
    <w:rsid w:val="006837A5"/>
    <w:rsid w:val="00684D9B"/>
    <w:rsid w:val="00685C01"/>
    <w:rsid w:val="0068798E"/>
    <w:rsid w:val="00696F88"/>
    <w:rsid w:val="00697556"/>
    <w:rsid w:val="006A348D"/>
    <w:rsid w:val="006A3A02"/>
    <w:rsid w:val="006A5348"/>
    <w:rsid w:val="006A5A3C"/>
    <w:rsid w:val="006A7356"/>
    <w:rsid w:val="006A7F47"/>
    <w:rsid w:val="006B1195"/>
    <w:rsid w:val="006B36B6"/>
    <w:rsid w:val="006B44FC"/>
    <w:rsid w:val="006B4647"/>
    <w:rsid w:val="006B4C2B"/>
    <w:rsid w:val="006B4D71"/>
    <w:rsid w:val="006B6194"/>
    <w:rsid w:val="006B6D47"/>
    <w:rsid w:val="006C2080"/>
    <w:rsid w:val="006C3C2B"/>
    <w:rsid w:val="006C5AFE"/>
    <w:rsid w:val="006C61CF"/>
    <w:rsid w:val="006C7C3E"/>
    <w:rsid w:val="006D4430"/>
    <w:rsid w:val="006D7CC5"/>
    <w:rsid w:val="006E10A8"/>
    <w:rsid w:val="006E13EC"/>
    <w:rsid w:val="006E2894"/>
    <w:rsid w:val="006E613F"/>
    <w:rsid w:val="006E61BD"/>
    <w:rsid w:val="006E6D98"/>
    <w:rsid w:val="006E6DE5"/>
    <w:rsid w:val="006E74BC"/>
    <w:rsid w:val="006F18D5"/>
    <w:rsid w:val="006F1A9A"/>
    <w:rsid w:val="006F27EE"/>
    <w:rsid w:val="006F4880"/>
    <w:rsid w:val="006F6D95"/>
    <w:rsid w:val="00700660"/>
    <w:rsid w:val="00706F13"/>
    <w:rsid w:val="007072E8"/>
    <w:rsid w:val="0070759A"/>
    <w:rsid w:val="00711044"/>
    <w:rsid w:val="00711165"/>
    <w:rsid w:val="00712D59"/>
    <w:rsid w:val="00713D8A"/>
    <w:rsid w:val="0071618D"/>
    <w:rsid w:val="00717211"/>
    <w:rsid w:val="00723D0C"/>
    <w:rsid w:val="00725FA4"/>
    <w:rsid w:val="0072668F"/>
    <w:rsid w:val="00726CDB"/>
    <w:rsid w:val="00727F27"/>
    <w:rsid w:val="00734A56"/>
    <w:rsid w:val="00734E7E"/>
    <w:rsid w:val="007350A7"/>
    <w:rsid w:val="0073671C"/>
    <w:rsid w:val="00740446"/>
    <w:rsid w:val="007438A9"/>
    <w:rsid w:val="0074491E"/>
    <w:rsid w:val="0074567B"/>
    <w:rsid w:val="00751556"/>
    <w:rsid w:val="00751A22"/>
    <w:rsid w:val="007530CA"/>
    <w:rsid w:val="00754689"/>
    <w:rsid w:val="00755C52"/>
    <w:rsid w:val="00756902"/>
    <w:rsid w:val="0075732B"/>
    <w:rsid w:val="00760F2F"/>
    <w:rsid w:val="0076247A"/>
    <w:rsid w:val="00764240"/>
    <w:rsid w:val="007645C9"/>
    <w:rsid w:val="00764B60"/>
    <w:rsid w:val="007661FD"/>
    <w:rsid w:val="007662A5"/>
    <w:rsid w:val="0076687A"/>
    <w:rsid w:val="00766F8B"/>
    <w:rsid w:val="00771253"/>
    <w:rsid w:val="00772C28"/>
    <w:rsid w:val="00775964"/>
    <w:rsid w:val="007765FE"/>
    <w:rsid w:val="00780C18"/>
    <w:rsid w:val="00782882"/>
    <w:rsid w:val="00784113"/>
    <w:rsid w:val="0078418D"/>
    <w:rsid w:val="00792B0A"/>
    <w:rsid w:val="00794E2E"/>
    <w:rsid w:val="00795BFB"/>
    <w:rsid w:val="00797574"/>
    <w:rsid w:val="007A0905"/>
    <w:rsid w:val="007A3804"/>
    <w:rsid w:val="007A4D7B"/>
    <w:rsid w:val="007B0FB8"/>
    <w:rsid w:val="007B1158"/>
    <w:rsid w:val="007B1E10"/>
    <w:rsid w:val="007B2760"/>
    <w:rsid w:val="007B5547"/>
    <w:rsid w:val="007B5F0B"/>
    <w:rsid w:val="007C371D"/>
    <w:rsid w:val="007C4475"/>
    <w:rsid w:val="007C5C1F"/>
    <w:rsid w:val="007D1B98"/>
    <w:rsid w:val="007D31BB"/>
    <w:rsid w:val="007D38B8"/>
    <w:rsid w:val="007D3AD4"/>
    <w:rsid w:val="007D3CB1"/>
    <w:rsid w:val="007D4E16"/>
    <w:rsid w:val="007D5739"/>
    <w:rsid w:val="007D6B8C"/>
    <w:rsid w:val="007E6FBA"/>
    <w:rsid w:val="007F028C"/>
    <w:rsid w:val="007F06FE"/>
    <w:rsid w:val="007F29E8"/>
    <w:rsid w:val="007F2BF8"/>
    <w:rsid w:val="007F3832"/>
    <w:rsid w:val="007F46DD"/>
    <w:rsid w:val="007F6594"/>
    <w:rsid w:val="00801561"/>
    <w:rsid w:val="00801D50"/>
    <w:rsid w:val="00802FC5"/>
    <w:rsid w:val="00804228"/>
    <w:rsid w:val="008063A6"/>
    <w:rsid w:val="00806C01"/>
    <w:rsid w:val="00812285"/>
    <w:rsid w:val="008146F9"/>
    <w:rsid w:val="008148CC"/>
    <w:rsid w:val="008148DE"/>
    <w:rsid w:val="00814EC0"/>
    <w:rsid w:val="00814F4F"/>
    <w:rsid w:val="0081647B"/>
    <w:rsid w:val="008211A4"/>
    <w:rsid w:val="00830AB1"/>
    <w:rsid w:val="00831EE7"/>
    <w:rsid w:val="0083511D"/>
    <w:rsid w:val="00835A42"/>
    <w:rsid w:val="00836E6B"/>
    <w:rsid w:val="008405E9"/>
    <w:rsid w:val="00840A0D"/>
    <w:rsid w:val="0084104C"/>
    <w:rsid w:val="008451A8"/>
    <w:rsid w:val="00847430"/>
    <w:rsid w:val="008500D3"/>
    <w:rsid w:val="008501B9"/>
    <w:rsid w:val="00850BB7"/>
    <w:rsid w:val="00850CEA"/>
    <w:rsid w:val="00851C61"/>
    <w:rsid w:val="00855117"/>
    <w:rsid w:val="00855414"/>
    <w:rsid w:val="00855551"/>
    <w:rsid w:val="00855C2F"/>
    <w:rsid w:val="00856F11"/>
    <w:rsid w:val="00857767"/>
    <w:rsid w:val="00860942"/>
    <w:rsid w:val="00862399"/>
    <w:rsid w:val="00863512"/>
    <w:rsid w:val="00863683"/>
    <w:rsid w:val="00864758"/>
    <w:rsid w:val="00864B3F"/>
    <w:rsid w:val="008662F3"/>
    <w:rsid w:val="00866FF7"/>
    <w:rsid w:val="0086770C"/>
    <w:rsid w:val="00870072"/>
    <w:rsid w:val="008726EB"/>
    <w:rsid w:val="00873150"/>
    <w:rsid w:val="0087392B"/>
    <w:rsid w:val="0087657D"/>
    <w:rsid w:val="00877600"/>
    <w:rsid w:val="008807D5"/>
    <w:rsid w:val="00880832"/>
    <w:rsid w:val="00882BE9"/>
    <w:rsid w:val="00884337"/>
    <w:rsid w:val="008857D8"/>
    <w:rsid w:val="00885D94"/>
    <w:rsid w:val="00886EE1"/>
    <w:rsid w:val="0088727D"/>
    <w:rsid w:val="008877B4"/>
    <w:rsid w:val="00890E75"/>
    <w:rsid w:val="00893B73"/>
    <w:rsid w:val="00893BD0"/>
    <w:rsid w:val="008956FC"/>
    <w:rsid w:val="008962E7"/>
    <w:rsid w:val="00897060"/>
    <w:rsid w:val="00897487"/>
    <w:rsid w:val="008976A4"/>
    <w:rsid w:val="00897BEB"/>
    <w:rsid w:val="00897C75"/>
    <w:rsid w:val="008A0D29"/>
    <w:rsid w:val="008A3E72"/>
    <w:rsid w:val="008A7821"/>
    <w:rsid w:val="008A7BFF"/>
    <w:rsid w:val="008B2476"/>
    <w:rsid w:val="008B3B11"/>
    <w:rsid w:val="008B4FC6"/>
    <w:rsid w:val="008B774E"/>
    <w:rsid w:val="008C05E3"/>
    <w:rsid w:val="008C1130"/>
    <w:rsid w:val="008C1862"/>
    <w:rsid w:val="008C2ED5"/>
    <w:rsid w:val="008C417A"/>
    <w:rsid w:val="008C5F73"/>
    <w:rsid w:val="008C6287"/>
    <w:rsid w:val="008D0DDB"/>
    <w:rsid w:val="008D18E6"/>
    <w:rsid w:val="008D1A98"/>
    <w:rsid w:val="008D1B8F"/>
    <w:rsid w:val="008D237F"/>
    <w:rsid w:val="008D2AEA"/>
    <w:rsid w:val="008D73BE"/>
    <w:rsid w:val="008D7A9B"/>
    <w:rsid w:val="008E0060"/>
    <w:rsid w:val="008E39AB"/>
    <w:rsid w:val="008E4960"/>
    <w:rsid w:val="008E4C0B"/>
    <w:rsid w:val="008E552F"/>
    <w:rsid w:val="008E5B73"/>
    <w:rsid w:val="008E5EAE"/>
    <w:rsid w:val="008E6128"/>
    <w:rsid w:val="008E76AC"/>
    <w:rsid w:val="008F115A"/>
    <w:rsid w:val="008F21F6"/>
    <w:rsid w:val="008F63FA"/>
    <w:rsid w:val="008F6745"/>
    <w:rsid w:val="008F7737"/>
    <w:rsid w:val="008F78DA"/>
    <w:rsid w:val="0090103A"/>
    <w:rsid w:val="009012D4"/>
    <w:rsid w:val="00905935"/>
    <w:rsid w:val="009071D6"/>
    <w:rsid w:val="00907609"/>
    <w:rsid w:val="00912B73"/>
    <w:rsid w:val="00913183"/>
    <w:rsid w:val="009153AF"/>
    <w:rsid w:val="009203C2"/>
    <w:rsid w:val="00922766"/>
    <w:rsid w:val="00923964"/>
    <w:rsid w:val="00925260"/>
    <w:rsid w:val="00926080"/>
    <w:rsid w:val="00930EAF"/>
    <w:rsid w:val="009319DF"/>
    <w:rsid w:val="00934449"/>
    <w:rsid w:val="00934B45"/>
    <w:rsid w:val="0093590C"/>
    <w:rsid w:val="009367C8"/>
    <w:rsid w:val="009377D3"/>
    <w:rsid w:val="00944BA5"/>
    <w:rsid w:val="00951F79"/>
    <w:rsid w:val="00952E63"/>
    <w:rsid w:val="00955A03"/>
    <w:rsid w:val="00960763"/>
    <w:rsid w:val="00960E74"/>
    <w:rsid w:val="00960EE4"/>
    <w:rsid w:val="0096223E"/>
    <w:rsid w:val="009623CE"/>
    <w:rsid w:val="009624DC"/>
    <w:rsid w:val="00962AB6"/>
    <w:rsid w:val="00962F72"/>
    <w:rsid w:val="0096542D"/>
    <w:rsid w:val="00966D58"/>
    <w:rsid w:val="009701B5"/>
    <w:rsid w:val="00971C5C"/>
    <w:rsid w:val="00973F3D"/>
    <w:rsid w:val="0097410A"/>
    <w:rsid w:val="00974AB5"/>
    <w:rsid w:val="00975AC2"/>
    <w:rsid w:val="00977F7B"/>
    <w:rsid w:val="00985360"/>
    <w:rsid w:val="00985D72"/>
    <w:rsid w:val="0098706D"/>
    <w:rsid w:val="00987D53"/>
    <w:rsid w:val="009909DB"/>
    <w:rsid w:val="009919FD"/>
    <w:rsid w:val="009922C1"/>
    <w:rsid w:val="00993026"/>
    <w:rsid w:val="009935FB"/>
    <w:rsid w:val="00993C0E"/>
    <w:rsid w:val="00996E2F"/>
    <w:rsid w:val="00996F79"/>
    <w:rsid w:val="009A0310"/>
    <w:rsid w:val="009A5E17"/>
    <w:rsid w:val="009B4E9F"/>
    <w:rsid w:val="009B5058"/>
    <w:rsid w:val="009B51B5"/>
    <w:rsid w:val="009B6AA7"/>
    <w:rsid w:val="009B7EDA"/>
    <w:rsid w:val="009C1266"/>
    <w:rsid w:val="009C1FA5"/>
    <w:rsid w:val="009D2772"/>
    <w:rsid w:val="009D2860"/>
    <w:rsid w:val="009D59DB"/>
    <w:rsid w:val="009E015A"/>
    <w:rsid w:val="009E0223"/>
    <w:rsid w:val="009E0351"/>
    <w:rsid w:val="009E0513"/>
    <w:rsid w:val="009E07DA"/>
    <w:rsid w:val="009E0824"/>
    <w:rsid w:val="009E1962"/>
    <w:rsid w:val="009E1B02"/>
    <w:rsid w:val="009E3E0F"/>
    <w:rsid w:val="009E7626"/>
    <w:rsid w:val="009F197E"/>
    <w:rsid w:val="009F1AF5"/>
    <w:rsid w:val="009F3471"/>
    <w:rsid w:val="009F49C1"/>
    <w:rsid w:val="009F4A54"/>
    <w:rsid w:val="009F4BEC"/>
    <w:rsid w:val="009F5874"/>
    <w:rsid w:val="009F61BF"/>
    <w:rsid w:val="009F6DE5"/>
    <w:rsid w:val="009F7D26"/>
    <w:rsid w:val="00A01B5E"/>
    <w:rsid w:val="00A062F3"/>
    <w:rsid w:val="00A116A8"/>
    <w:rsid w:val="00A124FF"/>
    <w:rsid w:val="00A1252F"/>
    <w:rsid w:val="00A12D5F"/>
    <w:rsid w:val="00A14E3D"/>
    <w:rsid w:val="00A157E7"/>
    <w:rsid w:val="00A21AEF"/>
    <w:rsid w:val="00A245F0"/>
    <w:rsid w:val="00A24B96"/>
    <w:rsid w:val="00A25FD7"/>
    <w:rsid w:val="00A27146"/>
    <w:rsid w:val="00A2761B"/>
    <w:rsid w:val="00A3189E"/>
    <w:rsid w:val="00A33915"/>
    <w:rsid w:val="00A43AFF"/>
    <w:rsid w:val="00A4422F"/>
    <w:rsid w:val="00A442D4"/>
    <w:rsid w:val="00A51769"/>
    <w:rsid w:val="00A51F9D"/>
    <w:rsid w:val="00A54451"/>
    <w:rsid w:val="00A55A4A"/>
    <w:rsid w:val="00A57FB8"/>
    <w:rsid w:val="00A6407B"/>
    <w:rsid w:val="00A666BE"/>
    <w:rsid w:val="00A66893"/>
    <w:rsid w:val="00A72370"/>
    <w:rsid w:val="00A73D00"/>
    <w:rsid w:val="00A75A61"/>
    <w:rsid w:val="00A76E84"/>
    <w:rsid w:val="00A7793A"/>
    <w:rsid w:val="00A779CF"/>
    <w:rsid w:val="00A77C04"/>
    <w:rsid w:val="00A81EA7"/>
    <w:rsid w:val="00A83276"/>
    <w:rsid w:val="00A8453F"/>
    <w:rsid w:val="00A866AE"/>
    <w:rsid w:val="00A87322"/>
    <w:rsid w:val="00A87E1C"/>
    <w:rsid w:val="00A90443"/>
    <w:rsid w:val="00A91065"/>
    <w:rsid w:val="00A935D5"/>
    <w:rsid w:val="00A93873"/>
    <w:rsid w:val="00A93E93"/>
    <w:rsid w:val="00A94001"/>
    <w:rsid w:val="00A94A8F"/>
    <w:rsid w:val="00A954D7"/>
    <w:rsid w:val="00AA316D"/>
    <w:rsid w:val="00AA4CC7"/>
    <w:rsid w:val="00AA5E8E"/>
    <w:rsid w:val="00AB0506"/>
    <w:rsid w:val="00AB189A"/>
    <w:rsid w:val="00AB2287"/>
    <w:rsid w:val="00AB23BA"/>
    <w:rsid w:val="00AB4315"/>
    <w:rsid w:val="00AB5128"/>
    <w:rsid w:val="00AB5970"/>
    <w:rsid w:val="00AB6CA7"/>
    <w:rsid w:val="00AC0469"/>
    <w:rsid w:val="00AC09D5"/>
    <w:rsid w:val="00AC13CC"/>
    <w:rsid w:val="00AC50E7"/>
    <w:rsid w:val="00AD01E4"/>
    <w:rsid w:val="00AD0858"/>
    <w:rsid w:val="00AD0BAB"/>
    <w:rsid w:val="00AD1122"/>
    <w:rsid w:val="00AD1883"/>
    <w:rsid w:val="00AD2E14"/>
    <w:rsid w:val="00AD2FBD"/>
    <w:rsid w:val="00AD4B0E"/>
    <w:rsid w:val="00AD5090"/>
    <w:rsid w:val="00AD669C"/>
    <w:rsid w:val="00AD7999"/>
    <w:rsid w:val="00AE041A"/>
    <w:rsid w:val="00AE06D5"/>
    <w:rsid w:val="00AE0CC5"/>
    <w:rsid w:val="00AE0DF2"/>
    <w:rsid w:val="00AE3E43"/>
    <w:rsid w:val="00AE523F"/>
    <w:rsid w:val="00AE7340"/>
    <w:rsid w:val="00AF0CF0"/>
    <w:rsid w:val="00AF1BBD"/>
    <w:rsid w:val="00AF1CF4"/>
    <w:rsid w:val="00AF230B"/>
    <w:rsid w:val="00AF23C5"/>
    <w:rsid w:val="00AF35EA"/>
    <w:rsid w:val="00AF6348"/>
    <w:rsid w:val="00B00275"/>
    <w:rsid w:val="00B015D3"/>
    <w:rsid w:val="00B05F3E"/>
    <w:rsid w:val="00B10207"/>
    <w:rsid w:val="00B103F1"/>
    <w:rsid w:val="00B10A2E"/>
    <w:rsid w:val="00B10BD1"/>
    <w:rsid w:val="00B11E99"/>
    <w:rsid w:val="00B141E7"/>
    <w:rsid w:val="00B159FA"/>
    <w:rsid w:val="00B200CA"/>
    <w:rsid w:val="00B22DFB"/>
    <w:rsid w:val="00B24738"/>
    <w:rsid w:val="00B249CC"/>
    <w:rsid w:val="00B26D98"/>
    <w:rsid w:val="00B27614"/>
    <w:rsid w:val="00B27DA4"/>
    <w:rsid w:val="00B31C15"/>
    <w:rsid w:val="00B31F3D"/>
    <w:rsid w:val="00B33BA8"/>
    <w:rsid w:val="00B351B4"/>
    <w:rsid w:val="00B409BB"/>
    <w:rsid w:val="00B42230"/>
    <w:rsid w:val="00B42F44"/>
    <w:rsid w:val="00B43A07"/>
    <w:rsid w:val="00B46BCA"/>
    <w:rsid w:val="00B476B7"/>
    <w:rsid w:val="00B478AA"/>
    <w:rsid w:val="00B50D4C"/>
    <w:rsid w:val="00B51350"/>
    <w:rsid w:val="00B51BF4"/>
    <w:rsid w:val="00B5513F"/>
    <w:rsid w:val="00B57894"/>
    <w:rsid w:val="00B57C5C"/>
    <w:rsid w:val="00B601C5"/>
    <w:rsid w:val="00B6210B"/>
    <w:rsid w:val="00B63BAF"/>
    <w:rsid w:val="00B65EF9"/>
    <w:rsid w:val="00B6670F"/>
    <w:rsid w:val="00B66C52"/>
    <w:rsid w:val="00B71FA1"/>
    <w:rsid w:val="00B72198"/>
    <w:rsid w:val="00B7537F"/>
    <w:rsid w:val="00B7780A"/>
    <w:rsid w:val="00B8231E"/>
    <w:rsid w:val="00B83202"/>
    <w:rsid w:val="00B83A54"/>
    <w:rsid w:val="00B84011"/>
    <w:rsid w:val="00B844E8"/>
    <w:rsid w:val="00B84C11"/>
    <w:rsid w:val="00B87806"/>
    <w:rsid w:val="00B87EC9"/>
    <w:rsid w:val="00B90FAB"/>
    <w:rsid w:val="00B92286"/>
    <w:rsid w:val="00B94A2E"/>
    <w:rsid w:val="00B97FCE"/>
    <w:rsid w:val="00B97FD3"/>
    <w:rsid w:val="00BA6EE6"/>
    <w:rsid w:val="00BA7988"/>
    <w:rsid w:val="00BB10FD"/>
    <w:rsid w:val="00BB599F"/>
    <w:rsid w:val="00BB6692"/>
    <w:rsid w:val="00BB7BEB"/>
    <w:rsid w:val="00BC0A99"/>
    <w:rsid w:val="00BC38FD"/>
    <w:rsid w:val="00BC4D77"/>
    <w:rsid w:val="00BC5B9B"/>
    <w:rsid w:val="00BC66C8"/>
    <w:rsid w:val="00BC70C4"/>
    <w:rsid w:val="00BD1460"/>
    <w:rsid w:val="00BD1A6D"/>
    <w:rsid w:val="00BD668B"/>
    <w:rsid w:val="00BD6AE6"/>
    <w:rsid w:val="00BE0BFE"/>
    <w:rsid w:val="00BE14C5"/>
    <w:rsid w:val="00BE4B8B"/>
    <w:rsid w:val="00BE65D7"/>
    <w:rsid w:val="00BF5043"/>
    <w:rsid w:val="00BF5CAD"/>
    <w:rsid w:val="00C02918"/>
    <w:rsid w:val="00C034CB"/>
    <w:rsid w:val="00C04748"/>
    <w:rsid w:val="00C04E1A"/>
    <w:rsid w:val="00C051A8"/>
    <w:rsid w:val="00C054BC"/>
    <w:rsid w:val="00C05D37"/>
    <w:rsid w:val="00C07237"/>
    <w:rsid w:val="00C121E1"/>
    <w:rsid w:val="00C14777"/>
    <w:rsid w:val="00C15CD6"/>
    <w:rsid w:val="00C17897"/>
    <w:rsid w:val="00C21639"/>
    <w:rsid w:val="00C261B1"/>
    <w:rsid w:val="00C2691E"/>
    <w:rsid w:val="00C30C05"/>
    <w:rsid w:val="00C30D70"/>
    <w:rsid w:val="00C31050"/>
    <w:rsid w:val="00C31FFA"/>
    <w:rsid w:val="00C32833"/>
    <w:rsid w:val="00C32C13"/>
    <w:rsid w:val="00C33251"/>
    <w:rsid w:val="00C33CD0"/>
    <w:rsid w:val="00C36DC9"/>
    <w:rsid w:val="00C36FF9"/>
    <w:rsid w:val="00C409D5"/>
    <w:rsid w:val="00C413BE"/>
    <w:rsid w:val="00C42753"/>
    <w:rsid w:val="00C435C3"/>
    <w:rsid w:val="00C447F8"/>
    <w:rsid w:val="00C45B31"/>
    <w:rsid w:val="00C465AF"/>
    <w:rsid w:val="00C51E97"/>
    <w:rsid w:val="00C520CE"/>
    <w:rsid w:val="00C526D8"/>
    <w:rsid w:val="00C5371A"/>
    <w:rsid w:val="00C5737E"/>
    <w:rsid w:val="00C608AB"/>
    <w:rsid w:val="00C6136F"/>
    <w:rsid w:val="00C61790"/>
    <w:rsid w:val="00C6234B"/>
    <w:rsid w:val="00C63D49"/>
    <w:rsid w:val="00C63EAE"/>
    <w:rsid w:val="00C64DB7"/>
    <w:rsid w:val="00C653B8"/>
    <w:rsid w:val="00C660AB"/>
    <w:rsid w:val="00C7087C"/>
    <w:rsid w:val="00C70E18"/>
    <w:rsid w:val="00C711AA"/>
    <w:rsid w:val="00C7126B"/>
    <w:rsid w:val="00C737B4"/>
    <w:rsid w:val="00C7629F"/>
    <w:rsid w:val="00C76609"/>
    <w:rsid w:val="00C80518"/>
    <w:rsid w:val="00C8350B"/>
    <w:rsid w:val="00C84226"/>
    <w:rsid w:val="00C85095"/>
    <w:rsid w:val="00C8661B"/>
    <w:rsid w:val="00C946A2"/>
    <w:rsid w:val="00C94803"/>
    <w:rsid w:val="00C96085"/>
    <w:rsid w:val="00CA0148"/>
    <w:rsid w:val="00CA139A"/>
    <w:rsid w:val="00CA1D0F"/>
    <w:rsid w:val="00CA2899"/>
    <w:rsid w:val="00CA29FD"/>
    <w:rsid w:val="00CA33FB"/>
    <w:rsid w:val="00CA3A3D"/>
    <w:rsid w:val="00CA437E"/>
    <w:rsid w:val="00CA77FB"/>
    <w:rsid w:val="00CB1DB6"/>
    <w:rsid w:val="00CB1F26"/>
    <w:rsid w:val="00CB368B"/>
    <w:rsid w:val="00CB379B"/>
    <w:rsid w:val="00CB3F4D"/>
    <w:rsid w:val="00CB4338"/>
    <w:rsid w:val="00CB4C82"/>
    <w:rsid w:val="00CB53E6"/>
    <w:rsid w:val="00CB5440"/>
    <w:rsid w:val="00CB5B40"/>
    <w:rsid w:val="00CB5DD0"/>
    <w:rsid w:val="00CB6742"/>
    <w:rsid w:val="00CC2588"/>
    <w:rsid w:val="00CC392C"/>
    <w:rsid w:val="00CC51D4"/>
    <w:rsid w:val="00CC65DA"/>
    <w:rsid w:val="00CC6FA7"/>
    <w:rsid w:val="00CD00A9"/>
    <w:rsid w:val="00CD116A"/>
    <w:rsid w:val="00CD3568"/>
    <w:rsid w:val="00CD419A"/>
    <w:rsid w:val="00CD49DA"/>
    <w:rsid w:val="00CD4C78"/>
    <w:rsid w:val="00CD5016"/>
    <w:rsid w:val="00CD63D6"/>
    <w:rsid w:val="00CD6780"/>
    <w:rsid w:val="00CD6CF1"/>
    <w:rsid w:val="00CD74CE"/>
    <w:rsid w:val="00CE61F1"/>
    <w:rsid w:val="00CF21B9"/>
    <w:rsid w:val="00CF39EF"/>
    <w:rsid w:val="00CF6BF9"/>
    <w:rsid w:val="00D00065"/>
    <w:rsid w:val="00D02A1D"/>
    <w:rsid w:val="00D03800"/>
    <w:rsid w:val="00D0501A"/>
    <w:rsid w:val="00D065D3"/>
    <w:rsid w:val="00D069F1"/>
    <w:rsid w:val="00D073E1"/>
    <w:rsid w:val="00D10701"/>
    <w:rsid w:val="00D14C94"/>
    <w:rsid w:val="00D17FBD"/>
    <w:rsid w:val="00D21074"/>
    <w:rsid w:val="00D242F2"/>
    <w:rsid w:val="00D24994"/>
    <w:rsid w:val="00D260F2"/>
    <w:rsid w:val="00D26799"/>
    <w:rsid w:val="00D3157F"/>
    <w:rsid w:val="00D32881"/>
    <w:rsid w:val="00D32A0E"/>
    <w:rsid w:val="00D342A6"/>
    <w:rsid w:val="00D369CD"/>
    <w:rsid w:val="00D448A8"/>
    <w:rsid w:val="00D448C5"/>
    <w:rsid w:val="00D452E4"/>
    <w:rsid w:val="00D45C87"/>
    <w:rsid w:val="00D45CA6"/>
    <w:rsid w:val="00D464BF"/>
    <w:rsid w:val="00D50080"/>
    <w:rsid w:val="00D5103C"/>
    <w:rsid w:val="00D51E55"/>
    <w:rsid w:val="00D53E26"/>
    <w:rsid w:val="00D559D1"/>
    <w:rsid w:val="00D565A5"/>
    <w:rsid w:val="00D60047"/>
    <w:rsid w:val="00D6164E"/>
    <w:rsid w:val="00D617E0"/>
    <w:rsid w:val="00D6507B"/>
    <w:rsid w:val="00D65C80"/>
    <w:rsid w:val="00D66545"/>
    <w:rsid w:val="00D66A51"/>
    <w:rsid w:val="00D70352"/>
    <w:rsid w:val="00D7276A"/>
    <w:rsid w:val="00D729E7"/>
    <w:rsid w:val="00D73EA9"/>
    <w:rsid w:val="00D75C1A"/>
    <w:rsid w:val="00D80193"/>
    <w:rsid w:val="00D83B7A"/>
    <w:rsid w:val="00D854A9"/>
    <w:rsid w:val="00D86079"/>
    <w:rsid w:val="00D86882"/>
    <w:rsid w:val="00D9039F"/>
    <w:rsid w:val="00D915F0"/>
    <w:rsid w:val="00D93180"/>
    <w:rsid w:val="00D9423D"/>
    <w:rsid w:val="00D949ED"/>
    <w:rsid w:val="00DA38F3"/>
    <w:rsid w:val="00DA4094"/>
    <w:rsid w:val="00DA5306"/>
    <w:rsid w:val="00DB0DF4"/>
    <w:rsid w:val="00DB1970"/>
    <w:rsid w:val="00DB3965"/>
    <w:rsid w:val="00DB3DCF"/>
    <w:rsid w:val="00DB799F"/>
    <w:rsid w:val="00DB7A23"/>
    <w:rsid w:val="00DC00A6"/>
    <w:rsid w:val="00DC0B94"/>
    <w:rsid w:val="00DC0F9B"/>
    <w:rsid w:val="00DC2ACF"/>
    <w:rsid w:val="00DC4B74"/>
    <w:rsid w:val="00DC74CB"/>
    <w:rsid w:val="00DD0533"/>
    <w:rsid w:val="00DD2328"/>
    <w:rsid w:val="00DD4F0E"/>
    <w:rsid w:val="00DD552E"/>
    <w:rsid w:val="00DE2686"/>
    <w:rsid w:val="00DE4A99"/>
    <w:rsid w:val="00DE5994"/>
    <w:rsid w:val="00DF006B"/>
    <w:rsid w:val="00DF0355"/>
    <w:rsid w:val="00DF0BF0"/>
    <w:rsid w:val="00DF1BDC"/>
    <w:rsid w:val="00DF2A63"/>
    <w:rsid w:val="00DF3CA2"/>
    <w:rsid w:val="00DF7A8C"/>
    <w:rsid w:val="00E00347"/>
    <w:rsid w:val="00E0038E"/>
    <w:rsid w:val="00E01463"/>
    <w:rsid w:val="00E014EF"/>
    <w:rsid w:val="00E05E0A"/>
    <w:rsid w:val="00E060BE"/>
    <w:rsid w:val="00E06B2B"/>
    <w:rsid w:val="00E12710"/>
    <w:rsid w:val="00E22369"/>
    <w:rsid w:val="00E23AA3"/>
    <w:rsid w:val="00E319B2"/>
    <w:rsid w:val="00E3389B"/>
    <w:rsid w:val="00E33954"/>
    <w:rsid w:val="00E34221"/>
    <w:rsid w:val="00E35446"/>
    <w:rsid w:val="00E365E9"/>
    <w:rsid w:val="00E374DB"/>
    <w:rsid w:val="00E401E6"/>
    <w:rsid w:val="00E417BB"/>
    <w:rsid w:val="00E4377E"/>
    <w:rsid w:val="00E4406B"/>
    <w:rsid w:val="00E46CA8"/>
    <w:rsid w:val="00E4738B"/>
    <w:rsid w:val="00E51FB3"/>
    <w:rsid w:val="00E534CF"/>
    <w:rsid w:val="00E53741"/>
    <w:rsid w:val="00E5416E"/>
    <w:rsid w:val="00E57992"/>
    <w:rsid w:val="00E57F9F"/>
    <w:rsid w:val="00E6120D"/>
    <w:rsid w:val="00E62237"/>
    <w:rsid w:val="00E628FA"/>
    <w:rsid w:val="00E633F4"/>
    <w:rsid w:val="00E744D6"/>
    <w:rsid w:val="00E7480B"/>
    <w:rsid w:val="00E76C14"/>
    <w:rsid w:val="00E77C59"/>
    <w:rsid w:val="00E81CB4"/>
    <w:rsid w:val="00E83313"/>
    <w:rsid w:val="00E8585B"/>
    <w:rsid w:val="00E86C6D"/>
    <w:rsid w:val="00E87993"/>
    <w:rsid w:val="00E901F4"/>
    <w:rsid w:val="00E93A87"/>
    <w:rsid w:val="00EA0D88"/>
    <w:rsid w:val="00EA1E87"/>
    <w:rsid w:val="00EA2990"/>
    <w:rsid w:val="00EA3F15"/>
    <w:rsid w:val="00EA60AB"/>
    <w:rsid w:val="00EA6EAA"/>
    <w:rsid w:val="00EA7847"/>
    <w:rsid w:val="00EB4C2F"/>
    <w:rsid w:val="00EB7257"/>
    <w:rsid w:val="00EB753E"/>
    <w:rsid w:val="00EC20D9"/>
    <w:rsid w:val="00EC39FB"/>
    <w:rsid w:val="00EC3BE8"/>
    <w:rsid w:val="00EC4128"/>
    <w:rsid w:val="00EC5D3C"/>
    <w:rsid w:val="00ED13CD"/>
    <w:rsid w:val="00ED1A04"/>
    <w:rsid w:val="00ED4C59"/>
    <w:rsid w:val="00ED6A79"/>
    <w:rsid w:val="00EE2A5E"/>
    <w:rsid w:val="00EE2E6E"/>
    <w:rsid w:val="00EE4697"/>
    <w:rsid w:val="00EE6E1E"/>
    <w:rsid w:val="00EE7209"/>
    <w:rsid w:val="00EF2802"/>
    <w:rsid w:val="00EF308F"/>
    <w:rsid w:val="00EF4519"/>
    <w:rsid w:val="00EF47B6"/>
    <w:rsid w:val="00EF49B7"/>
    <w:rsid w:val="00EF5899"/>
    <w:rsid w:val="00EF63A9"/>
    <w:rsid w:val="00EF69A5"/>
    <w:rsid w:val="00EF6AC7"/>
    <w:rsid w:val="00EF7236"/>
    <w:rsid w:val="00F02FC9"/>
    <w:rsid w:val="00F032E5"/>
    <w:rsid w:val="00F04EA6"/>
    <w:rsid w:val="00F0759E"/>
    <w:rsid w:val="00F114D8"/>
    <w:rsid w:val="00F11EFB"/>
    <w:rsid w:val="00F12593"/>
    <w:rsid w:val="00F13CD6"/>
    <w:rsid w:val="00F14C46"/>
    <w:rsid w:val="00F16A43"/>
    <w:rsid w:val="00F20212"/>
    <w:rsid w:val="00F233A2"/>
    <w:rsid w:val="00F23A1F"/>
    <w:rsid w:val="00F244E8"/>
    <w:rsid w:val="00F2799E"/>
    <w:rsid w:val="00F27F10"/>
    <w:rsid w:val="00F340A2"/>
    <w:rsid w:val="00F3511A"/>
    <w:rsid w:val="00F37317"/>
    <w:rsid w:val="00F407A9"/>
    <w:rsid w:val="00F4269D"/>
    <w:rsid w:val="00F44218"/>
    <w:rsid w:val="00F45384"/>
    <w:rsid w:val="00F46780"/>
    <w:rsid w:val="00F47548"/>
    <w:rsid w:val="00F47A79"/>
    <w:rsid w:val="00F5162D"/>
    <w:rsid w:val="00F5339D"/>
    <w:rsid w:val="00F5665A"/>
    <w:rsid w:val="00F6142D"/>
    <w:rsid w:val="00F614C2"/>
    <w:rsid w:val="00F63916"/>
    <w:rsid w:val="00F6480D"/>
    <w:rsid w:val="00F65119"/>
    <w:rsid w:val="00F66361"/>
    <w:rsid w:val="00F67EAC"/>
    <w:rsid w:val="00F751BD"/>
    <w:rsid w:val="00F76EE0"/>
    <w:rsid w:val="00F7722E"/>
    <w:rsid w:val="00F81FE0"/>
    <w:rsid w:val="00F821A3"/>
    <w:rsid w:val="00F855F9"/>
    <w:rsid w:val="00F873D4"/>
    <w:rsid w:val="00F87878"/>
    <w:rsid w:val="00F90559"/>
    <w:rsid w:val="00F9105A"/>
    <w:rsid w:val="00F92BD9"/>
    <w:rsid w:val="00F9314A"/>
    <w:rsid w:val="00F940B2"/>
    <w:rsid w:val="00F94BB8"/>
    <w:rsid w:val="00F953E1"/>
    <w:rsid w:val="00F9799D"/>
    <w:rsid w:val="00FA29BD"/>
    <w:rsid w:val="00FA2C71"/>
    <w:rsid w:val="00FA569A"/>
    <w:rsid w:val="00FA605C"/>
    <w:rsid w:val="00FA62A6"/>
    <w:rsid w:val="00FA66DC"/>
    <w:rsid w:val="00FA6CC9"/>
    <w:rsid w:val="00FA774A"/>
    <w:rsid w:val="00FA7B8B"/>
    <w:rsid w:val="00FB0298"/>
    <w:rsid w:val="00FB0E50"/>
    <w:rsid w:val="00FB3A96"/>
    <w:rsid w:val="00FB4424"/>
    <w:rsid w:val="00FB631E"/>
    <w:rsid w:val="00FC4577"/>
    <w:rsid w:val="00FC4F9D"/>
    <w:rsid w:val="00FC531E"/>
    <w:rsid w:val="00FC58EF"/>
    <w:rsid w:val="00FC5BD8"/>
    <w:rsid w:val="00FC7E22"/>
    <w:rsid w:val="00FD0A4F"/>
    <w:rsid w:val="00FD1524"/>
    <w:rsid w:val="00FD33DF"/>
    <w:rsid w:val="00FD6D83"/>
    <w:rsid w:val="00FE0272"/>
    <w:rsid w:val="00FE0861"/>
    <w:rsid w:val="00FE39D7"/>
    <w:rsid w:val="00FE3B37"/>
    <w:rsid w:val="00FF12A2"/>
    <w:rsid w:val="00FF19BF"/>
    <w:rsid w:val="00FF3F4B"/>
    <w:rsid w:val="00FF482B"/>
    <w:rsid w:val="00FF4D1B"/>
    <w:rsid w:val="00FF4F85"/>
    <w:rsid w:val="00FF7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370309"/>
  <w15:docId w15:val="{CD8A8E59-D66F-41B1-B5F2-6EA81696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23097419">
      <w:bodyDiv w:val="1"/>
      <w:marLeft w:val="0"/>
      <w:marRight w:val="0"/>
      <w:marTop w:val="0"/>
      <w:marBottom w:val="0"/>
      <w:divBdr>
        <w:top w:val="none" w:sz="0" w:space="0" w:color="auto"/>
        <w:left w:val="none" w:sz="0" w:space="0" w:color="auto"/>
        <w:bottom w:val="none" w:sz="0" w:space="0" w:color="auto"/>
        <w:right w:val="none" w:sz="0" w:space="0" w:color="auto"/>
      </w:divBdr>
    </w:div>
    <w:div w:id="11396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6FE8-3433-4B42-9067-E55CADE6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10</Pages>
  <Words>3310</Words>
  <Characters>17663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dc:creator>
  <cp:lastModifiedBy>Luz Stella Rojas Macias</cp:lastModifiedBy>
  <cp:revision>2</cp:revision>
  <cp:lastPrinted>2015-07-07T20:10:00Z</cp:lastPrinted>
  <dcterms:created xsi:type="dcterms:W3CDTF">2018-04-04T21:01:00Z</dcterms:created>
  <dcterms:modified xsi:type="dcterms:W3CDTF">2018-04-04T21:01:00Z</dcterms:modified>
</cp:coreProperties>
</file>