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DC6" w:rsidRPr="003B187B" w:rsidRDefault="00245485" w:rsidP="00012259">
      <w:pPr>
        <w:pStyle w:val="Encabezado"/>
        <w:tabs>
          <w:tab w:val="clear" w:pos="8504"/>
          <w:tab w:val="left" w:pos="0"/>
          <w:tab w:val="right" w:pos="9356"/>
        </w:tabs>
        <w:ind w:left="0"/>
        <w:jc w:val="both"/>
        <w:rPr>
          <w:rFonts w:ascii="Bookman Old Style" w:hAnsi="Bookman Old Style"/>
          <w:szCs w:val="24"/>
        </w:rPr>
      </w:pPr>
      <w:bookmarkStart w:id="0" w:name="_GoBack"/>
      <w:bookmarkEnd w:id="0"/>
      <w:r>
        <w:rPr>
          <w:rFonts w:ascii="Bookman Old Style" w:hAnsi="Bookman Old Style"/>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97.15pt;margin-top:-53.35pt;width:52.5pt;height:48.75pt;z-index:251657216" fillcolor="#0c9">
            <v:imagedata r:id="rId9" o:title=""/>
          </v:shape>
          <o:OLEObject Type="Embed" ProgID="PBrush" ShapeID="_x0000_s1026" DrawAspect="Content" ObjectID="_1507555356" r:id="rId10"/>
        </w:pict>
      </w:r>
    </w:p>
    <w:p w:rsidR="00CA77FB" w:rsidRPr="003B187B" w:rsidRDefault="00CA77FB" w:rsidP="00012259">
      <w:pPr>
        <w:pStyle w:val="Ttulo4"/>
        <w:tabs>
          <w:tab w:val="left" w:pos="0"/>
          <w:tab w:val="right" w:pos="9356"/>
        </w:tabs>
        <w:ind w:left="0"/>
        <w:rPr>
          <w:rFonts w:ascii="Bookman Old Style" w:hAnsi="Bookman Old Style"/>
          <w:b w:val="0"/>
          <w:bCs/>
          <w:noProof/>
          <w:sz w:val="24"/>
          <w:szCs w:val="24"/>
          <w:lang w:val="es-ES"/>
        </w:rPr>
      </w:pPr>
      <w:r w:rsidRPr="003B187B">
        <w:rPr>
          <w:rFonts w:ascii="Bookman Old Style" w:hAnsi="Bookman Old Style"/>
          <w:b w:val="0"/>
          <w:bCs/>
          <w:sz w:val="24"/>
          <w:szCs w:val="24"/>
        </w:rPr>
        <w:t>Ministerio de Minas y Energía</w:t>
      </w:r>
    </w:p>
    <w:p w:rsidR="00CA77FB" w:rsidRPr="003B187B" w:rsidRDefault="00CA77FB" w:rsidP="00012259">
      <w:pPr>
        <w:pStyle w:val="Ttulo4"/>
        <w:tabs>
          <w:tab w:val="left" w:pos="0"/>
          <w:tab w:val="right" w:pos="9356"/>
        </w:tabs>
        <w:ind w:left="0"/>
        <w:rPr>
          <w:rFonts w:ascii="Bookman Old Style" w:hAnsi="Bookman Old Style"/>
          <w:b w:val="0"/>
          <w:bCs/>
          <w:sz w:val="24"/>
          <w:szCs w:val="24"/>
        </w:rPr>
      </w:pPr>
    </w:p>
    <w:p w:rsidR="00C8069E" w:rsidRPr="003B187B" w:rsidRDefault="00C8069E" w:rsidP="00012259">
      <w:pPr>
        <w:pStyle w:val="Ttulo3"/>
        <w:tabs>
          <w:tab w:val="left" w:pos="0"/>
          <w:tab w:val="right" w:pos="9356"/>
        </w:tabs>
        <w:ind w:left="0"/>
        <w:rPr>
          <w:rFonts w:ascii="Bookman Old Style" w:hAnsi="Bookman Old Style" w:cs="Arial"/>
          <w:spacing w:val="20"/>
          <w:szCs w:val="24"/>
        </w:rPr>
      </w:pPr>
    </w:p>
    <w:p w:rsidR="00CA77FB" w:rsidRPr="003B187B" w:rsidRDefault="00CA77FB" w:rsidP="00012259">
      <w:pPr>
        <w:pStyle w:val="Ttulo3"/>
        <w:tabs>
          <w:tab w:val="left" w:pos="0"/>
          <w:tab w:val="right" w:pos="9356"/>
        </w:tabs>
        <w:ind w:left="0"/>
        <w:rPr>
          <w:rFonts w:ascii="Bookman Old Style" w:hAnsi="Bookman Old Style" w:cs="Arial"/>
          <w:spacing w:val="20"/>
          <w:szCs w:val="24"/>
        </w:rPr>
      </w:pPr>
      <w:r w:rsidRPr="003B187B">
        <w:rPr>
          <w:rFonts w:ascii="Bookman Old Style" w:hAnsi="Bookman Old Style" w:cs="Arial"/>
          <w:spacing w:val="20"/>
          <w:szCs w:val="24"/>
        </w:rPr>
        <w:t>COMISIÓN DE REGULACIÓN DE ENERGÍA Y GAS</w:t>
      </w:r>
    </w:p>
    <w:p w:rsidR="00CA77FB" w:rsidRPr="003B187B" w:rsidRDefault="00CA77FB" w:rsidP="00012259">
      <w:pPr>
        <w:pStyle w:val="Ttulo5"/>
        <w:tabs>
          <w:tab w:val="left" w:pos="0"/>
          <w:tab w:val="right" w:pos="9356"/>
        </w:tabs>
        <w:ind w:left="0"/>
        <w:rPr>
          <w:rFonts w:ascii="Bookman Old Style" w:hAnsi="Bookman Old Style"/>
          <w:sz w:val="24"/>
          <w:szCs w:val="24"/>
        </w:rPr>
      </w:pPr>
    </w:p>
    <w:p w:rsidR="00C8069E" w:rsidRDefault="00C8069E" w:rsidP="00C8069E">
      <w:pPr>
        <w:rPr>
          <w:rFonts w:ascii="Bookman Old Style" w:hAnsi="Bookman Old Style"/>
          <w:lang w:val="es-ES_tradnl"/>
        </w:rPr>
      </w:pPr>
    </w:p>
    <w:p w:rsidR="00CA77FB" w:rsidRPr="003B187B" w:rsidRDefault="00CA77FB" w:rsidP="00012259">
      <w:pPr>
        <w:pStyle w:val="Ttulo5"/>
        <w:tabs>
          <w:tab w:val="left" w:pos="0"/>
          <w:tab w:val="right" w:pos="9356"/>
        </w:tabs>
        <w:ind w:left="0"/>
        <w:rPr>
          <w:rFonts w:ascii="Bookman Old Style" w:hAnsi="Bookman Old Style"/>
          <w:sz w:val="24"/>
          <w:szCs w:val="24"/>
        </w:rPr>
      </w:pPr>
      <w:r w:rsidRPr="003B187B">
        <w:rPr>
          <w:rFonts w:ascii="Bookman Old Style" w:hAnsi="Bookman Old Style"/>
          <w:sz w:val="24"/>
          <w:szCs w:val="24"/>
        </w:rPr>
        <w:t xml:space="preserve">RESOLUCIÓN No. </w:t>
      </w:r>
      <w:r w:rsidR="00795BFB" w:rsidRPr="003B187B">
        <w:rPr>
          <w:rFonts w:ascii="Bookman Old Style" w:hAnsi="Bookman Old Style"/>
          <w:sz w:val="24"/>
          <w:szCs w:val="24"/>
        </w:rPr>
        <w:t xml:space="preserve">                  </w:t>
      </w:r>
      <w:r w:rsidRPr="003B187B">
        <w:rPr>
          <w:rFonts w:ascii="Bookman Old Style" w:hAnsi="Bookman Old Style"/>
          <w:sz w:val="24"/>
          <w:szCs w:val="24"/>
        </w:rPr>
        <w:t xml:space="preserve">DE </w:t>
      </w:r>
      <w:r w:rsidR="00433F71" w:rsidRPr="003B187B">
        <w:rPr>
          <w:rFonts w:ascii="Bookman Old Style" w:hAnsi="Bookman Old Style"/>
          <w:sz w:val="24"/>
          <w:szCs w:val="24"/>
        </w:rPr>
        <w:t>201</w:t>
      </w:r>
      <w:r w:rsidR="00433F71">
        <w:rPr>
          <w:rFonts w:ascii="Bookman Old Style" w:hAnsi="Bookman Old Style"/>
          <w:sz w:val="24"/>
          <w:szCs w:val="24"/>
        </w:rPr>
        <w:t>5</w:t>
      </w:r>
    </w:p>
    <w:p w:rsidR="00CA77FB" w:rsidRDefault="00CA77FB" w:rsidP="00012259">
      <w:pPr>
        <w:tabs>
          <w:tab w:val="left" w:pos="0"/>
          <w:tab w:val="right" w:pos="9356"/>
        </w:tabs>
        <w:ind w:left="0"/>
        <w:jc w:val="center"/>
        <w:rPr>
          <w:rFonts w:ascii="Bookman Old Style" w:hAnsi="Bookman Old Style" w:cs="Arial"/>
          <w:b/>
          <w:snapToGrid w:val="0"/>
          <w:color w:val="000000"/>
          <w:lang w:val="es-ES_tradnl"/>
        </w:rPr>
      </w:pPr>
    </w:p>
    <w:p w:rsidR="00C8069E" w:rsidRPr="003B187B" w:rsidRDefault="00C8069E" w:rsidP="00012259">
      <w:pPr>
        <w:tabs>
          <w:tab w:val="left" w:pos="0"/>
          <w:tab w:val="right" w:pos="9356"/>
        </w:tabs>
        <w:ind w:left="0"/>
        <w:jc w:val="center"/>
        <w:rPr>
          <w:rFonts w:ascii="Bookman Old Style" w:hAnsi="Bookman Old Style" w:cs="Arial"/>
          <w:b/>
          <w:snapToGrid w:val="0"/>
          <w:color w:val="000000"/>
          <w:lang w:val="es-ES_tradnl"/>
        </w:rPr>
      </w:pPr>
    </w:p>
    <w:p w:rsidR="00CA77FB" w:rsidRPr="003B187B" w:rsidRDefault="00CA77FB" w:rsidP="00012259">
      <w:pPr>
        <w:pStyle w:val="Ttulo3"/>
        <w:tabs>
          <w:tab w:val="left" w:pos="0"/>
          <w:tab w:val="right" w:pos="9356"/>
        </w:tabs>
        <w:ind w:left="0"/>
        <w:rPr>
          <w:rFonts w:ascii="Bookman Old Style" w:hAnsi="Bookman Old Style"/>
          <w:b w:val="0"/>
          <w:szCs w:val="24"/>
        </w:rPr>
      </w:pPr>
      <w:r w:rsidRPr="003B187B">
        <w:rPr>
          <w:rFonts w:ascii="Bookman Old Style" w:hAnsi="Bookman Old Style"/>
          <w:b w:val="0"/>
          <w:szCs w:val="24"/>
        </w:rPr>
        <w:t>(                                  )</w:t>
      </w:r>
    </w:p>
    <w:p w:rsidR="00CA77FB" w:rsidRPr="003B187B" w:rsidRDefault="00CA77FB" w:rsidP="00012259">
      <w:pPr>
        <w:tabs>
          <w:tab w:val="left" w:pos="0"/>
          <w:tab w:val="right" w:pos="9356"/>
        </w:tabs>
        <w:ind w:left="0"/>
        <w:jc w:val="center"/>
        <w:rPr>
          <w:rFonts w:ascii="Bookman Old Style" w:hAnsi="Bookman Old Style"/>
          <w:lang w:val="es-ES_tradnl"/>
        </w:rPr>
      </w:pPr>
    </w:p>
    <w:p w:rsidR="008A1AE5" w:rsidRDefault="008A1AE5" w:rsidP="00012259">
      <w:pPr>
        <w:ind w:left="0"/>
        <w:rPr>
          <w:rFonts w:ascii="Bookman Old Style" w:hAnsi="Bookman Old Style"/>
          <w:bCs/>
          <w:lang w:val="es-CO"/>
        </w:rPr>
      </w:pPr>
    </w:p>
    <w:p w:rsidR="00E77ECD" w:rsidRPr="003B187B" w:rsidRDefault="00E77ECD" w:rsidP="00012259">
      <w:pPr>
        <w:ind w:left="0"/>
        <w:rPr>
          <w:rFonts w:ascii="Bookman Old Style" w:hAnsi="Bookman Old Style"/>
          <w:bCs/>
          <w:lang w:val="es-CO"/>
        </w:rPr>
      </w:pPr>
    </w:p>
    <w:p w:rsidR="004341E9" w:rsidRPr="003C3499" w:rsidRDefault="004341E9" w:rsidP="004341E9">
      <w:pPr>
        <w:ind w:left="0"/>
        <w:jc w:val="both"/>
        <w:rPr>
          <w:rFonts w:ascii="Bookman Old Style" w:hAnsi="Bookman Old Style" w:cs="Arial"/>
        </w:rPr>
      </w:pPr>
      <w:r w:rsidRPr="003C3499">
        <w:rPr>
          <w:rFonts w:ascii="Bookman Old Style" w:hAnsi="Bookman Old Style" w:cs="Arial"/>
        </w:rPr>
        <w:t xml:space="preserve">Por la cual se fija la oportunidad en que se asignarán las Obligaciones de Energía Firme del Cargo por Confiabilidad para </w:t>
      </w:r>
      <w:r w:rsidR="00F71E99">
        <w:rPr>
          <w:rFonts w:ascii="Bookman Old Style" w:hAnsi="Bookman Old Style" w:cs="Arial"/>
        </w:rPr>
        <w:t xml:space="preserve">los períodos </w:t>
      </w:r>
      <w:r w:rsidRPr="003C3499">
        <w:rPr>
          <w:rFonts w:ascii="Bookman Old Style" w:hAnsi="Bookman Old Style" w:cs="Arial"/>
        </w:rPr>
        <w:t>comprendido</w:t>
      </w:r>
      <w:r w:rsidR="00F71E99">
        <w:rPr>
          <w:rFonts w:ascii="Bookman Old Style" w:hAnsi="Bookman Old Style" w:cs="Arial"/>
        </w:rPr>
        <w:t>s</w:t>
      </w:r>
      <w:r w:rsidRPr="003C3499">
        <w:rPr>
          <w:rFonts w:ascii="Bookman Old Style" w:hAnsi="Bookman Old Style" w:cs="Arial"/>
        </w:rPr>
        <w:t xml:space="preserve"> entre </w:t>
      </w:r>
      <w:r w:rsidR="00F71E99">
        <w:rPr>
          <w:rFonts w:ascii="Bookman Old Style" w:hAnsi="Bookman Old Style" w:cs="Arial"/>
        </w:rPr>
        <w:t>d</w:t>
      </w:r>
      <w:r w:rsidRPr="003C3499">
        <w:rPr>
          <w:rFonts w:ascii="Bookman Old Style" w:hAnsi="Bookman Old Style" w:cs="Arial"/>
        </w:rPr>
        <w:t xml:space="preserve">iciembre </w:t>
      </w:r>
      <w:r w:rsidR="00F71E99">
        <w:rPr>
          <w:rFonts w:ascii="Bookman Old Style" w:hAnsi="Bookman Old Style" w:cs="Arial"/>
        </w:rPr>
        <w:t xml:space="preserve">1 de </w:t>
      </w:r>
      <w:r w:rsidRPr="003C3499">
        <w:rPr>
          <w:rFonts w:ascii="Bookman Old Style" w:hAnsi="Bookman Old Style" w:cs="Arial"/>
        </w:rPr>
        <w:t>201</w:t>
      </w:r>
      <w:r w:rsidR="00F71E99">
        <w:rPr>
          <w:rFonts w:ascii="Bookman Old Style" w:hAnsi="Bookman Old Style" w:cs="Arial"/>
        </w:rPr>
        <w:t>6</w:t>
      </w:r>
      <w:r w:rsidRPr="003C3499">
        <w:rPr>
          <w:rFonts w:ascii="Bookman Old Style" w:hAnsi="Bookman Old Style" w:cs="Arial"/>
        </w:rPr>
        <w:t xml:space="preserve"> </w:t>
      </w:r>
      <w:r w:rsidR="00F71E99">
        <w:rPr>
          <w:rFonts w:ascii="Bookman Old Style" w:hAnsi="Bookman Old Style" w:cs="Arial"/>
        </w:rPr>
        <w:t xml:space="preserve">a </w:t>
      </w:r>
      <w:r w:rsidRPr="003C3499">
        <w:rPr>
          <w:rFonts w:ascii="Bookman Old Style" w:hAnsi="Bookman Old Style" w:cs="Arial"/>
        </w:rPr>
        <w:t xml:space="preserve">noviembre </w:t>
      </w:r>
      <w:r w:rsidR="00F71E99">
        <w:rPr>
          <w:rFonts w:ascii="Bookman Old Style" w:hAnsi="Bookman Old Style" w:cs="Arial"/>
        </w:rPr>
        <w:t xml:space="preserve">30 </w:t>
      </w:r>
      <w:r w:rsidRPr="003C3499">
        <w:rPr>
          <w:rFonts w:ascii="Bookman Old Style" w:hAnsi="Bookman Old Style" w:cs="Arial"/>
        </w:rPr>
        <w:t>de 201</w:t>
      </w:r>
      <w:r w:rsidR="00F71E99">
        <w:rPr>
          <w:rFonts w:ascii="Bookman Old Style" w:hAnsi="Bookman Old Style" w:cs="Arial"/>
        </w:rPr>
        <w:t>7, diciembre 1 de 2017 a noviembre 30 de 2018 y diciembre 1 de 2018 a noviembre 30 de 2019</w:t>
      </w:r>
      <w:r>
        <w:rPr>
          <w:rFonts w:ascii="Bookman Old Style" w:hAnsi="Bookman Old Style" w:cs="Arial"/>
        </w:rPr>
        <w:t xml:space="preserve"> </w:t>
      </w:r>
      <w:r w:rsidRPr="00F2180C">
        <w:rPr>
          <w:rFonts w:ascii="Bookman Old Style" w:hAnsi="Bookman Old Style"/>
        </w:rPr>
        <w:t>a quienes representen plantas existentes</w:t>
      </w:r>
      <w:r w:rsidRPr="003C3499">
        <w:rPr>
          <w:rFonts w:ascii="Bookman Old Style" w:hAnsi="Bookman Old Style" w:cs="Arial"/>
        </w:rPr>
        <w:t>.</w:t>
      </w:r>
    </w:p>
    <w:p w:rsidR="004341E9" w:rsidRDefault="004341E9" w:rsidP="00E43031">
      <w:pPr>
        <w:ind w:left="0"/>
        <w:jc w:val="both"/>
        <w:rPr>
          <w:rFonts w:ascii="Bookman Old Style" w:hAnsi="Bookman Old Style"/>
        </w:rPr>
      </w:pPr>
    </w:p>
    <w:p w:rsidR="008A1AE5" w:rsidRDefault="008A1AE5" w:rsidP="00E43031">
      <w:pPr>
        <w:ind w:left="0"/>
        <w:jc w:val="both"/>
        <w:rPr>
          <w:rFonts w:ascii="Bookman Old Style" w:hAnsi="Bookman Old Style"/>
        </w:rPr>
      </w:pPr>
    </w:p>
    <w:p w:rsidR="00E43031" w:rsidRPr="003B187B" w:rsidRDefault="00E43031" w:rsidP="00E43031">
      <w:pPr>
        <w:ind w:left="0"/>
        <w:jc w:val="center"/>
        <w:rPr>
          <w:rFonts w:ascii="Bookman Old Style" w:hAnsi="Bookman Old Style"/>
          <w:b/>
        </w:rPr>
      </w:pPr>
      <w:r w:rsidRPr="003B187B">
        <w:rPr>
          <w:rFonts w:ascii="Bookman Old Style" w:hAnsi="Bookman Old Style"/>
          <w:b/>
        </w:rPr>
        <w:t>LA COMISIÓN DE REGULACIÓN DE ENERGÍA Y GAS</w:t>
      </w:r>
    </w:p>
    <w:p w:rsidR="00E43031" w:rsidRPr="003B187B" w:rsidRDefault="00E43031" w:rsidP="00E43031">
      <w:pPr>
        <w:ind w:left="0"/>
        <w:jc w:val="both"/>
        <w:rPr>
          <w:rFonts w:ascii="Bookman Old Style" w:hAnsi="Bookman Old Style"/>
        </w:rPr>
      </w:pPr>
    </w:p>
    <w:p w:rsidR="004341E9" w:rsidRDefault="004341E9" w:rsidP="009D4A5A">
      <w:pPr>
        <w:jc w:val="center"/>
        <w:rPr>
          <w:rFonts w:ascii="Bookman Old Style" w:hAnsi="Bookman Old Style"/>
        </w:rPr>
      </w:pPr>
    </w:p>
    <w:p w:rsidR="009D4A5A" w:rsidRPr="003B187B" w:rsidRDefault="009D4A5A" w:rsidP="009D4A5A">
      <w:pPr>
        <w:jc w:val="center"/>
        <w:rPr>
          <w:rFonts w:ascii="Bookman Old Style" w:hAnsi="Bookman Old Style"/>
        </w:rPr>
      </w:pPr>
      <w:r w:rsidRPr="003B187B">
        <w:rPr>
          <w:rFonts w:ascii="Bookman Old Style" w:hAnsi="Bookman Old Style"/>
        </w:rPr>
        <w:t>En  ejercicio de sus atribuciones constitucionales y legales, en especial las conferidas por las Leyes 142 y 143 de 1994, y en desarrollo de los Decretos 1524</w:t>
      </w:r>
      <w:r w:rsidR="00E40140">
        <w:rPr>
          <w:rFonts w:ascii="Bookman Old Style" w:hAnsi="Bookman Old Style"/>
        </w:rPr>
        <w:t xml:space="preserve">, </w:t>
      </w:r>
      <w:r w:rsidRPr="003B187B">
        <w:rPr>
          <w:rFonts w:ascii="Bookman Old Style" w:hAnsi="Bookman Old Style"/>
        </w:rPr>
        <w:t>2253 de 1994, y</w:t>
      </w:r>
      <w:r w:rsidR="00E40140">
        <w:rPr>
          <w:rFonts w:ascii="Bookman Old Style" w:hAnsi="Bookman Old Style"/>
        </w:rPr>
        <w:t xml:space="preserve"> 1260 de 2013</w:t>
      </w:r>
    </w:p>
    <w:p w:rsidR="009D4A5A" w:rsidRDefault="009D4A5A" w:rsidP="009D4A5A">
      <w:pPr>
        <w:jc w:val="center"/>
        <w:rPr>
          <w:rFonts w:ascii="Bookman Old Style" w:hAnsi="Bookman Old Style"/>
        </w:rPr>
      </w:pPr>
    </w:p>
    <w:p w:rsidR="009D4A5A" w:rsidRPr="003B187B" w:rsidRDefault="009D4A5A" w:rsidP="009D4A5A">
      <w:pPr>
        <w:jc w:val="center"/>
        <w:rPr>
          <w:rFonts w:ascii="Bookman Old Style" w:hAnsi="Bookman Old Style"/>
        </w:rPr>
      </w:pPr>
    </w:p>
    <w:p w:rsidR="009D4A5A" w:rsidRPr="003B187B" w:rsidRDefault="009D4A5A" w:rsidP="009D4A5A">
      <w:pPr>
        <w:jc w:val="center"/>
        <w:outlineLvl w:val="0"/>
        <w:rPr>
          <w:rFonts w:ascii="Bookman Old Style" w:hAnsi="Bookman Old Style"/>
          <w:b/>
        </w:rPr>
      </w:pPr>
      <w:r w:rsidRPr="003B187B">
        <w:rPr>
          <w:rFonts w:ascii="Bookman Old Style" w:hAnsi="Bookman Old Style"/>
          <w:b/>
        </w:rPr>
        <w:t>C O N S I D E R A N D O  Q U E:</w:t>
      </w:r>
    </w:p>
    <w:p w:rsidR="009D4A5A" w:rsidRDefault="009D4A5A" w:rsidP="009D4A5A">
      <w:pPr>
        <w:jc w:val="center"/>
        <w:rPr>
          <w:rFonts w:ascii="Bookman Old Style" w:hAnsi="Bookman Old Style"/>
        </w:rPr>
      </w:pPr>
    </w:p>
    <w:p w:rsidR="008A1AE5" w:rsidRPr="003B187B" w:rsidRDefault="008A1AE5" w:rsidP="009D4A5A">
      <w:pPr>
        <w:jc w:val="center"/>
        <w:rPr>
          <w:rFonts w:ascii="Bookman Old Style" w:hAnsi="Bookman Old Style"/>
        </w:rPr>
      </w:pPr>
    </w:p>
    <w:p w:rsidR="004341E9" w:rsidRDefault="004341E9" w:rsidP="004341E9">
      <w:pPr>
        <w:ind w:left="0"/>
        <w:jc w:val="both"/>
        <w:rPr>
          <w:rFonts w:ascii="Bookman Old Style" w:hAnsi="Bookman Old Style" w:cs="Arial"/>
        </w:rPr>
      </w:pPr>
      <w:r w:rsidRPr="003C3499">
        <w:rPr>
          <w:rFonts w:ascii="Bookman Old Style" w:hAnsi="Bookman Old Style" w:cs="Arial"/>
        </w:rPr>
        <w:t xml:space="preserve">Según la Ley 143 de 1994, artículo 4, el Estado, en relación con el servicio de electricidad, tendrá como objetivos en el cumplimiento de sus funciones, los de abastecer la demanda de electricidad de la comunidad bajo criterios económicos y de viabilidad financiera, asegurando su cubrimiento en un marco de uso racional y eficiente de los diferentes recursos energéticos del país; asegurar una operación eficiente, segura y confiable en las actividades del sector; y mantener los niveles de calidad y seguridad establecidos. </w:t>
      </w:r>
    </w:p>
    <w:p w:rsidR="004341E9" w:rsidRPr="003C3499" w:rsidRDefault="004341E9" w:rsidP="004341E9">
      <w:pPr>
        <w:rPr>
          <w:rFonts w:ascii="Bookman Old Style" w:hAnsi="Bookman Old Style" w:cs="Arial"/>
        </w:rPr>
      </w:pPr>
    </w:p>
    <w:p w:rsidR="004341E9" w:rsidRDefault="004341E9" w:rsidP="004341E9">
      <w:pPr>
        <w:ind w:left="0"/>
        <w:jc w:val="both"/>
        <w:rPr>
          <w:rFonts w:ascii="Bookman Old Style" w:hAnsi="Bookman Old Style" w:cs="Arial"/>
        </w:rPr>
      </w:pPr>
      <w:r w:rsidRPr="003C3499">
        <w:rPr>
          <w:rFonts w:ascii="Bookman Old Style" w:hAnsi="Bookman Old Style" w:cs="Arial"/>
        </w:rPr>
        <w:t xml:space="preserve">La Ley 143 de 1994, artículo 20, definió como objetivo fundamental de la Regulación en el sector eléctrico, asegurar una adecuada prestación del servicio mediante el aprovechamiento eficiente de los diferentes recursos energéticos, en beneficio del usuario en términos de calidad, oportunidad y costo del servicio. </w:t>
      </w:r>
    </w:p>
    <w:p w:rsidR="004341E9" w:rsidRPr="003C3499" w:rsidRDefault="004341E9" w:rsidP="004341E9">
      <w:pPr>
        <w:rPr>
          <w:rFonts w:ascii="Bookman Old Style" w:hAnsi="Bookman Old Style" w:cs="Arial"/>
        </w:rPr>
      </w:pPr>
    </w:p>
    <w:p w:rsidR="00E02EB9" w:rsidRDefault="004341E9" w:rsidP="00E02EB9">
      <w:pPr>
        <w:ind w:left="0"/>
        <w:rPr>
          <w:rFonts w:ascii="Bookman Old Style" w:hAnsi="Bookman Old Style" w:cs="Arial"/>
        </w:rPr>
      </w:pPr>
      <w:r w:rsidRPr="003C3499">
        <w:rPr>
          <w:rFonts w:ascii="Bookman Old Style" w:hAnsi="Bookman Old Style" w:cs="Arial"/>
        </w:rPr>
        <w:t>Para el cumplimiento del objetivo señalado, la Ley 143 de 1994, artículo 23, le atribuyó a la Comisión de Regulación de Energía y Gas, entre otras, las siguientes funciones:</w:t>
      </w:r>
    </w:p>
    <w:p w:rsidR="00E77ECD" w:rsidRDefault="00E77ECD" w:rsidP="00E02EB9">
      <w:pPr>
        <w:ind w:left="0"/>
        <w:rPr>
          <w:rFonts w:ascii="Bookman Old Style" w:hAnsi="Bookman Old Style" w:cs="Arial"/>
        </w:rPr>
      </w:pPr>
    </w:p>
    <w:p w:rsidR="004341E9" w:rsidRDefault="004341E9" w:rsidP="00E778D2">
      <w:pPr>
        <w:ind w:left="426"/>
        <w:jc w:val="both"/>
        <w:rPr>
          <w:rFonts w:ascii="Bookman Old Style" w:hAnsi="Bookman Old Style"/>
        </w:rPr>
      </w:pPr>
      <w:r w:rsidRPr="003C3499">
        <w:rPr>
          <w:rFonts w:ascii="Bookman Old Style" w:hAnsi="Bookman Old Style"/>
        </w:rPr>
        <w:lastRenderedPageBreak/>
        <w:t>- Crear las condiciones para asegurar la disponibilidad de una oferta energética eficiente capaz de abastecer la demanda bajo criterios sociales, económicos, ambientales y de viabilidad financiera, promover y preservar la competencia, para lo cual, la oferta eficiente, en el sector eléctrico, debe tener en cuenta la capacidad de generación de respaldo;</w:t>
      </w:r>
    </w:p>
    <w:p w:rsidR="00E02EB9" w:rsidRDefault="00E02EB9" w:rsidP="00E778D2">
      <w:pPr>
        <w:ind w:left="426"/>
        <w:jc w:val="both"/>
        <w:rPr>
          <w:rFonts w:ascii="Bookman Old Style" w:hAnsi="Bookman Old Style"/>
        </w:rPr>
      </w:pPr>
    </w:p>
    <w:p w:rsidR="004341E9" w:rsidRDefault="004341E9" w:rsidP="00E778D2">
      <w:pPr>
        <w:ind w:left="426"/>
        <w:jc w:val="both"/>
        <w:rPr>
          <w:rFonts w:ascii="Bookman Old Style" w:hAnsi="Bookman Old Style" w:cs="Arial"/>
        </w:rPr>
      </w:pPr>
      <w:r w:rsidRPr="003C3499">
        <w:rPr>
          <w:rFonts w:ascii="Bookman Old Style" w:hAnsi="Bookman Old Style" w:cs="Arial"/>
        </w:rPr>
        <w:t>- Valorar la capacidad de generación de respaldo de la oferta eficiente;</w:t>
      </w:r>
    </w:p>
    <w:p w:rsidR="004341E9" w:rsidRPr="003C3499" w:rsidRDefault="004341E9" w:rsidP="00E778D2">
      <w:pPr>
        <w:ind w:left="426"/>
        <w:jc w:val="both"/>
        <w:rPr>
          <w:rFonts w:ascii="Bookman Old Style" w:hAnsi="Bookman Old Style" w:cs="Arial"/>
        </w:rPr>
      </w:pPr>
    </w:p>
    <w:p w:rsidR="004341E9" w:rsidRPr="003C3499" w:rsidRDefault="004341E9" w:rsidP="00E778D2">
      <w:pPr>
        <w:ind w:left="426"/>
        <w:jc w:val="both"/>
        <w:rPr>
          <w:rFonts w:ascii="Bookman Old Style" w:hAnsi="Bookman Old Style" w:cs="Arial"/>
        </w:rPr>
      </w:pPr>
      <w:r w:rsidRPr="003C3499">
        <w:rPr>
          <w:rFonts w:ascii="Bookman Old Style" w:hAnsi="Bookman Old Style" w:cs="Arial"/>
        </w:rPr>
        <w:t>- Definir y hacer operativos los criterios técnicos de calidad, confiabilidad y seguridad del servicio de energía; y</w:t>
      </w:r>
    </w:p>
    <w:p w:rsidR="004341E9" w:rsidRPr="003C3499" w:rsidRDefault="004341E9" w:rsidP="00E778D2">
      <w:pPr>
        <w:ind w:left="426"/>
        <w:jc w:val="both"/>
        <w:rPr>
          <w:rFonts w:ascii="Bookman Old Style" w:hAnsi="Bookman Old Style" w:cs="Arial"/>
        </w:rPr>
      </w:pPr>
    </w:p>
    <w:p w:rsidR="004341E9" w:rsidRPr="003C3499" w:rsidRDefault="004341E9" w:rsidP="00E778D2">
      <w:pPr>
        <w:ind w:left="426"/>
        <w:jc w:val="both"/>
        <w:rPr>
          <w:rFonts w:ascii="Bookman Old Style" w:hAnsi="Bookman Old Style" w:cs="Arial"/>
        </w:rPr>
      </w:pPr>
      <w:r w:rsidRPr="003C3499">
        <w:rPr>
          <w:rFonts w:ascii="Bookman Old Style" w:hAnsi="Bookman Old Style" w:cs="Arial"/>
        </w:rPr>
        <w:t>- Determinar las condiciones para la liberación gradual del mercado hacia la libre competencia.</w:t>
      </w:r>
    </w:p>
    <w:p w:rsidR="004341E9" w:rsidRPr="003C3499" w:rsidRDefault="004341E9" w:rsidP="004341E9">
      <w:pPr>
        <w:rPr>
          <w:rFonts w:ascii="Bookman Old Style" w:hAnsi="Bookman Old Style" w:cs="Arial"/>
          <w:b/>
        </w:rPr>
      </w:pPr>
    </w:p>
    <w:p w:rsidR="004341E9" w:rsidRPr="003C3499" w:rsidRDefault="004341E9" w:rsidP="004341E9">
      <w:pPr>
        <w:ind w:left="0"/>
        <w:rPr>
          <w:rFonts w:ascii="Bookman Old Style" w:hAnsi="Bookman Old Style" w:cs="Arial"/>
        </w:rPr>
      </w:pPr>
      <w:r w:rsidRPr="003C3499">
        <w:rPr>
          <w:rFonts w:ascii="Bookman Old Style" w:hAnsi="Bookman Old Style" w:cs="Arial"/>
        </w:rPr>
        <w:t>De acuerdo con lo establecido en el literal c) del artículo 74.1 de la ley 142 de 1994, le corresponde a la CREG establecer el Reglamento de Operación, para regular el funcionamiento del Mercado Mayorista.</w:t>
      </w:r>
    </w:p>
    <w:p w:rsidR="004341E9" w:rsidRPr="003C3499" w:rsidRDefault="004341E9" w:rsidP="004341E9">
      <w:pPr>
        <w:pStyle w:val="Vietaletra"/>
        <w:numPr>
          <w:ilvl w:val="0"/>
          <w:numId w:val="0"/>
        </w:numPr>
        <w:suppressAutoHyphens w:val="0"/>
        <w:overflowPunct/>
        <w:autoSpaceDE/>
        <w:textAlignment w:val="auto"/>
        <w:rPr>
          <w:rFonts w:ascii="Bookman Old Style" w:hAnsi="Bookman Old Style" w:cs="Arial"/>
          <w:bCs/>
          <w:szCs w:val="24"/>
          <w:lang w:val="es-CO" w:eastAsia="es-ES"/>
        </w:rPr>
      </w:pPr>
    </w:p>
    <w:p w:rsidR="004341E9" w:rsidRPr="003C3499" w:rsidRDefault="004341E9" w:rsidP="004341E9">
      <w:pPr>
        <w:pStyle w:val="Vietaletra"/>
        <w:numPr>
          <w:ilvl w:val="0"/>
          <w:numId w:val="0"/>
        </w:numPr>
        <w:suppressAutoHyphens w:val="0"/>
        <w:overflowPunct/>
        <w:autoSpaceDE/>
        <w:textAlignment w:val="auto"/>
        <w:rPr>
          <w:rFonts w:ascii="Bookman Old Style" w:hAnsi="Bookman Old Style" w:cs="Arial"/>
          <w:bCs/>
          <w:szCs w:val="24"/>
          <w:lang w:val="es-CO" w:eastAsia="es-ES"/>
        </w:rPr>
      </w:pPr>
      <w:r w:rsidRPr="003C3499">
        <w:rPr>
          <w:rFonts w:ascii="Bookman Old Style" w:hAnsi="Bookman Old Style" w:cs="Arial"/>
          <w:bCs/>
          <w:szCs w:val="24"/>
          <w:lang w:val="es-CO" w:eastAsia="es-ES"/>
        </w:rPr>
        <w:t>L</w:t>
      </w:r>
      <w:r>
        <w:rPr>
          <w:rFonts w:ascii="Bookman Old Style" w:hAnsi="Bookman Old Style" w:cs="Arial"/>
          <w:bCs/>
          <w:szCs w:val="24"/>
          <w:lang w:val="es-CO" w:eastAsia="es-ES"/>
        </w:rPr>
        <w:t xml:space="preserve">a CREG mediante Resolución CREG </w:t>
      </w:r>
      <w:r w:rsidRPr="003C3499">
        <w:rPr>
          <w:rFonts w:ascii="Bookman Old Style" w:hAnsi="Bookman Old Style" w:cs="Arial"/>
          <w:bCs/>
          <w:szCs w:val="24"/>
          <w:lang w:val="es-CO" w:eastAsia="es-ES"/>
        </w:rPr>
        <w:t>071 de 2006, adoptó la metodología para la remuneración del Cargo por Confiabilidad en el Mercado Mayorista de Energía, en la cual se estableció que con el fin de garantizar la confiabilidad del servicio de energía eléctrica en el Sistema Interconectado Nacional se definirá una Demanda Objetivo que se debe cubrir mediante Obligaciones de Energía Firme.</w:t>
      </w:r>
    </w:p>
    <w:p w:rsidR="004341E9" w:rsidRPr="00BC4290" w:rsidRDefault="004341E9" w:rsidP="004341E9">
      <w:pPr>
        <w:rPr>
          <w:rFonts w:ascii="Bookman Old Style" w:hAnsi="Bookman Old Style" w:cs="Arial"/>
          <w:bCs/>
          <w:sz w:val="22"/>
        </w:rPr>
      </w:pPr>
    </w:p>
    <w:p w:rsidR="004341E9" w:rsidRPr="003C3499" w:rsidRDefault="004341E9" w:rsidP="004341E9">
      <w:pPr>
        <w:pStyle w:val="Vietaletra"/>
        <w:numPr>
          <w:ilvl w:val="0"/>
          <w:numId w:val="0"/>
        </w:numPr>
        <w:suppressAutoHyphens w:val="0"/>
        <w:overflowPunct/>
        <w:autoSpaceDE/>
        <w:textAlignment w:val="auto"/>
        <w:rPr>
          <w:rFonts w:ascii="Bookman Old Style" w:hAnsi="Bookman Old Style" w:cs="Arial"/>
          <w:bCs/>
          <w:szCs w:val="24"/>
          <w:lang w:val="es-CO" w:eastAsia="es-ES"/>
        </w:rPr>
      </w:pPr>
      <w:r w:rsidRPr="003C3499">
        <w:rPr>
          <w:rFonts w:ascii="Bookman Old Style" w:hAnsi="Bookman Old Style" w:cs="Arial"/>
          <w:bCs/>
          <w:szCs w:val="24"/>
          <w:lang w:val="es-CO" w:eastAsia="es-ES"/>
        </w:rPr>
        <w:t xml:space="preserve">En el artículo 2 de la Resolución </w:t>
      </w:r>
      <w:r>
        <w:rPr>
          <w:rFonts w:ascii="Bookman Old Style" w:hAnsi="Bookman Old Style" w:cs="Arial"/>
          <w:bCs/>
          <w:szCs w:val="24"/>
          <w:lang w:val="es-CO" w:eastAsia="es-ES"/>
        </w:rPr>
        <w:t xml:space="preserve">CREG </w:t>
      </w:r>
      <w:r w:rsidRPr="003C3499">
        <w:rPr>
          <w:rFonts w:ascii="Bookman Old Style" w:hAnsi="Bookman Old Style" w:cs="Arial"/>
          <w:bCs/>
          <w:szCs w:val="24"/>
          <w:lang w:val="es-CO" w:eastAsia="es-ES"/>
        </w:rPr>
        <w:t>071 de 2006, se definió la Demanda Objetivo como aquella que “equivale a la Demanda Total Doméstica de Energía para cada uno de los meses comprendidos entre el 1º de Diciembre y el 30 de noviembre del año siguiente al Período de Planeación, más un porcentaje que fijará la CREG</w:t>
      </w:r>
      <w:r>
        <w:rPr>
          <w:rFonts w:ascii="Bookman Old Style" w:hAnsi="Bookman Old Style" w:cs="Arial"/>
          <w:bCs/>
          <w:szCs w:val="24"/>
          <w:lang w:val="es-CO" w:eastAsia="es-ES"/>
        </w:rPr>
        <w:t>…”</w:t>
      </w:r>
      <w:r w:rsidRPr="003C3499">
        <w:rPr>
          <w:rFonts w:ascii="Bookman Old Style" w:hAnsi="Bookman Old Style" w:cs="Arial"/>
          <w:bCs/>
          <w:szCs w:val="24"/>
          <w:lang w:val="es-CO" w:eastAsia="es-ES"/>
        </w:rPr>
        <w:t>; y se estableció que “la Demanda Total Doméstica de Energía corresponderá a la proyección más reciente elaborada por la UPME para el escenario de proyección seleccionado por la CREG”.</w:t>
      </w:r>
    </w:p>
    <w:p w:rsidR="004341E9" w:rsidRPr="00BC4290" w:rsidRDefault="004341E9" w:rsidP="004341E9">
      <w:pPr>
        <w:rPr>
          <w:rFonts w:ascii="Bookman Old Style" w:hAnsi="Bookman Old Style" w:cs="Arial"/>
          <w:bCs/>
          <w:sz w:val="22"/>
        </w:rPr>
      </w:pPr>
    </w:p>
    <w:p w:rsidR="004341E9" w:rsidRDefault="004341E9" w:rsidP="004341E9">
      <w:pPr>
        <w:ind w:left="0"/>
        <w:jc w:val="both"/>
        <w:rPr>
          <w:rFonts w:ascii="Bookman Old Style" w:hAnsi="Bookman Old Style" w:cs="Arial"/>
          <w:bCs/>
          <w:i/>
        </w:rPr>
      </w:pPr>
      <w:r w:rsidRPr="003C3499">
        <w:rPr>
          <w:rFonts w:ascii="Bookman Old Style" w:hAnsi="Bookman Old Style" w:cs="Arial"/>
          <w:bCs/>
        </w:rPr>
        <w:t>Según lo dispuesto en el artículo 18 de la Resolución CREG</w:t>
      </w:r>
      <w:r>
        <w:rPr>
          <w:rFonts w:ascii="Bookman Old Style" w:hAnsi="Bookman Old Style" w:cs="Arial"/>
          <w:bCs/>
        </w:rPr>
        <w:t xml:space="preserve"> </w:t>
      </w:r>
      <w:r w:rsidRPr="003C3499">
        <w:rPr>
          <w:rFonts w:ascii="Bookman Old Style" w:hAnsi="Bookman Old Style" w:cs="Arial"/>
          <w:bCs/>
        </w:rPr>
        <w:t xml:space="preserve">071 de 2006, </w:t>
      </w:r>
      <w:r w:rsidRPr="003C3499">
        <w:rPr>
          <w:rFonts w:ascii="Bookman Old Style" w:hAnsi="Bookman Old Style" w:cs="Arial"/>
          <w:bCs/>
          <w:i/>
        </w:rPr>
        <w:t xml:space="preserve">“Durante el primer semestre de cada año la CREG verificará si la suma de la ENFICC de cada una de las plantas y/o unidades de generación es mayor o igual a la Demanda Objetivo calculada para el año que inicia el 1º de diciembre del año </w:t>
      </w:r>
      <w:proofErr w:type="spellStart"/>
      <w:r w:rsidRPr="003C3499">
        <w:rPr>
          <w:rFonts w:ascii="Bookman Old Style" w:hAnsi="Bookman Old Style" w:cs="Arial"/>
          <w:bCs/>
          <w:i/>
        </w:rPr>
        <w:t>t+p</w:t>
      </w:r>
      <w:proofErr w:type="spellEnd"/>
      <w:r w:rsidRPr="003C3499">
        <w:rPr>
          <w:rFonts w:ascii="Bookman Old Style" w:hAnsi="Bookman Old Style" w:cs="Arial"/>
          <w:bCs/>
          <w:i/>
        </w:rPr>
        <w:t>, de acuerdo con lo establecido en el Artículo 19 de esta resolución”.</w:t>
      </w:r>
    </w:p>
    <w:p w:rsidR="004341E9" w:rsidRPr="00BC4290" w:rsidRDefault="004341E9" w:rsidP="004341E9">
      <w:pPr>
        <w:rPr>
          <w:rFonts w:ascii="Bookman Old Style" w:hAnsi="Bookman Old Style" w:cs="Arial"/>
          <w:bCs/>
          <w:i/>
          <w:sz w:val="22"/>
        </w:rPr>
      </w:pPr>
    </w:p>
    <w:p w:rsidR="004341E9" w:rsidRPr="003C3499" w:rsidRDefault="004341E9" w:rsidP="004341E9">
      <w:pPr>
        <w:ind w:left="0"/>
        <w:jc w:val="both"/>
        <w:rPr>
          <w:rFonts w:ascii="Bookman Old Style" w:hAnsi="Bookman Old Style" w:cs="Arial"/>
          <w:i/>
        </w:rPr>
      </w:pPr>
      <w:r w:rsidRPr="003C3499">
        <w:rPr>
          <w:rFonts w:ascii="Bookman Old Style" w:hAnsi="Bookman Old Style" w:cs="Arial"/>
          <w:bCs/>
        </w:rPr>
        <w:t xml:space="preserve">En el citado artículo 18 de la Resolución CREG-071 de 2006 se estableció que </w:t>
      </w:r>
      <w:r w:rsidRPr="003C3499">
        <w:rPr>
          <w:rFonts w:ascii="Bookman Old Style" w:hAnsi="Bookman Old Style" w:cs="Arial"/>
          <w:bCs/>
          <w:i/>
        </w:rPr>
        <w:t>“l</w:t>
      </w:r>
      <w:r w:rsidRPr="003C3499">
        <w:rPr>
          <w:rFonts w:ascii="Bookman Old Style" w:hAnsi="Bookman Old Style" w:cs="Arial"/>
          <w:i/>
        </w:rPr>
        <w:t>a CREG fijará, mediante resolución, la oportunidad en que el ASIC debe llevar a cabo la Subasta o el mecanismo de asignación que haga sus veces; así como el cronograma de las actividades que deben ejecutarse durante los Períodos de Precalificación y de Planeación de la Subasta, o las fechas máximas de ejecución de las actividades asociadas al mecanismo de asignación, según sea el caso”.</w:t>
      </w:r>
    </w:p>
    <w:p w:rsidR="004341E9" w:rsidRPr="00BC4290" w:rsidRDefault="004341E9" w:rsidP="004341E9">
      <w:pPr>
        <w:rPr>
          <w:rFonts w:ascii="Bookman Old Style" w:hAnsi="Bookman Old Style" w:cs="Arial"/>
          <w:bCs/>
          <w:sz w:val="22"/>
        </w:rPr>
      </w:pPr>
    </w:p>
    <w:p w:rsidR="004341E9" w:rsidRDefault="004341E9" w:rsidP="004341E9">
      <w:pPr>
        <w:ind w:left="0"/>
        <w:jc w:val="both"/>
        <w:rPr>
          <w:rFonts w:ascii="Bookman Old Style" w:hAnsi="Bookman Old Style" w:cs="Arial"/>
          <w:bCs/>
        </w:rPr>
      </w:pPr>
      <w:r>
        <w:rPr>
          <w:rFonts w:ascii="Bookman Old Style" w:hAnsi="Bookman Old Style" w:cs="Arial"/>
          <w:bCs/>
        </w:rPr>
        <w:t>E</w:t>
      </w:r>
      <w:r w:rsidRPr="003C3499">
        <w:rPr>
          <w:rFonts w:ascii="Bookman Old Style" w:hAnsi="Bookman Old Style" w:cs="Arial"/>
          <w:bCs/>
        </w:rPr>
        <w:t xml:space="preserve">l </w:t>
      </w:r>
      <w:r w:rsidR="00E40140">
        <w:rPr>
          <w:rFonts w:ascii="Bookman Old Style" w:hAnsi="Bookman Old Style" w:cs="Arial"/>
          <w:bCs/>
        </w:rPr>
        <w:t>14 d</w:t>
      </w:r>
      <w:r w:rsidRPr="003C3499">
        <w:rPr>
          <w:rFonts w:ascii="Bookman Old Style" w:hAnsi="Bookman Old Style" w:cs="Arial"/>
          <w:bCs/>
        </w:rPr>
        <w:t xml:space="preserve">e </w:t>
      </w:r>
      <w:r w:rsidR="00E40140">
        <w:rPr>
          <w:rFonts w:ascii="Bookman Old Style" w:hAnsi="Bookman Old Style" w:cs="Arial"/>
          <w:bCs/>
        </w:rPr>
        <w:t xml:space="preserve">octubre de </w:t>
      </w:r>
      <w:r w:rsidRPr="003C3499">
        <w:rPr>
          <w:rFonts w:ascii="Bookman Old Style" w:hAnsi="Bookman Old Style" w:cs="Arial"/>
          <w:bCs/>
        </w:rPr>
        <w:t>20</w:t>
      </w:r>
      <w:r>
        <w:rPr>
          <w:rFonts w:ascii="Bookman Old Style" w:hAnsi="Bookman Old Style" w:cs="Arial"/>
          <w:bCs/>
        </w:rPr>
        <w:t>10, con radicado</w:t>
      </w:r>
      <w:r w:rsidR="00E40140">
        <w:rPr>
          <w:rFonts w:ascii="Bookman Old Style" w:hAnsi="Bookman Old Style" w:cs="Arial"/>
          <w:bCs/>
        </w:rPr>
        <w:t>s</w:t>
      </w:r>
      <w:r>
        <w:rPr>
          <w:rFonts w:ascii="Bookman Old Style" w:hAnsi="Bookman Old Style" w:cs="Arial"/>
          <w:bCs/>
        </w:rPr>
        <w:t xml:space="preserve"> </w:t>
      </w:r>
      <w:r w:rsidRPr="003C3499">
        <w:rPr>
          <w:rFonts w:ascii="Bookman Old Style" w:hAnsi="Bookman Old Style" w:cs="Arial"/>
          <w:bCs/>
        </w:rPr>
        <w:t>CREG E-20</w:t>
      </w:r>
      <w:r>
        <w:rPr>
          <w:rFonts w:ascii="Bookman Old Style" w:hAnsi="Bookman Old Style" w:cs="Arial"/>
          <w:bCs/>
        </w:rPr>
        <w:t>1</w:t>
      </w:r>
      <w:r w:rsidR="00E40140">
        <w:rPr>
          <w:rFonts w:ascii="Bookman Old Style" w:hAnsi="Bookman Old Style" w:cs="Arial"/>
          <w:bCs/>
        </w:rPr>
        <w:t>5</w:t>
      </w:r>
      <w:r w:rsidRPr="003C3499">
        <w:rPr>
          <w:rFonts w:ascii="Bookman Old Style" w:hAnsi="Bookman Old Style" w:cs="Arial"/>
          <w:bCs/>
        </w:rPr>
        <w:t>-0</w:t>
      </w:r>
      <w:r>
        <w:rPr>
          <w:rFonts w:ascii="Bookman Old Style" w:hAnsi="Bookman Old Style" w:cs="Arial"/>
          <w:bCs/>
        </w:rPr>
        <w:t>10</w:t>
      </w:r>
      <w:r w:rsidR="00E40140">
        <w:rPr>
          <w:rFonts w:ascii="Bookman Old Style" w:hAnsi="Bookman Old Style" w:cs="Arial"/>
          <w:bCs/>
        </w:rPr>
        <w:t>538 y CREG E-2015-010539</w:t>
      </w:r>
      <w:r>
        <w:rPr>
          <w:rFonts w:ascii="Bookman Old Style" w:hAnsi="Bookman Old Style" w:cs="Arial"/>
          <w:bCs/>
        </w:rPr>
        <w:t>, l</w:t>
      </w:r>
      <w:r w:rsidRPr="003C3499">
        <w:rPr>
          <w:rFonts w:ascii="Bookman Old Style" w:hAnsi="Bookman Old Style" w:cs="Arial"/>
          <w:bCs/>
        </w:rPr>
        <w:t>a UPME remitió a la CREG,</w:t>
      </w:r>
      <w:r w:rsidR="00D10CF2">
        <w:rPr>
          <w:rFonts w:ascii="Bookman Old Style" w:hAnsi="Bookman Old Style" w:cs="Arial"/>
          <w:bCs/>
        </w:rPr>
        <w:t xml:space="preserve"> </w:t>
      </w:r>
      <w:r w:rsidRPr="003C3499">
        <w:rPr>
          <w:rFonts w:ascii="Bookman Old Style" w:hAnsi="Bookman Old Style" w:cs="Arial"/>
          <w:bCs/>
        </w:rPr>
        <w:t>el documento “</w:t>
      </w:r>
      <w:r w:rsidRPr="003C3499">
        <w:rPr>
          <w:rFonts w:ascii="Bookman Old Style" w:hAnsi="Bookman Old Style" w:cs="Arial"/>
          <w:bCs/>
          <w:i/>
        </w:rPr>
        <w:t>Proyecci</w:t>
      </w:r>
      <w:r w:rsidR="009F486C">
        <w:rPr>
          <w:rFonts w:ascii="Bookman Old Style" w:hAnsi="Bookman Old Style" w:cs="Arial"/>
          <w:bCs/>
          <w:i/>
        </w:rPr>
        <w:t xml:space="preserve">ón  </w:t>
      </w:r>
      <w:r w:rsidRPr="003C3499">
        <w:rPr>
          <w:rFonts w:ascii="Bookman Old Style" w:hAnsi="Bookman Old Style" w:cs="Arial"/>
          <w:bCs/>
          <w:i/>
        </w:rPr>
        <w:t>de</w:t>
      </w:r>
      <w:r w:rsidR="009F486C">
        <w:rPr>
          <w:rFonts w:ascii="Bookman Old Style" w:hAnsi="Bookman Old Style" w:cs="Arial"/>
          <w:bCs/>
          <w:i/>
        </w:rPr>
        <w:t xml:space="preserve"> la</w:t>
      </w:r>
      <w:r w:rsidRPr="003C3499">
        <w:rPr>
          <w:rFonts w:ascii="Bookman Old Style" w:hAnsi="Bookman Old Style" w:cs="Arial"/>
          <w:bCs/>
          <w:i/>
        </w:rPr>
        <w:t xml:space="preserve"> </w:t>
      </w:r>
      <w:r w:rsidRPr="003C3499">
        <w:rPr>
          <w:rFonts w:ascii="Bookman Old Style" w:hAnsi="Bookman Old Style" w:cs="Arial"/>
          <w:bCs/>
          <w:i/>
        </w:rPr>
        <w:lastRenderedPageBreak/>
        <w:t>Demanda de Energía Eléctrica y Potencia</w:t>
      </w:r>
      <w:r w:rsidR="009F486C">
        <w:rPr>
          <w:rFonts w:ascii="Bookman Old Style" w:hAnsi="Bookman Old Style" w:cs="Arial"/>
          <w:bCs/>
          <w:i/>
        </w:rPr>
        <w:t xml:space="preserve"> Máxima en Colombia</w:t>
      </w:r>
      <w:r w:rsidRPr="003C3499">
        <w:rPr>
          <w:rFonts w:ascii="Bookman Old Style" w:hAnsi="Bookman Old Style" w:cs="Arial"/>
          <w:bCs/>
          <w:i/>
        </w:rPr>
        <w:t xml:space="preserve">, revisión </w:t>
      </w:r>
      <w:r w:rsidR="00E40140">
        <w:rPr>
          <w:rFonts w:ascii="Bookman Old Style" w:hAnsi="Bookman Old Style" w:cs="Arial"/>
          <w:bCs/>
          <w:i/>
        </w:rPr>
        <w:t xml:space="preserve">octubre </w:t>
      </w:r>
      <w:r w:rsidRPr="003C3499">
        <w:rPr>
          <w:rFonts w:ascii="Bookman Old Style" w:hAnsi="Bookman Old Style" w:cs="Arial"/>
          <w:bCs/>
          <w:i/>
        </w:rPr>
        <w:t>de 20</w:t>
      </w:r>
      <w:r>
        <w:rPr>
          <w:rFonts w:ascii="Bookman Old Style" w:hAnsi="Bookman Old Style" w:cs="Arial"/>
          <w:bCs/>
          <w:i/>
        </w:rPr>
        <w:t>1</w:t>
      </w:r>
      <w:r w:rsidR="00E40140">
        <w:rPr>
          <w:rFonts w:ascii="Bookman Old Style" w:hAnsi="Bookman Old Style" w:cs="Arial"/>
          <w:bCs/>
          <w:i/>
        </w:rPr>
        <w:t>5</w:t>
      </w:r>
      <w:r>
        <w:rPr>
          <w:rFonts w:ascii="Bookman Old Style" w:hAnsi="Bookman Old Style" w:cs="Arial"/>
          <w:bCs/>
        </w:rPr>
        <w:t>”.</w:t>
      </w:r>
    </w:p>
    <w:p w:rsidR="00E77ECD" w:rsidRDefault="00E77ECD" w:rsidP="004341E9">
      <w:pPr>
        <w:ind w:left="0"/>
        <w:jc w:val="both"/>
        <w:rPr>
          <w:rFonts w:ascii="Bookman Old Style" w:hAnsi="Bookman Old Style" w:cs="Arial"/>
          <w:bCs/>
        </w:rPr>
      </w:pPr>
    </w:p>
    <w:p w:rsidR="004341E9" w:rsidRDefault="004341E9" w:rsidP="004341E9">
      <w:pPr>
        <w:ind w:left="0"/>
        <w:jc w:val="both"/>
        <w:rPr>
          <w:rFonts w:ascii="Bookman Old Style" w:hAnsi="Bookman Old Style"/>
          <w:bCs/>
        </w:rPr>
      </w:pPr>
      <w:r w:rsidRPr="003C3499">
        <w:rPr>
          <w:rFonts w:ascii="Bookman Old Style" w:hAnsi="Bookman Old Style"/>
          <w:bCs/>
        </w:rPr>
        <w:t>En cumplimiento del artículo 18 de la resolución CREG</w:t>
      </w:r>
      <w:r>
        <w:rPr>
          <w:rFonts w:ascii="Bookman Old Style" w:hAnsi="Bookman Old Style"/>
          <w:bCs/>
        </w:rPr>
        <w:t xml:space="preserve"> </w:t>
      </w:r>
      <w:r w:rsidRPr="003C3499">
        <w:rPr>
          <w:rFonts w:ascii="Bookman Old Style" w:hAnsi="Bookman Old Style"/>
          <w:bCs/>
        </w:rPr>
        <w:t>071 de 2006, se analizó la información reportada oportunamente por los agentes y se verificó si la suma de las ENFICC de cada una de las plantas es mayor o igual a la demanda objetivo, cuyos análisis están contenidos en el Documento CREG</w:t>
      </w:r>
      <w:r>
        <w:rPr>
          <w:rFonts w:ascii="Bookman Old Style" w:hAnsi="Bookman Old Style"/>
          <w:bCs/>
        </w:rPr>
        <w:t xml:space="preserve">  </w:t>
      </w:r>
      <w:r w:rsidR="00E77ECD">
        <w:rPr>
          <w:rFonts w:ascii="Bookman Old Style" w:hAnsi="Bookman Old Style"/>
          <w:bCs/>
        </w:rPr>
        <w:t>121</w:t>
      </w:r>
      <w:r>
        <w:rPr>
          <w:rFonts w:ascii="Bookman Old Style" w:hAnsi="Bookman Old Style"/>
          <w:bCs/>
        </w:rPr>
        <w:t xml:space="preserve"> de 201</w:t>
      </w:r>
      <w:r w:rsidR="009F486C">
        <w:rPr>
          <w:rFonts w:ascii="Bookman Old Style" w:hAnsi="Bookman Old Style"/>
          <w:bCs/>
        </w:rPr>
        <w:t>5</w:t>
      </w:r>
      <w:r>
        <w:rPr>
          <w:rFonts w:ascii="Bookman Old Style" w:hAnsi="Bookman Old Style"/>
          <w:bCs/>
        </w:rPr>
        <w:t>.</w:t>
      </w:r>
    </w:p>
    <w:p w:rsidR="006D6DB2" w:rsidRDefault="006D6DB2" w:rsidP="004341E9">
      <w:pPr>
        <w:ind w:left="0"/>
        <w:jc w:val="both"/>
        <w:rPr>
          <w:rFonts w:ascii="Bookman Old Style" w:hAnsi="Bookman Old Style"/>
          <w:bCs/>
        </w:rPr>
      </w:pPr>
    </w:p>
    <w:p w:rsidR="00BA28B5" w:rsidRDefault="00BA28B5" w:rsidP="00C912C4">
      <w:pPr>
        <w:ind w:left="0"/>
        <w:jc w:val="both"/>
        <w:rPr>
          <w:rFonts w:ascii="Bookman Old Style" w:hAnsi="Bookman Old Style"/>
        </w:rPr>
      </w:pPr>
      <w:r>
        <w:rPr>
          <w:rFonts w:ascii="Bookman Old Style" w:hAnsi="Bookman Old Style"/>
        </w:rPr>
        <w:t xml:space="preserve">Desde 14 de agosto de 2015 </w:t>
      </w:r>
      <w:r w:rsidR="0034127A">
        <w:rPr>
          <w:rFonts w:ascii="Bookman Old Style" w:hAnsi="Bookman Old Style"/>
        </w:rPr>
        <w:t xml:space="preserve">se sometió a consulta el proyecto de Resolución CREG 109 de 2015 </w:t>
      </w:r>
      <w:r w:rsidR="00963E3B">
        <w:rPr>
          <w:rFonts w:ascii="Bookman Old Style" w:hAnsi="Bookman Old Style"/>
        </w:rPr>
        <w:t xml:space="preserve">por </w:t>
      </w:r>
      <w:r w:rsidR="0034127A">
        <w:rPr>
          <w:rFonts w:ascii="Bookman Old Style" w:hAnsi="Bookman Old Style"/>
        </w:rPr>
        <w:t>e</w:t>
      </w:r>
      <w:r w:rsidR="00963E3B">
        <w:rPr>
          <w:rFonts w:ascii="Bookman Old Style" w:hAnsi="Bookman Old Style"/>
        </w:rPr>
        <w:t>l</w:t>
      </w:r>
      <w:r w:rsidR="0034127A">
        <w:rPr>
          <w:rFonts w:ascii="Bookman Old Style" w:hAnsi="Bookman Old Style"/>
        </w:rPr>
        <w:t xml:space="preserve"> cual se consultaron dos alternativas: 1)</w:t>
      </w:r>
      <w:r w:rsidR="00C97F91">
        <w:rPr>
          <w:rFonts w:ascii="Bookman Old Style" w:hAnsi="Bookman Old Style"/>
        </w:rPr>
        <w:t xml:space="preserve"> Asignación de OEF  de </w:t>
      </w:r>
      <w:r w:rsidR="00963E3B">
        <w:rPr>
          <w:rFonts w:ascii="Bookman Old Style" w:hAnsi="Bookman Old Style"/>
        </w:rPr>
        <w:t xml:space="preserve">precios ofertados 2) </w:t>
      </w:r>
      <w:r>
        <w:rPr>
          <w:rFonts w:ascii="Bookman Old Style" w:hAnsi="Bookman Old Style"/>
        </w:rPr>
        <w:t xml:space="preserve"> </w:t>
      </w:r>
      <w:r w:rsidR="00963E3B">
        <w:rPr>
          <w:rFonts w:ascii="Bookman Old Style" w:hAnsi="Bookman Old Style"/>
        </w:rPr>
        <w:t xml:space="preserve">Asignaciones OEF con subastas anuales. La Comisión </w:t>
      </w:r>
      <w:proofErr w:type="gramStart"/>
      <w:r w:rsidR="00963E3B">
        <w:rPr>
          <w:rFonts w:ascii="Bookman Old Style" w:hAnsi="Bookman Old Style"/>
        </w:rPr>
        <w:t>continua</w:t>
      </w:r>
      <w:proofErr w:type="gramEnd"/>
      <w:r w:rsidR="00963E3B">
        <w:rPr>
          <w:rFonts w:ascii="Bookman Old Style" w:hAnsi="Bookman Old Style"/>
        </w:rPr>
        <w:t xml:space="preserve"> en la evaluación de las alternativas mencionadas.</w:t>
      </w:r>
    </w:p>
    <w:p w:rsidR="00963E3B" w:rsidRDefault="00963E3B" w:rsidP="00C912C4">
      <w:pPr>
        <w:ind w:left="0"/>
        <w:jc w:val="both"/>
        <w:rPr>
          <w:rFonts w:ascii="Bookman Old Style" w:hAnsi="Bookman Old Style"/>
        </w:rPr>
      </w:pPr>
    </w:p>
    <w:p w:rsidR="00963E3B" w:rsidRDefault="00963E3B" w:rsidP="00C912C4">
      <w:pPr>
        <w:ind w:left="0"/>
        <w:jc w:val="both"/>
        <w:rPr>
          <w:rFonts w:ascii="Bookman Old Style" w:hAnsi="Bookman Old Style"/>
        </w:rPr>
      </w:pPr>
      <w:r>
        <w:rPr>
          <w:rFonts w:ascii="Bookman Old Style" w:hAnsi="Bookman Old Style"/>
        </w:rPr>
        <w:t>Sin perjuicio de lo anterior, y como consecuencia de los comentarios recibidos, se hace necesario contar  con un  periodo de transición para la aplicación de la alternativa que la Comisión decida, en aras de que cualquiera que fuere la decisión que</w:t>
      </w:r>
      <w:r w:rsidR="00ED20DF">
        <w:rPr>
          <w:rFonts w:ascii="Bookman Old Style" w:hAnsi="Bookman Old Style"/>
        </w:rPr>
        <w:t xml:space="preserve"> ésta</w:t>
      </w:r>
      <w:r>
        <w:rPr>
          <w:rFonts w:ascii="Bookman Old Style" w:hAnsi="Bookman Old Style"/>
        </w:rPr>
        <w:t xml:space="preserve"> adopte, los agentes del mercado cuenten con un tiempo razonable para adaptarse a las nuevas reglas. En este sentido, el t</w:t>
      </w:r>
      <w:r w:rsidR="004D40FA">
        <w:rPr>
          <w:rFonts w:ascii="Bookman Old Style" w:hAnsi="Bookman Old Style"/>
        </w:rPr>
        <w:t>érmino de asignación</w:t>
      </w:r>
      <w:r>
        <w:rPr>
          <w:rFonts w:ascii="Bookman Old Style" w:hAnsi="Bookman Old Style"/>
        </w:rPr>
        <w:t xml:space="preserve"> de</w:t>
      </w:r>
      <w:r w:rsidR="004D40FA">
        <w:rPr>
          <w:rFonts w:ascii="Bookman Old Style" w:hAnsi="Bookman Old Style"/>
        </w:rPr>
        <w:t xml:space="preserve"> las</w:t>
      </w:r>
      <w:r>
        <w:rPr>
          <w:rFonts w:ascii="Bookman Old Style" w:hAnsi="Bookman Old Style"/>
        </w:rPr>
        <w:t xml:space="preserve"> obligaciones</w:t>
      </w:r>
      <w:r w:rsidR="00E46DC7">
        <w:rPr>
          <w:rFonts w:ascii="Bookman Old Style" w:hAnsi="Bookman Old Style"/>
        </w:rPr>
        <w:t xml:space="preserve"> de energía firme</w:t>
      </w:r>
      <w:r>
        <w:rPr>
          <w:rFonts w:ascii="Bookman Old Style" w:hAnsi="Bookman Old Style"/>
        </w:rPr>
        <w:t xml:space="preserve"> referidas </w:t>
      </w:r>
      <w:r w:rsidR="004D40FA">
        <w:rPr>
          <w:rFonts w:ascii="Bookman Old Style" w:hAnsi="Bookman Old Style"/>
        </w:rPr>
        <w:t>de que trata este acto administrativo, se entiende como periodo de trans</w:t>
      </w:r>
      <w:r w:rsidR="00ED20DF">
        <w:rPr>
          <w:rFonts w:ascii="Bookman Old Style" w:hAnsi="Bookman Old Style"/>
        </w:rPr>
        <w:t>i</w:t>
      </w:r>
      <w:r w:rsidR="004D40FA">
        <w:rPr>
          <w:rFonts w:ascii="Bookman Old Style" w:hAnsi="Bookman Old Style"/>
        </w:rPr>
        <w:t>ción.</w:t>
      </w:r>
    </w:p>
    <w:p w:rsidR="00BA28B5" w:rsidRDefault="00BA28B5" w:rsidP="00C912C4">
      <w:pPr>
        <w:ind w:left="0"/>
        <w:jc w:val="both"/>
        <w:rPr>
          <w:rFonts w:ascii="Bookman Old Style" w:hAnsi="Bookman Old Style"/>
        </w:rPr>
      </w:pPr>
    </w:p>
    <w:p w:rsidR="00C97F91" w:rsidRDefault="00C97F91" w:rsidP="00C912C4">
      <w:pPr>
        <w:ind w:left="0"/>
        <w:jc w:val="both"/>
        <w:rPr>
          <w:rFonts w:ascii="Bookman Old Style" w:hAnsi="Bookman Old Style" w:cs="Arial"/>
          <w:lang w:val="es-ES_tradnl"/>
        </w:rPr>
      </w:pPr>
      <w:r>
        <w:rPr>
          <w:rFonts w:ascii="Bookman Old Style" w:hAnsi="Bookman Old Style" w:cs="Arial"/>
          <w:lang w:val="es-ES_tradnl"/>
        </w:rPr>
        <w:t>La vigencia de la Resolución CREG 138 de 2015 se inicia con la asignación aquí establecida, en razón a que la CREG está estudiando fórmulas para la modificación, es necesario aplazar el inicio de su vigencia.</w:t>
      </w:r>
    </w:p>
    <w:p w:rsidR="00C97F91" w:rsidRDefault="00C97F91" w:rsidP="00C912C4">
      <w:pPr>
        <w:ind w:left="0"/>
        <w:jc w:val="both"/>
        <w:rPr>
          <w:rFonts w:ascii="Bookman Old Style" w:hAnsi="Bookman Old Style" w:cs="Arial"/>
          <w:lang w:val="es-ES_tradnl"/>
        </w:rPr>
      </w:pPr>
    </w:p>
    <w:p w:rsidR="00D313FC" w:rsidRDefault="00ED20DF" w:rsidP="00C912C4">
      <w:pPr>
        <w:ind w:left="0"/>
        <w:jc w:val="both"/>
        <w:rPr>
          <w:rFonts w:ascii="Bookman Old Style" w:hAnsi="Bookman Old Style"/>
        </w:rPr>
      </w:pPr>
      <w:r w:rsidRPr="00ED20DF">
        <w:rPr>
          <w:rFonts w:ascii="Bookman Old Style" w:hAnsi="Bookman Old Style" w:cs="Arial"/>
          <w:lang w:val="es-ES_tradnl"/>
        </w:rPr>
        <w:t xml:space="preserve">De conformidad con lo establecido </w:t>
      </w:r>
      <w:r w:rsidRPr="00ED20DF">
        <w:rPr>
          <w:rFonts w:ascii="Arial" w:hAnsi="Arial" w:cs="Arial"/>
          <w:i/>
          <w:noProof/>
          <w:sz w:val="22"/>
        </w:rPr>
        <w:t xml:space="preserve"> </w:t>
      </w:r>
      <w:r w:rsidRPr="00ED20DF">
        <w:rPr>
          <w:rFonts w:ascii="Bookman Old Style" w:hAnsi="Bookman Old Style" w:cs="Arial"/>
        </w:rPr>
        <w:t>en el artículo 2.2.13.3.2 del</w:t>
      </w:r>
      <w:r w:rsidRPr="00ED20DF">
        <w:rPr>
          <w:rFonts w:ascii="Bookman Old Style" w:hAnsi="Bookman Old Style" w:cs="Arial"/>
          <w:lang w:val="es-ES_tradnl"/>
        </w:rPr>
        <w:t xml:space="preserve"> Decreto 1078 de 2015 “ Por el cual se expide el Decreto Único Reglamentario del Sector Tecnologías de la Información y las Comunicaciones” y el numeral </w:t>
      </w:r>
      <w:r>
        <w:rPr>
          <w:rFonts w:ascii="Bookman Old Style" w:hAnsi="Bookman Old Style" w:cs="Arial"/>
          <w:lang w:val="es-ES_tradnl"/>
        </w:rPr>
        <w:t>del artículo</w:t>
      </w:r>
      <w:r w:rsidRPr="00ED20DF">
        <w:rPr>
          <w:rFonts w:ascii="Bookman Old Style" w:hAnsi="Bookman Old Style" w:cs="Arial"/>
          <w:lang w:val="es-ES_tradnl"/>
        </w:rPr>
        <w:t xml:space="preserve"> del artículo </w:t>
      </w:r>
      <w:r>
        <w:rPr>
          <w:rFonts w:ascii="Bookman Old Style" w:hAnsi="Bookman Old Style" w:cs="Arial"/>
          <w:lang w:val="es-ES_tradnl"/>
        </w:rPr>
        <w:t>2</w:t>
      </w:r>
      <w:r w:rsidRPr="00ED20DF">
        <w:rPr>
          <w:rFonts w:ascii="Bookman Old Style" w:hAnsi="Bookman Old Style" w:cs="Arial"/>
          <w:lang w:val="es-ES_tradnl"/>
        </w:rPr>
        <w:t xml:space="preserve"> de la Resolución CREG 097 de 2004, la Comisión decidió por unanimidad no someter la presente Resolución a las disposiciones sobre publicidad de proyectos de regulación previstas en el citado Decreto, debido a la existencia de razones de conveniencia general y de oportunidad, toda vez que se requiere </w:t>
      </w:r>
      <w:r>
        <w:rPr>
          <w:rFonts w:ascii="Bookman Old Style" w:hAnsi="Bookman Old Style" w:cs="Arial"/>
          <w:lang w:val="es-ES_tradnl"/>
        </w:rPr>
        <w:t>contar con la asignación de Obligaciones de Energía Firme mencionadas</w:t>
      </w:r>
      <w:r w:rsidR="00E46DC7">
        <w:rPr>
          <w:rFonts w:ascii="Bookman Old Style" w:hAnsi="Bookman Old Style" w:cs="Arial"/>
          <w:lang w:val="es-ES_tradnl"/>
        </w:rPr>
        <w:t xml:space="preserve"> en este acto administrativo</w:t>
      </w:r>
      <w:r w:rsidR="00D313FC">
        <w:rPr>
          <w:rFonts w:ascii="Bookman Old Style" w:hAnsi="Bookman Old Style" w:cs="Arial"/>
          <w:lang w:val="es-ES_tradnl"/>
        </w:rPr>
        <w:t xml:space="preserve"> en aras de contar con un periodo de transición que genere</w:t>
      </w:r>
      <w:r w:rsidR="00A97007">
        <w:rPr>
          <w:rFonts w:ascii="Bookman Old Style" w:hAnsi="Bookman Old Style" w:cs="Arial"/>
          <w:lang w:val="es-ES_tradnl"/>
        </w:rPr>
        <w:t xml:space="preserve"> estabilidad y</w:t>
      </w:r>
      <w:r w:rsidR="00D313FC">
        <w:rPr>
          <w:rFonts w:ascii="Bookman Old Style" w:hAnsi="Bookman Old Style" w:cs="Arial"/>
          <w:lang w:val="es-ES_tradnl"/>
        </w:rPr>
        <w:t xml:space="preserve"> </w:t>
      </w:r>
      <w:r w:rsidR="00A97007">
        <w:rPr>
          <w:rFonts w:ascii="Bookman Old Style" w:hAnsi="Bookman Old Style" w:cs="Arial"/>
          <w:lang w:val="es-ES_tradnl"/>
        </w:rPr>
        <w:t xml:space="preserve">seguridad para atender la </w:t>
      </w:r>
      <w:r w:rsidR="00A97007" w:rsidRPr="00A97007">
        <w:rPr>
          <w:rFonts w:ascii="Bookman Old Style" w:hAnsi="Bookman Old Style"/>
        </w:rPr>
        <w:t>ocurrencia de circunstancias extraordinarias y sim</w:t>
      </w:r>
      <w:r w:rsidR="00A97007">
        <w:rPr>
          <w:rFonts w:ascii="Bookman Old Style" w:hAnsi="Bookman Old Style"/>
        </w:rPr>
        <w:t>ultáneas que afecta</w:t>
      </w:r>
      <w:r w:rsidR="00A97007" w:rsidRPr="00A97007">
        <w:rPr>
          <w:rFonts w:ascii="Bookman Old Style" w:hAnsi="Bookman Old Style"/>
        </w:rPr>
        <w:t>n la prestación del servicio</w:t>
      </w:r>
      <w:r w:rsidR="00A97007">
        <w:rPr>
          <w:rFonts w:ascii="Bookman Old Style" w:hAnsi="Bookman Old Style"/>
        </w:rPr>
        <w:t xml:space="preserve"> de enrgía</w:t>
      </w:r>
      <w:r w:rsidR="00A97007" w:rsidRPr="00A97007">
        <w:rPr>
          <w:rFonts w:ascii="Bookman Old Style" w:hAnsi="Bookman Old Style"/>
        </w:rPr>
        <w:t>.</w:t>
      </w:r>
    </w:p>
    <w:p w:rsidR="00A97007" w:rsidRDefault="00A97007" w:rsidP="00C912C4">
      <w:pPr>
        <w:ind w:left="0"/>
        <w:jc w:val="both"/>
        <w:rPr>
          <w:rFonts w:ascii="Bookman Old Style" w:hAnsi="Bookman Old Style"/>
        </w:rPr>
      </w:pPr>
    </w:p>
    <w:p w:rsidR="00C912C4" w:rsidRDefault="00C912C4" w:rsidP="00C912C4">
      <w:pPr>
        <w:ind w:left="0"/>
        <w:jc w:val="both"/>
        <w:rPr>
          <w:rFonts w:ascii="Bookman Old Style" w:hAnsi="Bookman Old Style"/>
        </w:rPr>
      </w:pPr>
      <w:r>
        <w:rPr>
          <w:rFonts w:ascii="Bookman Old Style" w:hAnsi="Bookman Old Style"/>
        </w:rPr>
        <w:t>No se informó este acto a la Superi</w:t>
      </w:r>
      <w:r w:rsidR="009F486C">
        <w:rPr>
          <w:rFonts w:ascii="Bookman Old Style" w:hAnsi="Bookman Old Style"/>
        </w:rPr>
        <w:t>n</w:t>
      </w:r>
      <w:r>
        <w:rPr>
          <w:rFonts w:ascii="Bookman Old Style" w:hAnsi="Bookman Old Style"/>
        </w:rPr>
        <w:t xml:space="preserve">tendencia de Industria y Comercio por cuanto se evaluó que no tiene incidencia sobre la libre competencia  según lo evaluado con el cuestionario del que trata el Decreto 2897 de 2010, el cual se incluye en el </w:t>
      </w:r>
      <w:r w:rsidRPr="003B187B">
        <w:rPr>
          <w:rFonts w:ascii="Bookman Old Style" w:hAnsi="Bookman Old Style"/>
        </w:rPr>
        <w:t xml:space="preserve">Documento CREG </w:t>
      </w:r>
      <w:r w:rsidR="00E77ECD">
        <w:rPr>
          <w:rFonts w:ascii="Bookman Old Style" w:hAnsi="Bookman Old Style"/>
        </w:rPr>
        <w:t>121</w:t>
      </w:r>
      <w:r>
        <w:rPr>
          <w:rFonts w:ascii="Bookman Old Style" w:hAnsi="Bookman Old Style"/>
        </w:rPr>
        <w:t xml:space="preserve"> de 201</w:t>
      </w:r>
      <w:r w:rsidR="009F486C">
        <w:rPr>
          <w:rFonts w:ascii="Bookman Old Style" w:hAnsi="Bookman Old Style"/>
        </w:rPr>
        <w:t>5</w:t>
      </w:r>
      <w:r w:rsidR="00EF24A4">
        <w:rPr>
          <w:rFonts w:ascii="Bookman Old Style" w:hAnsi="Bookman Old Style"/>
        </w:rPr>
        <w:t>.</w:t>
      </w:r>
      <w:r>
        <w:rPr>
          <w:rFonts w:ascii="Bookman Old Style" w:hAnsi="Bookman Old Style"/>
        </w:rPr>
        <w:t xml:space="preserve"> </w:t>
      </w:r>
    </w:p>
    <w:p w:rsidR="00C912C4" w:rsidRDefault="00C912C4" w:rsidP="004341E9">
      <w:pPr>
        <w:ind w:left="0"/>
        <w:jc w:val="both"/>
        <w:rPr>
          <w:rFonts w:ascii="Bookman Old Style" w:hAnsi="Bookman Old Style"/>
          <w:bCs/>
        </w:rPr>
      </w:pPr>
    </w:p>
    <w:p w:rsidR="009D4A5A" w:rsidRPr="003B187B" w:rsidRDefault="004341E9" w:rsidP="00E02EB9">
      <w:pPr>
        <w:widowControl w:val="0"/>
        <w:ind w:left="0"/>
        <w:jc w:val="both"/>
        <w:rPr>
          <w:rFonts w:ascii="Bookman Old Style" w:hAnsi="Bookman Old Style"/>
        </w:rPr>
      </w:pPr>
      <w:r w:rsidRPr="003C3499">
        <w:rPr>
          <w:rFonts w:ascii="Bookman Old Style" w:hAnsi="Bookman Old Style"/>
          <w:bCs/>
        </w:rPr>
        <w:t>La Comisión de Regulación de Energía y Gas, en su sesión</w:t>
      </w:r>
      <w:r>
        <w:rPr>
          <w:rFonts w:ascii="Bookman Old Style" w:hAnsi="Bookman Old Style"/>
          <w:bCs/>
        </w:rPr>
        <w:t xml:space="preserve"> </w:t>
      </w:r>
      <w:r w:rsidR="00E77ECD">
        <w:rPr>
          <w:rFonts w:ascii="Bookman Old Style" w:hAnsi="Bookman Old Style"/>
          <w:bCs/>
        </w:rPr>
        <w:t>683</w:t>
      </w:r>
      <w:r>
        <w:rPr>
          <w:rFonts w:ascii="Bookman Old Style" w:hAnsi="Bookman Old Style"/>
          <w:bCs/>
        </w:rPr>
        <w:t>,</w:t>
      </w:r>
      <w:r w:rsidRPr="003C3499">
        <w:rPr>
          <w:rFonts w:ascii="Bookman Old Style" w:hAnsi="Bookman Old Style"/>
          <w:bCs/>
        </w:rPr>
        <w:t xml:space="preserve"> de</w:t>
      </w:r>
      <w:r>
        <w:rPr>
          <w:rFonts w:ascii="Bookman Old Style" w:hAnsi="Bookman Old Style"/>
          <w:bCs/>
        </w:rPr>
        <w:t xml:space="preserve">l </w:t>
      </w:r>
      <w:r w:rsidR="00B4749A">
        <w:rPr>
          <w:rFonts w:ascii="Bookman Old Style" w:hAnsi="Bookman Old Style"/>
          <w:bCs/>
        </w:rPr>
        <w:t xml:space="preserve">26 y </w:t>
      </w:r>
      <w:r w:rsidR="00E77ECD">
        <w:rPr>
          <w:rFonts w:ascii="Bookman Old Style" w:hAnsi="Bookman Old Style"/>
          <w:bCs/>
        </w:rPr>
        <w:t>27</w:t>
      </w:r>
      <w:r>
        <w:rPr>
          <w:rFonts w:ascii="Bookman Old Style" w:hAnsi="Bookman Old Style"/>
          <w:bCs/>
        </w:rPr>
        <w:t xml:space="preserve"> de </w:t>
      </w:r>
      <w:r w:rsidR="00E77ECD">
        <w:rPr>
          <w:rFonts w:ascii="Bookman Old Style" w:hAnsi="Bookman Old Style"/>
          <w:bCs/>
        </w:rPr>
        <w:t>octubre de 2015</w:t>
      </w:r>
      <w:r w:rsidRPr="003C3499">
        <w:rPr>
          <w:rFonts w:ascii="Bookman Old Style" w:hAnsi="Bookman Old Style"/>
          <w:bCs/>
        </w:rPr>
        <w:t xml:space="preserve">, acordó expedir la presente resolución con el fin de adoptar las decisiones de que trata el artículo 18 y demás disposiciones de </w:t>
      </w:r>
      <w:r>
        <w:rPr>
          <w:rFonts w:ascii="Bookman Old Style" w:hAnsi="Bookman Old Style"/>
          <w:bCs/>
        </w:rPr>
        <w:t>la Resolución CREG 071 de 2006.</w:t>
      </w:r>
    </w:p>
    <w:p w:rsidR="009D4A5A" w:rsidRDefault="009D4A5A" w:rsidP="00E02EB9">
      <w:pPr>
        <w:pStyle w:val="Textoindependiente"/>
        <w:widowControl w:val="0"/>
        <w:jc w:val="both"/>
        <w:rPr>
          <w:rFonts w:ascii="Bookman Old Style" w:hAnsi="Bookman Old Style"/>
          <w:color w:val="000000"/>
        </w:rPr>
      </w:pPr>
    </w:p>
    <w:p w:rsidR="00E77ECD" w:rsidRDefault="00E77ECD" w:rsidP="00E02EB9">
      <w:pPr>
        <w:pStyle w:val="Textoindependiente"/>
        <w:widowControl w:val="0"/>
        <w:jc w:val="both"/>
        <w:rPr>
          <w:rFonts w:ascii="Bookman Old Style" w:hAnsi="Bookman Old Style"/>
          <w:color w:val="000000"/>
        </w:rPr>
      </w:pPr>
    </w:p>
    <w:p w:rsidR="00E77ECD" w:rsidRPr="003B187B" w:rsidRDefault="00E77ECD" w:rsidP="00E02EB9">
      <w:pPr>
        <w:pStyle w:val="Textoindependiente"/>
        <w:widowControl w:val="0"/>
        <w:jc w:val="both"/>
        <w:rPr>
          <w:rFonts w:ascii="Bookman Old Style" w:hAnsi="Bookman Old Style"/>
          <w:color w:val="000000"/>
        </w:rPr>
      </w:pPr>
    </w:p>
    <w:p w:rsidR="009D4A5A" w:rsidRDefault="009D4A5A" w:rsidP="00E02EB9">
      <w:pPr>
        <w:pStyle w:val="Textoindependiente"/>
        <w:widowControl w:val="0"/>
        <w:jc w:val="both"/>
        <w:rPr>
          <w:rFonts w:ascii="Bookman Old Style" w:hAnsi="Bookman Old Style"/>
          <w:color w:val="000000"/>
        </w:rPr>
      </w:pPr>
    </w:p>
    <w:p w:rsidR="00F420E6" w:rsidRDefault="009D4A5A" w:rsidP="00E02EB9">
      <w:pPr>
        <w:widowControl w:val="0"/>
        <w:ind w:left="0"/>
        <w:jc w:val="center"/>
        <w:rPr>
          <w:rFonts w:ascii="Bookman Old Style" w:hAnsi="Bookman Old Style"/>
          <w:b/>
        </w:rPr>
      </w:pPr>
      <w:r w:rsidRPr="003B187B">
        <w:rPr>
          <w:rFonts w:ascii="Bookman Old Style" w:hAnsi="Bookman Old Style"/>
          <w:b/>
        </w:rPr>
        <w:t>R E S U E L V E:</w:t>
      </w:r>
    </w:p>
    <w:p w:rsidR="004341E9" w:rsidRDefault="004341E9" w:rsidP="00E02EB9">
      <w:pPr>
        <w:widowControl w:val="0"/>
        <w:ind w:left="0"/>
        <w:jc w:val="center"/>
        <w:rPr>
          <w:rFonts w:ascii="Bookman Old Style" w:hAnsi="Bookman Old Style"/>
          <w:b/>
        </w:rPr>
      </w:pPr>
    </w:p>
    <w:p w:rsidR="002606F0" w:rsidRDefault="002606F0" w:rsidP="00E02EB9">
      <w:pPr>
        <w:widowControl w:val="0"/>
        <w:ind w:left="0"/>
        <w:jc w:val="center"/>
        <w:rPr>
          <w:rFonts w:ascii="Bookman Old Style" w:hAnsi="Bookman Old Style"/>
          <w:b/>
        </w:rPr>
      </w:pPr>
    </w:p>
    <w:p w:rsidR="004341E9" w:rsidRDefault="004341E9" w:rsidP="00E02EB9">
      <w:pPr>
        <w:pStyle w:val="Ttulo1"/>
        <w:keepNext w:val="0"/>
        <w:widowControl w:val="0"/>
        <w:ind w:left="0"/>
        <w:jc w:val="both"/>
        <w:rPr>
          <w:rFonts w:ascii="Bookman Old Style" w:hAnsi="Bookman Old Style"/>
          <w:b w:val="0"/>
        </w:rPr>
      </w:pPr>
      <w:r w:rsidRPr="003C3499">
        <w:rPr>
          <w:rFonts w:ascii="Bookman Old Style" w:hAnsi="Bookman Old Style"/>
        </w:rPr>
        <w:t>Artículo 1. Oportunidad para la Asignación de Obligaciones de Energía Firme, OEF, correspondientes a</w:t>
      </w:r>
      <w:r w:rsidR="009F486C">
        <w:rPr>
          <w:rFonts w:ascii="Bookman Old Style" w:hAnsi="Bookman Old Style"/>
        </w:rPr>
        <w:t xml:space="preserve"> </w:t>
      </w:r>
      <w:r w:rsidRPr="003C3499">
        <w:rPr>
          <w:rFonts w:ascii="Bookman Old Style" w:hAnsi="Bookman Old Style"/>
        </w:rPr>
        <w:t>l</w:t>
      </w:r>
      <w:r w:rsidR="009F486C">
        <w:rPr>
          <w:rFonts w:ascii="Bookman Old Style" w:hAnsi="Bookman Old Style"/>
        </w:rPr>
        <w:t>os</w:t>
      </w:r>
      <w:r w:rsidRPr="003C3499">
        <w:rPr>
          <w:rFonts w:ascii="Bookman Old Style" w:hAnsi="Bookman Old Style"/>
        </w:rPr>
        <w:t xml:space="preserve"> período</w:t>
      </w:r>
      <w:r w:rsidR="009F486C">
        <w:rPr>
          <w:rFonts w:ascii="Bookman Old Style" w:hAnsi="Bookman Old Style"/>
        </w:rPr>
        <w:t>s</w:t>
      </w:r>
      <w:r w:rsidRPr="003C3499">
        <w:rPr>
          <w:rFonts w:ascii="Bookman Old Style" w:hAnsi="Bookman Old Style"/>
        </w:rPr>
        <w:t xml:space="preserve"> 201</w:t>
      </w:r>
      <w:r w:rsidR="009F486C">
        <w:rPr>
          <w:rFonts w:ascii="Bookman Old Style" w:hAnsi="Bookman Old Style"/>
        </w:rPr>
        <w:t>6</w:t>
      </w:r>
      <w:r w:rsidRPr="003C3499">
        <w:rPr>
          <w:rFonts w:ascii="Bookman Old Style" w:hAnsi="Bookman Old Style"/>
        </w:rPr>
        <w:t>-201</w:t>
      </w:r>
      <w:r w:rsidR="009F486C">
        <w:rPr>
          <w:rFonts w:ascii="Bookman Old Style" w:hAnsi="Bookman Old Style"/>
        </w:rPr>
        <w:t>7, 2017-2018 y 2018-2019</w:t>
      </w:r>
      <w:r w:rsidRPr="003C3499">
        <w:rPr>
          <w:rFonts w:ascii="Bookman Old Style" w:hAnsi="Bookman Old Style"/>
        </w:rPr>
        <w:t xml:space="preserve">. </w:t>
      </w:r>
      <w:r w:rsidRPr="003C3499">
        <w:rPr>
          <w:rFonts w:ascii="Bookman Old Style" w:hAnsi="Bookman Old Style"/>
          <w:b w:val="0"/>
        </w:rPr>
        <w:t xml:space="preserve">El Administrador del Sistema de Intercambios Comerciales del Mercado de Energía Mayorista, ASIC, asignará las Obligaciones de Energía Firme, OEF, del Cargo por Confiabilidad para </w:t>
      </w:r>
      <w:r w:rsidR="009F486C">
        <w:rPr>
          <w:rFonts w:ascii="Bookman Old Style" w:hAnsi="Bookman Old Style"/>
          <w:b w:val="0"/>
        </w:rPr>
        <w:t xml:space="preserve">los </w:t>
      </w:r>
      <w:r w:rsidRPr="003C3499">
        <w:rPr>
          <w:rFonts w:ascii="Bookman Old Style" w:hAnsi="Bookman Old Style"/>
          <w:b w:val="0"/>
        </w:rPr>
        <w:t>período</w:t>
      </w:r>
      <w:r w:rsidR="009F486C">
        <w:rPr>
          <w:rFonts w:ascii="Bookman Old Style" w:hAnsi="Bookman Old Style"/>
          <w:b w:val="0"/>
        </w:rPr>
        <w:t>s</w:t>
      </w:r>
      <w:r w:rsidRPr="003C3499">
        <w:rPr>
          <w:rFonts w:ascii="Bookman Old Style" w:hAnsi="Bookman Old Style"/>
          <w:b w:val="0"/>
        </w:rPr>
        <w:t xml:space="preserve"> comprendido</w:t>
      </w:r>
      <w:r w:rsidR="00814C92">
        <w:rPr>
          <w:rFonts w:ascii="Bookman Old Style" w:hAnsi="Bookman Old Style"/>
          <w:b w:val="0"/>
        </w:rPr>
        <w:t>s</w:t>
      </w:r>
      <w:r w:rsidRPr="003C3499">
        <w:rPr>
          <w:rFonts w:ascii="Bookman Old Style" w:hAnsi="Bookman Old Style"/>
          <w:b w:val="0"/>
        </w:rPr>
        <w:t xml:space="preserve"> entre el diciembre </w:t>
      </w:r>
      <w:r w:rsidR="003C542C">
        <w:rPr>
          <w:rFonts w:ascii="Bookman Old Style" w:hAnsi="Bookman Old Style"/>
          <w:b w:val="0"/>
        </w:rPr>
        <w:t xml:space="preserve">1 </w:t>
      </w:r>
      <w:r w:rsidRPr="003C3499">
        <w:rPr>
          <w:rFonts w:ascii="Bookman Old Style" w:hAnsi="Bookman Old Style"/>
          <w:b w:val="0"/>
        </w:rPr>
        <w:t>de 201</w:t>
      </w:r>
      <w:r w:rsidR="003C542C">
        <w:rPr>
          <w:rFonts w:ascii="Bookman Old Style" w:hAnsi="Bookman Old Style"/>
          <w:b w:val="0"/>
        </w:rPr>
        <w:t>6</w:t>
      </w:r>
      <w:r w:rsidRPr="003C3499">
        <w:rPr>
          <w:rFonts w:ascii="Bookman Old Style" w:hAnsi="Bookman Old Style"/>
          <w:b w:val="0"/>
        </w:rPr>
        <w:t xml:space="preserve"> </w:t>
      </w:r>
      <w:r w:rsidR="003C542C">
        <w:rPr>
          <w:rFonts w:ascii="Bookman Old Style" w:hAnsi="Bookman Old Style"/>
          <w:b w:val="0"/>
        </w:rPr>
        <w:t xml:space="preserve">a </w:t>
      </w:r>
      <w:r w:rsidRPr="003C3499">
        <w:rPr>
          <w:rFonts w:ascii="Bookman Old Style" w:hAnsi="Bookman Old Style"/>
          <w:b w:val="0"/>
        </w:rPr>
        <w:t xml:space="preserve">noviembre </w:t>
      </w:r>
      <w:r w:rsidR="003C542C">
        <w:rPr>
          <w:rFonts w:ascii="Bookman Old Style" w:hAnsi="Bookman Old Style"/>
          <w:b w:val="0"/>
        </w:rPr>
        <w:t xml:space="preserve">30 </w:t>
      </w:r>
      <w:r w:rsidRPr="003C3499">
        <w:rPr>
          <w:rFonts w:ascii="Bookman Old Style" w:hAnsi="Bookman Old Style"/>
          <w:b w:val="0"/>
        </w:rPr>
        <w:t>de 201</w:t>
      </w:r>
      <w:r w:rsidR="003C542C">
        <w:rPr>
          <w:rFonts w:ascii="Bookman Old Style" w:hAnsi="Bookman Old Style"/>
          <w:b w:val="0"/>
        </w:rPr>
        <w:t>7</w:t>
      </w:r>
      <w:r w:rsidRPr="003C3499">
        <w:rPr>
          <w:rFonts w:ascii="Bookman Old Style" w:hAnsi="Bookman Old Style"/>
          <w:b w:val="0"/>
        </w:rPr>
        <w:t xml:space="preserve">, </w:t>
      </w:r>
      <w:r w:rsidR="003C542C">
        <w:rPr>
          <w:rFonts w:ascii="Bookman Old Style" w:hAnsi="Bookman Old Style"/>
          <w:b w:val="0"/>
        </w:rPr>
        <w:t xml:space="preserve">diciembre 1 de 2017 a noviembre 30 de 2018 y diciembre 1 de 2018 a noviembre 30 de 2019 </w:t>
      </w:r>
      <w:r w:rsidRPr="00F2180C">
        <w:rPr>
          <w:rFonts w:ascii="Bookman Old Style" w:hAnsi="Bookman Old Style"/>
          <w:b w:val="0"/>
        </w:rPr>
        <w:t>a quienes representen plantas existentes</w:t>
      </w:r>
      <w:r>
        <w:rPr>
          <w:rFonts w:ascii="Bookman Old Style" w:hAnsi="Bookman Old Style"/>
          <w:b w:val="0"/>
        </w:rPr>
        <w:t xml:space="preserve">, </w:t>
      </w:r>
      <w:r w:rsidRPr="003C3499">
        <w:rPr>
          <w:rFonts w:ascii="Bookman Old Style" w:hAnsi="Bookman Old Style"/>
          <w:b w:val="0"/>
        </w:rPr>
        <w:t>de acuerdo con el cronograma definido en el Anexo de la presente resolución. Esta asignación la hará el ASIC en la forma establecida en el artículo 25 de la Resolución CREG</w:t>
      </w:r>
      <w:r>
        <w:rPr>
          <w:rFonts w:ascii="Bookman Old Style" w:hAnsi="Bookman Old Style"/>
          <w:b w:val="0"/>
        </w:rPr>
        <w:t xml:space="preserve"> </w:t>
      </w:r>
      <w:r w:rsidRPr="003C3499">
        <w:rPr>
          <w:rFonts w:ascii="Bookman Old Style" w:hAnsi="Bookman Old Style"/>
          <w:b w:val="0"/>
        </w:rPr>
        <w:t>071 de 2006.</w:t>
      </w:r>
    </w:p>
    <w:p w:rsidR="001578EE" w:rsidRDefault="001578EE" w:rsidP="00E02EB9">
      <w:pPr>
        <w:pStyle w:val="Ttulo1"/>
        <w:keepNext w:val="0"/>
        <w:widowControl w:val="0"/>
        <w:tabs>
          <w:tab w:val="left" w:pos="0"/>
        </w:tabs>
        <w:ind w:left="0"/>
        <w:jc w:val="both"/>
        <w:rPr>
          <w:rFonts w:ascii="Bookman Old Style" w:hAnsi="Bookman Old Style"/>
        </w:rPr>
      </w:pPr>
    </w:p>
    <w:p w:rsidR="004341E9" w:rsidRDefault="004341E9" w:rsidP="00E02EB9">
      <w:pPr>
        <w:pStyle w:val="Ttulo1"/>
        <w:keepNext w:val="0"/>
        <w:widowControl w:val="0"/>
        <w:tabs>
          <w:tab w:val="left" w:pos="0"/>
        </w:tabs>
        <w:ind w:left="0"/>
        <w:jc w:val="both"/>
        <w:rPr>
          <w:rFonts w:ascii="Bookman Old Style" w:hAnsi="Bookman Old Style"/>
          <w:b w:val="0"/>
          <w:iCs/>
        </w:rPr>
      </w:pPr>
      <w:r w:rsidRPr="003C3499">
        <w:rPr>
          <w:rFonts w:ascii="Bookman Old Style" w:hAnsi="Bookman Old Style"/>
        </w:rPr>
        <w:t xml:space="preserve">Artículo 2. </w:t>
      </w:r>
      <w:r w:rsidRPr="003C3499">
        <w:rPr>
          <w:rFonts w:ascii="Bookman Old Style" w:hAnsi="Bookman Old Style"/>
          <w:iCs/>
        </w:rPr>
        <w:t xml:space="preserve">Escenario de proyección de demanda para efectos de determinar la Demanda Objetivo.  </w:t>
      </w:r>
      <w:r w:rsidRPr="003C3499">
        <w:rPr>
          <w:rFonts w:ascii="Bookman Old Style" w:hAnsi="Bookman Old Style"/>
          <w:b w:val="0"/>
          <w:iCs/>
        </w:rPr>
        <w:t xml:space="preserve">Para efectos de lo previsto en el </w:t>
      </w:r>
      <w:r w:rsidRPr="00EE40B9">
        <w:rPr>
          <w:rFonts w:ascii="Bookman Old Style" w:hAnsi="Bookman Old Style"/>
          <w:b w:val="0"/>
          <w:iCs/>
        </w:rPr>
        <w:t xml:space="preserve">Artículo </w:t>
      </w:r>
      <w:r w:rsidRPr="003C3499">
        <w:rPr>
          <w:rFonts w:ascii="Bookman Old Style" w:hAnsi="Bookman Old Style"/>
          <w:b w:val="0"/>
          <w:iCs/>
        </w:rPr>
        <w:t xml:space="preserve">1 de la presente Resolución, el escenario de proyección de demanda corresponderá al escenario de proyección alto definido por la Unidad de Planeación Minero Energética UPME- en </w:t>
      </w:r>
      <w:r w:rsidR="003C542C">
        <w:rPr>
          <w:rFonts w:ascii="Bookman Old Style" w:hAnsi="Bookman Old Style"/>
          <w:b w:val="0"/>
          <w:iCs/>
        </w:rPr>
        <w:t>octubre</w:t>
      </w:r>
      <w:r>
        <w:rPr>
          <w:rFonts w:ascii="Bookman Old Style" w:hAnsi="Bookman Old Style"/>
          <w:b w:val="0"/>
          <w:iCs/>
        </w:rPr>
        <w:t xml:space="preserve"> </w:t>
      </w:r>
      <w:r w:rsidRPr="003C3499">
        <w:rPr>
          <w:rFonts w:ascii="Bookman Old Style" w:hAnsi="Bookman Old Style"/>
          <w:b w:val="0"/>
          <w:iCs/>
        </w:rPr>
        <w:t>de 20</w:t>
      </w:r>
      <w:r w:rsidR="003C542C">
        <w:rPr>
          <w:rFonts w:ascii="Bookman Old Style" w:hAnsi="Bookman Old Style"/>
          <w:b w:val="0"/>
          <w:iCs/>
        </w:rPr>
        <w:t>15</w:t>
      </w:r>
      <w:r w:rsidRPr="003C3499">
        <w:rPr>
          <w:rFonts w:ascii="Bookman Old Style" w:hAnsi="Bookman Old Style"/>
          <w:b w:val="0"/>
          <w:iCs/>
        </w:rPr>
        <w:t>.</w:t>
      </w:r>
    </w:p>
    <w:p w:rsidR="002606F0" w:rsidRDefault="002606F0" w:rsidP="002606F0">
      <w:pPr>
        <w:rPr>
          <w:lang w:val="es-CO"/>
        </w:rPr>
      </w:pPr>
    </w:p>
    <w:p w:rsidR="004341E9" w:rsidRPr="003C3499" w:rsidRDefault="004341E9" w:rsidP="004341E9">
      <w:pPr>
        <w:pStyle w:val="Ttulo1"/>
        <w:ind w:left="0"/>
        <w:jc w:val="both"/>
        <w:rPr>
          <w:rFonts w:ascii="Bookman Old Style" w:hAnsi="Bookman Old Style"/>
          <w:b w:val="0"/>
          <w:iCs/>
        </w:rPr>
      </w:pPr>
      <w:r w:rsidRPr="003C3499">
        <w:rPr>
          <w:rFonts w:ascii="Bookman Old Style" w:hAnsi="Bookman Old Style"/>
        </w:rPr>
        <w:t xml:space="preserve">Artículo 3. </w:t>
      </w:r>
      <w:r w:rsidRPr="003C3499">
        <w:rPr>
          <w:rFonts w:ascii="Bookman Old Style" w:hAnsi="Bookman Old Style"/>
          <w:iCs/>
        </w:rPr>
        <w:t xml:space="preserve">Demanda Objetivo. </w:t>
      </w:r>
      <w:r w:rsidRPr="003C3499">
        <w:rPr>
          <w:rFonts w:ascii="Bookman Old Style" w:hAnsi="Bookman Old Style"/>
          <w:b w:val="0"/>
          <w:iCs/>
        </w:rPr>
        <w:t xml:space="preserve">Para la asignación de la Obligaciones de Energía Firme de que trata la presente Resolución, la Demanda Objetivo para cada uno de los meses comprendidos entre Diciembre </w:t>
      </w:r>
      <w:r w:rsidR="00C86494">
        <w:rPr>
          <w:rFonts w:ascii="Bookman Old Style" w:hAnsi="Bookman Old Style"/>
          <w:b w:val="0"/>
          <w:iCs/>
        </w:rPr>
        <w:t xml:space="preserve"> de 2016 a Noviembre 30 de 2017, Diciembre de 2017 a Noviembre de 2018 y Diciembre de 2018 a Noviembre de 2019 </w:t>
      </w:r>
      <w:r w:rsidRPr="003C3499">
        <w:rPr>
          <w:rFonts w:ascii="Bookman Old Style" w:hAnsi="Bookman Old Style"/>
          <w:b w:val="0"/>
          <w:iCs/>
        </w:rPr>
        <w:t>será la que se especifica en la siguiente tabla.</w:t>
      </w:r>
    </w:p>
    <w:p w:rsidR="004341E9" w:rsidRDefault="004341E9" w:rsidP="004341E9">
      <w:pPr>
        <w:pStyle w:val="Ttulo1"/>
        <w:tabs>
          <w:tab w:val="left" w:pos="0"/>
        </w:tabs>
        <w:ind w:left="0"/>
        <w:jc w:val="both"/>
        <w:rPr>
          <w:rFonts w:ascii="Bookman Old Style" w:hAnsi="Bookman Old Style"/>
        </w:rPr>
      </w:pPr>
    </w:p>
    <w:p w:rsidR="00C86494" w:rsidRDefault="000D24B4" w:rsidP="00C86494">
      <w:pPr>
        <w:ind w:left="0"/>
        <w:jc w:val="center"/>
        <w:rPr>
          <w:lang w:val="es-CO"/>
        </w:rPr>
      </w:pPr>
      <w:r w:rsidRPr="000D24B4">
        <w:rPr>
          <w:noProof/>
          <w:lang w:val="es-CO" w:eastAsia="es-CO"/>
        </w:rPr>
        <w:drawing>
          <wp:inline distT="0" distB="0" distL="0" distR="0" wp14:anchorId="28F94476" wp14:editId="7DC41CDC">
            <wp:extent cx="4581525" cy="2800350"/>
            <wp:effectExtent l="0" t="0" r="9525"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581525" cy="2800350"/>
                    </a:xfrm>
                    <a:prstGeom prst="rect">
                      <a:avLst/>
                    </a:prstGeom>
                    <a:noFill/>
                    <a:ln>
                      <a:noFill/>
                    </a:ln>
                  </pic:spPr>
                </pic:pic>
              </a:graphicData>
            </a:graphic>
          </wp:inline>
        </w:drawing>
      </w:r>
    </w:p>
    <w:p w:rsidR="00C86494" w:rsidRDefault="00C86494" w:rsidP="00C86494">
      <w:pPr>
        <w:rPr>
          <w:lang w:val="es-CO"/>
        </w:rPr>
      </w:pPr>
    </w:p>
    <w:p w:rsidR="004341E9" w:rsidRPr="00F2180C" w:rsidRDefault="004341E9" w:rsidP="004341E9">
      <w:pPr>
        <w:pStyle w:val="Ttulo1"/>
        <w:tabs>
          <w:tab w:val="left" w:pos="0"/>
        </w:tabs>
        <w:ind w:left="0"/>
        <w:jc w:val="both"/>
        <w:rPr>
          <w:rFonts w:ascii="Bookman Old Style" w:hAnsi="Bookman Old Style"/>
          <w:b w:val="0"/>
        </w:rPr>
      </w:pPr>
      <w:r w:rsidRPr="003C3499">
        <w:rPr>
          <w:rFonts w:ascii="Bookman Old Style" w:hAnsi="Bookman Old Style"/>
        </w:rPr>
        <w:lastRenderedPageBreak/>
        <w:t xml:space="preserve">Artículo 4. Cronograma para la asignación de Obligaciones de Energía Firme. </w:t>
      </w:r>
      <w:r w:rsidRPr="00F2180C">
        <w:rPr>
          <w:rFonts w:ascii="Bookman Old Style" w:hAnsi="Bookman Old Style"/>
          <w:b w:val="0"/>
        </w:rPr>
        <w:t xml:space="preserve">La asignación de Obligaciones de Energía Firme a quienes representen plantas existentes para la vigencia comprendida entre </w:t>
      </w:r>
      <w:r w:rsidR="00703B29" w:rsidRPr="003C3499">
        <w:rPr>
          <w:rFonts w:ascii="Bookman Old Style" w:hAnsi="Bookman Old Style"/>
          <w:b w:val="0"/>
          <w:iCs/>
        </w:rPr>
        <w:t xml:space="preserve">Diciembre </w:t>
      </w:r>
      <w:r w:rsidR="00703B29">
        <w:rPr>
          <w:rFonts w:ascii="Bookman Old Style" w:hAnsi="Bookman Old Style"/>
          <w:b w:val="0"/>
          <w:iCs/>
        </w:rPr>
        <w:t>1 de 2016 a Noviembre 30 de 2017, Diciembre</w:t>
      </w:r>
      <w:r w:rsidR="00FB2A88">
        <w:rPr>
          <w:rFonts w:ascii="Bookman Old Style" w:hAnsi="Bookman Old Style"/>
          <w:b w:val="0"/>
          <w:iCs/>
        </w:rPr>
        <w:t xml:space="preserve"> 1</w:t>
      </w:r>
      <w:r w:rsidR="00703B29">
        <w:rPr>
          <w:rFonts w:ascii="Bookman Old Style" w:hAnsi="Bookman Old Style"/>
          <w:b w:val="0"/>
          <w:iCs/>
        </w:rPr>
        <w:t xml:space="preserve"> de 2017 a Noviembre</w:t>
      </w:r>
      <w:r w:rsidR="00FB2A88">
        <w:rPr>
          <w:rFonts w:ascii="Bookman Old Style" w:hAnsi="Bookman Old Style"/>
          <w:b w:val="0"/>
          <w:iCs/>
        </w:rPr>
        <w:t xml:space="preserve"> 30</w:t>
      </w:r>
      <w:r w:rsidR="00703B29">
        <w:rPr>
          <w:rFonts w:ascii="Bookman Old Style" w:hAnsi="Bookman Old Style"/>
          <w:b w:val="0"/>
          <w:iCs/>
        </w:rPr>
        <w:t xml:space="preserve"> de 2018 y Diciembre</w:t>
      </w:r>
      <w:r w:rsidR="00152654">
        <w:rPr>
          <w:rFonts w:ascii="Bookman Old Style" w:hAnsi="Bookman Old Style"/>
          <w:b w:val="0"/>
          <w:iCs/>
        </w:rPr>
        <w:t xml:space="preserve"> 1</w:t>
      </w:r>
      <w:r w:rsidR="00703B29">
        <w:rPr>
          <w:rFonts w:ascii="Bookman Old Style" w:hAnsi="Bookman Old Style"/>
          <w:b w:val="0"/>
          <w:iCs/>
        </w:rPr>
        <w:t xml:space="preserve"> de 2018 a Noviembre</w:t>
      </w:r>
      <w:r w:rsidR="00152654">
        <w:rPr>
          <w:rFonts w:ascii="Bookman Old Style" w:hAnsi="Bookman Old Style"/>
          <w:b w:val="0"/>
          <w:iCs/>
        </w:rPr>
        <w:t xml:space="preserve"> 30</w:t>
      </w:r>
      <w:r w:rsidR="00703B29">
        <w:rPr>
          <w:rFonts w:ascii="Bookman Old Style" w:hAnsi="Bookman Old Style"/>
          <w:b w:val="0"/>
          <w:iCs/>
        </w:rPr>
        <w:t xml:space="preserve"> de 2019</w:t>
      </w:r>
      <w:r w:rsidRPr="00F2180C">
        <w:rPr>
          <w:rFonts w:ascii="Bookman Old Style" w:hAnsi="Bookman Old Style"/>
          <w:b w:val="0"/>
        </w:rPr>
        <w:t>, será de conformidad con el cronograma definido en el Anexo de esta Resolución.</w:t>
      </w:r>
      <w:r>
        <w:rPr>
          <w:rFonts w:ascii="Bookman Old Style" w:hAnsi="Bookman Old Style"/>
          <w:b w:val="0"/>
        </w:rPr>
        <w:t xml:space="preserve"> </w:t>
      </w:r>
    </w:p>
    <w:p w:rsidR="004341E9" w:rsidRPr="003C3499" w:rsidRDefault="004341E9" w:rsidP="004341E9">
      <w:pPr>
        <w:rPr>
          <w:rFonts w:ascii="Bookman Old Style" w:hAnsi="Bookman Old Style" w:cs="Arial"/>
          <w:b/>
        </w:rPr>
      </w:pPr>
    </w:p>
    <w:p w:rsidR="004341E9" w:rsidRDefault="004341E9" w:rsidP="004341E9">
      <w:pPr>
        <w:ind w:left="0"/>
        <w:jc w:val="both"/>
        <w:rPr>
          <w:rFonts w:ascii="Bookman Old Style" w:hAnsi="Bookman Old Style" w:cs="Arial"/>
          <w:lang w:eastAsia="ar-SA"/>
        </w:rPr>
      </w:pPr>
      <w:r w:rsidRPr="003C3499">
        <w:rPr>
          <w:rFonts w:ascii="Bookman Old Style" w:hAnsi="Bookman Old Style" w:cs="Arial"/>
          <w:b/>
          <w:bCs/>
        </w:rPr>
        <w:t xml:space="preserve">Parágrafo. </w:t>
      </w:r>
      <w:r w:rsidRPr="003C3499">
        <w:rPr>
          <w:rFonts w:ascii="Bookman Old Style" w:hAnsi="Bookman Old Style" w:cs="Arial"/>
          <w:lang w:eastAsia="ar-SA"/>
        </w:rPr>
        <w:t>Los plazos establecidos en el Anexo de la presente Resolución vencerán a las 17:00 horas del respectivo día, según la Hora Legal para Colombia. Los agentes que no cumplan los plazos establecidos en estos anexos no serán considerados en la asignación de Obligaciones de Energía Firme.</w:t>
      </w:r>
    </w:p>
    <w:p w:rsidR="004341E9" w:rsidRDefault="004341E9" w:rsidP="00D63D2B">
      <w:pPr>
        <w:ind w:left="0"/>
        <w:rPr>
          <w:rFonts w:ascii="Bookman Old Style" w:hAnsi="Bookman Old Style" w:cs="Arial"/>
          <w:lang w:eastAsia="ar-SA"/>
        </w:rPr>
      </w:pPr>
    </w:p>
    <w:p w:rsidR="001401C9" w:rsidRDefault="0022375C" w:rsidP="0022375C">
      <w:pPr>
        <w:ind w:left="0"/>
        <w:jc w:val="both"/>
        <w:rPr>
          <w:rFonts w:ascii="Bookman Old Style" w:hAnsi="Bookman Old Style"/>
        </w:rPr>
      </w:pPr>
      <w:r w:rsidRPr="0022375C">
        <w:rPr>
          <w:rFonts w:ascii="Bookman Old Style" w:hAnsi="Bookman Old Style"/>
          <w:b/>
        </w:rPr>
        <w:t>Artículo 5. Opción para la entrega de contratos de combustibles líquidos</w:t>
      </w:r>
      <w:r w:rsidR="001401C9">
        <w:rPr>
          <w:rFonts w:ascii="Bookman Old Style" w:hAnsi="Bookman Old Style"/>
          <w:b/>
        </w:rPr>
        <w:t>, contratos de servicios con terceros</w:t>
      </w:r>
      <w:r w:rsidRPr="0022375C">
        <w:rPr>
          <w:rFonts w:ascii="Bookman Old Style" w:hAnsi="Bookman Old Style"/>
          <w:b/>
        </w:rPr>
        <w:t xml:space="preserve"> y documento de logística para respaldar las OEF del período 2016-2017</w:t>
      </w:r>
      <w:r w:rsidR="005D4957">
        <w:rPr>
          <w:rFonts w:ascii="Bookman Old Style" w:hAnsi="Bookman Old Style"/>
          <w:b/>
        </w:rPr>
        <w:t xml:space="preserve">, </w:t>
      </w:r>
      <w:r w:rsidRPr="0022375C">
        <w:rPr>
          <w:rFonts w:ascii="Bookman Old Style" w:hAnsi="Bookman Old Style"/>
          <w:b/>
        </w:rPr>
        <w:t>2017-2018</w:t>
      </w:r>
      <w:r w:rsidR="005D4957">
        <w:rPr>
          <w:rFonts w:ascii="Bookman Old Style" w:hAnsi="Bookman Old Style"/>
          <w:b/>
        </w:rPr>
        <w:t xml:space="preserve"> y 2018-2019</w:t>
      </w:r>
      <w:r w:rsidRPr="0022375C">
        <w:rPr>
          <w:rFonts w:ascii="Bookman Old Style" w:hAnsi="Bookman Old Style"/>
          <w:b/>
        </w:rPr>
        <w:t>.</w:t>
      </w:r>
      <w:r w:rsidRPr="003C3499">
        <w:rPr>
          <w:rFonts w:ascii="Bookman Old Style" w:hAnsi="Bookman Old Style"/>
        </w:rPr>
        <w:t xml:space="preserve"> </w:t>
      </w:r>
      <w:r>
        <w:rPr>
          <w:rFonts w:ascii="Bookman Old Style" w:hAnsi="Bookman Old Style"/>
        </w:rPr>
        <w:t>Los agentes generadores con plantas y/o unidades de generación térmica que se acogieron a la opción ii) del artículo 13 de la Resolución CREG 085 de 2007 para cubrir las Obligaciones de Energía Firme de los períodos diciembre 1 de 2016 a noviembre 30 de 2017 y diciembre 1 de 2017 a noviembre 30 de 2018 y que deben entregar el contrato de combustible, los contratos de servicios de terceros y el documento de logística de abastecimiento con al menos dos (2) años del Inicio del Período de Vigencia de la Obligación de Energía Firme, podrán optar por entregar estos documentos con al menos nueva (9) meses de antelación del Inicio del Período de Vigencia de la Obligación de Energía Firme del período 2016-2017 y d</w:t>
      </w:r>
      <w:r w:rsidR="001401C9">
        <w:rPr>
          <w:rFonts w:ascii="Bookman Old Style" w:hAnsi="Bookman Old Style"/>
        </w:rPr>
        <w:t xml:space="preserve">oce </w:t>
      </w:r>
      <w:r>
        <w:rPr>
          <w:rFonts w:ascii="Bookman Old Style" w:hAnsi="Bookman Old Style"/>
        </w:rPr>
        <w:t>(1</w:t>
      </w:r>
      <w:r w:rsidR="001401C9">
        <w:rPr>
          <w:rFonts w:ascii="Bookman Old Style" w:hAnsi="Bookman Old Style"/>
        </w:rPr>
        <w:t>2</w:t>
      </w:r>
      <w:r>
        <w:rPr>
          <w:rFonts w:ascii="Bookman Old Style" w:hAnsi="Bookman Old Style"/>
        </w:rPr>
        <w:t>)</w:t>
      </w:r>
      <w:r w:rsidR="001401C9">
        <w:rPr>
          <w:rFonts w:ascii="Bookman Old Style" w:hAnsi="Bookman Old Style"/>
        </w:rPr>
        <w:t xml:space="preserve"> meses de antelación del Inicio del Período de Vigencia de la Obligación de Energía Firme del período 2017-2018.</w:t>
      </w:r>
    </w:p>
    <w:p w:rsidR="001401C9" w:rsidRDefault="001401C9" w:rsidP="0022375C">
      <w:pPr>
        <w:ind w:left="0"/>
        <w:jc w:val="both"/>
        <w:rPr>
          <w:rFonts w:ascii="Bookman Old Style" w:hAnsi="Bookman Old Style"/>
        </w:rPr>
      </w:pPr>
    </w:p>
    <w:p w:rsidR="0022375C" w:rsidRDefault="001401C9" w:rsidP="0022375C">
      <w:pPr>
        <w:ind w:left="0"/>
        <w:jc w:val="both"/>
        <w:rPr>
          <w:rFonts w:ascii="Bookman Old Style" w:hAnsi="Bookman Old Style" w:cs="Arial"/>
          <w:lang w:eastAsia="ar-SA"/>
        </w:rPr>
      </w:pPr>
      <w:r>
        <w:rPr>
          <w:rFonts w:ascii="Bookman Old Style" w:hAnsi="Bookman Old Style"/>
        </w:rPr>
        <w:t>Para el período 2018-2019 la opción para la entrega de los contratos de combustibles líquidos, contratos de servicios con terceros y documento de logística se aplican las normas según lo definido en el artículo 13 de la Resolución CREG 085 de 2007.</w:t>
      </w:r>
      <w:r w:rsidR="0022375C">
        <w:rPr>
          <w:rFonts w:ascii="Bookman Old Style" w:hAnsi="Bookman Old Style"/>
        </w:rPr>
        <w:t xml:space="preserve">  </w:t>
      </w:r>
    </w:p>
    <w:p w:rsidR="00D63D2B" w:rsidRDefault="00D63D2B" w:rsidP="00D63D2B">
      <w:pPr>
        <w:ind w:left="0"/>
        <w:rPr>
          <w:rFonts w:ascii="Bookman Old Style" w:hAnsi="Bookman Old Style" w:cs="Arial"/>
          <w:b/>
          <w:lang w:eastAsia="ar-SA"/>
        </w:rPr>
      </w:pPr>
    </w:p>
    <w:p w:rsidR="001401C9" w:rsidRDefault="001401C9" w:rsidP="001401C9">
      <w:pPr>
        <w:ind w:left="0"/>
        <w:jc w:val="both"/>
        <w:rPr>
          <w:rFonts w:ascii="Bookman Old Style" w:hAnsi="Bookman Old Style" w:cs="Arial"/>
          <w:lang w:eastAsia="ar-SA"/>
        </w:rPr>
      </w:pPr>
      <w:r>
        <w:rPr>
          <w:rFonts w:ascii="Bookman Old Style" w:hAnsi="Bookman Old Style" w:cs="Arial"/>
          <w:b/>
          <w:lang w:eastAsia="ar-SA"/>
        </w:rPr>
        <w:t>Artículo 6. Fecha de finalización del proceso de auditoría definido en el artículo 4 de la Resolución CREG 181 de 2010 para los contratos y documentos de logística del período 2016-2017</w:t>
      </w:r>
      <w:r w:rsidR="005D4957">
        <w:rPr>
          <w:rFonts w:ascii="Bookman Old Style" w:hAnsi="Bookman Old Style" w:cs="Arial"/>
          <w:b/>
          <w:lang w:eastAsia="ar-SA"/>
        </w:rPr>
        <w:t xml:space="preserve">, </w:t>
      </w:r>
      <w:r>
        <w:rPr>
          <w:rFonts w:ascii="Bookman Old Style" w:hAnsi="Bookman Old Style" w:cs="Arial"/>
          <w:b/>
          <w:lang w:eastAsia="ar-SA"/>
        </w:rPr>
        <w:t>2017-2018</w:t>
      </w:r>
      <w:r w:rsidR="005D4957">
        <w:rPr>
          <w:rFonts w:ascii="Bookman Old Style" w:hAnsi="Bookman Old Style" w:cs="Arial"/>
          <w:b/>
          <w:lang w:eastAsia="ar-SA"/>
        </w:rPr>
        <w:t xml:space="preserve"> y 2018-2019</w:t>
      </w:r>
      <w:r>
        <w:rPr>
          <w:rFonts w:ascii="Bookman Old Style" w:hAnsi="Bookman Old Style" w:cs="Arial"/>
          <w:b/>
          <w:lang w:eastAsia="ar-SA"/>
        </w:rPr>
        <w:t>.</w:t>
      </w:r>
      <w:r>
        <w:rPr>
          <w:rFonts w:ascii="Bookman Old Style" w:hAnsi="Bookman Old Style" w:cs="Arial"/>
          <w:lang w:eastAsia="ar-SA"/>
        </w:rPr>
        <w:t xml:space="preserve"> El proceso de auditoría definido en el artículo 4 de la Resolución CREG 181 de 2010 para los contratos y documentos de logística de combustibles líquidos entregados para </w:t>
      </w:r>
      <w:r w:rsidR="005D4957">
        <w:rPr>
          <w:rFonts w:ascii="Bookman Old Style" w:hAnsi="Bookman Old Style" w:cs="Arial"/>
          <w:lang w:eastAsia="ar-SA"/>
        </w:rPr>
        <w:t xml:space="preserve">el </w:t>
      </w:r>
      <w:r>
        <w:rPr>
          <w:rFonts w:ascii="Bookman Old Style" w:hAnsi="Bookman Old Style" w:cs="Arial"/>
          <w:lang w:eastAsia="ar-SA"/>
        </w:rPr>
        <w:t xml:space="preserve">período 2016-2017 deberá finalizar a más tardar seis (6) meses antes del Inicio del Período de Vigencia de la Obligación de dicho período y </w:t>
      </w:r>
      <w:r w:rsidR="005D4957">
        <w:rPr>
          <w:rFonts w:ascii="Bookman Old Style" w:hAnsi="Bookman Old Style" w:cs="Arial"/>
          <w:lang w:eastAsia="ar-SA"/>
        </w:rPr>
        <w:t>para el período 2017-2018 deberá finalizar nueve (9) meses antes del Inicio del Período de Vigencia de la Obligación de dicho período.</w:t>
      </w:r>
    </w:p>
    <w:p w:rsidR="005D4957" w:rsidRDefault="005D4957" w:rsidP="001401C9">
      <w:pPr>
        <w:ind w:left="0"/>
        <w:jc w:val="both"/>
        <w:rPr>
          <w:rFonts w:ascii="Bookman Old Style" w:hAnsi="Bookman Old Style" w:cs="Arial"/>
          <w:lang w:eastAsia="ar-SA"/>
        </w:rPr>
      </w:pPr>
    </w:p>
    <w:p w:rsidR="003856AB" w:rsidRDefault="005D4957" w:rsidP="005D4957">
      <w:pPr>
        <w:ind w:left="0"/>
        <w:jc w:val="both"/>
        <w:rPr>
          <w:rFonts w:ascii="Bookman Old Style" w:hAnsi="Bookman Old Style"/>
        </w:rPr>
      </w:pPr>
      <w:r>
        <w:rPr>
          <w:rFonts w:ascii="Bookman Old Style" w:hAnsi="Bookman Old Style"/>
        </w:rPr>
        <w:t xml:space="preserve">Para el período 2018-2019 la finalización de la auditoría será según lo definido el artículo 4 de la Resolución CREG 181 de 2010. </w:t>
      </w:r>
    </w:p>
    <w:p w:rsidR="003856AB" w:rsidRDefault="003856AB" w:rsidP="005D4957">
      <w:pPr>
        <w:ind w:left="0"/>
        <w:jc w:val="both"/>
        <w:rPr>
          <w:rFonts w:ascii="Bookman Old Style" w:hAnsi="Bookman Old Style"/>
        </w:rPr>
      </w:pPr>
    </w:p>
    <w:p w:rsidR="003856AB" w:rsidRDefault="003856AB" w:rsidP="005D4957">
      <w:pPr>
        <w:ind w:left="0"/>
        <w:jc w:val="both"/>
        <w:rPr>
          <w:rFonts w:ascii="Bookman Old Style" w:hAnsi="Bookman Old Style"/>
        </w:rPr>
      </w:pPr>
      <w:r w:rsidRPr="004F1430">
        <w:rPr>
          <w:rFonts w:ascii="Bookman Old Style" w:hAnsi="Bookman Old Style"/>
          <w:b/>
        </w:rPr>
        <w:t>Artículo 7. Modificar el artículo 8 de la Resolución CREG 138 de 2015.</w:t>
      </w:r>
      <w:r>
        <w:rPr>
          <w:rFonts w:ascii="Bookman Old Style" w:hAnsi="Bookman Old Style"/>
        </w:rPr>
        <w:t xml:space="preserve"> El artículo 8 de la Resolución CREG 138 de 2015 quedará así:</w:t>
      </w:r>
    </w:p>
    <w:p w:rsidR="003856AB" w:rsidRDefault="003856AB" w:rsidP="005D4957">
      <w:pPr>
        <w:ind w:left="0"/>
        <w:jc w:val="both"/>
        <w:rPr>
          <w:rFonts w:ascii="Bookman Old Style" w:hAnsi="Bookman Old Style"/>
        </w:rPr>
      </w:pPr>
    </w:p>
    <w:p w:rsidR="003856AB" w:rsidRDefault="003856AB" w:rsidP="005D4957">
      <w:pPr>
        <w:ind w:left="0"/>
        <w:jc w:val="both"/>
        <w:rPr>
          <w:rFonts w:ascii="Bookman Old Style" w:hAnsi="Bookman Old Style"/>
        </w:rPr>
      </w:pPr>
      <w:r>
        <w:rPr>
          <w:rFonts w:ascii="Bookman Old Style" w:hAnsi="Bookman Old Style"/>
        </w:rPr>
        <w:lastRenderedPageBreak/>
        <w:t>Esta Resolución rige con posterioridad a seis (6) meses en que se realice la próxima asignación de Obligaciones de Energía Firme, previa su publicación en el Diario Oficial</w:t>
      </w:r>
      <w:r w:rsidR="004F1430">
        <w:rPr>
          <w:rFonts w:ascii="Bookman Old Style" w:hAnsi="Bookman Old Style"/>
        </w:rPr>
        <w:t>.</w:t>
      </w:r>
      <w:r>
        <w:rPr>
          <w:rFonts w:ascii="Bookman Old Style" w:hAnsi="Bookman Old Style"/>
        </w:rPr>
        <w:t xml:space="preserve"> </w:t>
      </w:r>
    </w:p>
    <w:p w:rsidR="001401C9" w:rsidRDefault="005D4957" w:rsidP="00E77ECD">
      <w:pPr>
        <w:ind w:left="0"/>
        <w:jc w:val="both"/>
        <w:rPr>
          <w:rFonts w:ascii="Bookman Old Style" w:hAnsi="Bookman Old Style"/>
        </w:rPr>
      </w:pPr>
      <w:r>
        <w:rPr>
          <w:rFonts w:ascii="Bookman Old Style" w:hAnsi="Bookman Old Style"/>
        </w:rPr>
        <w:t xml:space="preserve"> </w:t>
      </w:r>
    </w:p>
    <w:p w:rsidR="004341E9" w:rsidRPr="00F2180C" w:rsidRDefault="004341E9" w:rsidP="004341E9">
      <w:pPr>
        <w:pStyle w:val="Ttulo1"/>
        <w:ind w:left="0"/>
        <w:jc w:val="both"/>
        <w:rPr>
          <w:rFonts w:ascii="Bookman Old Style" w:hAnsi="Bookman Old Style"/>
          <w:b w:val="0"/>
        </w:rPr>
      </w:pPr>
      <w:r w:rsidRPr="003C3499">
        <w:rPr>
          <w:rFonts w:ascii="Bookman Old Style" w:hAnsi="Bookman Old Style"/>
        </w:rPr>
        <w:t xml:space="preserve">Artículo </w:t>
      </w:r>
      <w:r w:rsidR="003856AB">
        <w:rPr>
          <w:rFonts w:ascii="Bookman Old Style" w:hAnsi="Bookman Old Style"/>
        </w:rPr>
        <w:t>8</w:t>
      </w:r>
      <w:r w:rsidRPr="003C3499">
        <w:rPr>
          <w:rFonts w:ascii="Bookman Old Style" w:hAnsi="Bookman Old Style"/>
        </w:rPr>
        <w:t xml:space="preserve">. Vigencia. </w:t>
      </w:r>
      <w:r w:rsidRPr="00F2180C">
        <w:rPr>
          <w:rFonts w:ascii="Bookman Old Style" w:hAnsi="Bookman Old Style"/>
          <w:b w:val="0"/>
        </w:rPr>
        <w:t>Esta Resolución rige a partir de la fecha de su publicación en el Diario Oficial.</w:t>
      </w:r>
    </w:p>
    <w:p w:rsidR="003B187B" w:rsidRPr="004341E9" w:rsidRDefault="003B187B" w:rsidP="009D4A5A">
      <w:pPr>
        <w:ind w:left="0"/>
        <w:jc w:val="both"/>
        <w:rPr>
          <w:rFonts w:ascii="Bookman Old Style" w:hAnsi="Bookman Old Style" w:cs="Arial"/>
          <w:lang w:val="es-CO"/>
        </w:rPr>
      </w:pPr>
    </w:p>
    <w:p w:rsidR="008F2F9F" w:rsidRDefault="008F2F9F" w:rsidP="009D4A5A">
      <w:pPr>
        <w:ind w:left="0"/>
        <w:jc w:val="both"/>
        <w:rPr>
          <w:rFonts w:ascii="Bookman Old Style" w:hAnsi="Bookman Old Style" w:cs="Arial"/>
          <w:b/>
          <w:bCs/>
          <w:color w:val="000000"/>
          <w:szCs w:val="27"/>
        </w:rPr>
      </w:pPr>
    </w:p>
    <w:p w:rsidR="002606F0" w:rsidRPr="003B187B" w:rsidRDefault="002606F0" w:rsidP="009D4A5A">
      <w:pPr>
        <w:ind w:left="0"/>
        <w:jc w:val="both"/>
        <w:rPr>
          <w:rFonts w:ascii="Bookman Old Style" w:hAnsi="Bookman Old Style" w:cs="Arial"/>
          <w:b/>
          <w:bCs/>
          <w:color w:val="000000"/>
          <w:szCs w:val="27"/>
        </w:rPr>
      </w:pPr>
    </w:p>
    <w:p w:rsidR="009D4A5A" w:rsidRPr="003B187B" w:rsidRDefault="009D4A5A" w:rsidP="009D4A5A">
      <w:pPr>
        <w:ind w:left="0"/>
        <w:jc w:val="center"/>
        <w:outlineLvl w:val="0"/>
        <w:rPr>
          <w:rFonts w:ascii="Bookman Old Style" w:hAnsi="Bookman Old Style" w:cs="Arial"/>
          <w:b/>
          <w:bCs/>
          <w:color w:val="000000"/>
          <w:szCs w:val="27"/>
        </w:rPr>
      </w:pPr>
      <w:r w:rsidRPr="003B187B">
        <w:rPr>
          <w:rFonts w:ascii="Bookman Old Style" w:hAnsi="Bookman Old Style" w:cs="Arial"/>
          <w:b/>
          <w:bCs/>
          <w:color w:val="000000"/>
          <w:szCs w:val="27"/>
        </w:rPr>
        <w:t>PUBLÍQUESE Y CÚMPLASE</w:t>
      </w:r>
    </w:p>
    <w:p w:rsidR="009D4A5A" w:rsidRPr="003B187B" w:rsidRDefault="009D4A5A" w:rsidP="009D4A5A">
      <w:pPr>
        <w:spacing w:after="240"/>
        <w:ind w:left="0"/>
        <w:jc w:val="both"/>
        <w:rPr>
          <w:rFonts w:ascii="Bookman Old Style" w:hAnsi="Bookman Old Style" w:cs="Arial"/>
          <w:color w:val="000000"/>
          <w:szCs w:val="27"/>
        </w:rPr>
      </w:pPr>
    </w:p>
    <w:p w:rsidR="009D4A5A" w:rsidRPr="003B187B" w:rsidRDefault="009D4A5A" w:rsidP="009D4A5A">
      <w:pPr>
        <w:spacing w:after="240"/>
        <w:ind w:left="0"/>
        <w:jc w:val="both"/>
        <w:outlineLvl w:val="0"/>
        <w:rPr>
          <w:rFonts w:ascii="Bookman Old Style" w:hAnsi="Bookman Old Style" w:cs="Arial"/>
          <w:color w:val="000000"/>
          <w:szCs w:val="27"/>
        </w:rPr>
      </w:pPr>
      <w:r w:rsidRPr="003B187B">
        <w:rPr>
          <w:rFonts w:ascii="Bookman Old Style" w:hAnsi="Bookman Old Style" w:cs="Arial"/>
          <w:color w:val="000000"/>
          <w:szCs w:val="27"/>
        </w:rPr>
        <w:t xml:space="preserve">Dada en Bogotá, D.C., </w:t>
      </w:r>
    </w:p>
    <w:p w:rsidR="009D4A5A" w:rsidRDefault="009D4A5A" w:rsidP="009D4A5A">
      <w:pPr>
        <w:spacing w:after="240"/>
        <w:ind w:left="0"/>
        <w:jc w:val="both"/>
        <w:rPr>
          <w:rFonts w:ascii="Bookman Old Style" w:hAnsi="Bookman Old Style" w:cs="Arial"/>
          <w:color w:val="000000"/>
          <w:szCs w:val="27"/>
        </w:rPr>
      </w:pPr>
    </w:p>
    <w:p w:rsidR="0094762B" w:rsidRPr="003B187B" w:rsidRDefault="0094762B" w:rsidP="009D4A5A">
      <w:pPr>
        <w:spacing w:after="240"/>
        <w:ind w:left="0"/>
        <w:jc w:val="both"/>
        <w:rPr>
          <w:rFonts w:ascii="Bookman Old Style" w:hAnsi="Bookman Old Style" w:cs="Arial"/>
          <w:color w:val="000000"/>
          <w:szCs w:val="27"/>
        </w:rPr>
      </w:pPr>
    </w:p>
    <w:tbl>
      <w:tblPr>
        <w:tblW w:w="0" w:type="auto"/>
        <w:jc w:val="center"/>
        <w:tblCellSpacing w:w="0" w:type="dxa"/>
        <w:tblInd w:w="-1546" w:type="dxa"/>
        <w:tblCellMar>
          <w:left w:w="0" w:type="dxa"/>
          <w:right w:w="0" w:type="dxa"/>
        </w:tblCellMar>
        <w:tblLook w:val="0000" w:firstRow="0" w:lastRow="0" w:firstColumn="0" w:lastColumn="0" w:noHBand="0" w:noVBand="0"/>
      </w:tblPr>
      <w:tblGrid>
        <w:gridCol w:w="4601"/>
        <w:gridCol w:w="4394"/>
      </w:tblGrid>
      <w:tr w:rsidR="009D4A5A" w:rsidRPr="003B187B" w:rsidTr="00E77ECD">
        <w:trPr>
          <w:tblCellSpacing w:w="0" w:type="dxa"/>
          <w:jc w:val="center"/>
        </w:trPr>
        <w:tc>
          <w:tcPr>
            <w:tcW w:w="4601" w:type="dxa"/>
          </w:tcPr>
          <w:p w:rsidR="009D4A5A" w:rsidRPr="003B187B" w:rsidRDefault="009D4A5A" w:rsidP="00664315">
            <w:pPr>
              <w:ind w:left="-26"/>
              <w:jc w:val="center"/>
              <w:rPr>
                <w:rFonts w:ascii="Bookman Old Style" w:eastAsia="Arial Unicode MS" w:hAnsi="Bookman Old Style"/>
                <w:b/>
                <w:bCs/>
                <w:color w:val="000000"/>
              </w:rPr>
            </w:pPr>
            <w:r w:rsidRPr="003B187B">
              <w:rPr>
                <w:rFonts w:ascii="Bookman Old Style" w:hAnsi="Bookman Old Style"/>
                <w:b/>
                <w:bCs/>
              </w:rPr>
              <w:t>TOMÁS GONZÁLEZ ESTRADA</w:t>
            </w:r>
          </w:p>
        </w:tc>
        <w:tc>
          <w:tcPr>
            <w:tcW w:w="4394" w:type="dxa"/>
          </w:tcPr>
          <w:p w:rsidR="009D4A5A" w:rsidRPr="003B187B" w:rsidRDefault="007710CE" w:rsidP="00664315">
            <w:pPr>
              <w:ind w:left="0" w:right="-26"/>
              <w:jc w:val="center"/>
              <w:rPr>
                <w:rFonts w:ascii="Bookman Old Style" w:eastAsia="Arial Unicode MS" w:hAnsi="Bookman Old Style"/>
                <w:b/>
                <w:bCs/>
              </w:rPr>
            </w:pPr>
            <w:r>
              <w:rPr>
                <w:rFonts w:ascii="Bookman Old Style" w:hAnsi="Bookman Old Style" w:cs="Arial"/>
                <w:b/>
                <w:spacing w:val="-3"/>
                <w:szCs w:val="20"/>
              </w:rPr>
              <w:t>JORGE PINTO NOLLA</w:t>
            </w:r>
          </w:p>
        </w:tc>
      </w:tr>
      <w:tr w:rsidR="009D4A5A" w:rsidRPr="003B187B" w:rsidTr="00E77ECD">
        <w:trPr>
          <w:tblCellSpacing w:w="0" w:type="dxa"/>
          <w:jc w:val="center"/>
        </w:trPr>
        <w:tc>
          <w:tcPr>
            <w:tcW w:w="4601" w:type="dxa"/>
          </w:tcPr>
          <w:p w:rsidR="009D4A5A" w:rsidRPr="003B187B" w:rsidRDefault="00E77ECD" w:rsidP="00664315">
            <w:pPr>
              <w:ind w:left="-26"/>
              <w:jc w:val="center"/>
              <w:rPr>
                <w:rFonts w:ascii="Bookman Old Style" w:eastAsia="Arial Unicode MS" w:hAnsi="Bookman Old Style" w:cs="Arial"/>
                <w:color w:val="000000"/>
              </w:rPr>
            </w:pPr>
            <w:r>
              <w:rPr>
                <w:rFonts w:ascii="Bookman Old Style" w:hAnsi="Bookman Old Style" w:cs="Arial"/>
                <w:szCs w:val="27"/>
              </w:rPr>
              <w:t>M</w:t>
            </w:r>
            <w:r w:rsidR="009D4A5A" w:rsidRPr="003B187B">
              <w:rPr>
                <w:rFonts w:ascii="Bookman Old Style" w:hAnsi="Bookman Old Style" w:cs="Arial"/>
                <w:szCs w:val="27"/>
              </w:rPr>
              <w:t>inistro de Minas y Energía</w:t>
            </w:r>
          </w:p>
        </w:tc>
        <w:tc>
          <w:tcPr>
            <w:tcW w:w="4394" w:type="dxa"/>
          </w:tcPr>
          <w:p w:rsidR="009D4A5A" w:rsidRPr="003B187B" w:rsidRDefault="009D4A5A" w:rsidP="00664315">
            <w:pPr>
              <w:ind w:left="0"/>
              <w:jc w:val="center"/>
              <w:rPr>
                <w:rFonts w:ascii="Bookman Old Style" w:eastAsia="Arial Unicode MS" w:hAnsi="Bookman Old Style" w:cs="Arial"/>
                <w:color w:val="000000"/>
              </w:rPr>
            </w:pPr>
            <w:r w:rsidRPr="003B187B">
              <w:rPr>
                <w:rFonts w:ascii="Bookman Old Style" w:hAnsi="Bookman Old Style" w:cs="Arial"/>
                <w:szCs w:val="27"/>
              </w:rPr>
              <w:t>Director Ejecutivo</w:t>
            </w:r>
          </w:p>
        </w:tc>
      </w:tr>
      <w:tr w:rsidR="009D4A5A" w:rsidRPr="003B187B" w:rsidTr="00E77ECD">
        <w:trPr>
          <w:tblCellSpacing w:w="0" w:type="dxa"/>
          <w:jc w:val="center"/>
        </w:trPr>
        <w:tc>
          <w:tcPr>
            <w:tcW w:w="4601" w:type="dxa"/>
          </w:tcPr>
          <w:p w:rsidR="009D4A5A" w:rsidRPr="003B187B" w:rsidRDefault="009D4A5A" w:rsidP="00664315">
            <w:pPr>
              <w:ind w:left="-26"/>
              <w:jc w:val="center"/>
              <w:rPr>
                <w:rFonts w:ascii="Bookman Old Style" w:eastAsia="Arial Unicode MS" w:hAnsi="Bookman Old Style" w:cs="Arial"/>
                <w:color w:val="000000"/>
              </w:rPr>
            </w:pPr>
            <w:r w:rsidRPr="003B187B">
              <w:rPr>
                <w:rFonts w:ascii="Bookman Old Style" w:hAnsi="Bookman Old Style" w:cs="Arial"/>
                <w:szCs w:val="27"/>
              </w:rPr>
              <w:t>Presidente</w:t>
            </w:r>
          </w:p>
        </w:tc>
        <w:tc>
          <w:tcPr>
            <w:tcW w:w="4394" w:type="dxa"/>
          </w:tcPr>
          <w:p w:rsidR="009D4A5A" w:rsidRPr="003B187B" w:rsidRDefault="009D4A5A" w:rsidP="00664315">
            <w:pPr>
              <w:ind w:left="0"/>
              <w:jc w:val="center"/>
              <w:rPr>
                <w:rFonts w:ascii="Bookman Old Style" w:eastAsia="Arial Unicode MS" w:hAnsi="Bookman Old Style" w:cs="Arial"/>
                <w:color w:val="000000"/>
              </w:rPr>
            </w:pPr>
            <w:r w:rsidRPr="003B187B">
              <w:rPr>
                <w:rFonts w:ascii="Bookman Old Style" w:hAnsi="Bookman Old Style" w:cs="Arial"/>
                <w:noProof/>
                <w:lang w:val="es-CO" w:eastAsia="es-CO"/>
              </w:rPr>
              <w:drawing>
                <wp:inline distT="0" distB="0" distL="0" distR="0" wp14:anchorId="147A6F12" wp14:editId="3803C7B4">
                  <wp:extent cx="9525" cy="9525"/>
                  <wp:effectExtent l="19050" t="0" r="9525" b="0"/>
                  <wp:docPr id="2" name="Imagen 1" descr="ecbla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ecblank"/>
                          <pic:cNvPicPr>
                            <a:picLocks noChangeAspect="1" noChangeArrowheads="1"/>
                          </pic:cNvPicPr>
                        </pic:nvPicPr>
                        <pic:blipFill>
                          <a:blip r:embed="rId12"/>
                          <a:srcRect/>
                          <a:stretch>
                            <a:fillRect/>
                          </a:stretch>
                        </pic:blipFill>
                        <pic:spPr bwMode="auto">
                          <a:xfrm>
                            <a:off x="0" y="0"/>
                            <a:ext cx="9525" cy="9525"/>
                          </a:xfrm>
                          <a:prstGeom prst="rect">
                            <a:avLst/>
                          </a:prstGeom>
                          <a:noFill/>
                          <a:ln w="9525">
                            <a:noFill/>
                            <a:miter lim="800000"/>
                            <a:headEnd/>
                            <a:tailEnd/>
                          </a:ln>
                        </pic:spPr>
                      </pic:pic>
                    </a:graphicData>
                  </a:graphic>
                </wp:inline>
              </w:drawing>
            </w:r>
          </w:p>
        </w:tc>
      </w:tr>
    </w:tbl>
    <w:p w:rsidR="00AE2220" w:rsidRDefault="00AE2220" w:rsidP="00AB59BD">
      <w:pPr>
        <w:ind w:left="0"/>
        <w:rPr>
          <w:rFonts w:ascii="Bookman Old Style" w:hAnsi="Bookman Old Style"/>
        </w:rPr>
      </w:pPr>
    </w:p>
    <w:p w:rsidR="00AE2220" w:rsidRDefault="00AE2220">
      <w:pPr>
        <w:ind w:left="0"/>
        <w:rPr>
          <w:rFonts w:ascii="Bookman Old Style" w:hAnsi="Bookman Old Style"/>
        </w:rPr>
      </w:pPr>
      <w:r>
        <w:rPr>
          <w:rFonts w:ascii="Bookman Old Style" w:hAnsi="Bookman Old Style"/>
        </w:rPr>
        <w:br w:type="page"/>
      </w:r>
    </w:p>
    <w:p w:rsidR="00AE2220" w:rsidRPr="00526425" w:rsidRDefault="00AE2220" w:rsidP="00E77ECD">
      <w:pPr>
        <w:pStyle w:val="Ttulo1"/>
        <w:ind w:left="0"/>
        <w:rPr>
          <w:rFonts w:ascii="Bookman Old Style" w:hAnsi="Bookman Old Style"/>
          <w:b w:val="0"/>
          <w:szCs w:val="22"/>
        </w:rPr>
      </w:pPr>
      <w:r w:rsidRPr="00526425">
        <w:rPr>
          <w:rFonts w:ascii="Bookman Old Style" w:hAnsi="Bookman Old Style"/>
          <w:szCs w:val="22"/>
        </w:rPr>
        <w:lastRenderedPageBreak/>
        <w:t>ANEXO</w:t>
      </w:r>
    </w:p>
    <w:p w:rsidR="00F27802" w:rsidRDefault="00F27802" w:rsidP="00F27802">
      <w:pPr>
        <w:pStyle w:val="Ttulo1"/>
        <w:ind w:left="426"/>
        <w:rPr>
          <w:rFonts w:ascii="Bookman Old Style" w:hAnsi="Bookman Old Style"/>
          <w:szCs w:val="22"/>
        </w:rPr>
      </w:pPr>
    </w:p>
    <w:p w:rsidR="00E77ECD" w:rsidRDefault="00E77ECD" w:rsidP="00E77ECD">
      <w:pPr>
        <w:rPr>
          <w:lang w:val="es-CO"/>
        </w:rPr>
      </w:pPr>
    </w:p>
    <w:p w:rsidR="00AE2220" w:rsidRDefault="00AE2220" w:rsidP="00F27802">
      <w:pPr>
        <w:pStyle w:val="Ttulo1"/>
        <w:ind w:left="426"/>
        <w:rPr>
          <w:rFonts w:ascii="Bookman Old Style" w:hAnsi="Bookman Old Style"/>
          <w:szCs w:val="22"/>
        </w:rPr>
      </w:pPr>
      <w:r w:rsidRPr="00EA6E9C">
        <w:rPr>
          <w:rFonts w:ascii="Bookman Old Style" w:hAnsi="Bookman Old Style"/>
          <w:szCs w:val="22"/>
        </w:rPr>
        <w:tab/>
        <w:t>CRONOGRAMA PARA EL REPORTE DE INFORMACIÓN POR PARTE</w:t>
      </w:r>
    </w:p>
    <w:p w:rsidR="00AE2220" w:rsidRDefault="00AE2220" w:rsidP="00AE2220">
      <w:pPr>
        <w:pStyle w:val="Ttulo1"/>
        <w:rPr>
          <w:rFonts w:ascii="Bookman Old Style" w:hAnsi="Bookman Old Style"/>
          <w:szCs w:val="22"/>
        </w:rPr>
      </w:pPr>
      <w:r w:rsidRPr="00EA6E9C">
        <w:rPr>
          <w:rFonts w:ascii="Bookman Old Style" w:hAnsi="Bookman Old Style"/>
          <w:szCs w:val="22"/>
        </w:rPr>
        <w:t xml:space="preserve"> DE QUIENES DESEEN</w:t>
      </w:r>
      <w:r>
        <w:rPr>
          <w:rFonts w:ascii="Bookman Old Style" w:hAnsi="Bookman Old Style"/>
          <w:szCs w:val="22"/>
        </w:rPr>
        <w:t xml:space="preserve"> </w:t>
      </w:r>
      <w:r w:rsidRPr="00EA6E9C">
        <w:rPr>
          <w:rFonts w:ascii="Bookman Old Style" w:hAnsi="Bookman Old Style"/>
          <w:szCs w:val="22"/>
        </w:rPr>
        <w:t xml:space="preserve">SER HABILITADOS PARA PARTICIPAR EN LA ASIGNACIÓN </w:t>
      </w:r>
      <w:r>
        <w:rPr>
          <w:rFonts w:ascii="Bookman Old Style" w:hAnsi="Bookman Old Style"/>
          <w:szCs w:val="22"/>
        </w:rPr>
        <w:t xml:space="preserve"> </w:t>
      </w:r>
      <w:r w:rsidRPr="00EA6E9C">
        <w:rPr>
          <w:rFonts w:ascii="Bookman Old Style" w:hAnsi="Bookman Old Style"/>
          <w:szCs w:val="22"/>
        </w:rPr>
        <w:t>DE OBLIGACIONES DE ENERGÍA FIRME</w:t>
      </w:r>
      <w:r>
        <w:rPr>
          <w:rFonts w:ascii="Bookman Old Style" w:hAnsi="Bookman Old Style"/>
          <w:szCs w:val="22"/>
        </w:rPr>
        <w:t xml:space="preserve"> PARA EL </w:t>
      </w:r>
    </w:p>
    <w:p w:rsidR="00AE2220" w:rsidRDefault="00AE2220" w:rsidP="00AE2220">
      <w:pPr>
        <w:pStyle w:val="Ttulo1"/>
        <w:rPr>
          <w:rFonts w:ascii="Bookman Old Style" w:hAnsi="Bookman Old Style"/>
          <w:szCs w:val="22"/>
        </w:rPr>
      </w:pPr>
      <w:r>
        <w:rPr>
          <w:rFonts w:ascii="Bookman Old Style" w:hAnsi="Bookman Old Style"/>
          <w:szCs w:val="22"/>
        </w:rPr>
        <w:t xml:space="preserve">PERÍODO DICIEMBRE </w:t>
      </w:r>
      <w:r w:rsidR="00F9549C">
        <w:rPr>
          <w:rFonts w:ascii="Bookman Old Style" w:hAnsi="Bookman Old Style"/>
          <w:szCs w:val="22"/>
        </w:rPr>
        <w:t xml:space="preserve">1 </w:t>
      </w:r>
      <w:r>
        <w:rPr>
          <w:rFonts w:ascii="Bookman Old Style" w:hAnsi="Bookman Old Style"/>
          <w:szCs w:val="22"/>
        </w:rPr>
        <w:t>DE 201</w:t>
      </w:r>
      <w:r w:rsidR="00F9549C">
        <w:rPr>
          <w:rFonts w:ascii="Bookman Old Style" w:hAnsi="Bookman Old Style"/>
          <w:szCs w:val="22"/>
        </w:rPr>
        <w:t>6</w:t>
      </w:r>
      <w:r>
        <w:rPr>
          <w:rFonts w:ascii="Bookman Old Style" w:hAnsi="Bookman Old Style"/>
          <w:szCs w:val="22"/>
        </w:rPr>
        <w:t xml:space="preserve"> A NOVIEMBRE </w:t>
      </w:r>
      <w:r w:rsidR="00F9549C">
        <w:rPr>
          <w:rFonts w:ascii="Bookman Old Style" w:hAnsi="Bookman Old Style"/>
          <w:szCs w:val="22"/>
        </w:rPr>
        <w:t xml:space="preserve">30 </w:t>
      </w:r>
      <w:r>
        <w:rPr>
          <w:rFonts w:ascii="Bookman Old Style" w:hAnsi="Bookman Old Style"/>
          <w:szCs w:val="22"/>
        </w:rPr>
        <w:t>DE 201</w:t>
      </w:r>
      <w:r w:rsidR="00F9549C">
        <w:rPr>
          <w:rFonts w:ascii="Bookman Old Style" w:hAnsi="Bookman Old Style"/>
          <w:szCs w:val="22"/>
        </w:rPr>
        <w:t xml:space="preserve">7, DICIEMBRE 1 DE 2017 A NOVIEMBRE 30 DE 2018 Y DICIEMBRE 1 DE 2018 A NOVIEMBRE 30 DE 2019 A QUIENES REPRESENTAN PLANTAS EXISTENTES </w:t>
      </w:r>
    </w:p>
    <w:p w:rsidR="00E77ECD" w:rsidRDefault="00E77ECD" w:rsidP="00E77ECD">
      <w:pPr>
        <w:rPr>
          <w:lang w:val="es-CO"/>
        </w:rPr>
      </w:pPr>
    </w:p>
    <w:p w:rsidR="00E77ECD" w:rsidRPr="00E77ECD" w:rsidRDefault="00E77ECD" w:rsidP="00E77ECD">
      <w:pPr>
        <w:rPr>
          <w:lang w:val="es-CO"/>
        </w:rPr>
      </w:pPr>
    </w:p>
    <w:p w:rsidR="007710CE" w:rsidRPr="00526425" w:rsidRDefault="007710CE" w:rsidP="007710CE">
      <w:pPr>
        <w:jc w:val="center"/>
        <w:rPr>
          <w:rFonts w:ascii="Bookman Old Style" w:hAnsi="Bookman Old Style" w:cs="Arial"/>
          <w:b/>
          <w:sz w:val="22"/>
          <w:szCs w:val="22"/>
        </w:rPr>
      </w:pPr>
    </w:p>
    <w:tbl>
      <w:tblPr>
        <w:tblW w:w="4926" w:type="pct"/>
        <w:tblInd w:w="-72" w:type="dxa"/>
        <w:tblLayout w:type="fixed"/>
        <w:tblCellMar>
          <w:left w:w="70" w:type="dxa"/>
          <w:right w:w="70" w:type="dxa"/>
        </w:tblCellMar>
        <w:tblLook w:val="0000" w:firstRow="0" w:lastRow="0" w:firstColumn="0" w:lastColumn="0" w:noHBand="0" w:noVBand="0"/>
      </w:tblPr>
      <w:tblGrid>
        <w:gridCol w:w="1814"/>
        <w:gridCol w:w="3772"/>
        <w:gridCol w:w="2096"/>
        <w:gridCol w:w="1673"/>
      </w:tblGrid>
      <w:tr w:rsidR="007710CE" w:rsidRPr="00AE2220" w:rsidTr="00B85A78">
        <w:trPr>
          <w:trHeight w:val="240"/>
          <w:tblHeader/>
        </w:trPr>
        <w:tc>
          <w:tcPr>
            <w:tcW w:w="970" w:type="pct"/>
            <w:tcBorders>
              <w:top w:val="single" w:sz="4" w:space="0" w:color="auto"/>
              <w:left w:val="single" w:sz="4" w:space="0" w:color="auto"/>
              <w:bottom w:val="single" w:sz="4" w:space="0" w:color="auto"/>
              <w:right w:val="single" w:sz="4" w:space="0" w:color="auto"/>
            </w:tcBorders>
            <w:noWrap/>
            <w:vAlign w:val="bottom"/>
          </w:tcPr>
          <w:p w:rsidR="007710CE" w:rsidRPr="00AE2220" w:rsidRDefault="007710CE" w:rsidP="00B85A78">
            <w:pPr>
              <w:ind w:left="72"/>
              <w:jc w:val="center"/>
              <w:rPr>
                <w:rFonts w:ascii="Bookman Old Style" w:hAnsi="Bookman Old Style" w:cs="Arial"/>
                <w:b/>
                <w:bCs/>
                <w:sz w:val="20"/>
                <w:szCs w:val="20"/>
              </w:rPr>
            </w:pPr>
            <w:r w:rsidRPr="00AE2220">
              <w:rPr>
                <w:rFonts w:ascii="Bookman Old Style" w:hAnsi="Bookman Old Style" w:cs="Arial"/>
                <w:b/>
                <w:bCs/>
                <w:sz w:val="20"/>
                <w:szCs w:val="20"/>
              </w:rPr>
              <w:t>Tipo</w:t>
            </w:r>
          </w:p>
        </w:tc>
        <w:tc>
          <w:tcPr>
            <w:tcW w:w="2016" w:type="pct"/>
            <w:tcBorders>
              <w:top w:val="single" w:sz="4" w:space="0" w:color="auto"/>
              <w:left w:val="nil"/>
              <w:bottom w:val="single" w:sz="4" w:space="0" w:color="auto"/>
              <w:right w:val="single" w:sz="4" w:space="0" w:color="auto"/>
            </w:tcBorders>
            <w:noWrap/>
            <w:vAlign w:val="bottom"/>
          </w:tcPr>
          <w:p w:rsidR="007710CE" w:rsidRPr="00AE2220" w:rsidRDefault="007710CE" w:rsidP="00B85A78">
            <w:pPr>
              <w:ind w:left="0"/>
              <w:jc w:val="center"/>
              <w:rPr>
                <w:rFonts w:ascii="Bookman Old Style" w:hAnsi="Bookman Old Style" w:cs="Arial"/>
                <w:b/>
                <w:bCs/>
                <w:sz w:val="20"/>
                <w:szCs w:val="20"/>
              </w:rPr>
            </w:pPr>
            <w:r w:rsidRPr="00AE2220">
              <w:rPr>
                <w:rFonts w:ascii="Bookman Old Style" w:hAnsi="Bookman Old Style" w:cs="Arial"/>
                <w:b/>
                <w:bCs/>
                <w:sz w:val="20"/>
                <w:szCs w:val="20"/>
              </w:rPr>
              <w:t>Descripción</w:t>
            </w:r>
          </w:p>
        </w:tc>
        <w:tc>
          <w:tcPr>
            <w:tcW w:w="1120" w:type="pct"/>
            <w:tcBorders>
              <w:top w:val="single" w:sz="4" w:space="0" w:color="auto"/>
              <w:left w:val="nil"/>
              <w:bottom w:val="single" w:sz="4" w:space="0" w:color="auto"/>
              <w:right w:val="single" w:sz="4" w:space="0" w:color="auto"/>
            </w:tcBorders>
            <w:noWrap/>
            <w:vAlign w:val="bottom"/>
          </w:tcPr>
          <w:p w:rsidR="007710CE" w:rsidRPr="00AE2220" w:rsidRDefault="007710CE" w:rsidP="00B85A78">
            <w:pPr>
              <w:ind w:left="36"/>
              <w:jc w:val="center"/>
              <w:rPr>
                <w:rFonts w:ascii="Bookman Old Style" w:hAnsi="Bookman Old Style" w:cs="Arial"/>
                <w:b/>
                <w:bCs/>
                <w:sz w:val="20"/>
                <w:szCs w:val="20"/>
              </w:rPr>
            </w:pPr>
            <w:r w:rsidRPr="00AE2220">
              <w:rPr>
                <w:rFonts w:ascii="Bookman Old Style" w:hAnsi="Bookman Old Style" w:cs="Arial"/>
                <w:b/>
                <w:bCs/>
                <w:sz w:val="20"/>
                <w:szCs w:val="20"/>
              </w:rPr>
              <w:t>Responsable</w:t>
            </w:r>
          </w:p>
        </w:tc>
        <w:tc>
          <w:tcPr>
            <w:tcW w:w="895" w:type="pct"/>
            <w:tcBorders>
              <w:top w:val="single" w:sz="4" w:space="0" w:color="auto"/>
              <w:left w:val="nil"/>
              <w:bottom w:val="single" w:sz="4" w:space="0" w:color="auto"/>
              <w:right w:val="single" w:sz="4" w:space="0" w:color="auto"/>
            </w:tcBorders>
            <w:noWrap/>
            <w:vAlign w:val="bottom"/>
          </w:tcPr>
          <w:p w:rsidR="007710CE" w:rsidRPr="00AE2220" w:rsidRDefault="007710CE" w:rsidP="00B85A78">
            <w:pPr>
              <w:ind w:left="20"/>
              <w:jc w:val="center"/>
              <w:rPr>
                <w:rFonts w:ascii="Bookman Old Style" w:hAnsi="Bookman Old Style" w:cs="Arial"/>
                <w:b/>
                <w:bCs/>
                <w:sz w:val="20"/>
                <w:szCs w:val="20"/>
              </w:rPr>
            </w:pPr>
            <w:r w:rsidRPr="00AE2220">
              <w:rPr>
                <w:rFonts w:ascii="Bookman Old Style" w:hAnsi="Bookman Old Style" w:cs="Arial"/>
                <w:b/>
                <w:bCs/>
                <w:sz w:val="20"/>
                <w:szCs w:val="20"/>
              </w:rPr>
              <w:t>Fecha</w:t>
            </w:r>
          </w:p>
        </w:tc>
      </w:tr>
      <w:tr w:rsidR="007710CE" w:rsidRPr="00AE2220" w:rsidTr="00B85A78">
        <w:trPr>
          <w:cantSplit/>
          <w:trHeight w:val="1275"/>
        </w:trPr>
        <w:tc>
          <w:tcPr>
            <w:tcW w:w="970" w:type="pct"/>
            <w:tcBorders>
              <w:top w:val="nil"/>
              <w:left w:val="single" w:sz="4" w:space="0" w:color="auto"/>
              <w:bottom w:val="single" w:sz="4" w:space="0" w:color="auto"/>
              <w:right w:val="single" w:sz="4" w:space="0" w:color="auto"/>
            </w:tcBorders>
            <w:noWrap/>
            <w:vAlign w:val="center"/>
          </w:tcPr>
          <w:p w:rsidR="007710CE" w:rsidRPr="00AE2220" w:rsidRDefault="007710CE" w:rsidP="00B85A78">
            <w:pPr>
              <w:ind w:left="72"/>
              <w:rPr>
                <w:rFonts w:ascii="Bookman Old Style" w:hAnsi="Bookman Old Style" w:cs="Arial"/>
                <w:sz w:val="20"/>
                <w:szCs w:val="20"/>
              </w:rPr>
            </w:pPr>
            <w:r w:rsidRPr="00AE2220">
              <w:rPr>
                <w:rFonts w:ascii="Bookman Old Style" w:hAnsi="Bookman Old Style" w:cs="Arial"/>
                <w:sz w:val="20"/>
                <w:szCs w:val="20"/>
              </w:rPr>
              <w:t>Declaración de parámetros</w:t>
            </w:r>
          </w:p>
        </w:tc>
        <w:tc>
          <w:tcPr>
            <w:tcW w:w="2016" w:type="pct"/>
            <w:tcBorders>
              <w:top w:val="nil"/>
              <w:left w:val="nil"/>
              <w:bottom w:val="single" w:sz="4" w:space="0" w:color="auto"/>
              <w:right w:val="single" w:sz="4" w:space="0" w:color="auto"/>
            </w:tcBorders>
            <w:vAlign w:val="center"/>
          </w:tcPr>
          <w:p w:rsidR="007710CE" w:rsidRPr="00AE2220" w:rsidRDefault="007710CE" w:rsidP="00B85A78">
            <w:pPr>
              <w:ind w:left="0" w:right="142"/>
              <w:rPr>
                <w:rFonts w:ascii="Bookman Old Style" w:hAnsi="Bookman Old Style" w:cs="Arial"/>
                <w:sz w:val="20"/>
                <w:szCs w:val="20"/>
              </w:rPr>
            </w:pPr>
            <w:r w:rsidRPr="00AE2220">
              <w:rPr>
                <w:rFonts w:ascii="Bookman Old Style" w:hAnsi="Bookman Old Style" w:cs="Arial"/>
                <w:sz w:val="20"/>
                <w:szCs w:val="20"/>
              </w:rPr>
              <w:t>La totalidad de parámetros establecidos en el numeral 5.2 del Anexo 5 de la Resolución CREG 071 de 2006. Esta información deberá ser remitida haciendo uso de los formatos establecidos para tal fin.</w:t>
            </w:r>
          </w:p>
        </w:tc>
        <w:tc>
          <w:tcPr>
            <w:tcW w:w="1120" w:type="pct"/>
            <w:tcBorders>
              <w:top w:val="single" w:sz="4" w:space="0" w:color="auto"/>
              <w:left w:val="nil"/>
              <w:bottom w:val="single" w:sz="4" w:space="0" w:color="auto"/>
              <w:right w:val="single" w:sz="4" w:space="0" w:color="auto"/>
            </w:tcBorders>
            <w:noWrap/>
            <w:vAlign w:val="center"/>
          </w:tcPr>
          <w:p w:rsidR="007710CE" w:rsidRPr="00AE2220" w:rsidRDefault="007710CE" w:rsidP="00B85A78">
            <w:pPr>
              <w:ind w:left="36" w:right="142"/>
              <w:rPr>
                <w:rFonts w:ascii="Bookman Old Style" w:hAnsi="Bookman Old Style" w:cs="Arial"/>
                <w:sz w:val="20"/>
                <w:szCs w:val="20"/>
              </w:rPr>
            </w:pPr>
            <w:r w:rsidRPr="00AE2220">
              <w:rPr>
                <w:rFonts w:ascii="Bookman Old Style" w:hAnsi="Bookman Old Style" w:cs="Arial"/>
                <w:sz w:val="20"/>
                <w:szCs w:val="20"/>
              </w:rPr>
              <w:t>Agentes con plantas o unidades de generación existentes que vayan a modificar su ENFICC de conformidad con el Artículo 41 de la Resolución CREG 071 de 2006.</w:t>
            </w:r>
          </w:p>
        </w:tc>
        <w:tc>
          <w:tcPr>
            <w:tcW w:w="895" w:type="pct"/>
            <w:tcBorders>
              <w:top w:val="single" w:sz="4" w:space="0" w:color="auto"/>
              <w:left w:val="nil"/>
              <w:bottom w:val="single" w:sz="4" w:space="0" w:color="auto"/>
              <w:right w:val="single" w:sz="4" w:space="0" w:color="auto"/>
            </w:tcBorders>
            <w:noWrap/>
            <w:vAlign w:val="center"/>
          </w:tcPr>
          <w:p w:rsidR="007710CE" w:rsidRPr="00AE2220" w:rsidRDefault="00433F71" w:rsidP="00433F71">
            <w:pPr>
              <w:ind w:left="20" w:right="9"/>
              <w:rPr>
                <w:rFonts w:ascii="Bookman Old Style" w:hAnsi="Bookman Old Style" w:cs="Arial"/>
                <w:sz w:val="20"/>
                <w:szCs w:val="20"/>
              </w:rPr>
            </w:pPr>
            <w:r>
              <w:rPr>
                <w:rFonts w:ascii="Bookman Old Style" w:hAnsi="Bookman Old Style" w:cs="Arial"/>
                <w:sz w:val="20"/>
                <w:szCs w:val="20"/>
              </w:rPr>
              <w:t>20</w:t>
            </w:r>
            <w:r w:rsidR="007710CE">
              <w:rPr>
                <w:rFonts w:ascii="Bookman Old Style" w:hAnsi="Bookman Old Style" w:cs="Arial"/>
                <w:sz w:val="20"/>
                <w:szCs w:val="20"/>
              </w:rPr>
              <w:t>/</w:t>
            </w:r>
            <w:r>
              <w:rPr>
                <w:rFonts w:ascii="Bookman Old Style" w:hAnsi="Bookman Old Style" w:cs="Arial"/>
                <w:sz w:val="20"/>
                <w:szCs w:val="20"/>
              </w:rPr>
              <w:t>11</w:t>
            </w:r>
            <w:r w:rsidR="007710CE">
              <w:rPr>
                <w:rFonts w:ascii="Bookman Old Style" w:hAnsi="Bookman Old Style" w:cs="Arial"/>
                <w:sz w:val="20"/>
                <w:szCs w:val="20"/>
              </w:rPr>
              <w:t>/</w:t>
            </w:r>
            <w:r>
              <w:rPr>
                <w:rFonts w:ascii="Bookman Old Style" w:hAnsi="Bookman Old Style" w:cs="Arial"/>
                <w:sz w:val="20"/>
                <w:szCs w:val="20"/>
              </w:rPr>
              <w:t>2015</w:t>
            </w:r>
          </w:p>
        </w:tc>
      </w:tr>
      <w:tr w:rsidR="007710CE" w:rsidRPr="00AE2220" w:rsidTr="00B85A78">
        <w:trPr>
          <w:trHeight w:val="960"/>
        </w:trPr>
        <w:tc>
          <w:tcPr>
            <w:tcW w:w="970" w:type="pct"/>
            <w:tcBorders>
              <w:top w:val="single" w:sz="4" w:space="0" w:color="auto"/>
              <w:left w:val="single" w:sz="4" w:space="0" w:color="auto"/>
              <w:bottom w:val="single" w:sz="4" w:space="0" w:color="auto"/>
              <w:right w:val="single" w:sz="4" w:space="0" w:color="auto"/>
            </w:tcBorders>
            <w:noWrap/>
            <w:vAlign w:val="center"/>
          </w:tcPr>
          <w:p w:rsidR="007710CE" w:rsidRPr="00AE2220" w:rsidRDefault="007710CE" w:rsidP="00B85A78">
            <w:pPr>
              <w:ind w:left="72"/>
              <w:rPr>
                <w:rFonts w:ascii="Bookman Old Style" w:hAnsi="Bookman Old Style" w:cs="Arial"/>
                <w:sz w:val="20"/>
                <w:szCs w:val="20"/>
              </w:rPr>
            </w:pPr>
            <w:r w:rsidRPr="00AE2220">
              <w:rPr>
                <w:rFonts w:ascii="Bookman Old Style" w:hAnsi="Bookman Old Style" w:cs="Arial"/>
                <w:sz w:val="20"/>
                <w:szCs w:val="20"/>
              </w:rPr>
              <w:t>Solicitud aclaración de parámetros</w:t>
            </w:r>
          </w:p>
        </w:tc>
        <w:tc>
          <w:tcPr>
            <w:tcW w:w="2016" w:type="pct"/>
            <w:tcBorders>
              <w:top w:val="single" w:sz="4" w:space="0" w:color="auto"/>
              <w:left w:val="nil"/>
              <w:bottom w:val="single" w:sz="4" w:space="0" w:color="auto"/>
              <w:right w:val="single" w:sz="4" w:space="0" w:color="auto"/>
            </w:tcBorders>
            <w:vAlign w:val="center"/>
          </w:tcPr>
          <w:p w:rsidR="007710CE" w:rsidRPr="00AE2220" w:rsidRDefault="007710CE" w:rsidP="00B85A78">
            <w:pPr>
              <w:ind w:left="0" w:right="142"/>
              <w:rPr>
                <w:rFonts w:ascii="Bookman Old Style" w:hAnsi="Bookman Old Style" w:cs="Arial"/>
                <w:sz w:val="20"/>
                <w:szCs w:val="20"/>
              </w:rPr>
            </w:pPr>
            <w:r w:rsidRPr="00AE2220">
              <w:rPr>
                <w:rFonts w:ascii="Bookman Old Style" w:hAnsi="Bookman Old Style" w:cs="Arial"/>
                <w:sz w:val="20"/>
                <w:szCs w:val="20"/>
              </w:rPr>
              <w:t>Solicitud de aclaración a la declaración de parámetros.</w:t>
            </w:r>
          </w:p>
        </w:tc>
        <w:tc>
          <w:tcPr>
            <w:tcW w:w="1120" w:type="pct"/>
            <w:tcBorders>
              <w:top w:val="single" w:sz="4" w:space="0" w:color="auto"/>
              <w:left w:val="nil"/>
              <w:bottom w:val="single" w:sz="4" w:space="0" w:color="auto"/>
              <w:right w:val="single" w:sz="4" w:space="0" w:color="auto"/>
            </w:tcBorders>
            <w:noWrap/>
            <w:vAlign w:val="center"/>
          </w:tcPr>
          <w:p w:rsidR="007710CE" w:rsidRPr="00AE2220" w:rsidRDefault="007710CE" w:rsidP="00B85A78">
            <w:pPr>
              <w:ind w:left="36"/>
              <w:jc w:val="center"/>
              <w:rPr>
                <w:rFonts w:ascii="Bookman Old Style" w:hAnsi="Bookman Old Style" w:cs="Arial"/>
                <w:sz w:val="20"/>
                <w:szCs w:val="20"/>
              </w:rPr>
            </w:pPr>
            <w:r>
              <w:rPr>
                <w:rFonts w:ascii="Bookman Old Style" w:hAnsi="Bookman Old Style" w:cs="Arial"/>
                <w:sz w:val="20"/>
                <w:szCs w:val="20"/>
              </w:rPr>
              <w:t>CND-</w:t>
            </w:r>
            <w:r w:rsidRPr="00AE2220">
              <w:rPr>
                <w:rFonts w:ascii="Bookman Old Style" w:hAnsi="Bookman Old Style" w:cs="Arial"/>
                <w:sz w:val="20"/>
                <w:szCs w:val="20"/>
              </w:rPr>
              <w:t>CREG</w:t>
            </w:r>
          </w:p>
        </w:tc>
        <w:tc>
          <w:tcPr>
            <w:tcW w:w="895" w:type="pct"/>
            <w:tcBorders>
              <w:top w:val="single" w:sz="4" w:space="0" w:color="auto"/>
              <w:left w:val="nil"/>
              <w:bottom w:val="single" w:sz="4" w:space="0" w:color="auto"/>
              <w:right w:val="single" w:sz="4" w:space="0" w:color="auto"/>
            </w:tcBorders>
            <w:vAlign w:val="center"/>
          </w:tcPr>
          <w:p w:rsidR="007710CE" w:rsidRPr="00AE2220" w:rsidRDefault="007710CE" w:rsidP="00B85A78">
            <w:pPr>
              <w:ind w:left="0"/>
              <w:rPr>
                <w:rFonts w:ascii="Bookman Old Style" w:hAnsi="Bookman Old Style" w:cs="Arial"/>
                <w:sz w:val="20"/>
                <w:szCs w:val="20"/>
              </w:rPr>
            </w:pPr>
            <w:r>
              <w:rPr>
                <w:rFonts w:ascii="Bookman Old Style" w:hAnsi="Bookman Old Style" w:cs="Arial"/>
                <w:sz w:val="20"/>
                <w:szCs w:val="20"/>
              </w:rPr>
              <w:t>Dentro de los cinco (5) días hábiles siguientes a la declaración parámetros</w:t>
            </w:r>
          </w:p>
        </w:tc>
      </w:tr>
      <w:tr w:rsidR="007710CE" w:rsidRPr="00AE2220" w:rsidTr="00B85A78">
        <w:trPr>
          <w:trHeight w:val="255"/>
        </w:trPr>
        <w:tc>
          <w:tcPr>
            <w:tcW w:w="970" w:type="pct"/>
            <w:tcBorders>
              <w:top w:val="nil"/>
              <w:left w:val="single" w:sz="4" w:space="0" w:color="auto"/>
              <w:bottom w:val="single" w:sz="4" w:space="0" w:color="auto"/>
              <w:right w:val="single" w:sz="4" w:space="0" w:color="auto"/>
            </w:tcBorders>
            <w:noWrap/>
            <w:vAlign w:val="center"/>
          </w:tcPr>
          <w:p w:rsidR="007710CE" w:rsidRPr="00AE2220" w:rsidRDefault="007710CE" w:rsidP="00B85A78">
            <w:pPr>
              <w:ind w:left="72"/>
              <w:rPr>
                <w:rFonts w:ascii="Bookman Old Style" w:hAnsi="Bookman Old Style" w:cs="Arial"/>
                <w:sz w:val="20"/>
                <w:szCs w:val="20"/>
              </w:rPr>
            </w:pPr>
            <w:r w:rsidRPr="00AE2220">
              <w:rPr>
                <w:rFonts w:ascii="Bookman Old Style" w:hAnsi="Bookman Old Style" w:cs="Arial"/>
                <w:sz w:val="20"/>
                <w:szCs w:val="20"/>
              </w:rPr>
              <w:t>Publicación documento de parámetros</w:t>
            </w:r>
          </w:p>
        </w:tc>
        <w:tc>
          <w:tcPr>
            <w:tcW w:w="2016" w:type="pct"/>
            <w:tcBorders>
              <w:top w:val="nil"/>
              <w:left w:val="nil"/>
              <w:bottom w:val="single" w:sz="4" w:space="0" w:color="auto"/>
              <w:right w:val="single" w:sz="4" w:space="0" w:color="auto"/>
            </w:tcBorders>
            <w:vAlign w:val="center"/>
          </w:tcPr>
          <w:p w:rsidR="007710CE" w:rsidRPr="00AE2220" w:rsidRDefault="007710CE" w:rsidP="00B85A78">
            <w:pPr>
              <w:ind w:left="0" w:right="142"/>
              <w:rPr>
                <w:rFonts w:ascii="Bookman Old Style" w:hAnsi="Bookman Old Style" w:cs="Arial"/>
                <w:sz w:val="20"/>
                <w:szCs w:val="20"/>
              </w:rPr>
            </w:pPr>
            <w:r w:rsidRPr="00AE2220">
              <w:rPr>
                <w:rFonts w:ascii="Bookman Old Style" w:hAnsi="Bookman Old Style" w:cs="Arial"/>
                <w:sz w:val="20"/>
                <w:szCs w:val="20"/>
              </w:rPr>
              <w:t>Publicación del documento de parámetros.</w:t>
            </w:r>
          </w:p>
        </w:tc>
        <w:tc>
          <w:tcPr>
            <w:tcW w:w="1120" w:type="pct"/>
            <w:tcBorders>
              <w:top w:val="nil"/>
              <w:left w:val="nil"/>
              <w:bottom w:val="single" w:sz="4" w:space="0" w:color="auto"/>
              <w:right w:val="single" w:sz="4" w:space="0" w:color="auto"/>
            </w:tcBorders>
            <w:noWrap/>
            <w:vAlign w:val="center"/>
          </w:tcPr>
          <w:p w:rsidR="007710CE" w:rsidRPr="00AE2220" w:rsidRDefault="007710CE" w:rsidP="00B85A78">
            <w:pPr>
              <w:ind w:left="36"/>
              <w:jc w:val="center"/>
              <w:rPr>
                <w:rFonts w:ascii="Bookman Old Style" w:hAnsi="Bookman Old Style" w:cs="Arial"/>
                <w:sz w:val="20"/>
                <w:szCs w:val="20"/>
              </w:rPr>
            </w:pPr>
            <w:r w:rsidRPr="00AE2220">
              <w:rPr>
                <w:rFonts w:ascii="Bookman Old Style" w:hAnsi="Bookman Old Style" w:cs="Arial"/>
                <w:sz w:val="20"/>
                <w:szCs w:val="20"/>
              </w:rPr>
              <w:t>CREG</w:t>
            </w:r>
          </w:p>
        </w:tc>
        <w:tc>
          <w:tcPr>
            <w:tcW w:w="895" w:type="pct"/>
            <w:tcBorders>
              <w:top w:val="nil"/>
              <w:left w:val="nil"/>
              <w:bottom w:val="single" w:sz="4" w:space="0" w:color="auto"/>
              <w:right w:val="single" w:sz="4" w:space="0" w:color="auto"/>
            </w:tcBorders>
            <w:noWrap/>
            <w:vAlign w:val="center"/>
          </w:tcPr>
          <w:p w:rsidR="007710CE" w:rsidRPr="00AE2220" w:rsidRDefault="007710CE" w:rsidP="00B85A78">
            <w:pPr>
              <w:ind w:left="0"/>
              <w:rPr>
                <w:rFonts w:ascii="Bookman Old Style" w:hAnsi="Bookman Old Style" w:cs="Arial"/>
                <w:sz w:val="20"/>
                <w:szCs w:val="20"/>
              </w:rPr>
            </w:pPr>
            <w:r>
              <w:rPr>
                <w:rFonts w:ascii="Bookman Old Style" w:hAnsi="Bookman Old Style" w:cs="Arial"/>
                <w:sz w:val="20"/>
                <w:szCs w:val="20"/>
              </w:rPr>
              <w:t>Dentro de los dos (2) días hábiles siguientes a la aclaración de parámetros</w:t>
            </w:r>
          </w:p>
        </w:tc>
      </w:tr>
      <w:tr w:rsidR="007710CE" w:rsidRPr="00AE2220" w:rsidTr="00B85A78">
        <w:trPr>
          <w:cantSplit/>
          <w:trHeight w:val="510"/>
        </w:trPr>
        <w:tc>
          <w:tcPr>
            <w:tcW w:w="970" w:type="pct"/>
            <w:tcBorders>
              <w:top w:val="nil"/>
              <w:left w:val="single" w:sz="4" w:space="0" w:color="auto"/>
              <w:bottom w:val="single" w:sz="4" w:space="0" w:color="000000"/>
              <w:right w:val="single" w:sz="4" w:space="0" w:color="auto"/>
            </w:tcBorders>
            <w:vAlign w:val="center"/>
          </w:tcPr>
          <w:p w:rsidR="007710CE" w:rsidRPr="00AE2220" w:rsidRDefault="007710CE" w:rsidP="00B85A78">
            <w:pPr>
              <w:ind w:left="72"/>
              <w:rPr>
                <w:rFonts w:ascii="Bookman Old Style" w:hAnsi="Bookman Old Style" w:cs="Arial"/>
                <w:sz w:val="20"/>
                <w:szCs w:val="20"/>
              </w:rPr>
            </w:pPr>
            <w:r w:rsidRPr="00AE2220">
              <w:rPr>
                <w:rFonts w:ascii="Bookman Old Style" w:hAnsi="Bookman Old Style" w:cs="Arial"/>
                <w:sz w:val="20"/>
                <w:szCs w:val="20"/>
              </w:rPr>
              <w:t>Declaración de ENFICC para participar en la asignación.</w:t>
            </w:r>
          </w:p>
        </w:tc>
        <w:tc>
          <w:tcPr>
            <w:tcW w:w="2016" w:type="pct"/>
            <w:tcBorders>
              <w:top w:val="nil"/>
              <w:left w:val="nil"/>
              <w:bottom w:val="single" w:sz="4" w:space="0" w:color="auto"/>
              <w:right w:val="single" w:sz="4" w:space="0" w:color="auto"/>
            </w:tcBorders>
            <w:vAlign w:val="center"/>
          </w:tcPr>
          <w:p w:rsidR="007710CE" w:rsidRPr="00AE2220" w:rsidRDefault="007710CE" w:rsidP="00B85A78">
            <w:pPr>
              <w:ind w:left="0" w:right="142"/>
              <w:rPr>
                <w:rFonts w:ascii="Bookman Old Style" w:hAnsi="Bookman Old Style" w:cs="Arial"/>
                <w:sz w:val="20"/>
                <w:szCs w:val="20"/>
              </w:rPr>
            </w:pPr>
            <w:r w:rsidRPr="00AE2220">
              <w:rPr>
                <w:rFonts w:ascii="Bookman Old Style" w:hAnsi="Bookman Old Style" w:cs="Arial"/>
                <w:sz w:val="20"/>
                <w:szCs w:val="20"/>
              </w:rPr>
              <w:t>La declaración de ENFICC deberán efectuarla a la CREG quienes la declaren por primera vez o la modifiquen, de conformidad con lo establecido en el Artículo 41 de la Resolución CREG 071 de 2006.</w:t>
            </w:r>
          </w:p>
        </w:tc>
        <w:tc>
          <w:tcPr>
            <w:tcW w:w="1120" w:type="pct"/>
            <w:tcBorders>
              <w:top w:val="single" w:sz="4" w:space="0" w:color="auto"/>
              <w:left w:val="nil"/>
              <w:bottom w:val="single" w:sz="4" w:space="0" w:color="auto"/>
              <w:right w:val="single" w:sz="4" w:space="0" w:color="auto"/>
            </w:tcBorders>
            <w:noWrap/>
            <w:vAlign w:val="center"/>
          </w:tcPr>
          <w:p w:rsidR="007710CE" w:rsidRPr="00AE2220" w:rsidRDefault="007710CE" w:rsidP="00B85A78">
            <w:pPr>
              <w:ind w:left="36"/>
              <w:rPr>
                <w:rFonts w:ascii="Bookman Old Style" w:hAnsi="Bookman Old Style" w:cs="Arial"/>
                <w:sz w:val="20"/>
                <w:szCs w:val="20"/>
              </w:rPr>
            </w:pPr>
            <w:r w:rsidRPr="00AE2220">
              <w:rPr>
                <w:rFonts w:ascii="Bookman Old Style" w:hAnsi="Bookman Old Style" w:cs="Arial"/>
                <w:sz w:val="20"/>
                <w:szCs w:val="20"/>
              </w:rPr>
              <w:t>Agentes con plantas o unidades de generación existentes.</w:t>
            </w:r>
          </w:p>
          <w:p w:rsidR="007710CE" w:rsidRPr="00AE2220" w:rsidRDefault="007710CE" w:rsidP="00B85A78">
            <w:pPr>
              <w:ind w:left="36"/>
              <w:rPr>
                <w:rFonts w:ascii="Bookman Old Style" w:hAnsi="Bookman Old Style" w:cs="Arial"/>
                <w:sz w:val="20"/>
                <w:szCs w:val="20"/>
              </w:rPr>
            </w:pPr>
          </w:p>
          <w:p w:rsidR="007710CE" w:rsidRPr="00AE2220" w:rsidRDefault="007710CE" w:rsidP="007710CE">
            <w:pPr>
              <w:ind w:left="36"/>
              <w:rPr>
                <w:rFonts w:ascii="Bookman Old Style" w:hAnsi="Bookman Old Style" w:cs="Arial"/>
                <w:sz w:val="20"/>
                <w:szCs w:val="20"/>
              </w:rPr>
            </w:pPr>
            <w:r w:rsidRPr="00AE2220">
              <w:rPr>
                <w:rFonts w:ascii="Bookman Old Style" w:hAnsi="Bookman Old Style" w:cs="Arial"/>
                <w:sz w:val="20"/>
                <w:szCs w:val="20"/>
              </w:rPr>
              <w:t xml:space="preserve">Para los agentes que no declaren ENFICC se tomará la ENFICC verificada para el período </w:t>
            </w:r>
            <w:r>
              <w:rPr>
                <w:rFonts w:ascii="Bookman Old Style" w:hAnsi="Bookman Old Style" w:cs="Arial"/>
                <w:sz w:val="20"/>
                <w:szCs w:val="20"/>
              </w:rPr>
              <w:t>2015</w:t>
            </w:r>
            <w:r w:rsidRPr="00AE2220">
              <w:rPr>
                <w:rFonts w:ascii="Bookman Old Style" w:hAnsi="Bookman Old Style" w:cs="Arial"/>
                <w:sz w:val="20"/>
                <w:szCs w:val="20"/>
              </w:rPr>
              <w:t>-</w:t>
            </w:r>
            <w:r>
              <w:rPr>
                <w:rFonts w:ascii="Bookman Old Style" w:hAnsi="Bookman Old Style" w:cs="Arial"/>
                <w:sz w:val="20"/>
                <w:szCs w:val="20"/>
              </w:rPr>
              <w:t>2016</w:t>
            </w:r>
            <w:r w:rsidRPr="00AE2220">
              <w:rPr>
                <w:rFonts w:ascii="Bookman Old Style" w:hAnsi="Bookman Old Style" w:cs="Arial"/>
                <w:sz w:val="20"/>
                <w:szCs w:val="20"/>
              </w:rPr>
              <w:t>.</w:t>
            </w:r>
          </w:p>
        </w:tc>
        <w:tc>
          <w:tcPr>
            <w:tcW w:w="895" w:type="pct"/>
            <w:tcBorders>
              <w:top w:val="single" w:sz="4" w:space="0" w:color="auto"/>
              <w:left w:val="nil"/>
              <w:bottom w:val="single" w:sz="4" w:space="0" w:color="auto"/>
              <w:right w:val="single" w:sz="4" w:space="0" w:color="auto"/>
            </w:tcBorders>
            <w:noWrap/>
            <w:vAlign w:val="center"/>
          </w:tcPr>
          <w:p w:rsidR="007710CE" w:rsidRPr="00AE2220" w:rsidRDefault="007710CE" w:rsidP="00B85A78">
            <w:pPr>
              <w:ind w:left="20"/>
              <w:rPr>
                <w:rFonts w:ascii="Bookman Old Style" w:hAnsi="Bookman Old Style" w:cs="Arial"/>
                <w:sz w:val="20"/>
                <w:szCs w:val="20"/>
              </w:rPr>
            </w:pPr>
            <w:r>
              <w:rPr>
                <w:rFonts w:ascii="Bookman Old Style" w:hAnsi="Bookman Old Style" w:cs="Arial"/>
                <w:sz w:val="20"/>
                <w:szCs w:val="20"/>
              </w:rPr>
              <w:t>Dentro de los tres (3) días hábiles siguientes a la publicación parámetros</w:t>
            </w:r>
          </w:p>
        </w:tc>
      </w:tr>
      <w:tr w:rsidR="007710CE" w:rsidRPr="00AE2220" w:rsidTr="00B85A78">
        <w:trPr>
          <w:cantSplit/>
          <w:trHeight w:val="765"/>
        </w:trPr>
        <w:tc>
          <w:tcPr>
            <w:tcW w:w="970" w:type="pct"/>
            <w:tcBorders>
              <w:top w:val="nil"/>
              <w:left w:val="single" w:sz="4" w:space="0" w:color="auto"/>
              <w:bottom w:val="single" w:sz="4" w:space="0" w:color="000000"/>
              <w:right w:val="single" w:sz="4" w:space="0" w:color="auto"/>
            </w:tcBorders>
            <w:vAlign w:val="center"/>
          </w:tcPr>
          <w:p w:rsidR="007710CE" w:rsidRPr="00AE2220" w:rsidRDefault="007710CE" w:rsidP="00B85A78">
            <w:pPr>
              <w:ind w:left="72"/>
              <w:rPr>
                <w:rFonts w:ascii="Bookman Old Style" w:hAnsi="Bookman Old Style" w:cs="Arial"/>
                <w:sz w:val="20"/>
                <w:szCs w:val="20"/>
              </w:rPr>
            </w:pPr>
            <w:r w:rsidRPr="00AE2220">
              <w:rPr>
                <w:rFonts w:ascii="Bookman Old Style" w:hAnsi="Bookman Old Style" w:cs="Arial"/>
                <w:sz w:val="20"/>
                <w:szCs w:val="20"/>
              </w:rPr>
              <w:lastRenderedPageBreak/>
              <w:t>Declaración de contratos Plantas No Despachadas Centralmente</w:t>
            </w:r>
          </w:p>
        </w:tc>
        <w:tc>
          <w:tcPr>
            <w:tcW w:w="2016" w:type="pct"/>
            <w:tcBorders>
              <w:top w:val="nil"/>
              <w:left w:val="nil"/>
              <w:bottom w:val="single" w:sz="4" w:space="0" w:color="auto"/>
              <w:right w:val="single" w:sz="4" w:space="0" w:color="auto"/>
            </w:tcBorders>
            <w:vAlign w:val="center"/>
          </w:tcPr>
          <w:p w:rsidR="007710CE" w:rsidRPr="00AE2220" w:rsidRDefault="007710CE" w:rsidP="00B85A78">
            <w:pPr>
              <w:ind w:left="0"/>
              <w:rPr>
                <w:rFonts w:ascii="Bookman Old Style" w:hAnsi="Bookman Old Style" w:cs="Arial"/>
                <w:sz w:val="20"/>
                <w:szCs w:val="20"/>
              </w:rPr>
            </w:pPr>
            <w:r w:rsidRPr="00AE2220">
              <w:rPr>
                <w:rFonts w:ascii="Bookman Old Style" w:hAnsi="Bookman Old Style" w:cs="Arial"/>
                <w:sz w:val="20"/>
                <w:szCs w:val="20"/>
              </w:rPr>
              <w:t>Declaración en la que los agentes generadores que representan Plantas No Despachadas Centralmente informan si tienen contratos en los que suministren energía  para cubrir demanda del período de vigencia a asignar.</w:t>
            </w:r>
          </w:p>
        </w:tc>
        <w:tc>
          <w:tcPr>
            <w:tcW w:w="1120" w:type="pct"/>
            <w:tcBorders>
              <w:left w:val="nil"/>
              <w:bottom w:val="single" w:sz="4" w:space="0" w:color="auto"/>
              <w:right w:val="single" w:sz="4" w:space="0" w:color="auto"/>
            </w:tcBorders>
            <w:noWrap/>
            <w:vAlign w:val="center"/>
          </w:tcPr>
          <w:p w:rsidR="007710CE" w:rsidRPr="00AE2220" w:rsidRDefault="007710CE" w:rsidP="00B85A78">
            <w:pPr>
              <w:ind w:left="36"/>
              <w:rPr>
                <w:rFonts w:ascii="Bookman Old Style" w:hAnsi="Bookman Old Style" w:cs="Arial"/>
                <w:sz w:val="20"/>
                <w:szCs w:val="20"/>
              </w:rPr>
            </w:pPr>
            <w:r w:rsidRPr="00AE2220">
              <w:rPr>
                <w:rFonts w:ascii="Bookman Old Style" w:hAnsi="Bookman Old Style" w:cs="Arial"/>
                <w:sz w:val="20"/>
                <w:szCs w:val="20"/>
              </w:rPr>
              <w:t>Agentes con plantas o unidades existentes, no despachadas centralmente.</w:t>
            </w:r>
          </w:p>
        </w:tc>
        <w:tc>
          <w:tcPr>
            <w:tcW w:w="895" w:type="pct"/>
            <w:tcBorders>
              <w:left w:val="nil"/>
              <w:bottom w:val="single" w:sz="4" w:space="0" w:color="auto"/>
              <w:right w:val="single" w:sz="4" w:space="0" w:color="auto"/>
            </w:tcBorders>
            <w:noWrap/>
            <w:vAlign w:val="center"/>
          </w:tcPr>
          <w:p w:rsidR="007710CE" w:rsidRPr="00AE2220" w:rsidRDefault="007710CE" w:rsidP="00B85A78">
            <w:pPr>
              <w:ind w:left="20"/>
              <w:rPr>
                <w:rFonts w:ascii="Bookman Old Style" w:hAnsi="Bookman Old Style" w:cs="Arial"/>
                <w:sz w:val="20"/>
                <w:szCs w:val="20"/>
              </w:rPr>
            </w:pPr>
            <w:r>
              <w:rPr>
                <w:rFonts w:ascii="Bookman Old Style" w:hAnsi="Bookman Old Style" w:cs="Arial"/>
                <w:sz w:val="20"/>
                <w:szCs w:val="20"/>
              </w:rPr>
              <w:t>Dentro de los tres (3) días hábiles siguientes a la publicación parámetros</w:t>
            </w:r>
          </w:p>
        </w:tc>
      </w:tr>
      <w:tr w:rsidR="007710CE" w:rsidRPr="00AE2220" w:rsidTr="00B85A78">
        <w:trPr>
          <w:cantSplit/>
          <w:trHeight w:val="793"/>
        </w:trPr>
        <w:tc>
          <w:tcPr>
            <w:tcW w:w="970" w:type="pct"/>
            <w:tcBorders>
              <w:top w:val="nil"/>
              <w:left w:val="single" w:sz="4" w:space="0" w:color="auto"/>
              <w:bottom w:val="single" w:sz="4" w:space="0" w:color="000000"/>
              <w:right w:val="single" w:sz="4" w:space="0" w:color="auto"/>
            </w:tcBorders>
            <w:noWrap/>
            <w:vAlign w:val="center"/>
          </w:tcPr>
          <w:p w:rsidR="007710CE" w:rsidRPr="00AE2220" w:rsidRDefault="007710CE" w:rsidP="00B85A78">
            <w:pPr>
              <w:ind w:left="72"/>
              <w:rPr>
                <w:rFonts w:ascii="Bookman Old Style" w:hAnsi="Bookman Old Style" w:cs="Arial"/>
                <w:sz w:val="20"/>
                <w:szCs w:val="20"/>
              </w:rPr>
            </w:pPr>
            <w:r w:rsidRPr="00AE2220">
              <w:rPr>
                <w:rFonts w:ascii="Bookman Old Style" w:hAnsi="Bookman Old Style" w:cs="Arial"/>
                <w:sz w:val="20"/>
                <w:szCs w:val="20"/>
              </w:rPr>
              <w:t>Verificación</w:t>
            </w:r>
            <w:r>
              <w:rPr>
                <w:rFonts w:ascii="Bookman Old Style" w:hAnsi="Bookman Old Style" w:cs="Arial"/>
                <w:sz w:val="20"/>
                <w:szCs w:val="20"/>
              </w:rPr>
              <w:t xml:space="preserve"> de ENFICC</w:t>
            </w:r>
          </w:p>
        </w:tc>
        <w:tc>
          <w:tcPr>
            <w:tcW w:w="2016" w:type="pct"/>
            <w:tcBorders>
              <w:top w:val="nil"/>
              <w:left w:val="nil"/>
              <w:bottom w:val="single" w:sz="4" w:space="0" w:color="auto"/>
              <w:right w:val="single" w:sz="4" w:space="0" w:color="auto"/>
            </w:tcBorders>
            <w:vAlign w:val="center"/>
          </w:tcPr>
          <w:p w:rsidR="007710CE" w:rsidRPr="00AE2220" w:rsidRDefault="007710CE" w:rsidP="00B85A78">
            <w:pPr>
              <w:ind w:left="0" w:right="142"/>
              <w:rPr>
                <w:rFonts w:ascii="Bookman Old Style" w:hAnsi="Bookman Old Style" w:cs="Arial"/>
                <w:sz w:val="20"/>
                <w:szCs w:val="20"/>
              </w:rPr>
            </w:pPr>
            <w:r w:rsidRPr="00AE2220">
              <w:rPr>
                <w:rFonts w:ascii="Bookman Old Style" w:hAnsi="Bookman Old Style" w:cs="Arial"/>
                <w:sz w:val="20"/>
                <w:szCs w:val="20"/>
              </w:rPr>
              <w:t>Verificación y solicitud de aclaraciones a la declaración de ENFICC.</w:t>
            </w:r>
          </w:p>
        </w:tc>
        <w:tc>
          <w:tcPr>
            <w:tcW w:w="1120" w:type="pct"/>
            <w:tcBorders>
              <w:top w:val="single" w:sz="4" w:space="0" w:color="auto"/>
              <w:left w:val="nil"/>
              <w:bottom w:val="single" w:sz="4" w:space="0" w:color="auto"/>
              <w:right w:val="single" w:sz="4" w:space="0" w:color="auto"/>
            </w:tcBorders>
            <w:noWrap/>
            <w:vAlign w:val="center"/>
          </w:tcPr>
          <w:p w:rsidR="007710CE" w:rsidRPr="00AE2220" w:rsidRDefault="007710CE" w:rsidP="00B85A78">
            <w:pPr>
              <w:ind w:left="36"/>
              <w:jc w:val="center"/>
              <w:rPr>
                <w:rFonts w:ascii="Bookman Old Style" w:hAnsi="Bookman Old Style" w:cs="Arial"/>
                <w:sz w:val="20"/>
                <w:szCs w:val="20"/>
              </w:rPr>
            </w:pPr>
            <w:r w:rsidRPr="00AE2220">
              <w:rPr>
                <w:rFonts w:ascii="Bookman Old Style" w:hAnsi="Bookman Old Style" w:cs="Arial"/>
                <w:sz w:val="20"/>
                <w:szCs w:val="20"/>
              </w:rPr>
              <w:t>CND-CREG</w:t>
            </w:r>
          </w:p>
        </w:tc>
        <w:tc>
          <w:tcPr>
            <w:tcW w:w="895" w:type="pct"/>
            <w:tcBorders>
              <w:top w:val="single" w:sz="4" w:space="0" w:color="auto"/>
              <w:left w:val="nil"/>
              <w:bottom w:val="single" w:sz="4" w:space="0" w:color="auto"/>
              <w:right w:val="single" w:sz="4" w:space="0" w:color="auto"/>
            </w:tcBorders>
            <w:vAlign w:val="center"/>
          </w:tcPr>
          <w:p w:rsidR="007710CE" w:rsidRPr="00AE2220" w:rsidRDefault="007710CE" w:rsidP="00B85A78">
            <w:pPr>
              <w:ind w:left="20"/>
              <w:rPr>
                <w:rFonts w:ascii="Bookman Old Style" w:hAnsi="Bookman Old Style" w:cs="Arial"/>
                <w:sz w:val="20"/>
                <w:szCs w:val="20"/>
              </w:rPr>
            </w:pPr>
            <w:r>
              <w:rPr>
                <w:rFonts w:ascii="Bookman Old Style" w:hAnsi="Bookman Old Style" w:cs="Arial"/>
                <w:sz w:val="20"/>
                <w:szCs w:val="20"/>
              </w:rPr>
              <w:t>Dentro de los cinco (5) días hábiles siguientes a la declaración de ENFICC</w:t>
            </w:r>
          </w:p>
        </w:tc>
      </w:tr>
      <w:tr w:rsidR="007710CE" w:rsidRPr="00AE2220" w:rsidTr="00B85A78">
        <w:trPr>
          <w:trHeight w:val="1530"/>
        </w:trPr>
        <w:tc>
          <w:tcPr>
            <w:tcW w:w="970" w:type="pct"/>
            <w:tcBorders>
              <w:top w:val="single" w:sz="4" w:space="0" w:color="auto"/>
              <w:left w:val="single" w:sz="4" w:space="0" w:color="auto"/>
              <w:bottom w:val="single" w:sz="4" w:space="0" w:color="auto"/>
              <w:right w:val="single" w:sz="4" w:space="0" w:color="auto"/>
            </w:tcBorders>
            <w:vAlign w:val="center"/>
          </w:tcPr>
          <w:p w:rsidR="007710CE" w:rsidRPr="00AE2220" w:rsidRDefault="007710CE" w:rsidP="00B85A78">
            <w:pPr>
              <w:ind w:left="72"/>
              <w:rPr>
                <w:rFonts w:ascii="Bookman Old Style" w:hAnsi="Bookman Old Style" w:cs="Arial"/>
                <w:sz w:val="20"/>
                <w:szCs w:val="20"/>
              </w:rPr>
            </w:pPr>
            <w:r w:rsidRPr="00AE2220">
              <w:rPr>
                <w:rFonts w:ascii="Bookman Old Style" w:hAnsi="Bookman Old Style" w:cs="Arial"/>
                <w:sz w:val="20"/>
                <w:szCs w:val="20"/>
              </w:rPr>
              <w:t>Publicación de resultados de la asignación</w:t>
            </w:r>
          </w:p>
        </w:tc>
        <w:tc>
          <w:tcPr>
            <w:tcW w:w="2016" w:type="pct"/>
            <w:tcBorders>
              <w:top w:val="single" w:sz="4" w:space="0" w:color="auto"/>
              <w:left w:val="nil"/>
              <w:bottom w:val="single" w:sz="4" w:space="0" w:color="auto"/>
              <w:right w:val="single" w:sz="4" w:space="0" w:color="auto"/>
            </w:tcBorders>
            <w:vAlign w:val="center"/>
          </w:tcPr>
          <w:p w:rsidR="007710CE" w:rsidRPr="00AE2220" w:rsidRDefault="007710CE" w:rsidP="00B85A78">
            <w:pPr>
              <w:ind w:left="0" w:right="142"/>
              <w:rPr>
                <w:rFonts w:ascii="Bookman Old Style" w:hAnsi="Bookman Old Style" w:cs="Arial"/>
                <w:sz w:val="20"/>
                <w:szCs w:val="20"/>
              </w:rPr>
            </w:pPr>
            <w:r w:rsidRPr="00AE2220">
              <w:rPr>
                <w:rFonts w:ascii="Bookman Old Style" w:hAnsi="Bookman Old Style" w:cs="Arial"/>
                <w:sz w:val="20"/>
                <w:szCs w:val="20"/>
              </w:rPr>
              <w:t>Publicación de la asignación de OEF a cada planta y/o unidad.</w:t>
            </w:r>
          </w:p>
        </w:tc>
        <w:tc>
          <w:tcPr>
            <w:tcW w:w="1120" w:type="pct"/>
            <w:tcBorders>
              <w:top w:val="single" w:sz="4" w:space="0" w:color="auto"/>
              <w:left w:val="nil"/>
              <w:bottom w:val="single" w:sz="4" w:space="0" w:color="auto"/>
              <w:right w:val="single" w:sz="4" w:space="0" w:color="auto"/>
            </w:tcBorders>
            <w:noWrap/>
            <w:vAlign w:val="center"/>
          </w:tcPr>
          <w:p w:rsidR="007710CE" w:rsidRPr="00AE2220" w:rsidRDefault="007710CE" w:rsidP="00B85A78">
            <w:pPr>
              <w:ind w:left="36"/>
              <w:jc w:val="center"/>
              <w:rPr>
                <w:rFonts w:ascii="Bookman Old Style" w:hAnsi="Bookman Old Style" w:cs="Arial"/>
                <w:sz w:val="20"/>
                <w:szCs w:val="20"/>
              </w:rPr>
            </w:pPr>
            <w:r w:rsidRPr="00AE2220">
              <w:rPr>
                <w:rFonts w:ascii="Bookman Old Style" w:hAnsi="Bookman Old Style" w:cs="Arial"/>
                <w:sz w:val="20"/>
                <w:szCs w:val="20"/>
              </w:rPr>
              <w:t>ASIC</w:t>
            </w:r>
          </w:p>
        </w:tc>
        <w:tc>
          <w:tcPr>
            <w:tcW w:w="895" w:type="pct"/>
            <w:tcBorders>
              <w:top w:val="single" w:sz="4" w:space="0" w:color="auto"/>
              <w:left w:val="nil"/>
              <w:bottom w:val="single" w:sz="4" w:space="0" w:color="auto"/>
              <w:right w:val="single" w:sz="4" w:space="0" w:color="auto"/>
            </w:tcBorders>
            <w:vAlign w:val="center"/>
          </w:tcPr>
          <w:p w:rsidR="007710CE" w:rsidRPr="00AE2220" w:rsidRDefault="007710CE" w:rsidP="00B85A78">
            <w:pPr>
              <w:ind w:left="20"/>
              <w:rPr>
                <w:rFonts w:ascii="Bookman Old Style" w:hAnsi="Bookman Old Style" w:cs="Arial"/>
                <w:sz w:val="20"/>
                <w:szCs w:val="20"/>
              </w:rPr>
            </w:pPr>
            <w:r>
              <w:rPr>
                <w:rFonts w:ascii="Bookman Old Style" w:hAnsi="Bookman Old Style" w:cs="Arial"/>
                <w:sz w:val="20"/>
                <w:szCs w:val="20"/>
              </w:rPr>
              <w:t>Dentro de los tres (3) días hábiles siguientes a la verificación de ENFICC</w:t>
            </w:r>
          </w:p>
        </w:tc>
      </w:tr>
      <w:tr w:rsidR="007710CE" w:rsidRPr="00AE2220" w:rsidTr="00B85A78">
        <w:trPr>
          <w:trHeight w:val="1530"/>
        </w:trPr>
        <w:tc>
          <w:tcPr>
            <w:tcW w:w="970" w:type="pct"/>
            <w:tcBorders>
              <w:top w:val="single" w:sz="4" w:space="0" w:color="auto"/>
              <w:left w:val="single" w:sz="4" w:space="0" w:color="auto"/>
              <w:bottom w:val="single" w:sz="4" w:space="0" w:color="auto"/>
              <w:right w:val="single" w:sz="4" w:space="0" w:color="auto"/>
            </w:tcBorders>
            <w:vAlign w:val="center"/>
          </w:tcPr>
          <w:p w:rsidR="007710CE" w:rsidRPr="00AE2220" w:rsidRDefault="007710CE" w:rsidP="00B85A78">
            <w:pPr>
              <w:ind w:left="72"/>
              <w:rPr>
                <w:rFonts w:ascii="Bookman Old Style" w:hAnsi="Bookman Old Style" w:cs="Arial"/>
                <w:sz w:val="20"/>
                <w:szCs w:val="20"/>
              </w:rPr>
            </w:pPr>
            <w:r w:rsidRPr="00AE2220">
              <w:rPr>
                <w:rFonts w:ascii="Bookman Old Style" w:hAnsi="Bookman Old Style" w:cs="Arial"/>
                <w:sz w:val="20"/>
                <w:szCs w:val="20"/>
              </w:rPr>
              <w:t>Entrega de contratos o garantías y certificación actividades de operación y mantenimiento</w:t>
            </w:r>
          </w:p>
        </w:tc>
        <w:tc>
          <w:tcPr>
            <w:tcW w:w="2016" w:type="pct"/>
            <w:tcBorders>
              <w:top w:val="single" w:sz="4" w:space="0" w:color="auto"/>
              <w:left w:val="nil"/>
              <w:bottom w:val="single" w:sz="4" w:space="0" w:color="auto"/>
              <w:right w:val="single" w:sz="4" w:space="0" w:color="auto"/>
            </w:tcBorders>
            <w:vAlign w:val="center"/>
          </w:tcPr>
          <w:p w:rsidR="007710CE" w:rsidRDefault="007710CE" w:rsidP="00B85A78">
            <w:pPr>
              <w:ind w:left="0" w:right="142"/>
              <w:rPr>
                <w:rFonts w:ascii="Bookman Old Style" w:hAnsi="Bookman Old Style" w:cs="Arial"/>
                <w:sz w:val="20"/>
                <w:szCs w:val="20"/>
              </w:rPr>
            </w:pPr>
            <w:r w:rsidRPr="00AE2220">
              <w:rPr>
                <w:rFonts w:ascii="Bookman Old Style" w:hAnsi="Bookman Old Style" w:cs="Arial"/>
                <w:sz w:val="20"/>
                <w:szCs w:val="20"/>
              </w:rPr>
              <w:t xml:space="preserve">Entrega de contratos de combustible o garantías. </w:t>
            </w:r>
          </w:p>
          <w:p w:rsidR="007710CE" w:rsidRDefault="007710CE" w:rsidP="00B85A78">
            <w:pPr>
              <w:ind w:left="0" w:right="142"/>
              <w:rPr>
                <w:rFonts w:ascii="Bookman Old Style" w:hAnsi="Bookman Old Style" w:cs="Arial"/>
                <w:sz w:val="20"/>
                <w:szCs w:val="20"/>
              </w:rPr>
            </w:pPr>
          </w:p>
          <w:p w:rsidR="007710CE" w:rsidRPr="00AE2220" w:rsidRDefault="007710CE" w:rsidP="00B85A78">
            <w:pPr>
              <w:ind w:left="0" w:right="142"/>
              <w:rPr>
                <w:rFonts w:ascii="Bookman Old Style" w:hAnsi="Bookman Old Style" w:cs="Arial"/>
                <w:sz w:val="20"/>
                <w:szCs w:val="20"/>
              </w:rPr>
            </w:pPr>
            <w:r w:rsidRPr="00AE2220">
              <w:rPr>
                <w:rFonts w:ascii="Bookman Old Style" w:hAnsi="Bookman Old Style" w:cs="Arial"/>
                <w:sz w:val="20"/>
                <w:szCs w:val="20"/>
              </w:rPr>
              <w:t>Para plantas térmicas a carbón las garantías, durante el período de planeación, pueden ser el  certificado del Plan de Trabajo y Obras y la carta de intención presentada según el artículo 46 de la Resolución CREG 071 de 2006.</w:t>
            </w:r>
          </w:p>
          <w:p w:rsidR="007710CE" w:rsidRPr="00AE2220" w:rsidRDefault="007710CE" w:rsidP="00B85A78">
            <w:pPr>
              <w:ind w:left="0" w:right="142"/>
              <w:rPr>
                <w:rFonts w:ascii="Bookman Old Style" w:hAnsi="Bookman Old Style" w:cs="Arial"/>
                <w:sz w:val="20"/>
                <w:szCs w:val="20"/>
              </w:rPr>
            </w:pPr>
          </w:p>
          <w:p w:rsidR="007710CE" w:rsidRPr="00AE2220" w:rsidRDefault="007710CE" w:rsidP="00B85A78">
            <w:pPr>
              <w:ind w:left="0" w:right="142"/>
              <w:rPr>
                <w:rFonts w:ascii="Bookman Old Style" w:hAnsi="Bookman Old Style" w:cs="Arial"/>
                <w:sz w:val="20"/>
                <w:szCs w:val="20"/>
              </w:rPr>
            </w:pPr>
            <w:r w:rsidRPr="00AE2220">
              <w:rPr>
                <w:rFonts w:ascii="Bookman Old Style" w:hAnsi="Bookman Old Style" w:cs="Arial"/>
                <w:sz w:val="20"/>
                <w:szCs w:val="20"/>
              </w:rPr>
              <w:t>Para plantas o unidades que respalden la obligación con combustible líquido pueden aplicar lo definido en el Artículo 13 de la Resolución CREG 085 de 2007.</w:t>
            </w:r>
          </w:p>
          <w:p w:rsidR="007710CE" w:rsidRPr="00AE2220" w:rsidRDefault="007710CE" w:rsidP="00B85A78">
            <w:pPr>
              <w:ind w:left="0" w:right="142"/>
              <w:rPr>
                <w:rFonts w:ascii="Bookman Old Style" w:hAnsi="Bookman Old Style" w:cs="Arial"/>
                <w:sz w:val="20"/>
                <w:szCs w:val="20"/>
              </w:rPr>
            </w:pPr>
          </w:p>
          <w:p w:rsidR="007710CE" w:rsidRDefault="007710CE" w:rsidP="00B85A78">
            <w:pPr>
              <w:ind w:left="0" w:right="142"/>
              <w:rPr>
                <w:rFonts w:ascii="Bookman Old Style" w:hAnsi="Bookman Old Style" w:cs="Arial"/>
                <w:sz w:val="20"/>
                <w:szCs w:val="20"/>
              </w:rPr>
            </w:pPr>
            <w:r w:rsidRPr="00CE1927">
              <w:rPr>
                <w:rFonts w:ascii="Bookman Old Style" w:hAnsi="Bookman Old Style" w:cs="Arial"/>
                <w:sz w:val="20"/>
                <w:szCs w:val="20"/>
              </w:rPr>
              <w:t xml:space="preserve">Para plantas térmicas con gas natural importado aplicarán lo definido en la </w:t>
            </w:r>
            <w:r>
              <w:rPr>
                <w:rFonts w:ascii="Bookman Old Style" w:hAnsi="Bookman Old Style" w:cs="Arial"/>
                <w:sz w:val="20"/>
                <w:szCs w:val="20"/>
              </w:rPr>
              <w:t>R</w:t>
            </w:r>
            <w:r w:rsidRPr="00CE1927">
              <w:rPr>
                <w:rFonts w:ascii="Bookman Old Style" w:hAnsi="Bookman Old Style" w:cs="Arial"/>
                <w:sz w:val="20"/>
                <w:szCs w:val="20"/>
              </w:rPr>
              <w:t xml:space="preserve">esolución </w:t>
            </w:r>
            <w:r>
              <w:rPr>
                <w:rFonts w:ascii="Bookman Old Style" w:hAnsi="Bookman Old Style" w:cs="Arial"/>
                <w:sz w:val="20"/>
                <w:szCs w:val="20"/>
              </w:rPr>
              <w:t>CREG-106 de 2011.</w:t>
            </w:r>
          </w:p>
          <w:p w:rsidR="007710CE" w:rsidRDefault="007710CE" w:rsidP="00B85A78">
            <w:pPr>
              <w:ind w:left="0" w:right="142"/>
              <w:rPr>
                <w:rFonts w:ascii="Bookman Old Style" w:hAnsi="Bookman Old Style" w:cs="Arial"/>
                <w:sz w:val="20"/>
                <w:szCs w:val="20"/>
              </w:rPr>
            </w:pPr>
          </w:p>
          <w:p w:rsidR="007710CE" w:rsidRPr="00AE2220" w:rsidRDefault="007710CE" w:rsidP="00B85A78">
            <w:pPr>
              <w:ind w:left="0" w:right="142"/>
              <w:rPr>
                <w:rFonts w:ascii="Bookman Old Style" w:hAnsi="Bookman Old Style" w:cs="Arial"/>
                <w:sz w:val="20"/>
                <w:szCs w:val="20"/>
              </w:rPr>
            </w:pPr>
            <w:r w:rsidRPr="00AE2220">
              <w:rPr>
                <w:rFonts w:ascii="Bookman Old Style" w:hAnsi="Bookman Old Style" w:cs="Arial"/>
                <w:sz w:val="20"/>
                <w:szCs w:val="20"/>
              </w:rPr>
              <w:t>La certificación de operación y mantenimiento será la definida en la Resolución CREG-005 de 2009.</w:t>
            </w:r>
          </w:p>
        </w:tc>
        <w:tc>
          <w:tcPr>
            <w:tcW w:w="1120" w:type="pct"/>
            <w:tcBorders>
              <w:top w:val="single" w:sz="4" w:space="0" w:color="auto"/>
              <w:left w:val="nil"/>
              <w:bottom w:val="single" w:sz="4" w:space="0" w:color="auto"/>
              <w:right w:val="single" w:sz="4" w:space="0" w:color="auto"/>
            </w:tcBorders>
            <w:noWrap/>
            <w:vAlign w:val="center"/>
          </w:tcPr>
          <w:p w:rsidR="007710CE" w:rsidRPr="00AE2220" w:rsidRDefault="007710CE" w:rsidP="00B85A78">
            <w:pPr>
              <w:ind w:left="36"/>
              <w:jc w:val="center"/>
              <w:rPr>
                <w:rFonts w:ascii="Bookman Old Style" w:hAnsi="Bookman Old Style" w:cs="Arial"/>
                <w:sz w:val="20"/>
                <w:szCs w:val="20"/>
              </w:rPr>
            </w:pPr>
            <w:r w:rsidRPr="00AE2220">
              <w:rPr>
                <w:rFonts w:ascii="Bookman Old Style" w:hAnsi="Bookman Old Style" w:cs="Arial"/>
                <w:sz w:val="20"/>
                <w:szCs w:val="20"/>
              </w:rPr>
              <w:t>Agentes</w:t>
            </w:r>
          </w:p>
        </w:tc>
        <w:tc>
          <w:tcPr>
            <w:tcW w:w="895" w:type="pct"/>
            <w:tcBorders>
              <w:top w:val="single" w:sz="4" w:space="0" w:color="auto"/>
              <w:left w:val="nil"/>
              <w:bottom w:val="single" w:sz="4" w:space="0" w:color="auto"/>
              <w:right w:val="single" w:sz="4" w:space="0" w:color="auto"/>
            </w:tcBorders>
            <w:vAlign w:val="center"/>
          </w:tcPr>
          <w:p w:rsidR="007710CE" w:rsidRPr="00AE2220" w:rsidRDefault="007710CE" w:rsidP="00B85A78">
            <w:pPr>
              <w:ind w:left="20"/>
              <w:rPr>
                <w:rFonts w:ascii="Bookman Old Style" w:hAnsi="Bookman Old Style" w:cs="Arial"/>
                <w:sz w:val="20"/>
                <w:szCs w:val="20"/>
              </w:rPr>
            </w:pPr>
            <w:r w:rsidRPr="00AE2220">
              <w:rPr>
                <w:rFonts w:ascii="Bookman Old Style" w:hAnsi="Bookman Old Style" w:cs="Arial"/>
                <w:sz w:val="20"/>
                <w:szCs w:val="20"/>
              </w:rPr>
              <w:t xml:space="preserve">Dentro de los </w:t>
            </w:r>
            <w:r>
              <w:rPr>
                <w:rFonts w:ascii="Bookman Old Style" w:hAnsi="Bookman Old Style" w:cs="Arial"/>
                <w:sz w:val="20"/>
                <w:szCs w:val="20"/>
              </w:rPr>
              <w:t>veinte (</w:t>
            </w:r>
            <w:r w:rsidRPr="00AE2220">
              <w:rPr>
                <w:rFonts w:ascii="Bookman Old Style" w:hAnsi="Bookman Old Style" w:cs="Arial"/>
                <w:sz w:val="20"/>
                <w:szCs w:val="20"/>
              </w:rPr>
              <w:t>20</w:t>
            </w:r>
            <w:r>
              <w:rPr>
                <w:rFonts w:ascii="Bookman Old Style" w:hAnsi="Bookman Old Style" w:cs="Arial"/>
                <w:sz w:val="20"/>
                <w:szCs w:val="20"/>
              </w:rPr>
              <w:t>)</w:t>
            </w:r>
            <w:r w:rsidRPr="00AE2220">
              <w:rPr>
                <w:rFonts w:ascii="Bookman Old Style" w:hAnsi="Bookman Old Style" w:cs="Arial"/>
                <w:sz w:val="20"/>
                <w:szCs w:val="20"/>
              </w:rPr>
              <w:t xml:space="preserve"> días hábiles siguientes a la publicación de </w:t>
            </w:r>
            <w:r>
              <w:rPr>
                <w:rFonts w:ascii="Bookman Old Style" w:hAnsi="Bookman Old Style" w:cs="Arial"/>
                <w:sz w:val="20"/>
                <w:szCs w:val="20"/>
              </w:rPr>
              <w:t xml:space="preserve">la </w:t>
            </w:r>
            <w:r w:rsidRPr="00AE2220">
              <w:rPr>
                <w:rFonts w:ascii="Bookman Old Style" w:hAnsi="Bookman Old Style" w:cs="Arial"/>
                <w:sz w:val="20"/>
                <w:szCs w:val="20"/>
              </w:rPr>
              <w:t>asignación</w:t>
            </w:r>
          </w:p>
        </w:tc>
      </w:tr>
      <w:tr w:rsidR="007710CE" w:rsidRPr="00AE2220" w:rsidTr="00B85A78">
        <w:trPr>
          <w:trHeight w:val="300"/>
        </w:trPr>
        <w:tc>
          <w:tcPr>
            <w:tcW w:w="970" w:type="pct"/>
            <w:tcBorders>
              <w:top w:val="single" w:sz="4" w:space="0" w:color="auto"/>
              <w:left w:val="single" w:sz="4" w:space="0" w:color="auto"/>
              <w:bottom w:val="single" w:sz="4" w:space="0" w:color="auto"/>
              <w:right w:val="single" w:sz="4" w:space="0" w:color="auto"/>
            </w:tcBorders>
            <w:vAlign w:val="center"/>
          </w:tcPr>
          <w:p w:rsidR="007710CE" w:rsidRPr="00AE2220" w:rsidRDefault="007710CE" w:rsidP="00B85A78">
            <w:pPr>
              <w:ind w:left="72"/>
              <w:rPr>
                <w:rFonts w:ascii="Bookman Old Style" w:hAnsi="Bookman Old Style" w:cs="Arial"/>
                <w:sz w:val="20"/>
                <w:szCs w:val="20"/>
              </w:rPr>
            </w:pPr>
            <w:r w:rsidRPr="00AE2220">
              <w:rPr>
                <w:rFonts w:ascii="Bookman Old Style" w:hAnsi="Bookman Old Style" w:cs="Arial"/>
                <w:sz w:val="20"/>
                <w:szCs w:val="20"/>
              </w:rPr>
              <w:t>Solicitud de aclaración de garantías que respaldan OEF</w:t>
            </w:r>
          </w:p>
        </w:tc>
        <w:tc>
          <w:tcPr>
            <w:tcW w:w="2016" w:type="pct"/>
            <w:tcBorders>
              <w:top w:val="single" w:sz="4" w:space="0" w:color="auto"/>
              <w:left w:val="nil"/>
              <w:bottom w:val="single" w:sz="4" w:space="0" w:color="auto"/>
              <w:right w:val="single" w:sz="4" w:space="0" w:color="auto"/>
            </w:tcBorders>
            <w:vAlign w:val="center"/>
          </w:tcPr>
          <w:p w:rsidR="007710CE" w:rsidRPr="00AE2220" w:rsidRDefault="007710CE" w:rsidP="00B85A78">
            <w:pPr>
              <w:ind w:left="0"/>
              <w:rPr>
                <w:rFonts w:ascii="Bookman Old Style" w:hAnsi="Bookman Old Style" w:cs="Arial"/>
                <w:sz w:val="20"/>
                <w:szCs w:val="20"/>
              </w:rPr>
            </w:pPr>
            <w:r w:rsidRPr="00AE2220">
              <w:rPr>
                <w:rFonts w:ascii="Bookman Old Style" w:hAnsi="Bookman Old Style" w:cs="Arial"/>
                <w:sz w:val="20"/>
                <w:szCs w:val="20"/>
              </w:rPr>
              <w:t>Solicitud de aclaración a la garantías remitidas</w:t>
            </w:r>
          </w:p>
        </w:tc>
        <w:tc>
          <w:tcPr>
            <w:tcW w:w="1120" w:type="pct"/>
            <w:tcBorders>
              <w:top w:val="single" w:sz="4" w:space="0" w:color="auto"/>
              <w:left w:val="nil"/>
              <w:bottom w:val="single" w:sz="4" w:space="0" w:color="auto"/>
              <w:right w:val="single" w:sz="4" w:space="0" w:color="auto"/>
            </w:tcBorders>
            <w:noWrap/>
            <w:vAlign w:val="center"/>
          </w:tcPr>
          <w:p w:rsidR="007710CE" w:rsidRPr="00AE2220" w:rsidRDefault="007710CE" w:rsidP="00B85A78">
            <w:pPr>
              <w:ind w:left="36"/>
              <w:jc w:val="center"/>
              <w:rPr>
                <w:rFonts w:ascii="Bookman Old Style" w:hAnsi="Bookman Old Style" w:cs="Arial"/>
                <w:sz w:val="20"/>
                <w:szCs w:val="20"/>
              </w:rPr>
            </w:pPr>
            <w:r w:rsidRPr="00AE2220">
              <w:rPr>
                <w:rFonts w:ascii="Bookman Old Style" w:hAnsi="Bookman Old Style" w:cs="Arial"/>
                <w:sz w:val="20"/>
                <w:szCs w:val="20"/>
              </w:rPr>
              <w:t>ASIC</w:t>
            </w:r>
          </w:p>
        </w:tc>
        <w:tc>
          <w:tcPr>
            <w:tcW w:w="895" w:type="pct"/>
            <w:tcBorders>
              <w:top w:val="single" w:sz="4" w:space="0" w:color="auto"/>
              <w:left w:val="nil"/>
              <w:bottom w:val="single" w:sz="4" w:space="0" w:color="auto"/>
              <w:right w:val="single" w:sz="4" w:space="0" w:color="auto"/>
            </w:tcBorders>
            <w:vAlign w:val="center"/>
          </w:tcPr>
          <w:p w:rsidR="007710CE" w:rsidRPr="00AE2220" w:rsidRDefault="007710CE" w:rsidP="00B85A78">
            <w:pPr>
              <w:ind w:left="20"/>
              <w:rPr>
                <w:rFonts w:ascii="Bookman Old Style" w:hAnsi="Bookman Old Style" w:cs="Arial"/>
                <w:sz w:val="20"/>
                <w:szCs w:val="20"/>
              </w:rPr>
            </w:pPr>
            <w:r w:rsidRPr="00AE2220">
              <w:rPr>
                <w:rFonts w:ascii="Bookman Old Style" w:hAnsi="Bookman Old Style" w:cs="Arial"/>
                <w:sz w:val="20"/>
                <w:szCs w:val="20"/>
              </w:rPr>
              <w:t>Dentro de los cinco (5) días hábiles siguientes a la entrega de contratos o garantías.</w:t>
            </w:r>
          </w:p>
        </w:tc>
      </w:tr>
      <w:tr w:rsidR="007710CE" w:rsidRPr="00AE2220" w:rsidTr="00B85A78">
        <w:trPr>
          <w:trHeight w:val="1530"/>
        </w:trPr>
        <w:tc>
          <w:tcPr>
            <w:tcW w:w="970" w:type="pct"/>
            <w:tcBorders>
              <w:top w:val="single" w:sz="4" w:space="0" w:color="auto"/>
              <w:left w:val="single" w:sz="4" w:space="0" w:color="auto"/>
              <w:bottom w:val="single" w:sz="4" w:space="0" w:color="auto"/>
              <w:right w:val="single" w:sz="4" w:space="0" w:color="auto"/>
            </w:tcBorders>
            <w:vAlign w:val="center"/>
          </w:tcPr>
          <w:p w:rsidR="007710CE" w:rsidRPr="00AE2220" w:rsidRDefault="007710CE" w:rsidP="00B85A78">
            <w:pPr>
              <w:ind w:left="72"/>
              <w:rPr>
                <w:rFonts w:ascii="Bookman Old Style" w:hAnsi="Bookman Old Style" w:cs="Arial"/>
                <w:sz w:val="20"/>
                <w:szCs w:val="20"/>
              </w:rPr>
            </w:pPr>
            <w:r w:rsidRPr="00AE2220">
              <w:rPr>
                <w:rFonts w:ascii="Bookman Old Style" w:hAnsi="Bookman Old Style" w:cs="Arial"/>
                <w:sz w:val="20"/>
                <w:szCs w:val="20"/>
              </w:rPr>
              <w:lastRenderedPageBreak/>
              <w:t>Expedición de certificado de asignación de Obligaciones de Energía Firme</w:t>
            </w:r>
          </w:p>
        </w:tc>
        <w:tc>
          <w:tcPr>
            <w:tcW w:w="2016" w:type="pct"/>
            <w:tcBorders>
              <w:top w:val="single" w:sz="4" w:space="0" w:color="auto"/>
              <w:left w:val="nil"/>
              <w:bottom w:val="single" w:sz="4" w:space="0" w:color="auto"/>
              <w:right w:val="single" w:sz="4" w:space="0" w:color="auto"/>
            </w:tcBorders>
            <w:vAlign w:val="center"/>
          </w:tcPr>
          <w:p w:rsidR="007710CE" w:rsidRPr="00AE2220" w:rsidRDefault="007710CE" w:rsidP="00B85A78">
            <w:pPr>
              <w:ind w:left="0"/>
              <w:rPr>
                <w:rFonts w:ascii="Bookman Old Style" w:hAnsi="Bookman Old Style" w:cs="Arial"/>
                <w:sz w:val="20"/>
                <w:szCs w:val="20"/>
              </w:rPr>
            </w:pPr>
            <w:r w:rsidRPr="00AE2220">
              <w:rPr>
                <w:rFonts w:ascii="Bookman Old Style" w:hAnsi="Bookman Old Style" w:cs="Arial"/>
                <w:sz w:val="20"/>
                <w:szCs w:val="20"/>
              </w:rPr>
              <w:t>Certificado expedido por el ASIC de conformidad con la regulación vigente</w:t>
            </w:r>
          </w:p>
        </w:tc>
        <w:tc>
          <w:tcPr>
            <w:tcW w:w="1120" w:type="pct"/>
            <w:tcBorders>
              <w:top w:val="single" w:sz="4" w:space="0" w:color="auto"/>
              <w:left w:val="nil"/>
              <w:bottom w:val="single" w:sz="4" w:space="0" w:color="auto"/>
              <w:right w:val="single" w:sz="4" w:space="0" w:color="auto"/>
            </w:tcBorders>
            <w:noWrap/>
            <w:vAlign w:val="center"/>
          </w:tcPr>
          <w:p w:rsidR="007710CE" w:rsidRPr="00AE2220" w:rsidRDefault="007710CE" w:rsidP="00B85A78">
            <w:pPr>
              <w:ind w:left="36"/>
              <w:jc w:val="center"/>
              <w:rPr>
                <w:rFonts w:ascii="Bookman Old Style" w:hAnsi="Bookman Old Style" w:cs="Arial"/>
                <w:sz w:val="20"/>
                <w:szCs w:val="20"/>
              </w:rPr>
            </w:pPr>
            <w:r w:rsidRPr="00AE2220">
              <w:rPr>
                <w:rFonts w:ascii="Bookman Old Style" w:hAnsi="Bookman Old Style" w:cs="Arial"/>
                <w:sz w:val="20"/>
                <w:szCs w:val="20"/>
              </w:rPr>
              <w:t>ASIC</w:t>
            </w:r>
          </w:p>
        </w:tc>
        <w:tc>
          <w:tcPr>
            <w:tcW w:w="895" w:type="pct"/>
            <w:tcBorders>
              <w:top w:val="single" w:sz="4" w:space="0" w:color="auto"/>
              <w:left w:val="nil"/>
              <w:bottom w:val="single" w:sz="4" w:space="0" w:color="auto"/>
              <w:right w:val="single" w:sz="4" w:space="0" w:color="auto"/>
            </w:tcBorders>
            <w:vAlign w:val="center"/>
          </w:tcPr>
          <w:p w:rsidR="007710CE" w:rsidRPr="00AE2220" w:rsidRDefault="007710CE" w:rsidP="00B85A78">
            <w:pPr>
              <w:ind w:left="20"/>
              <w:rPr>
                <w:rFonts w:ascii="Bookman Old Style" w:hAnsi="Bookman Old Style" w:cs="Arial"/>
                <w:sz w:val="20"/>
                <w:szCs w:val="20"/>
              </w:rPr>
            </w:pPr>
            <w:r w:rsidRPr="00AE2220">
              <w:rPr>
                <w:rFonts w:ascii="Bookman Old Style" w:hAnsi="Bookman Old Style" w:cs="Arial"/>
                <w:sz w:val="20"/>
                <w:szCs w:val="20"/>
              </w:rPr>
              <w:t>Dentro de los dos (2) días hábiles siguientes a la solicitud de aclaración de garantías que respaldan OEF</w:t>
            </w:r>
          </w:p>
        </w:tc>
      </w:tr>
    </w:tbl>
    <w:p w:rsidR="00AE2220" w:rsidRDefault="00AE2220" w:rsidP="00AE2220">
      <w:pPr>
        <w:jc w:val="center"/>
        <w:rPr>
          <w:rFonts w:ascii="Bookman Old Style" w:hAnsi="Bookman Old Style" w:cs="Arial"/>
          <w:b/>
          <w:sz w:val="22"/>
          <w:szCs w:val="22"/>
        </w:rPr>
      </w:pPr>
    </w:p>
    <w:p w:rsidR="007710CE" w:rsidRDefault="007710CE" w:rsidP="00AE2220">
      <w:pPr>
        <w:jc w:val="center"/>
        <w:rPr>
          <w:rFonts w:ascii="Bookman Old Style" w:hAnsi="Bookman Old Style" w:cs="Arial"/>
          <w:b/>
          <w:sz w:val="22"/>
          <w:szCs w:val="22"/>
        </w:rPr>
      </w:pPr>
    </w:p>
    <w:p w:rsidR="00E77ECD" w:rsidRDefault="00E77ECD" w:rsidP="00AE2220">
      <w:pPr>
        <w:jc w:val="center"/>
        <w:rPr>
          <w:rFonts w:ascii="Bookman Old Style" w:hAnsi="Bookman Old Style" w:cs="Arial"/>
          <w:b/>
          <w:sz w:val="22"/>
          <w:szCs w:val="22"/>
        </w:rPr>
      </w:pPr>
    </w:p>
    <w:p w:rsidR="00E77ECD" w:rsidRDefault="00E77ECD" w:rsidP="00AE2220">
      <w:pPr>
        <w:jc w:val="center"/>
        <w:rPr>
          <w:rFonts w:ascii="Bookman Old Style" w:hAnsi="Bookman Old Style" w:cs="Arial"/>
          <w:b/>
          <w:sz w:val="22"/>
          <w:szCs w:val="22"/>
        </w:rPr>
      </w:pPr>
    </w:p>
    <w:p w:rsidR="00E77ECD" w:rsidRDefault="00E77ECD" w:rsidP="00AE2220">
      <w:pPr>
        <w:jc w:val="center"/>
        <w:rPr>
          <w:rFonts w:ascii="Bookman Old Style" w:hAnsi="Bookman Old Style" w:cs="Arial"/>
          <w:b/>
          <w:sz w:val="22"/>
          <w:szCs w:val="22"/>
        </w:rPr>
      </w:pPr>
    </w:p>
    <w:p w:rsidR="00E77ECD" w:rsidRDefault="00E77ECD" w:rsidP="00AE2220">
      <w:pPr>
        <w:jc w:val="center"/>
        <w:rPr>
          <w:rFonts w:ascii="Bookman Old Style" w:hAnsi="Bookman Old Style" w:cs="Arial"/>
          <w:b/>
          <w:sz w:val="22"/>
          <w:szCs w:val="22"/>
        </w:rPr>
      </w:pPr>
    </w:p>
    <w:tbl>
      <w:tblPr>
        <w:tblW w:w="0" w:type="auto"/>
        <w:jc w:val="center"/>
        <w:tblCellSpacing w:w="0" w:type="dxa"/>
        <w:tblInd w:w="-1546" w:type="dxa"/>
        <w:tblCellMar>
          <w:left w:w="0" w:type="dxa"/>
          <w:right w:w="0" w:type="dxa"/>
        </w:tblCellMar>
        <w:tblLook w:val="0000" w:firstRow="0" w:lastRow="0" w:firstColumn="0" w:lastColumn="0" w:noHBand="0" w:noVBand="0"/>
      </w:tblPr>
      <w:tblGrid>
        <w:gridCol w:w="4601"/>
        <w:gridCol w:w="4394"/>
      </w:tblGrid>
      <w:tr w:rsidR="00E77ECD" w:rsidRPr="003B187B" w:rsidTr="007336F1">
        <w:trPr>
          <w:tblCellSpacing w:w="0" w:type="dxa"/>
          <w:jc w:val="center"/>
        </w:trPr>
        <w:tc>
          <w:tcPr>
            <w:tcW w:w="4601" w:type="dxa"/>
          </w:tcPr>
          <w:p w:rsidR="00E77ECD" w:rsidRPr="003B187B" w:rsidRDefault="00E77ECD" w:rsidP="007336F1">
            <w:pPr>
              <w:ind w:left="-26"/>
              <w:jc w:val="center"/>
              <w:rPr>
                <w:rFonts w:ascii="Bookman Old Style" w:eastAsia="Arial Unicode MS" w:hAnsi="Bookman Old Style"/>
                <w:b/>
                <w:bCs/>
                <w:color w:val="000000"/>
              </w:rPr>
            </w:pPr>
            <w:r w:rsidRPr="003B187B">
              <w:rPr>
                <w:rFonts w:ascii="Bookman Old Style" w:hAnsi="Bookman Old Style"/>
                <w:b/>
                <w:bCs/>
              </w:rPr>
              <w:t>TOMÁS GONZÁLEZ ESTRADA</w:t>
            </w:r>
          </w:p>
        </w:tc>
        <w:tc>
          <w:tcPr>
            <w:tcW w:w="4394" w:type="dxa"/>
          </w:tcPr>
          <w:p w:rsidR="00E77ECD" w:rsidRPr="003B187B" w:rsidRDefault="00E77ECD" w:rsidP="007336F1">
            <w:pPr>
              <w:ind w:left="0" w:right="-26"/>
              <w:jc w:val="center"/>
              <w:rPr>
                <w:rFonts w:ascii="Bookman Old Style" w:eastAsia="Arial Unicode MS" w:hAnsi="Bookman Old Style"/>
                <w:b/>
                <w:bCs/>
              </w:rPr>
            </w:pPr>
            <w:r>
              <w:rPr>
                <w:rFonts w:ascii="Bookman Old Style" w:hAnsi="Bookman Old Style" w:cs="Arial"/>
                <w:b/>
                <w:spacing w:val="-3"/>
                <w:szCs w:val="20"/>
              </w:rPr>
              <w:t>JORGE PINTO NOLLA</w:t>
            </w:r>
          </w:p>
        </w:tc>
      </w:tr>
      <w:tr w:rsidR="00E77ECD" w:rsidRPr="003B187B" w:rsidTr="007336F1">
        <w:trPr>
          <w:tblCellSpacing w:w="0" w:type="dxa"/>
          <w:jc w:val="center"/>
        </w:trPr>
        <w:tc>
          <w:tcPr>
            <w:tcW w:w="4601" w:type="dxa"/>
          </w:tcPr>
          <w:p w:rsidR="00E77ECD" w:rsidRPr="003B187B" w:rsidRDefault="00E77ECD" w:rsidP="007336F1">
            <w:pPr>
              <w:ind w:left="-26"/>
              <w:jc w:val="center"/>
              <w:rPr>
                <w:rFonts w:ascii="Bookman Old Style" w:eastAsia="Arial Unicode MS" w:hAnsi="Bookman Old Style" w:cs="Arial"/>
                <w:color w:val="000000"/>
              </w:rPr>
            </w:pPr>
            <w:r>
              <w:rPr>
                <w:rFonts w:ascii="Bookman Old Style" w:hAnsi="Bookman Old Style" w:cs="Arial"/>
                <w:szCs w:val="27"/>
              </w:rPr>
              <w:t>M</w:t>
            </w:r>
            <w:r w:rsidRPr="003B187B">
              <w:rPr>
                <w:rFonts w:ascii="Bookman Old Style" w:hAnsi="Bookman Old Style" w:cs="Arial"/>
                <w:szCs w:val="27"/>
              </w:rPr>
              <w:t>inistro de Minas y Energía</w:t>
            </w:r>
          </w:p>
        </w:tc>
        <w:tc>
          <w:tcPr>
            <w:tcW w:w="4394" w:type="dxa"/>
          </w:tcPr>
          <w:p w:rsidR="00E77ECD" w:rsidRPr="003B187B" w:rsidRDefault="00E77ECD" w:rsidP="007336F1">
            <w:pPr>
              <w:ind w:left="0"/>
              <w:jc w:val="center"/>
              <w:rPr>
                <w:rFonts w:ascii="Bookman Old Style" w:eastAsia="Arial Unicode MS" w:hAnsi="Bookman Old Style" w:cs="Arial"/>
                <w:color w:val="000000"/>
              </w:rPr>
            </w:pPr>
            <w:r w:rsidRPr="003B187B">
              <w:rPr>
                <w:rFonts w:ascii="Bookman Old Style" w:hAnsi="Bookman Old Style" w:cs="Arial"/>
                <w:szCs w:val="27"/>
              </w:rPr>
              <w:t>Director Ejecutivo</w:t>
            </w:r>
          </w:p>
        </w:tc>
      </w:tr>
      <w:tr w:rsidR="00E77ECD" w:rsidRPr="003B187B" w:rsidTr="007336F1">
        <w:trPr>
          <w:tblCellSpacing w:w="0" w:type="dxa"/>
          <w:jc w:val="center"/>
        </w:trPr>
        <w:tc>
          <w:tcPr>
            <w:tcW w:w="4601" w:type="dxa"/>
          </w:tcPr>
          <w:p w:rsidR="00E77ECD" w:rsidRPr="003B187B" w:rsidRDefault="00E77ECD" w:rsidP="007336F1">
            <w:pPr>
              <w:ind w:left="-26"/>
              <w:jc w:val="center"/>
              <w:rPr>
                <w:rFonts w:ascii="Bookman Old Style" w:eastAsia="Arial Unicode MS" w:hAnsi="Bookman Old Style" w:cs="Arial"/>
                <w:color w:val="000000"/>
              </w:rPr>
            </w:pPr>
            <w:r w:rsidRPr="003B187B">
              <w:rPr>
                <w:rFonts w:ascii="Bookman Old Style" w:hAnsi="Bookman Old Style" w:cs="Arial"/>
                <w:szCs w:val="27"/>
              </w:rPr>
              <w:t>Presidente</w:t>
            </w:r>
          </w:p>
        </w:tc>
        <w:tc>
          <w:tcPr>
            <w:tcW w:w="4394" w:type="dxa"/>
          </w:tcPr>
          <w:p w:rsidR="00E77ECD" w:rsidRPr="003B187B" w:rsidRDefault="00E77ECD" w:rsidP="007336F1">
            <w:pPr>
              <w:ind w:left="0"/>
              <w:jc w:val="center"/>
              <w:rPr>
                <w:rFonts w:ascii="Bookman Old Style" w:eastAsia="Arial Unicode MS" w:hAnsi="Bookman Old Style" w:cs="Arial"/>
                <w:color w:val="000000"/>
              </w:rPr>
            </w:pPr>
            <w:r w:rsidRPr="003B187B">
              <w:rPr>
                <w:rFonts w:ascii="Bookman Old Style" w:hAnsi="Bookman Old Style" w:cs="Arial"/>
                <w:noProof/>
                <w:lang w:val="es-CO" w:eastAsia="es-CO"/>
              </w:rPr>
              <w:drawing>
                <wp:inline distT="0" distB="0" distL="0" distR="0" wp14:anchorId="615289CB" wp14:editId="367D11C7">
                  <wp:extent cx="9525" cy="9525"/>
                  <wp:effectExtent l="19050" t="0" r="9525" b="0"/>
                  <wp:docPr id="5" name="Imagen 1" descr="ecbla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ecblank"/>
                          <pic:cNvPicPr>
                            <a:picLocks noChangeAspect="1" noChangeArrowheads="1"/>
                          </pic:cNvPicPr>
                        </pic:nvPicPr>
                        <pic:blipFill>
                          <a:blip r:embed="rId12"/>
                          <a:srcRect/>
                          <a:stretch>
                            <a:fillRect/>
                          </a:stretch>
                        </pic:blipFill>
                        <pic:spPr bwMode="auto">
                          <a:xfrm>
                            <a:off x="0" y="0"/>
                            <a:ext cx="9525" cy="9525"/>
                          </a:xfrm>
                          <a:prstGeom prst="rect">
                            <a:avLst/>
                          </a:prstGeom>
                          <a:noFill/>
                          <a:ln w="9525">
                            <a:noFill/>
                            <a:miter lim="800000"/>
                            <a:headEnd/>
                            <a:tailEnd/>
                          </a:ln>
                        </pic:spPr>
                      </pic:pic>
                    </a:graphicData>
                  </a:graphic>
                </wp:inline>
              </w:drawing>
            </w:r>
          </w:p>
        </w:tc>
      </w:tr>
    </w:tbl>
    <w:p w:rsidR="00E77ECD" w:rsidRDefault="00E77ECD" w:rsidP="00AE2220">
      <w:pPr>
        <w:jc w:val="center"/>
        <w:rPr>
          <w:rFonts w:ascii="Bookman Old Style" w:hAnsi="Bookman Old Style" w:cs="Arial"/>
          <w:b/>
          <w:sz w:val="22"/>
          <w:szCs w:val="22"/>
        </w:rPr>
      </w:pPr>
    </w:p>
    <w:p w:rsidR="007710CE" w:rsidRDefault="007710CE" w:rsidP="00AE2220">
      <w:pPr>
        <w:jc w:val="center"/>
        <w:rPr>
          <w:rFonts w:ascii="Bookman Old Style" w:hAnsi="Bookman Old Style" w:cs="Arial"/>
          <w:b/>
          <w:sz w:val="22"/>
          <w:szCs w:val="22"/>
        </w:rPr>
      </w:pPr>
    </w:p>
    <w:tbl>
      <w:tblPr>
        <w:tblW w:w="0" w:type="auto"/>
        <w:jc w:val="center"/>
        <w:tblLayout w:type="fixed"/>
        <w:tblCellMar>
          <w:left w:w="70" w:type="dxa"/>
          <w:right w:w="70" w:type="dxa"/>
        </w:tblCellMar>
        <w:tblLook w:val="0000" w:firstRow="0" w:lastRow="0" w:firstColumn="0" w:lastColumn="0" w:noHBand="0" w:noVBand="0"/>
      </w:tblPr>
      <w:tblGrid>
        <w:gridCol w:w="4491"/>
        <w:gridCol w:w="4491"/>
      </w:tblGrid>
      <w:tr w:rsidR="00AE2220" w:rsidTr="00F27802">
        <w:trPr>
          <w:trHeight w:val="349"/>
          <w:jc w:val="center"/>
        </w:trPr>
        <w:tc>
          <w:tcPr>
            <w:tcW w:w="4491" w:type="dxa"/>
            <w:vAlign w:val="center"/>
          </w:tcPr>
          <w:p w:rsidR="00AE2220" w:rsidRPr="003C3499" w:rsidRDefault="00AE2220" w:rsidP="00D72413">
            <w:pPr>
              <w:tabs>
                <w:tab w:val="left" w:pos="-720"/>
              </w:tabs>
              <w:snapToGrid w:val="0"/>
              <w:ind w:left="310"/>
              <w:jc w:val="center"/>
              <w:rPr>
                <w:rFonts w:ascii="Bookman Old Style" w:hAnsi="Bookman Old Style" w:cs="Arial"/>
                <w:b/>
                <w:spacing w:val="-3"/>
              </w:rPr>
            </w:pPr>
          </w:p>
        </w:tc>
        <w:tc>
          <w:tcPr>
            <w:tcW w:w="4491" w:type="dxa"/>
            <w:vAlign w:val="center"/>
          </w:tcPr>
          <w:p w:rsidR="00AE2220" w:rsidRPr="003C3499" w:rsidRDefault="00AE2220" w:rsidP="00D72413">
            <w:pPr>
              <w:tabs>
                <w:tab w:val="left" w:pos="-720"/>
              </w:tabs>
              <w:snapToGrid w:val="0"/>
              <w:ind w:left="72"/>
              <w:jc w:val="center"/>
              <w:rPr>
                <w:rFonts w:ascii="Bookman Old Style" w:hAnsi="Bookman Old Style" w:cs="Arial"/>
                <w:b/>
                <w:spacing w:val="-3"/>
              </w:rPr>
            </w:pPr>
          </w:p>
        </w:tc>
      </w:tr>
      <w:tr w:rsidR="00AE2220" w:rsidTr="00F27802">
        <w:trPr>
          <w:trHeight w:val="349"/>
          <w:jc w:val="center"/>
        </w:trPr>
        <w:tc>
          <w:tcPr>
            <w:tcW w:w="4491" w:type="dxa"/>
          </w:tcPr>
          <w:p w:rsidR="00AE2220" w:rsidRPr="003C3499" w:rsidRDefault="00AE2220" w:rsidP="00D72413">
            <w:pPr>
              <w:tabs>
                <w:tab w:val="left" w:pos="-720"/>
              </w:tabs>
              <w:snapToGrid w:val="0"/>
              <w:ind w:left="310"/>
              <w:jc w:val="center"/>
              <w:rPr>
                <w:rFonts w:ascii="Bookman Old Style" w:hAnsi="Bookman Old Style" w:cs="Arial"/>
                <w:spacing w:val="-3"/>
              </w:rPr>
            </w:pPr>
          </w:p>
        </w:tc>
        <w:tc>
          <w:tcPr>
            <w:tcW w:w="4491" w:type="dxa"/>
          </w:tcPr>
          <w:p w:rsidR="00AE2220" w:rsidRPr="003C3499" w:rsidRDefault="00AE2220" w:rsidP="00236864">
            <w:pPr>
              <w:tabs>
                <w:tab w:val="left" w:pos="-720"/>
              </w:tabs>
              <w:snapToGrid w:val="0"/>
              <w:jc w:val="center"/>
              <w:rPr>
                <w:rFonts w:ascii="Bookman Old Style" w:hAnsi="Bookman Old Style" w:cs="Arial"/>
                <w:spacing w:val="-3"/>
              </w:rPr>
            </w:pPr>
          </w:p>
        </w:tc>
      </w:tr>
      <w:tr w:rsidR="00AE2220" w:rsidTr="00F27802">
        <w:trPr>
          <w:trHeight w:val="349"/>
          <w:jc w:val="center"/>
        </w:trPr>
        <w:tc>
          <w:tcPr>
            <w:tcW w:w="4491" w:type="dxa"/>
          </w:tcPr>
          <w:p w:rsidR="00AE2220" w:rsidRPr="003C3499" w:rsidRDefault="00AE2220" w:rsidP="00E778D2">
            <w:pPr>
              <w:tabs>
                <w:tab w:val="left" w:pos="-720"/>
              </w:tabs>
              <w:snapToGrid w:val="0"/>
              <w:ind w:left="0"/>
              <w:rPr>
                <w:rFonts w:ascii="Bookman Old Style" w:hAnsi="Bookman Old Style" w:cs="Arial"/>
                <w:spacing w:val="-3"/>
              </w:rPr>
            </w:pPr>
          </w:p>
        </w:tc>
        <w:tc>
          <w:tcPr>
            <w:tcW w:w="4491" w:type="dxa"/>
          </w:tcPr>
          <w:p w:rsidR="00AE2220" w:rsidRPr="003C3499" w:rsidRDefault="00AE2220" w:rsidP="00236864">
            <w:pPr>
              <w:tabs>
                <w:tab w:val="left" w:pos="-720"/>
              </w:tabs>
              <w:snapToGrid w:val="0"/>
              <w:jc w:val="center"/>
              <w:rPr>
                <w:rFonts w:ascii="Bookman Old Style" w:hAnsi="Bookman Old Style" w:cs="Arial"/>
                <w:spacing w:val="-3"/>
              </w:rPr>
            </w:pPr>
          </w:p>
        </w:tc>
      </w:tr>
      <w:tr w:rsidR="00AE2220" w:rsidTr="00F27802">
        <w:trPr>
          <w:trHeight w:val="349"/>
          <w:jc w:val="center"/>
        </w:trPr>
        <w:tc>
          <w:tcPr>
            <w:tcW w:w="4491" w:type="dxa"/>
          </w:tcPr>
          <w:p w:rsidR="00AE2220" w:rsidRPr="003C3499" w:rsidRDefault="00AE2220" w:rsidP="00D72413">
            <w:pPr>
              <w:tabs>
                <w:tab w:val="left" w:pos="-720"/>
              </w:tabs>
              <w:snapToGrid w:val="0"/>
              <w:ind w:left="310"/>
              <w:jc w:val="center"/>
              <w:rPr>
                <w:rFonts w:ascii="Bookman Old Style" w:hAnsi="Bookman Old Style" w:cs="Arial"/>
                <w:spacing w:val="-3"/>
              </w:rPr>
            </w:pPr>
          </w:p>
        </w:tc>
        <w:tc>
          <w:tcPr>
            <w:tcW w:w="4491" w:type="dxa"/>
          </w:tcPr>
          <w:p w:rsidR="00AE2220" w:rsidRPr="003C3499" w:rsidRDefault="00AE2220" w:rsidP="00236864">
            <w:pPr>
              <w:tabs>
                <w:tab w:val="left" w:pos="-720"/>
              </w:tabs>
              <w:snapToGrid w:val="0"/>
              <w:jc w:val="center"/>
              <w:rPr>
                <w:rFonts w:ascii="Bookman Old Style" w:hAnsi="Bookman Old Style" w:cs="Arial"/>
                <w:spacing w:val="-3"/>
              </w:rPr>
            </w:pPr>
          </w:p>
        </w:tc>
      </w:tr>
    </w:tbl>
    <w:p w:rsidR="00E0232A" w:rsidRPr="003B187B" w:rsidRDefault="00D223C8" w:rsidP="00AB59BD">
      <w:pPr>
        <w:ind w:left="0"/>
        <w:rPr>
          <w:rFonts w:ascii="Bookman Old Style" w:hAnsi="Bookman Old Style"/>
        </w:rPr>
      </w:pPr>
      <w:r>
        <w:rPr>
          <w:rFonts w:ascii="Bookman Old Style" w:hAnsi="Bookman Old Style" w:cs="Arial"/>
          <w:noProof/>
          <w:lang w:val="es-CO" w:eastAsia="es-CO"/>
        </w:rPr>
        <mc:AlternateContent>
          <mc:Choice Requires="wps">
            <w:drawing>
              <wp:anchor distT="0" distB="0" distL="114300" distR="114300" simplePos="0" relativeHeight="251660288" behindDoc="0" locked="0" layoutInCell="1" allowOverlap="1">
                <wp:simplePos x="0" y="0"/>
                <wp:positionH relativeFrom="column">
                  <wp:posOffset>-327660</wp:posOffset>
                </wp:positionH>
                <wp:positionV relativeFrom="paragraph">
                  <wp:posOffset>-68580</wp:posOffset>
                </wp:positionV>
                <wp:extent cx="6534150" cy="9410700"/>
                <wp:effectExtent l="0" t="0" r="3810" b="1905"/>
                <wp:wrapNone/>
                <wp:docPr id="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34150" cy="9410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25.8pt;margin-top:-5.4pt;width:514.5pt;height:74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" filled="f" stroked="f"/>
            </w:pict>
          </mc:Fallback>
        </mc:AlternateContent>
      </w:r>
    </w:p>
    <w:sectPr w:rsidR="00E0232A" w:rsidRPr="003B187B" w:rsidSect="005A59EF">
      <w:headerReference w:type="default" r:id="rId13"/>
      <w:headerReference w:type="first" r:id="rId14"/>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3AE2" w:rsidRDefault="00723AE2">
      <w:r>
        <w:separator/>
      </w:r>
    </w:p>
  </w:endnote>
  <w:endnote w:type="continuationSeparator" w:id="0">
    <w:p w:rsidR="00723AE2" w:rsidRDefault="00723A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3AE2" w:rsidRDefault="00723AE2">
      <w:r>
        <w:separator/>
      </w:r>
    </w:p>
  </w:footnote>
  <w:footnote w:type="continuationSeparator" w:id="0">
    <w:p w:rsidR="00723AE2" w:rsidRDefault="00723A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449" w:rsidRDefault="002C6449" w:rsidP="00951F79">
    <w:pPr>
      <w:pStyle w:val="Ttulo1"/>
      <w:ind w:right="6"/>
      <w:jc w:val="left"/>
      <w:rPr>
        <w:rFonts w:ascii="Bookman Old Style" w:hAnsi="Bookman Old Style" w:cs="Arial"/>
        <w:b w:val="0"/>
        <w:sz w:val="22"/>
        <w:szCs w:val="22"/>
      </w:rPr>
    </w:pPr>
  </w:p>
  <w:p w:rsidR="002C6449" w:rsidRPr="00951F79" w:rsidRDefault="002C6449"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006E640D"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006E640D" w:rsidRPr="00654384">
      <w:rPr>
        <w:rFonts w:ascii="Bookman Old Style" w:hAnsi="Bookman Old Style" w:cs="Arial"/>
        <w:b w:val="0"/>
        <w:sz w:val="22"/>
        <w:szCs w:val="22"/>
      </w:rPr>
      <w:fldChar w:fldCharType="separate"/>
    </w:r>
    <w:r w:rsidR="00245485">
      <w:rPr>
        <w:rFonts w:ascii="Bookman Old Style" w:hAnsi="Bookman Old Style" w:cs="Arial"/>
        <w:b w:val="0"/>
        <w:noProof/>
        <w:sz w:val="22"/>
        <w:szCs w:val="22"/>
      </w:rPr>
      <w:t>9</w:t>
    </w:r>
    <w:r w:rsidR="006E640D"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245485">
      <w:fldChar w:fldCharType="begin"/>
    </w:r>
    <w:r w:rsidR="00245485">
      <w:instrText xml:space="preserve"> NUMPAGES  \* MERGEFORMAT </w:instrText>
    </w:r>
    <w:r w:rsidR="00245485">
      <w:fldChar w:fldCharType="separate"/>
    </w:r>
    <w:r w:rsidR="00245485" w:rsidRPr="00245485">
      <w:rPr>
        <w:rFonts w:ascii="Bookman Old Style" w:hAnsi="Bookman Old Style" w:cs="Arial"/>
        <w:b w:val="0"/>
        <w:noProof/>
        <w:sz w:val="22"/>
        <w:szCs w:val="22"/>
      </w:rPr>
      <w:t>9</w:t>
    </w:r>
    <w:r w:rsidR="00245485">
      <w:rPr>
        <w:rFonts w:ascii="Bookman Old Style" w:hAnsi="Bookman Old Style" w:cs="Arial"/>
        <w:b w:val="0"/>
        <w:noProof/>
        <w:sz w:val="22"/>
        <w:szCs w:val="22"/>
      </w:rPr>
      <w:fldChar w:fldCharType="end"/>
    </w:r>
  </w:p>
  <w:p w:rsidR="002C6449" w:rsidRDefault="00D223C8"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7787BF29" wp14:editId="2DBD6CD3">
              <wp:simplePos x="0" y="0"/>
              <wp:positionH relativeFrom="column">
                <wp:posOffset>-175260</wp:posOffset>
              </wp:positionH>
              <wp:positionV relativeFrom="paragraph">
                <wp:posOffset>139065</wp:posOffset>
              </wp:positionV>
              <wp:extent cx="6267450" cy="9900920"/>
              <wp:effectExtent l="15240" t="15240" r="13335" b="18415"/>
              <wp:wrapNone/>
              <wp:docPr id="3"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CpdfuzegIA&#10;AP0EAAAOAAAAAAAAAAAAAAAAAC4CAABkcnMvZTJvRG9jLnhtbFBLAQItABQABgAIAAAAIQBXFkFY&#10;4wAAAAsBAAAPAAAAAAAAAAAAAAAAANQEAABkcnMvZG93bnJldi54bWxQSwUGAAAAAAQABADzAAAA&#10;5AUAAAAA&#10;" filled="f" strokeweight="1.5pt"/>
          </w:pict>
        </mc:Fallback>
      </mc:AlternateContent>
    </w:r>
  </w:p>
  <w:p w:rsidR="00E77ECD" w:rsidRPr="00E77ECD" w:rsidRDefault="00E77ECD" w:rsidP="00E77ECD">
    <w:pPr>
      <w:ind w:left="0"/>
      <w:jc w:val="both"/>
      <w:rPr>
        <w:rFonts w:ascii="Bookman Old Style" w:hAnsi="Bookman Old Style" w:cs="Arial"/>
        <w:sz w:val="22"/>
        <w:szCs w:val="22"/>
      </w:rPr>
    </w:pPr>
    <w:r w:rsidRPr="00E77ECD">
      <w:rPr>
        <w:rFonts w:ascii="Bookman Old Style" w:hAnsi="Bookman Old Style" w:cs="Arial"/>
        <w:sz w:val="22"/>
        <w:szCs w:val="22"/>
      </w:rPr>
      <w:t xml:space="preserve">Por la cual se fija la oportunidad en que se asignarán las Obligaciones de Energía Firme del Cargo por Confiabilidad para los períodos comprendidos entre diciembre 1 de 2016 a noviembre 30 de 2017, diciembre 1 de 2017 a noviembre 30 de 2018 y diciembre 1 de 2018 a noviembre 30 de 2019 </w:t>
    </w:r>
    <w:r w:rsidRPr="00E77ECD">
      <w:rPr>
        <w:rFonts w:ascii="Bookman Old Style" w:hAnsi="Bookman Old Style"/>
        <w:sz w:val="22"/>
        <w:szCs w:val="22"/>
      </w:rPr>
      <w:t>a quienes representen plantas existentes</w:t>
    </w:r>
    <w:r w:rsidRPr="00E77ECD">
      <w:rPr>
        <w:rFonts w:ascii="Bookman Old Style" w:hAnsi="Bookman Old Style" w:cs="Arial"/>
        <w:sz w:val="22"/>
        <w:szCs w:val="22"/>
      </w:rPr>
      <w:t>.</w:t>
    </w:r>
  </w:p>
  <w:p w:rsidR="00AD52CA" w:rsidRDefault="00AD52CA" w:rsidP="00E77ECD">
    <w:pPr>
      <w:pBdr>
        <w:bottom w:val="single" w:sz="4" w:space="1" w:color="auto"/>
      </w:pBdr>
      <w:spacing w:after="240"/>
      <w:ind w:left="0"/>
      <w:jc w:val="both"/>
      <w:rPr>
        <w:rFonts w:ascii="Bookman Old Style" w:hAnsi="Bookman Old Style" w:cs="Arial"/>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449" w:rsidRDefault="002C6449"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2C6449" w:rsidRDefault="002C6449">
    <w:pPr>
      <w:pStyle w:val="Encabezado"/>
      <w:jc w:val="center"/>
      <w:rPr>
        <w:rFonts w:ascii="Arial" w:hAnsi="Arial" w:cs="Arial"/>
        <w:spacing w:val="20"/>
        <w:sz w:val="20"/>
      </w:rPr>
    </w:pPr>
  </w:p>
  <w:p w:rsidR="002C6449" w:rsidRDefault="00D223C8"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F"/>
    <w:multiLevelType w:val="multilevel"/>
    <w:tmpl w:val="0000001F"/>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1">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2">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137A7307"/>
    <w:multiLevelType w:val="hybridMultilevel"/>
    <w:tmpl w:val="94309D4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7BC3EAE"/>
    <w:multiLevelType w:val="hybridMultilevel"/>
    <w:tmpl w:val="4F36269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4BF62D4"/>
    <w:multiLevelType w:val="hybridMultilevel"/>
    <w:tmpl w:val="4F36269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2E6F15E2"/>
    <w:multiLevelType w:val="hybridMultilevel"/>
    <w:tmpl w:val="896A3BC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03D5EB8"/>
    <w:multiLevelType w:val="hybridMultilevel"/>
    <w:tmpl w:val="C7E67810"/>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1">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9BF0FB7"/>
    <w:multiLevelType w:val="hybridMultilevel"/>
    <w:tmpl w:val="B5FC30B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14">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7">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8">
    <w:nsid w:val="68F269C2"/>
    <w:multiLevelType w:val="hybridMultilevel"/>
    <w:tmpl w:val="111476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E020619"/>
    <w:multiLevelType w:val="hybridMultilevel"/>
    <w:tmpl w:val="381860F8"/>
    <w:lvl w:ilvl="0" w:tplc="D66C8B8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73764AAD"/>
    <w:multiLevelType w:val="hybridMultilevel"/>
    <w:tmpl w:val="4588C62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2">
    <w:nsid w:val="745F3BF1"/>
    <w:multiLevelType w:val="hybridMultilevel"/>
    <w:tmpl w:val="B72EDA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9DA74CE"/>
    <w:multiLevelType w:val="hybridMultilevel"/>
    <w:tmpl w:val="DA4413A6"/>
    <w:lvl w:ilvl="0" w:tplc="728E1110">
      <w:numFmt w:val="bullet"/>
      <w:lvlText w:val="-"/>
      <w:lvlJc w:val="left"/>
      <w:pPr>
        <w:ind w:left="720" w:hanging="360"/>
      </w:pPr>
      <w:rPr>
        <w:rFonts w:ascii="Bookman Old Style" w:eastAsia="Times New Roman" w:hAnsi="Bookman Old Style"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25">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3"/>
  </w:num>
  <w:num w:numId="2">
    <w:abstractNumId w:val="4"/>
  </w:num>
  <w:num w:numId="3">
    <w:abstractNumId w:val="24"/>
  </w:num>
  <w:num w:numId="4">
    <w:abstractNumId w:val="8"/>
  </w:num>
  <w:num w:numId="5">
    <w:abstractNumId w:val="15"/>
  </w:num>
  <w:num w:numId="6">
    <w:abstractNumId w:val="3"/>
  </w:num>
  <w:num w:numId="7">
    <w:abstractNumId w:val="2"/>
  </w:num>
  <w:num w:numId="8">
    <w:abstractNumId w:val="17"/>
  </w:num>
  <w:num w:numId="9">
    <w:abstractNumId w:val="16"/>
  </w:num>
  <w:num w:numId="10">
    <w:abstractNumId w:val="14"/>
  </w:num>
  <w:num w:numId="11">
    <w:abstractNumId w:val="25"/>
  </w:num>
  <w:num w:numId="12">
    <w:abstractNumId w:val="20"/>
  </w:num>
  <w:num w:numId="13">
    <w:abstractNumId w:val="11"/>
  </w:num>
  <w:num w:numId="14">
    <w:abstractNumId w:val="1"/>
  </w:num>
  <w:num w:numId="15">
    <w:abstractNumId w:val="23"/>
  </w:num>
  <w:num w:numId="16">
    <w:abstractNumId w:val="21"/>
  </w:num>
  <w:num w:numId="17">
    <w:abstractNumId w:val="18"/>
  </w:num>
  <w:num w:numId="18">
    <w:abstractNumId w:val="19"/>
  </w:num>
  <w:num w:numId="19">
    <w:abstractNumId w:val="7"/>
  </w:num>
  <w:num w:numId="20">
    <w:abstractNumId w:val="5"/>
  </w:num>
  <w:num w:numId="21">
    <w:abstractNumId w:val="9"/>
  </w:num>
  <w:num w:numId="22">
    <w:abstractNumId w:val="22"/>
  </w:num>
  <w:num w:numId="23">
    <w:abstractNumId w:val="6"/>
  </w:num>
  <w:num w:numId="24">
    <w:abstractNumId w:val="12"/>
  </w:num>
  <w:num w:numId="25">
    <w:abstractNumId w:val="10"/>
  </w:num>
  <w:num w:numId="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6AE2"/>
    <w:rsid w:val="000076A1"/>
    <w:rsid w:val="00012259"/>
    <w:rsid w:val="0001290B"/>
    <w:rsid w:val="00013D7A"/>
    <w:rsid w:val="00017CCF"/>
    <w:rsid w:val="00025383"/>
    <w:rsid w:val="00051403"/>
    <w:rsid w:val="00056455"/>
    <w:rsid w:val="00057F80"/>
    <w:rsid w:val="00060E2A"/>
    <w:rsid w:val="00063657"/>
    <w:rsid w:val="00073C24"/>
    <w:rsid w:val="00074186"/>
    <w:rsid w:val="00076680"/>
    <w:rsid w:val="0008073E"/>
    <w:rsid w:val="00091CDB"/>
    <w:rsid w:val="00095E18"/>
    <w:rsid w:val="000A19AC"/>
    <w:rsid w:val="000C39DD"/>
    <w:rsid w:val="000D24B4"/>
    <w:rsid w:val="000D26F8"/>
    <w:rsid w:val="000F0183"/>
    <w:rsid w:val="000F0EDA"/>
    <w:rsid w:val="0011507D"/>
    <w:rsid w:val="00133C55"/>
    <w:rsid w:val="001401C9"/>
    <w:rsid w:val="001405C6"/>
    <w:rsid w:val="00141013"/>
    <w:rsid w:val="001424E8"/>
    <w:rsid w:val="00152654"/>
    <w:rsid w:val="001578EE"/>
    <w:rsid w:val="00163CF4"/>
    <w:rsid w:val="0017511E"/>
    <w:rsid w:val="001826DA"/>
    <w:rsid w:val="001870A8"/>
    <w:rsid w:val="001912BB"/>
    <w:rsid w:val="0019263E"/>
    <w:rsid w:val="00192CBF"/>
    <w:rsid w:val="00192FF1"/>
    <w:rsid w:val="001A5F1B"/>
    <w:rsid w:val="001B1C22"/>
    <w:rsid w:val="001B34C6"/>
    <w:rsid w:val="001C0711"/>
    <w:rsid w:val="001D4E48"/>
    <w:rsid w:val="001D5D1A"/>
    <w:rsid w:val="001D7832"/>
    <w:rsid w:val="001E34B4"/>
    <w:rsid w:val="0020215B"/>
    <w:rsid w:val="00203FEE"/>
    <w:rsid w:val="00211D34"/>
    <w:rsid w:val="00212AF5"/>
    <w:rsid w:val="00214F04"/>
    <w:rsid w:val="00220D83"/>
    <w:rsid w:val="0022375C"/>
    <w:rsid w:val="00227434"/>
    <w:rsid w:val="00245485"/>
    <w:rsid w:val="002606F0"/>
    <w:rsid w:val="002620D7"/>
    <w:rsid w:val="002661C7"/>
    <w:rsid w:val="00266CD6"/>
    <w:rsid w:val="00294244"/>
    <w:rsid w:val="002B11E2"/>
    <w:rsid w:val="002B24B8"/>
    <w:rsid w:val="002B7C74"/>
    <w:rsid w:val="002C39F7"/>
    <w:rsid w:val="002C6449"/>
    <w:rsid w:val="002C71BC"/>
    <w:rsid w:val="002C7416"/>
    <w:rsid w:val="002D3AE9"/>
    <w:rsid w:val="002E40CC"/>
    <w:rsid w:val="002F0734"/>
    <w:rsid w:val="002F46E7"/>
    <w:rsid w:val="003101DA"/>
    <w:rsid w:val="0031283C"/>
    <w:rsid w:val="00313DFE"/>
    <w:rsid w:val="00314757"/>
    <w:rsid w:val="00315076"/>
    <w:rsid w:val="00320B5E"/>
    <w:rsid w:val="003211CE"/>
    <w:rsid w:val="0033483B"/>
    <w:rsid w:val="003372BE"/>
    <w:rsid w:val="003409CA"/>
    <w:rsid w:val="0034127A"/>
    <w:rsid w:val="00343A89"/>
    <w:rsid w:val="003462F1"/>
    <w:rsid w:val="0035403A"/>
    <w:rsid w:val="0036394B"/>
    <w:rsid w:val="003709B5"/>
    <w:rsid w:val="003759C2"/>
    <w:rsid w:val="00381417"/>
    <w:rsid w:val="00383BA2"/>
    <w:rsid w:val="0038433C"/>
    <w:rsid w:val="003856AB"/>
    <w:rsid w:val="00393E9A"/>
    <w:rsid w:val="00397365"/>
    <w:rsid w:val="003A0575"/>
    <w:rsid w:val="003A31F6"/>
    <w:rsid w:val="003A659C"/>
    <w:rsid w:val="003B187B"/>
    <w:rsid w:val="003C1EF8"/>
    <w:rsid w:val="003C3447"/>
    <w:rsid w:val="003C542C"/>
    <w:rsid w:val="003D076C"/>
    <w:rsid w:val="003D1EC9"/>
    <w:rsid w:val="003E4B7A"/>
    <w:rsid w:val="00415BAB"/>
    <w:rsid w:val="00415ED2"/>
    <w:rsid w:val="0042068C"/>
    <w:rsid w:val="00433F71"/>
    <w:rsid w:val="004341E9"/>
    <w:rsid w:val="00436ACD"/>
    <w:rsid w:val="0046722B"/>
    <w:rsid w:val="0047122B"/>
    <w:rsid w:val="00473B7A"/>
    <w:rsid w:val="0049161E"/>
    <w:rsid w:val="004960E9"/>
    <w:rsid w:val="004A2E88"/>
    <w:rsid w:val="004A5305"/>
    <w:rsid w:val="004D40FA"/>
    <w:rsid w:val="004D7634"/>
    <w:rsid w:val="004F0085"/>
    <w:rsid w:val="004F1430"/>
    <w:rsid w:val="004F4873"/>
    <w:rsid w:val="00513E5E"/>
    <w:rsid w:val="005225B7"/>
    <w:rsid w:val="00524AB5"/>
    <w:rsid w:val="005300D3"/>
    <w:rsid w:val="005332B4"/>
    <w:rsid w:val="00544F82"/>
    <w:rsid w:val="00557151"/>
    <w:rsid w:val="00583A49"/>
    <w:rsid w:val="00593C4F"/>
    <w:rsid w:val="005946A8"/>
    <w:rsid w:val="005A4368"/>
    <w:rsid w:val="005A4407"/>
    <w:rsid w:val="005A59EF"/>
    <w:rsid w:val="005D4957"/>
    <w:rsid w:val="005E29C2"/>
    <w:rsid w:val="00606C59"/>
    <w:rsid w:val="00620B0B"/>
    <w:rsid w:val="00625DC6"/>
    <w:rsid w:val="0063001A"/>
    <w:rsid w:val="00651821"/>
    <w:rsid w:val="00654384"/>
    <w:rsid w:val="00656DB1"/>
    <w:rsid w:val="00665D74"/>
    <w:rsid w:val="006675CD"/>
    <w:rsid w:val="0068063C"/>
    <w:rsid w:val="00684D9B"/>
    <w:rsid w:val="00697556"/>
    <w:rsid w:val="006B35B6"/>
    <w:rsid w:val="006B4C2B"/>
    <w:rsid w:val="006B5608"/>
    <w:rsid w:val="006B6D47"/>
    <w:rsid w:val="006C29FF"/>
    <w:rsid w:val="006D6DB2"/>
    <w:rsid w:val="006E640D"/>
    <w:rsid w:val="006F6D95"/>
    <w:rsid w:val="00701547"/>
    <w:rsid w:val="00703B29"/>
    <w:rsid w:val="00706F13"/>
    <w:rsid w:val="007072E8"/>
    <w:rsid w:val="0071618D"/>
    <w:rsid w:val="0072211A"/>
    <w:rsid w:val="00723AE2"/>
    <w:rsid w:val="00725FA4"/>
    <w:rsid w:val="00740446"/>
    <w:rsid w:val="007438A9"/>
    <w:rsid w:val="0074491E"/>
    <w:rsid w:val="007451C4"/>
    <w:rsid w:val="00761BD7"/>
    <w:rsid w:val="0076318B"/>
    <w:rsid w:val="007643E5"/>
    <w:rsid w:val="00765DFC"/>
    <w:rsid w:val="00766C3B"/>
    <w:rsid w:val="007710CE"/>
    <w:rsid w:val="007734B2"/>
    <w:rsid w:val="00774B22"/>
    <w:rsid w:val="00775964"/>
    <w:rsid w:val="007854E2"/>
    <w:rsid w:val="007909BC"/>
    <w:rsid w:val="00791DC8"/>
    <w:rsid w:val="00795BFB"/>
    <w:rsid w:val="007A2557"/>
    <w:rsid w:val="007B08AA"/>
    <w:rsid w:val="007B2760"/>
    <w:rsid w:val="007C030A"/>
    <w:rsid w:val="007F2648"/>
    <w:rsid w:val="00805933"/>
    <w:rsid w:val="00806C01"/>
    <w:rsid w:val="008148CC"/>
    <w:rsid w:val="00814C92"/>
    <w:rsid w:val="00816D4F"/>
    <w:rsid w:val="008211A4"/>
    <w:rsid w:val="008265A3"/>
    <w:rsid w:val="008511B3"/>
    <w:rsid w:val="00853198"/>
    <w:rsid w:val="00873150"/>
    <w:rsid w:val="0087657D"/>
    <w:rsid w:val="008807D5"/>
    <w:rsid w:val="00880832"/>
    <w:rsid w:val="00886EE1"/>
    <w:rsid w:val="0088727D"/>
    <w:rsid w:val="008974BA"/>
    <w:rsid w:val="00897C75"/>
    <w:rsid w:val="008A1AE5"/>
    <w:rsid w:val="008A5678"/>
    <w:rsid w:val="008C0A0A"/>
    <w:rsid w:val="008C1130"/>
    <w:rsid w:val="008D18E6"/>
    <w:rsid w:val="008D7A9B"/>
    <w:rsid w:val="008E0A19"/>
    <w:rsid w:val="008E76AC"/>
    <w:rsid w:val="008F21F6"/>
    <w:rsid w:val="008F2F9F"/>
    <w:rsid w:val="0091502B"/>
    <w:rsid w:val="009178BD"/>
    <w:rsid w:val="00944D96"/>
    <w:rsid w:val="00946843"/>
    <w:rsid w:val="0094762B"/>
    <w:rsid w:val="00951F79"/>
    <w:rsid w:val="0095701A"/>
    <w:rsid w:val="00960CF3"/>
    <w:rsid w:val="00963E3B"/>
    <w:rsid w:val="00970241"/>
    <w:rsid w:val="00974AB5"/>
    <w:rsid w:val="0098706D"/>
    <w:rsid w:val="00990CCE"/>
    <w:rsid w:val="009935FB"/>
    <w:rsid w:val="009A5590"/>
    <w:rsid w:val="009B3AA6"/>
    <w:rsid w:val="009C6ECF"/>
    <w:rsid w:val="009D4A5A"/>
    <w:rsid w:val="009D7464"/>
    <w:rsid w:val="009E5F35"/>
    <w:rsid w:val="009F486C"/>
    <w:rsid w:val="009F4A54"/>
    <w:rsid w:val="009F4BEC"/>
    <w:rsid w:val="00A06234"/>
    <w:rsid w:val="00A13CDB"/>
    <w:rsid w:val="00A20D31"/>
    <w:rsid w:val="00A25FD7"/>
    <w:rsid w:val="00A40F14"/>
    <w:rsid w:val="00A43AFF"/>
    <w:rsid w:val="00A46BA1"/>
    <w:rsid w:val="00A50C3F"/>
    <w:rsid w:val="00A71907"/>
    <w:rsid w:val="00A7793A"/>
    <w:rsid w:val="00A81878"/>
    <w:rsid w:val="00A97007"/>
    <w:rsid w:val="00AB472B"/>
    <w:rsid w:val="00AB59BD"/>
    <w:rsid w:val="00AB6CA7"/>
    <w:rsid w:val="00AC4344"/>
    <w:rsid w:val="00AD01E4"/>
    <w:rsid w:val="00AD0858"/>
    <w:rsid w:val="00AD52CA"/>
    <w:rsid w:val="00AE2220"/>
    <w:rsid w:val="00AE7340"/>
    <w:rsid w:val="00AF1BBD"/>
    <w:rsid w:val="00B10207"/>
    <w:rsid w:val="00B141E7"/>
    <w:rsid w:val="00B17339"/>
    <w:rsid w:val="00B351B4"/>
    <w:rsid w:val="00B46BCA"/>
    <w:rsid w:val="00B4749A"/>
    <w:rsid w:val="00B53875"/>
    <w:rsid w:val="00B558B8"/>
    <w:rsid w:val="00B6357F"/>
    <w:rsid w:val="00B716EF"/>
    <w:rsid w:val="00B84BDB"/>
    <w:rsid w:val="00B87806"/>
    <w:rsid w:val="00B87EC9"/>
    <w:rsid w:val="00B916D6"/>
    <w:rsid w:val="00BA27FD"/>
    <w:rsid w:val="00BA28B5"/>
    <w:rsid w:val="00BB2DFA"/>
    <w:rsid w:val="00BC38FD"/>
    <w:rsid w:val="00BC5168"/>
    <w:rsid w:val="00C026CD"/>
    <w:rsid w:val="00C034CB"/>
    <w:rsid w:val="00C051A8"/>
    <w:rsid w:val="00C054BC"/>
    <w:rsid w:val="00C17897"/>
    <w:rsid w:val="00C316A2"/>
    <w:rsid w:val="00C348AA"/>
    <w:rsid w:val="00C36D78"/>
    <w:rsid w:val="00C409D5"/>
    <w:rsid w:val="00C42180"/>
    <w:rsid w:val="00C516DD"/>
    <w:rsid w:val="00C617E5"/>
    <w:rsid w:val="00C6234B"/>
    <w:rsid w:val="00C63EAE"/>
    <w:rsid w:val="00C7629F"/>
    <w:rsid w:val="00C8069E"/>
    <w:rsid w:val="00C82113"/>
    <w:rsid w:val="00C86417"/>
    <w:rsid w:val="00C86494"/>
    <w:rsid w:val="00C8661B"/>
    <w:rsid w:val="00C912C4"/>
    <w:rsid w:val="00C93F87"/>
    <w:rsid w:val="00C97086"/>
    <w:rsid w:val="00C97F91"/>
    <w:rsid w:val="00CA139A"/>
    <w:rsid w:val="00CA2899"/>
    <w:rsid w:val="00CA48D6"/>
    <w:rsid w:val="00CA77FB"/>
    <w:rsid w:val="00CB379B"/>
    <w:rsid w:val="00CB5DD0"/>
    <w:rsid w:val="00CB799C"/>
    <w:rsid w:val="00CC51D4"/>
    <w:rsid w:val="00CC65DA"/>
    <w:rsid w:val="00CF21B9"/>
    <w:rsid w:val="00CF21C4"/>
    <w:rsid w:val="00CF6BF9"/>
    <w:rsid w:val="00D015DD"/>
    <w:rsid w:val="00D03800"/>
    <w:rsid w:val="00D065D3"/>
    <w:rsid w:val="00D10CF2"/>
    <w:rsid w:val="00D14C94"/>
    <w:rsid w:val="00D154E5"/>
    <w:rsid w:val="00D223C8"/>
    <w:rsid w:val="00D313FC"/>
    <w:rsid w:val="00D342A6"/>
    <w:rsid w:val="00D464BF"/>
    <w:rsid w:val="00D53E26"/>
    <w:rsid w:val="00D63D2B"/>
    <w:rsid w:val="00D7048E"/>
    <w:rsid w:val="00D72413"/>
    <w:rsid w:val="00D809CE"/>
    <w:rsid w:val="00D96017"/>
    <w:rsid w:val="00DA69AB"/>
    <w:rsid w:val="00DB51A3"/>
    <w:rsid w:val="00DD4F0E"/>
    <w:rsid w:val="00DE5B55"/>
    <w:rsid w:val="00DF293A"/>
    <w:rsid w:val="00DF35E5"/>
    <w:rsid w:val="00E0232A"/>
    <w:rsid w:val="00E02EB9"/>
    <w:rsid w:val="00E05E0A"/>
    <w:rsid w:val="00E06471"/>
    <w:rsid w:val="00E13DC4"/>
    <w:rsid w:val="00E36A74"/>
    <w:rsid w:val="00E40140"/>
    <w:rsid w:val="00E43031"/>
    <w:rsid w:val="00E46DC7"/>
    <w:rsid w:val="00E534CF"/>
    <w:rsid w:val="00E60FC9"/>
    <w:rsid w:val="00E778D2"/>
    <w:rsid w:val="00E77ECD"/>
    <w:rsid w:val="00E81CB4"/>
    <w:rsid w:val="00E8585B"/>
    <w:rsid w:val="00EA3F15"/>
    <w:rsid w:val="00EA7847"/>
    <w:rsid w:val="00EB038D"/>
    <w:rsid w:val="00EC36FA"/>
    <w:rsid w:val="00ED20DF"/>
    <w:rsid w:val="00ED4DC0"/>
    <w:rsid w:val="00EE14FD"/>
    <w:rsid w:val="00EE2E6E"/>
    <w:rsid w:val="00EE7CDB"/>
    <w:rsid w:val="00EF24A4"/>
    <w:rsid w:val="00EF4DD3"/>
    <w:rsid w:val="00EF4FB2"/>
    <w:rsid w:val="00F0759E"/>
    <w:rsid w:val="00F27802"/>
    <w:rsid w:val="00F420E6"/>
    <w:rsid w:val="00F54945"/>
    <w:rsid w:val="00F54AA2"/>
    <w:rsid w:val="00F678B7"/>
    <w:rsid w:val="00F71E99"/>
    <w:rsid w:val="00F77715"/>
    <w:rsid w:val="00F821A3"/>
    <w:rsid w:val="00F842B2"/>
    <w:rsid w:val="00F9314A"/>
    <w:rsid w:val="00F9549C"/>
    <w:rsid w:val="00FA7924"/>
    <w:rsid w:val="00FB2A88"/>
    <w:rsid w:val="00FB5349"/>
    <w:rsid w:val="00FB5A0A"/>
    <w:rsid w:val="00FC58EF"/>
    <w:rsid w:val="00FD27E1"/>
    <w:rsid w:val="00FD33DF"/>
    <w:rsid w:val="00FD3ABF"/>
    <w:rsid w:val="00FE39D7"/>
    <w:rsid w:val="00FF1FEB"/>
    <w:rsid w:val="00FF3F9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basedOn w:val="Fuentedeprrafopredeter"/>
    <w:link w:val="Textodeglobo"/>
    <w:uiPriority w:val="99"/>
    <w:semiHidden/>
    <w:rsid w:val="00725FA4"/>
    <w:rPr>
      <w:rFonts w:ascii="Tahoma" w:hAnsi="Tahoma" w:cs="Tahoma"/>
      <w:sz w:val="16"/>
      <w:szCs w:val="16"/>
    </w:rPr>
  </w:style>
  <w:style w:type="character" w:customStyle="1" w:styleId="EncabezadoCar">
    <w:name w:val="Encabezado Car"/>
    <w:basedOn w:val="Fuentedeprrafopredeter"/>
    <w:link w:val="Encabezado"/>
    <w:uiPriority w:val="99"/>
    <w:rsid w:val="00593C4F"/>
    <w:rPr>
      <w:rFonts w:ascii="CG Times" w:hAnsi="CG Times"/>
      <w:sz w:val="24"/>
      <w:lang w:val="es-CO"/>
    </w:rPr>
  </w:style>
  <w:style w:type="character" w:customStyle="1" w:styleId="Ttulo3Car">
    <w:name w:val="Título 3 Car"/>
    <w:basedOn w:val="Fuentedeprrafopredeter"/>
    <w:link w:val="Ttulo3"/>
    <w:rsid w:val="00141013"/>
    <w:rPr>
      <w:rFonts w:ascii="CG Times" w:hAnsi="CG Times"/>
      <w:b/>
      <w:snapToGrid w:val="0"/>
      <w:color w:val="000000"/>
      <w:sz w:val="24"/>
      <w:lang w:val="es-ES_tradnl"/>
    </w:rPr>
  </w:style>
  <w:style w:type="character" w:customStyle="1" w:styleId="Ttulo4Car">
    <w:name w:val="Título 4 Car"/>
    <w:basedOn w:val="Fuentedeprrafopredeter"/>
    <w:link w:val="Ttulo4"/>
    <w:rsid w:val="00141013"/>
    <w:rPr>
      <w:rFonts w:ascii="Arial" w:hAnsi="Arial" w:cs="Arial"/>
      <w:b/>
      <w:snapToGrid w:val="0"/>
      <w:color w:val="000000"/>
      <w:spacing w:val="20"/>
      <w:lang w:val="es-ES_tradnl"/>
    </w:rPr>
  </w:style>
  <w:style w:type="character" w:customStyle="1" w:styleId="Ttulo5Car">
    <w:name w:val="Título 5 Car"/>
    <w:basedOn w:val="Fuentedeprrafopredete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basedOn w:val="Fuentedeprrafopredeter"/>
    <w:link w:val="Textoindependiente"/>
    <w:semiHidden/>
    <w:rsid w:val="00141013"/>
    <w:rPr>
      <w:rFonts w:ascii="Arial" w:hAnsi="Arial" w:cs="Arial"/>
      <w:b/>
      <w:bCs/>
      <w:sz w:val="24"/>
      <w:szCs w:val="24"/>
    </w:rPr>
  </w:style>
  <w:style w:type="character" w:customStyle="1" w:styleId="Textoindependiente3Car">
    <w:name w:val="Texto independiente 3 Car"/>
    <w:basedOn w:val="Fuentedeprrafopredete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basedOn w:val="Fuentedeprrafopredete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basedOn w:val="Fuentedeprrafopredeter"/>
    <w:link w:val="Ttulo"/>
    <w:rsid w:val="00795BFB"/>
    <w:rPr>
      <w:rFonts w:ascii="Arial" w:hAnsi="Arial" w:cs="Arial"/>
      <w:b/>
      <w:bCs/>
      <w:sz w:val="24"/>
      <w:szCs w:val="24"/>
    </w:rPr>
  </w:style>
  <w:style w:type="paragraph" w:styleId="Prrafodelista">
    <w:name w:val="List Paragraph"/>
    <w:basedOn w:val="Normal"/>
    <w:link w:val="PrrafodelistaCar"/>
    <w:qFormat/>
    <w:rsid w:val="001405C6"/>
    <w:pPr>
      <w:ind w:left="708"/>
    </w:pPr>
    <w:rPr>
      <w:sz w:val="20"/>
      <w:szCs w:val="20"/>
      <w:lang w:val="es-CO"/>
    </w:rPr>
  </w:style>
  <w:style w:type="character" w:customStyle="1" w:styleId="PrrafodelistaCar">
    <w:name w:val="Párrafo de lista Car"/>
    <w:basedOn w:val="Fuentedeprrafopredete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basedOn w:val="Fuentedeprrafopredete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basedOn w:val="Fuentedeprrafopredeter"/>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basedOn w:val="Fuentedeprrafopredete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paragraph" w:customStyle="1" w:styleId="TableHeading">
    <w:name w:val="Table Heading"/>
    <w:basedOn w:val="Normal"/>
    <w:rsid w:val="00701547"/>
    <w:pPr>
      <w:suppressLineNumbers/>
      <w:suppressAutoHyphens/>
      <w:ind w:left="0"/>
      <w:jc w:val="center"/>
    </w:pPr>
    <w:rPr>
      <w:rFonts w:ascii="Arial" w:hAnsi="Arial"/>
      <w:b/>
      <w:bCs/>
      <w:sz w:val="22"/>
      <w:lang w:val="es-CO" w:eastAsia="ar-SA"/>
    </w:rPr>
  </w:style>
  <w:style w:type="paragraph" w:customStyle="1" w:styleId="Textodebloque1">
    <w:name w:val="Texto de bloque1"/>
    <w:basedOn w:val="Normal"/>
    <w:rsid w:val="00701547"/>
    <w:pPr>
      <w:suppressAutoHyphens/>
      <w:ind w:left="1701" w:right="1468"/>
      <w:jc w:val="both"/>
    </w:pPr>
    <w:rPr>
      <w:rFonts w:ascii="Arial" w:hAnsi="Arial"/>
      <w:szCs w:val="20"/>
      <w:lang w:val="es-ES_tradnl" w:eastAsia="ar-SA"/>
    </w:rPr>
  </w:style>
  <w:style w:type="character" w:styleId="Refdecomentario">
    <w:name w:val="annotation reference"/>
    <w:basedOn w:val="Fuentedeprrafopredeter"/>
    <w:uiPriority w:val="99"/>
    <w:semiHidden/>
    <w:unhideWhenUsed/>
    <w:rsid w:val="005332B4"/>
    <w:rPr>
      <w:sz w:val="16"/>
      <w:szCs w:val="16"/>
    </w:rPr>
  </w:style>
  <w:style w:type="paragraph" w:styleId="Textocomentario">
    <w:name w:val="annotation text"/>
    <w:basedOn w:val="Normal"/>
    <w:link w:val="TextocomentarioCar"/>
    <w:uiPriority w:val="99"/>
    <w:semiHidden/>
    <w:unhideWhenUsed/>
    <w:rsid w:val="005332B4"/>
    <w:rPr>
      <w:sz w:val="20"/>
      <w:szCs w:val="20"/>
    </w:rPr>
  </w:style>
  <w:style w:type="character" w:customStyle="1" w:styleId="TextocomentarioCar">
    <w:name w:val="Texto comentario Car"/>
    <w:basedOn w:val="Fuentedeprrafopredeter"/>
    <w:link w:val="Textocomentario"/>
    <w:uiPriority w:val="99"/>
    <w:semiHidden/>
    <w:rsid w:val="005332B4"/>
    <w:rPr>
      <w:lang w:val="es-ES" w:eastAsia="es-ES"/>
    </w:rPr>
  </w:style>
  <w:style w:type="paragraph" w:styleId="Asuntodelcomentario">
    <w:name w:val="annotation subject"/>
    <w:basedOn w:val="Textocomentario"/>
    <w:next w:val="Textocomentario"/>
    <w:link w:val="AsuntodelcomentarioCar"/>
    <w:uiPriority w:val="99"/>
    <w:semiHidden/>
    <w:unhideWhenUsed/>
    <w:rsid w:val="005332B4"/>
    <w:rPr>
      <w:b/>
      <w:bCs/>
    </w:rPr>
  </w:style>
  <w:style w:type="character" w:customStyle="1" w:styleId="AsuntodelcomentarioCar">
    <w:name w:val="Asunto del comentario Car"/>
    <w:basedOn w:val="TextocomentarioCar"/>
    <w:link w:val="Asuntodelcomentario"/>
    <w:uiPriority w:val="99"/>
    <w:semiHidden/>
    <w:rsid w:val="005332B4"/>
    <w:rPr>
      <w:b/>
      <w:bCs/>
      <w:lang w:val="es-ES" w:eastAsia="es-ES"/>
    </w:rPr>
  </w:style>
  <w:style w:type="paragraph" w:styleId="Revisin">
    <w:name w:val="Revision"/>
    <w:hidden/>
    <w:uiPriority w:val="99"/>
    <w:semiHidden/>
    <w:rsid w:val="00F54945"/>
    <w:rPr>
      <w:sz w:val="24"/>
      <w:szCs w:val="24"/>
      <w:lang w:val="es-ES" w:eastAsia="es-ES"/>
    </w:rPr>
  </w:style>
  <w:style w:type="paragraph" w:styleId="Sangradetextonormal">
    <w:name w:val="Body Text Indent"/>
    <w:basedOn w:val="Normal"/>
    <w:link w:val="SangradetextonormalCar"/>
    <w:uiPriority w:val="99"/>
    <w:semiHidden/>
    <w:unhideWhenUsed/>
    <w:rsid w:val="004341E9"/>
    <w:pPr>
      <w:spacing w:after="120"/>
      <w:ind w:left="283"/>
    </w:pPr>
  </w:style>
  <w:style w:type="character" w:customStyle="1" w:styleId="SangradetextonormalCar">
    <w:name w:val="Sangría de texto normal Car"/>
    <w:basedOn w:val="Fuentedeprrafopredeter"/>
    <w:link w:val="Sangradetextonormal"/>
    <w:uiPriority w:val="99"/>
    <w:semiHidden/>
    <w:rsid w:val="004341E9"/>
    <w:rPr>
      <w:sz w:val="24"/>
      <w:szCs w:val="24"/>
      <w:lang w:val="es-ES" w:eastAsia="es-ES"/>
    </w:rPr>
  </w:style>
  <w:style w:type="paragraph" w:customStyle="1" w:styleId="Vietaletra">
    <w:name w:val="Viñeta letra"/>
    <w:basedOn w:val="Normal"/>
    <w:next w:val="Normal"/>
    <w:rsid w:val="004341E9"/>
    <w:pPr>
      <w:numPr>
        <w:numId w:val="26"/>
      </w:numPr>
      <w:suppressAutoHyphens/>
      <w:overflowPunct w:val="0"/>
      <w:autoSpaceDE w:val="0"/>
      <w:ind w:left="0"/>
      <w:jc w:val="both"/>
      <w:textAlignment w:val="baseline"/>
    </w:pPr>
    <w:rPr>
      <w:rFonts w:ascii="Arial" w:hAnsi="Arial"/>
      <w:szCs w:val="20"/>
      <w:lang w:val="es-ES_tradnl"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basedOn w:val="Fuentedeprrafopredeter"/>
    <w:link w:val="Textodeglobo"/>
    <w:uiPriority w:val="99"/>
    <w:semiHidden/>
    <w:rsid w:val="00725FA4"/>
    <w:rPr>
      <w:rFonts w:ascii="Tahoma" w:hAnsi="Tahoma" w:cs="Tahoma"/>
      <w:sz w:val="16"/>
      <w:szCs w:val="16"/>
    </w:rPr>
  </w:style>
  <w:style w:type="character" w:customStyle="1" w:styleId="EncabezadoCar">
    <w:name w:val="Encabezado Car"/>
    <w:basedOn w:val="Fuentedeprrafopredeter"/>
    <w:link w:val="Encabezado"/>
    <w:uiPriority w:val="99"/>
    <w:rsid w:val="00593C4F"/>
    <w:rPr>
      <w:rFonts w:ascii="CG Times" w:hAnsi="CG Times"/>
      <w:sz w:val="24"/>
      <w:lang w:val="es-CO"/>
    </w:rPr>
  </w:style>
  <w:style w:type="character" w:customStyle="1" w:styleId="Ttulo3Car">
    <w:name w:val="Título 3 Car"/>
    <w:basedOn w:val="Fuentedeprrafopredeter"/>
    <w:link w:val="Ttulo3"/>
    <w:rsid w:val="00141013"/>
    <w:rPr>
      <w:rFonts w:ascii="CG Times" w:hAnsi="CG Times"/>
      <w:b/>
      <w:snapToGrid w:val="0"/>
      <w:color w:val="000000"/>
      <w:sz w:val="24"/>
      <w:lang w:val="es-ES_tradnl"/>
    </w:rPr>
  </w:style>
  <w:style w:type="character" w:customStyle="1" w:styleId="Ttulo4Car">
    <w:name w:val="Título 4 Car"/>
    <w:basedOn w:val="Fuentedeprrafopredeter"/>
    <w:link w:val="Ttulo4"/>
    <w:rsid w:val="00141013"/>
    <w:rPr>
      <w:rFonts w:ascii="Arial" w:hAnsi="Arial" w:cs="Arial"/>
      <w:b/>
      <w:snapToGrid w:val="0"/>
      <w:color w:val="000000"/>
      <w:spacing w:val="20"/>
      <w:lang w:val="es-ES_tradnl"/>
    </w:rPr>
  </w:style>
  <w:style w:type="character" w:customStyle="1" w:styleId="Ttulo5Car">
    <w:name w:val="Título 5 Car"/>
    <w:basedOn w:val="Fuentedeprrafopredete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basedOn w:val="Fuentedeprrafopredeter"/>
    <w:link w:val="Textoindependiente"/>
    <w:semiHidden/>
    <w:rsid w:val="00141013"/>
    <w:rPr>
      <w:rFonts w:ascii="Arial" w:hAnsi="Arial" w:cs="Arial"/>
      <w:b/>
      <w:bCs/>
      <w:sz w:val="24"/>
      <w:szCs w:val="24"/>
    </w:rPr>
  </w:style>
  <w:style w:type="character" w:customStyle="1" w:styleId="Textoindependiente3Car">
    <w:name w:val="Texto independiente 3 Car"/>
    <w:basedOn w:val="Fuentedeprrafopredete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basedOn w:val="Fuentedeprrafopredete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basedOn w:val="Fuentedeprrafopredeter"/>
    <w:link w:val="Ttulo"/>
    <w:rsid w:val="00795BFB"/>
    <w:rPr>
      <w:rFonts w:ascii="Arial" w:hAnsi="Arial" w:cs="Arial"/>
      <w:b/>
      <w:bCs/>
      <w:sz w:val="24"/>
      <w:szCs w:val="24"/>
    </w:rPr>
  </w:style>
  <w:style w:type="paragraph" w:styleId="Prrafodelista">
    <w:name w:val="List Paragraph"/>
    <w:basedOn w:val="Normal"/>
    <w:link w:val="PrrafodelistaCar"/>
    <w:qFormat/>
    <w:rsid w:val="001405C6"/>
    <w:pPr>
      <w:ind w:left="708"/>
    </w:pPr>
    <w:rPr>
      <w:sz w:val="20"/>
      <w:szCs w:val="20"/>
      <w:lang w:val="es-CO"/>
    </w:rPr>
  </w:style>
  <w:style w:type="character" w:customStyle="1" w:styleId="PrrafodelistaCar">
    <w:name w:val="Párrafo de lista Car"/>
    <w:basedOn w:val="Fuentedeprrafopredete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basedOn w:val="Fuentedeprrafopredete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basedOn w:val="Fuentedeprrafopredeter"/>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basedOn w:val="Fuentedeprrafopredete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paragraph" w:customStyle="1" w:styleId="TableHeading">
    <w:name w:val="Table Heading"/>
    <w:basedOn w:val="Normal"/>
    <w:rsid w:val="00701547"/>
    <w:pPr>
      <w:suppressLineNumbers/>
      <w:suppressAutoHyphens/>
      <w:ind w:left="0"/>
      <w:jc w:val="center"/>
    </w:pPr>
    <w:rPr>
      <w:rFonts w:ascii="Arial" w:hAnsi="Arial"/>
      <w:b/>
      <w:bCs/>
      <w:sz w:val="22"/>
      <w:lang w:val="es-CO" w:eastAsia="ar-SA"/>
    </w:rPr>
  </w:style>
  <w:style w:type="paragraph" w:customStyle="1" w:styleId="Textodebloque1">
    <w:name w:val="Texto de bloque1"/>
    <w:basedOn w:val="Normal"/>
    <w:rsid w:val="00701547"/>
    <w:pPr>
      <w:suppressAutoHyphens/>
      <w:ind w:left="1701" w:right="1468"/>
      <w:jc w:val="both"/>
    </w:pPr>
    <w:rPr>
      <w:rFonts w:ascii="Arial" w:hAnsi="Arial"/>
      <w:szCs w:val="20"/>
      <w:lang w:val="es-ES_tradnl" w:eastAsia="ar-SA"/>
    </w:rPr>
  </w:style>
  <w:style w:type="character" w:styleId="Refdecomentario">
    <w:name w:val="annotation reference"/>
    <w:basedOn w:val="Fuentedeprrafopredeter"/>
    <w:uiPriority w:val="99"/>
    <w:semiHidden/>
    <w:unhideWhenUsed/>
    <w:rsid w:val="005332B4"/>
    <w:rPr>
      <w:sz w:val="16"/>
      <w:szCs w:val="16"/>
    </w:rPr>
  </w:style>
  <w:style w:type="paragraph" w:styleId="Textocomentario">
    <w:name w:val="annotation text"/>
    <w:basedOn w:val="Normal"/>
    <w:link w:val="TextocomentarioCar"/>
    <w:uiPriority w:val="99"/>
    <w:semiHidden/>
    <w:unhideWhenUsed/>
    <w:rsid w:val="005332B4"/>
    <w:rPr>
      <w:sz w:val="20"/>
      <w:szCs w:val="20"/>
    </w:rPr>
  </w:style>
  <w:style w:type="character" w:customStyle="1" w:styleId="TextocomentarioCar">
    <w:name w:val="Texto comentario Car"/>
    <w:basedOn w:val="Fuentedeprrafopredeter"/>
    <w:link w:val="Textocomentario"/>
    <w:uiPriority w:val="99"/>
    <w:semiHidden/>
    <w:rsid w:val="005332B4"/>
    <w:rPr>
      <w:lang w:val="es-ES" w:eastAsia="es-ES"/>
    </w:rPr>
  </w:style>
  <w:style w:type="paragraph" w:styleId="Asuntodelcomentario">
    <w:name w:val="annotation subject"/>
    <w:basedOn w:val="Textocomentario"/>
    <w:next w:val="Textocomentario"/>
    <w:link w:val="AsuntodelcomentarioCar"/>
    <w:uiPriority w:val="99"/>
    <w:semiHidden/>
    <w:unhideWhenUsed/>
    <w:rsid w:val="005332B4"/>
    <w:rPr>
      <w:b/>
      <w:bCs/>
    </w:rPr>
  </w:style>
  <w:style w:type="character" w:customStyle="1" w:styleId="AsuntodelcomentarioCar">
    <w:name w:val="Asunto del comentario Car"/>
    <w:basedOn w:val="TextocomentarioCar"/>
    <w:link w:val="Asuntodelcomentario"/>
    <w:uiPriority w:val="99"/>
    <w:semiHidden/>
    <w:rsid w:val="005332B4"/>
    <w:rPr>
      <w:b/>
      <w:bCs/>
      <w:lang w:val="es-ES" w:eastAsia="es-ES"/>
    </w:rPr>
  </w:style>
  <w:style w:type="paragraph" w:styleId="Revisin">
    <w:name w:val="Revision"/>
    <w:hidden/>
    <w:uiPriority w:val="99"/>
    <w:semiHidden/>
    <w:rsid w:val="00F54945"/>
    <w:rPr>
      <w:sz w:val="24"/>
      <w:szCs w:val="24"/>
      <w:lang w:val="es-ES" w:eastAsia="es-ES"/>
    </w:rPr>
  </w:style>
  <w:style w:type="paragraph" w:styleId="Sangradetextonormal">
    <w:name w:val="Body Text Indent"/>
    <w:basedOn w:val="Normal"/>
    <w:link w:val="SangradetextonormalCar"/>
    <w:uiPriority w:val="99"/>
    <w:semiHidden/>
    <w:unhideWhenUsed/>
    <w:rsid w:val="004341E9"/>
    <w:pPr>
      <w:spacing w:after="120"/>
      <w:ind w:left="283"/>
    </w:pPr>
  </w:style>
  <w:style w:type="character" w:customStyle="1" w:styleId="SangradetextonormalCar">
    <w:name w:val="Sangría de texto normal Car"/>
    <w:basedOn w:val="Fuentedeprrafopredeter"/>
    <w:link w:val="Sangradetextonormal"/>
    <w:uiPriority w:val="99"/>
    <w:semiHidden/>
    <w:rsid w:val="004341E9"/>
    <w:rPr>
      <w:sz w:val="24"/>
      <w:szCs w:val="24"/>
      <w:lang w:val="es-ES" w:eastAsia="es-ES"/>
    </w:rPr>
  </w:style>
  <w:style w:type="paragraph" w:customStyle="1" w:styleId="Vietaletra">
    <w:name w:val="Viñeta letra"/>
    <w:basedOn w:val="Normal"/>
    <w:next w:val="Normal"/>
    <w:rsid w:val="004341E9"/>
    <w:pPr>
      <w:numPr>
        <w:numId w:val="26"/>
      </w:numPr>
      <w:suppressAutoHyphens/>
      <w:overflowPunct w:val="0"/>
      <w:autoSpaceDE w:val="0"/>
      <w:ind w:left="0"/>
      <w:jc w:val="both"/>
      <w:textAlignment w:val="baseline"/>
    </w:pPr>
    <w:rPr>
      <w:rFonts w:ascii="Arial" w:hAnsi="Arial"/>
      <w:szCs w:val="20"/>
      <w:lang w:val="es-ES_tradnl"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F959DC-260C-4E4E-B2CA-DE789B0943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9</Pages>
  <Words>2594</Words>
  <Characters>13327</Characters>
  <Application>Microsoft Office Word</Application>
  <DocSecurity>0</DocSecurity>
  <Lines>111</Lines>
  <Paragraphs>31</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15890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2015-10-27T18:37:00Z</cp:lastPrinted>
  <dcterms:created xsi:type="dcterms:W3CDTF">2015-10-28T21:36:00Z</dcterms:created>
  <dcterms:modified xsi:type="dcterms:W3CDTF">2015-10-28T21:36:00Z</dcterms:modified>
</cp:coreProperties>
</file>