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02775" w14:textId="31D22C19" w:rsidR="00625DC6" w:rsidRPr="003F7981" w:rsidRDefault="00110614" w:rsidP="2A0EE497">
      <w:pPr>
        <w:pStyle w:val="Encabezado"/>
        <w:ind w:left="284" w:right="6"/>
        <w:contextualSpacing/>
        <w:jc w:val="center"/>
        <w:rPr>
          <w:rFonts w:ascii="Bookman Old Style" w:hAnsi="Bookman Old Style"/>
        </w:rPr>
      </w:pPr>
      <w:r>
        <w:rPr>
          <w:rFonts w:ascii="Bookman Old Style" w:hAnsi="Bookman Old Style"/>
          <w:noProof/>
          <w:szCs w:val="24"/>
          <w:lang w:eastAsia="es-CO"/>
        </w:rPr>
        <w:drawing>
          <wp:anchor distT="0" distB="0" distL="114300" distR="114300" simplePos="0" relativeHeight="251658240" behindDoc="0" locked="0" layoutInCell="1" allowOverlap="1" wp14:anchorId="6CA64C0A" wp14:editId="5A58F0E2">
            <wp:simplePos x="0" y="0"/>
            <wp:positionH relativeFrom="column">
              <wp:posOffset>2818130</wp:posOffset>
            </wp:positionH>
            <wp:positionV relativeFrom="paragraph">
              <wp:posOffset>-315595</wp:posOffset>
            </wp:positionV>
            <wp:extent cx="666750" cy="619125"/>
            <wp:effectExtent l="0" t="0" r="6350" b="3175"/>
            <wp:wrapNone/>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EditPoints="1" noChangeArrowheads="1" noChangeShapeType="1" noCrop="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750" cy="619125"/>
                    </a:xfrm>
                    <a:prstGeom prst="rect">
                      <a:avLst/>
                    </a:prstGeom>
                    <a:noFill/>
                  </pic:spPr>
                </pic:pic>
              </a:graphicData>
            </a:graphic>
            <wp14:sizeRelH relativeFrom="page">
              <wp14:pctWidth>0</wp14:pctWidth>
            </wp14:sizeRelH>
            <wp14:sizeRelV relativeFrom="page">
              <wp14:pctHeight>0</wp14:pctHeight>
            </wp14:sizeRelV>
          </wp:anchor>
        </w:drawing>
      </w:r>
    </w:p>
    <w:p w14:paraId="3534631B" w14:textId="5069AFB9" w:rsidR="00625DC6" w:rsidRPr="003F7981" w:rsidRDefault="2A0EE497" w:rsidP="2A0EE497">
      <w:pPr>
        <w:pStyle w:val="Encabezado"/>
        <w:ind w:left="284" w:right="6"/>
        <w:contextualSpacing/>
        <w:jc w:val="both"/>
        <w:rPr>
          <w:rFonts w:ascii="Bookman Old Style" w:hAnsi="Bookman Old Style"/>
        </w:rPr>
      </w:pPr>
      <w:r w:rsidRPr="2A0EE497">
        <w:rPr>
          <w:rFonts w:ascii="Bookman Old Style" w:hAnsi="Bookman Old Style"/>
        </w:rPr>
        <w:t xml:space="preserve"> </w:t>
      </w:r>
    </w:p>
    <w:p w14:paraId="35CAC712" w14:textId="77777777" w:rsidR="00CA77FB" w:rsidRPr="003F7981" w:rsidRDefault="00CA77FB" w:rsidP="00CF067A">
      <w:pPr>
        <w:pStyle w:val="Ttulo4"/>
        <w:ind w:left="284" w:right="6"/>
        <w:contextualSpacing/>
        <w:rPr>
          <w:rFonts w:ascii="Bookman Old Style" w:hAnsi="Bookman Old Style"/>
          <w:b w:val="0"/>
          <w:bCs/>
          <w:noProof/>
          <w:sz w:val="24"/>
          <w:szCs w:val="24"/>
          <w:lang w:val="es-ES"/>
        </w:rPr>
      </w:pPr>
      <w:r w:rsidRPr="003F7981">
        <w:rPr>
          <w:rFonts w:ascii="Bookman Old Style" w:hAnsi="Bookman Old Style"/>
          <w:b w:val="0"/>
          <w:bCs/>
          <w:sz w:val="24"/>
          <w:szCs w:val="24"/>
        </w:rPr>
        <w:t>Ministerio de Minas y Energía</w:t>
      </w:r>
    </w:p>
    <w:p w14:paraId="3F43C339" w14:textId="77777777" w:rsidR="00CA77FB" w:rsidRPr="003F7981" w:rsidRDefault="00CA77FB" w:rsidP="00CF067A">
      <w:pPr>
        <w:pStyle w:val="Ttulo4"/>
        <w:ind w:left="284" w:right="6"/>
        <w:contextualSpacing/>
        <w:rPr>
          <w:rFonts w:ascii="Bookman Old Style" w:hAnsi="Bookman Old Style"/>
          <w:b w:val="0"/>
          <w:bCs/>
          <w:sz w:val="24"/>
          <w:szCs w:val="24"/>
        </w:rPr>
      </w:pPr>
    </w:p>
    <w:p w14:paraId="25A538B3" w14:textId="77777777" w:rsidR="00CA77FB" w:rsidRPr="003F7981" w:rsidRDefault="00CA77FB" w:rsidP="00CF067A">
      <w:pPr>
        <w:pStyle w:val="Ttulo4"/>
        <w:ind w:right="6"/>
        <w:contextualSpacing/>
        <w:rPr>
          <w:rFonts w:ascii="Bookman Old Style" w:hAnsi="Bookman Old Style"/>
          <w:sz w:val="24"/>
          <w:szCs w:val="24"/>
        </w:rPr>
      </w:pPr>
      <w:r w:rsidRPr="003F7981">
        <w:rPr>
          <w:rFonts w:ascii="Bookman Old Style" w:hAnsi="Bookman Old Style"/>
          <w:sz w:val="24"/>
          <w:szCs w:val="24"/>
        </w:rPr>
        <w:t>COMISIÓN DE REGULACIÓN DE ENERGÍA Y GAS</w:t>
      </w:r>
    </w:p>
    <w:p w14:paraId="4E7D0072" w14:textId="77777777" w:rsidR="00CA77FB" w:rsidRPr="003F7981" w:rsidRDefault="00CA77FB" w:rsidP="00CF067A">
      <w:pPr>
        <w:pStyle w:val="Ttulo4"/>
        <w:ind w:right="6"/>
        <w:contextualSpacing/>
        <w:rPr>
          <w:rFonts w:ascii="Bookman Old Style" w:hAnsi="Bookman Old Style"/>
          <w:sz w:val="24"/>
          <w:szCs w:val="24"/>
        </w:rPr>
      </w:pPr>
    </w:p>
    <w:p w14:paraId="4FFCDDA1" w14:textId="20528AF0" w:rsidR="00CA77FB" w:rsidRPr="003F7981" w:rsidRDefault="00CA77FB" w:rsidP="00CF067A">
      <w:pPr>
        <w:pStyle w:val="Ttulo4"/>
        <w:ind w:right="6"/>
        <w:contextualSpacing/>
        <w:rPr>
          <w:rFonts w:ascii="Bookman Old Style" w:hAnsi="Bookman Old Style"/>
          <w:sz w:val="24"/>
          <w:szCs w:val="24"/>
        </w:rPr>
      </w:pPr>
      <w:r w:rsidRPr="003F7981">
        <w:rPr>
          <w:rFonts w:ascii="Bookman Old Style" w:hAnsi="Bookman Old Style"/>
          <w:sz w:val="24"/>
          <w:szCs w:val="24"/>
        </w:rPr>
        <w:t>RESOLUCIÓN No.</w:t>
      </w:r>
      <w:r w:rsidR="00795BFB" w:rsidRPr="003F7981">
        <w:rPr>
          <w:rFonts w:ascii="Bookman Old Style" w:hAnsi="Bookman Old Style"/>
          <w:sz w:val="32"/>
          <w:szCs w:val="32"/>
        </w:rPr>
        <w:t xml:space="preserve"> </w:t>
      </w:r>
      <w:r w:rsidR="00E03E72" w:rsidRPr="003F7981">
        <w:rPr>
          <w:rFonts w:ascii="Bookman Old Style" w:hAnsi="Bookman Old Style"/>
          <w:color w:val="000000" w:themeColor="text1"/>
          <w:sz w:val="32"/>
          <w:szCs w:val="32"/>
        </w:rPr>
        <w:t>501</w:t>
      </w:r>
      <w:r w:rsidR="004773A7" w:rsidRPr="004773A7">
        <w:rPr>
          <w:rFonts w:ascii="Bookman Old Style" w:hAnsi="Bookman Old Style"/>
          <w:sz w:val="32"/>
          <w:szCs w:val="32"/>
        </w:rPr>
        <w:t xml:space="preserve"> 064</w:t>
      </w:r>
      <w:r w:rsidR="00795BFB" w:rsidRPr="004773A7">
        <w:rPr>
          <w:rFonts w:ascii="Bookman Old Style" w:hAnsi="Bookman Old Style"/>
          <w:sz w:val="32"/>
          <w:szCs w:val="32"/>
        </w:rPr>
        <w:t xml:space="preserve"> </w:t>
      </w:r>
      <w:r w:rsidRPr="003F7981">
        <w:rPr>
          <w:rFonts w:ascii="Bookman Old Style" w:hAnsi="Bookman Old Style"/>
          <w:sz w:val="24"/>
          <w:szCs w:val="24"/>
        </w:rPr>
        <w:t xml:space="preserve">DE </w:t>
      </w:r>
      <w:r w:rsidR="00D451C0" w:rsidRPr="003F7981">
        <w:rPr>
          <w:rFonts w:ascii="Bookman Old Style" w:hAnsi="Bookman Old Style"/>
          <w:sz w:val="24"/>
          <w:szCs w:val="24"/>
        </w:rPr>
        <w:t>20</w:t>
      </w:r>
      <w:r w:rsidR="00FD1664" w:rsidRPr="003F7981">
        <w:rPr>
          <w:rFonts w:ascii="Bookman Old Style" w:hAnsi="Bookman Old Style"/>
          <w:sz w:val="24"/>
          <w:szCs w:val="24"/>
        </w:rPr>
        <w:t>2</w:t>
      </w:r>
      <w:r w:rsidR="00F314C2" w:rsidRPr="003F7981">
        <w:rPr>
          <w:rFonts w:ascii="Bookman Old Style" w:hAnsi="Bookman Old Style"/>
          <w:sz w:val="24"/>
          <w:szCs w:val="24"/>
        </w:rPr>
        <w:t>2</w:t>
      </w:r>
    </w:p>
    <w:p w14:paraId="32CF47F9" w14:textId="77777777" w:rsidR="00CA77FB" w:rsidRPr="003F7981" w:rsidRDefault="00CA77FB" w:rsidP="00CF067A">
      <w:pPr>
        <w:pStyle w:val="Ttulo4"/>
        <w:ind w:right="6"/>
        <w:contextualSpacing/>
        <w:rPr>
          <w:rFonts w:ascii="Bookman Old Style" w:hAnsi="Bookman Old Style"/>
          <w:sz w:val="24"/>
          <w:szCs w:val="24"/>
        </w:rPr>
      </w:pPr>
    </w:p>
    <w:p w14:paraId="5508F72B" w14:textId="17393EC9" w:rsidR="00CA77FB" w:rsidRPr="003F7981" w:rsidRDefault="00AE2A73" w:rsidP="00CF067A">
      <w:pPr>
        <w:pStyle w:val="Ttulo4"/>
        <w:ind w:right="6"/>
        <w:contextualSpacing/>
        <w:rPr>
          <w:rFonts w:ascii="Bookman Old Style" w:hAnsi="Bookman Old Style"/>
          <w:sz w:val="24"/>
          <w:szCs w:val="24"/>
        </w:rPr>
      </w:pPr>
      <w:r>
        <w:rPr>
          <w:rFonts w:ascii="Bookman Old Style" w:hAnsi="Bookman Old Style"/>
          <w:sz w:val="24"/>
          <w:szCs w:val="24"/>
        </w:rPr>
        <w:t>(</w:t>
      </w:r>
      <w:r w:rsidR="004773A7">
        <w:rPr>
          <w:rFonts w:ascii="Bookman Old Style" w:hAnsi="Bookman Old Style"/>
          <w:sz w:val="36"/>
          <w:szCs w:val="36"/>
        </w:rPr>
        <w:t>09</w:t>
      </w:r>
      <w:r w:rsidR="00AD369B" w:rsidRPr="003F7981">
        <w:rPr>
          <w:rFonts w:ascii="Bookman Old Style" w:hAnsi="Bookman Old Style"/>
          <w:sz w:val="36"/>
          <w:szCs w:val="36"/>
        </w:rPr>
        <w:t xml:space="preserve"> </w:t>
      </w:r>
      <w:r w:rsidR="00A74E1B">
        <w:rPr>
          <w:rFonts w:ascii="Bookman Old Style" w:hAnsi="Bookman Old Style"/>
          <w:sz w:val="36"/>
          <w:szCs w:val="36"/>
        </w:rPr>
        <w:t>NOV</w:t>
      </w:r>
      <w:r w:rsidR="00AD369B" w:rsidRPr="003F7981">
        <w:rPr>
          <w:rFonts w:ascii="Bookman Old Style" w:hAnsi="Bookman Old Style"/>
          <w:sz w:val="36"/>
          <w:szCs w:val="36"/>
        </w:rPr>
        <w:t>. 202</w:t>
      </w:r>
      <w:r w:rsidR="00F314C2" w:rsidRPr="003F7981">
        <w:rPr>
          <w:rFonts w:ascii="Bookman Old Style" w:hAnsi="Bookman Old Style"/>
          <w:sz w:val="36"/>
          <w:szCs w:val="36"/>
        </w:rPr>
        <w:t>2</w:t>
      </w:r>
      <w:r w:rsidR="00CA77FB" w:rsidRPr="003F7981">
        <w:rPr>
          <w:rFonts w:ascii="Bookman Old Style" w:hAnsi="Bookman Old Style"/>
          <w:sz w:val="24"/>
          <w:szCs w:val="24"/>
        </w:rPr>
        <w:t>)</w:t>
      </w:r>
    </w:p>
    <w:p w14:paraId="1FEF4395" w14:textId="4241517E" w:rsidR="00AD369B" w:rsidRDefault="00AD369B" w:rsidP="00CF067A">
      <w:pPr>
        <w:pStyle w:val="Textodebloque"/>
        <w:spacing w:after="0"/>
        <w:ind w:left="284" w:right="6"/>
        <w:contextualSpacing/>
        <w:rPr>
          <w:rFonts w:ascii="Bookman Old Style" w:hAnsi="Bookman Old Style"/>
          <w:szCs w:val="24"/>
        </w:rPr>
      </w:pPr>
      <w:bookmarkStart w:id="0" w:name="_Hlk40445094"/>
    </w:p>
    <w:p w14:paraId="5EE022B1" w14:textId="579FCAEC" w:rsidR="00BC52A7" w:rsidRDefault="00BC52A7" w:rsidP="00CF067A">
      <w:pPr>
        <w:pStyle w:val="Textodebloque"/>
        <w:spacing w:after="0"/>
        <w:ind w:left="284" w:right="6"/>
        <w:contextualSpacing/>
        <w:rPr>
          <w:rFonts w:ascii="Bookman Old Style" w:hAnsi="Bookman Old Style"/>
          <w:szCs w:val="24"/>
        </w:rPr>
      </w:pPr>
    </w:p>
    <w:p w14:paraId="712FFB7E" w14:textId="76A6868B" w:rsidR="00BC52A7" w:rsidRPr="00BC52A7" w:rsidRDefault="00BC52A7" w:rsidP="2A0EE497">
      <w:pPr>
        <w:pStyle w:val="Textodebloque"/>
        <w:ind w:left="284" w:right="6"/>
        <w:contextualSpacing/>
        <w:jc w:val="center"/>
        <w:rPr>
          <w:rFonts w:ascii="Bookman Old Style" w:hAnsi="Bookman Old Style"/>
        </w:rPr>
      </w:pPr>
      <w:r w:rsidRPr="2A0EE497">
        <w:rPr>
          <w:rFonts w:ascii="Bookman Old Style" w:hAnsi="Bookman Old Style"/>
        </w:rPr>
        <w:t xml:space="preserve">Por la cual se resuelve el recurso de reposición interpuesto por </w:t>
      </w:r>
      <w:r w:rsidR="00F9260D" w:rsidRPr="00F9260D">
        <w:rPr>
          <w:rFonts w:ascii="Bookman Old Style" w:hAnsi="Bookman Old Style"/>
        </w:rPr>
        <w:t>REFOENERGY BITA S.A.</w:t>
      </w:r>
      <w:r w:rsidR="00AF6908">
        <w:rPr>
          <w:rFonts w:ascii="Bookman Old Style" w:hAnsi="Bookman Old Style"/>
        </w:rPr>
        <w:t xml:space="preserve">S. </w:t>
      </w:r>
      <w:r w:rsidR="00F9260D" w:rsidRPr="00F9260D">
        <w:rPr>
          <w:rFonts w:ascii="Bookman Old Style" w:hAnsi="Bookman Old Style"/>
        </w:rPr>
        <w:t>E.S.P.</w:t>
      </w:r>
      <w:r w:rsidR="00F9260D">
        <w:rPr>
          <w:rFonts w:ascii="Bookman Old Style" w:hAnsi="Bookman Old Style"/>
        </w:rPr>
        <w:t>,</w:t>
      </w:r>
      <w:r w:rsidR="00F9260D" w:rsidRPr="00F9260D">
        <w:rPr>
          <w:rFonts w:ascii="Bookman Old Style" w:hAnsi="Bookman Old Style"/>
        </w:rPr>
        <w:t xml:space="preserve"> </w:t>
      </w:r>
      <w:r w:rsidRPr="2A0EE497">
        <w:rPr>
          <w:rFonts w:ascii="Bookman Old Style" w:hAnsi="Bookman Old Style"/>
        </w:rPr>
        <w:t xml:space="preserve">contra la Resolución </w:t>
      </w:r>
      <w:bookmarkStart w:id="1" w:name="_Int_sz6iUwbW"/>
      <w:r w:rsidRPr="2A0EE497">
        <w:rPr>
          <w:rFonts w:ascii="Bookman Old Style" w:hAnsi="Bookman Old Style"/>
        </w:rPr>
        <w:t>CREG</w:t>
      </w:r>
      <w:bookmarkEnd w:id="1"/>
      <w:r w:rsidRPr="2A0EE497">
        <w:rPr>
          <w:rFonts w:ascii="Bookman Old Style" w:hAnsi="Bookman Old Style"/>
        </w:rPr>
        <w:t xml:space="preserve"> 501 0</w:t>
      </w:r>
      <w:r w:rsidR="002A4D38">
        <w:rPr>
          <w:rFonts w:ascii="Bookman Old Style" w:hAnsi="Bookman Old Style"/>
        </w:rPr>
        <w:t xml:space="preserve">59 </w:t>
      </w:r>
      <w:r w:rsidRPr="2A0EE497">
        <w:rPr>
          <w:rFonts w:ascii="Bookman Old Style" w:hAnsi="Bookman Old Style"/>
        </w:rPr>
        <w:t>de 2022</w:t>
      </w:r>
    </w:p>
    <w:p w14:paraId="58CFFCBE" w14:textId="77777777" w:rsidR="00BC52A7" w:rsidRDefault="00BC52A7" w:rsidP="00BC52A7">
      <w:pPr>
        <w:pStyle w:val="Textodebloque"/>
        <w:ind w:left="284" w:right="6"/>
        <w:contextualSpacing/>
        <w:rPr>
          <w:rFonts w:ascii="Bookman Old Style" w:hAnsi="Bookman Old Style"/>
          <w:szCs w:val="24"/>
        </w:rPr>
      </w:pPr>
    </w:p>
    <w:p w14:paraId="3DD17CC5" w14:textId="77777777" w:rsidR="004120A1" w:rsidRPr="00BC52A7" w:rsidRDefault="004120A1" w:rsidP="00BC52A7">
      <w:pPr>
        <w:pStyle w:val="Textodebloque"/>
        <w:ind w:left="284" w:right="6"/>
        <w:contextualSpacing/>
        <w:rPr>
          <w:rFonts w:ascii="Bookman Old Style" w:hAnsi="Bookman Old Style"/>
          <w:szCs w:val="24"/>
        </w:rPr>
      </w:pPr>
    </w:p>
    <w:p w14:paraId="3E1FFB7C" w14:textId="77777777" w:rsidR="00BC52A7" w:rsidRPr="00BC52A7" w:rsidRDefault="00BC52A7" w:rsidP="00BC52A7">
      <w:pPr>
        <w:pStyle w:val="Textodebloque"/>
        <w:ind w:left="284" w:right="6"/>
        <w:contextualSpacing/>
        <w:jc w:val="center"/>
        <w:rPr>
          <w:rFonts w:ascii="Bookman Old Style" w:hAnsi="Bookman Old Style"/>
          <w:b/>
          <w:szCs w:val="24"/>
        </w:rPr>
      </w:pPr>
      <w:r w:rsidRPr="00BC52A7">
        <w:rPr>
          <w:rFonts w:ascii="Bookman Old Style" w:hAnsi="Bookman Old Style"/>
          <w:b/>
          <w:szCs w:val="24"/>
        </w:rPr>
        <w:t>LA COMISIÓN DE REGULACIÓN DE ENERGÍA Y GAS</w:t>
      </w:r>
    </w:p>
    <w:p w14:paraId="6BFFA48D" w14:textId="77777777" w:rsidR="00BC52A7" w:rsidRPr="00BC52A7" w:rsidRDefault="00BC52A7" w:rsidP="00BC52A7">
      <w:pPr>
        <w:pStyle w:val="Textodebloque"/>
        <w:ind w:left="284" w:right="6"/>
        <w:contextualSpacing/>
        <w:rPr>
          <w:rFonts w:ascii="Bookman Old Style" w:hAnsi="Bookman Old Style"/>
          <w:szCs w:val="24"/>
        </w:rPr>
      </w:pPr>
    </w:p>
    <w:p w14:paraId="4958B3A0" w14:textId="77777777" w:rsidR="00BC52A7" w:rsidRPr="00BC52A7" w:rsidRDefault="00BC52A7" w:rsidP="00BC52A7">
      <w:pPr>
        <w:pStyle w:val="Textodebloque"/>
        <w:ind w:left="284" w:right="6"/>
        <w:contextualSpacing/>
        <w:rPr>
          <w:rFonts w:ascii="Bookman Old Style" w:hAnsi="Bookman Old Style"/>
          <w:szCs w:val="24"/>
        </w:rPr>
      </w:pPr>
    </w:p>
    <w:p w14:paraId="6AEFEB72" w14:textId="61168DF3" w:rsidR="00BC52A7" w:rsidRPr="00BC52A7" w:rsidRDefault="00BC52A7" w:rsidP="00BC52A7">
      <w:pPr>
        <w:pStyle w:val="Textodebloque"/>
        <w:ind w:left="284" w:right="6"/>
        <w:contextualSpacing/>
        <w:rPr>
          <w:rFonts w:ascii="Bookman Old Style" w:hAnsi="Bookman Old Style"/>
          <w:szCs w:val="24"/>
        </w:rPr>
      </w:pPr>
      <w:r w:rsidRPr="00BC52A7">
        <w:rPr>
          <w:rFonts w:ascii="Bookman Old Style" w:hAnsi="Bookman Old Style"/>
          <w:szCs w:val="24"/>
        </w:rPr>
        <w:t>En ejercicio de las atribuciones constitucionales y legales, en especial las conferidas por las Ley 142 de 1994, y en desarrollo de los Decretos 1524 y 2253 de 1994 y 1260 de 2013 y,</w:t>
      </w:r>
    </w:p>
    <w:p w14:paraId="11286AF4" w14:textId="77777777" w:rsidR="00BC52A7" w:rsidRPr="00BC52A7" w:rsidRDefault="00BC52A7" w:rsidP="00BC52A7">
      <w:pPr>
        <w:pStyle w:val="Textodebloque"/>
        <w:ind w:left="284" w:right="6"/>
        <w:contextualSpacing/>
        <w:rPr>
          <w:rFonts w:ascii="Bookman Old Style" w:hAnsi="Bookman Old Style"/>
          <w:szCs w:val="24"/>
        </w:rPr>
      </w:pPr>
    </w:p>
    <w:p w14:paraId="569BD3E7" w14:textId="77777777" w:rsidR="00BC52A7" w:rsidRPr="00BC52A7" w:rsidRDefault="00BC52A7" w:rsidP="00BC52A7">
      <w:pPr>
        <w:pStyle w:val="Textodebloque"/>
        <w:ind w:left="284" w:right="6"/>
        <w:contextualSpacing/>
        <w:rPr>
          <w:rFonts w:ascii="Bookman Old Style" w:hAnsi="Bookman Old Style"/>
          <w:szCs w:val="24"/>
        </w:rPr>
      </w:pPr>
    </w:p>
    <w:p w14:paraId="331D26C7" w14:textId="306E0982" w:rsidR="00BC52A7" w:rsidRPr="00BC52A7" w:rsidRDefault="00BC52A7" w:rsidP="00BC52A7">
      <w:pPr>
        <w:pStyle w:val="Textodebloque"/>
        <w:ind w:left="284" w:right="6"/>
        <w:contextualSpacing/>
        <w:jc w:val="center"/>
        <w:rPr>
          <w:rFonts w:ascii="Bookman Old Style" w:hAnsi="Bookman Old Style"/>
          <w:b/>
          <w:szCs w:val="24"/>
        </w:rPr>
      </w:pPr>
      <w:r w:rsidRPr="00BC52A7">
        <w:rPr>
          <w:rFonts w:ascii="Bookman Old Style" w:hAnsi="Bookman Old Style"/>
          <w:b/>
          <w:szCs w:val="24"/>
        </w:rPr>
        <w:t>C O N S I D E R A N D O Q U E:</w:t>
      </w:r>
    </w:p>
    <w:p w14:paraId="00655C51" w14:textId="77777777" w:rsidR="00BC52A7" w:rsidRPr="00BC52A7" w:rsidRDefault="00BC52A7" w:rsidP="00BC52A7">
      <w:pPr>
        <w:pStyle w:val="Textodebloque"/>
        <w:ind w:left="284" w:right="6"/>
        <w:contextualSpacing/>
        <w:rPr>
          <w:rFonts w:ascii="Bookman Old Style" w:hAnsi="Bookman Old Style"/>
          <w:szCs w:val="24"/>
        </w:rPr>
      </w:pPr>
    </w:p>
    <w:p w14:paraId="4B932F7F" w14:textId="77777777" w:rsidR="00BC52A7" w:rsidRPr="00BC52A7" w:rsidRDefault="00BC52A7" w:rsidP="00BC52A7">
      <w:pPr>
        <w:pStyle w:val="Textodebloque"/>
        <w:ind w:left="284" w:right="6"/>
        <w:contextualSpacing/>
        <w:rPr>
          <w:rFonts w:ascii="Bookman Old Style" w:hAnsi="Bookman Old Style"/>
          <w:szCs w:val="24"/>
        </w:rPr>
      </w:pPr>
    </w:p>
    <w:p w14:paraId="6891EB16" w14:textId="77777777" w:rsidR="00BC52A7" w:rsidRPr="00BC52A7" w:rsidRDefault="00BC52A7" w:rsidP="00BC52A7">
      <w:pPr>
        <w:pStyle w:val="Textodebloque"/>
        <w:ind w:left="284" w:right="6"/>
        <w:contextualSpacing/>
        <w:rPr>
          <w:rFonts w:ascii="Bookman Old Style" w:hAnsi="Bookman Old Style"/>
          <w:b/>
          <w:szCs w:val="24"/>
        </w:rPr>
      </w:pPr>
      <w:r w:rsidRPr="00BC52A7">
        <w:rPr>
          <w:rFonts w:ascii="Bookman Old Style" w:hAnsi="Bookman Old Style"/>
          <w:b/>
          <w:szCs w:val="24"/>
        </w:rPr>
        <w:t>I. ANTECEDENTES</w:t>
      </w:r>
    </w:p>
    <w:p w14:paraId="40F48BF3" w14:textId="77777777" w:rsidR="00BC52A7" w:rsidRPr="00BC52A7" w:rsidRDefault="00BC52A7" w:rsidP="00BC52A7">
      <w:pPr>
        <w:pStyle w:val="Textodebloque"/>
        <w:ind w:left="284" w:right="6"/>
        <w:contextualSpacing/>
        <w:rPr>
          <w:rFonts w:ascii="Bookman Old Style" w:hAnsi="Bookman Old Style"/>
          <w:b/>
          <w:szCs w:val="24"/>
        </w:rPr>
      </w:pPr>
    </w:p>
    <w:p w14:paraId="00A9C4C5" w14:textId="41647FAD" w:rsidR="00BC52A7" w:rsidRPr="00BC52A7" w:rsidRDefault="00F65EE2" w:rsidP="00BC52A7">
      <w:pPr>
        <w:pStyle w:val="Textodebloque"/>
        <w:ind w:left="284" w:right="6"/>
        <w:contextualSpacing/>
        <w:rPr>
          <w:rFonts w:ascii="Bookman Old Style" w:hAnsi="Bookman Old Style"/>
          <w:szCs w:val="24"/>
        </w:rPr>
      </w:pPr>
      <w:r>
        <w:rPr>
          <w:rFonts w:ascii="Bookman Old Style" w:hAnsi="Bookman Old Style"/>
          <w:szCs w:val="24"/>
        </w:rPr>
        <w:t>E</w:t>
      </w:r>
      <w:r w:rsidR="008D7775">
        <w:rPr>
          <w:rFonts w:ascii="Bookman Old Style" w:hAnsi="Bookman Old Style"/>
          <w:szCs w:val="24"/>
        </w:rPr>
        <w:t>l 1</w:t>
      </w:r>
      <w:r w:rsidR="00F30F24">
        <w:rPr>
          <w:rFonts w:ascii="Bookman Old Style" w:hAnsi="Bookman Old Style"/>
          <w:szCs w:val="24"/>
        </w:rPr>
        <w:t>5</w:t>
      </w:r>
      <w:r w:rsidR="008D7775">
        <w:rPr>
          <w:rFonts w:ascii="Bookman Old Style" w:hAnsi="Bookman Old Style"/>
          <w:szCs w:val="24"/>
        </w:rPr>
        <w:t xml:space="preserve"> de </w:t>
      </w:r>
      <w:r w:rsidR="00F30F24">
        <w:rPr>
          <w:rFonts w:ascii="Bookman Old Style" w:hAnsi="Bookman Old Style"/>
          <w:szCs w:val="24"/>
        </w:rPr>
        <w:t>julio</w:t>
      </w:r>
      <w:r>
        <w:rPr>
          <w:rFonts w:ascii="Bookman Old Style" w:hAnsi="Bookman Old Style"/>
          <w:szCs w:val="24"/>
        </w:rPr>
        <w:t xml:space="preserve"> </w:t>
      </w:r>
      <w:r w:rsidR="008B6F1B">
        <w:rPr>
          <w:rFonts w:ascii="Bookman Old Style" w:hAnsi="Bookman Old Style"/>
          <w:szCs w:val="24"/>
        </w:rPr>
        <w:t>del año en curso la CREG expidió</w:t>
      </w:r>
      <w:r w:rsidR="00F30F24">
        <w:rPr>
          <w:rFonts w:ascii="Bookman Old Style" w:hAnsi="Bookman Old Style"/>
          <w:szCs w:val="24"/>
        </w:rPr>
        <w:t xml:space="preserve"> </w:t>
      </w:r>
      <w:r w:rsidR="008D7775">
        <w:rPr>
          <w:rFonts w:ascii="Bookman Old Style" w:hAnsi="Bookman Old Style"/>
          <w:szCs w:val="24"/>
        </w:rPr>
        <w:t xml:space="preserve">la </w:t>
      </w:r>
      <w:r w:rsidR="009B1E49">
        <w:rPr>
          <w:rFonts w:ascii="Bookman Old Style" w:hAnsi="Bookman Old Style"/>
          <w:szCs w:val="24"/>
        </w:rPr>
        <w:t>Resolución</w:t>
      </w:r>
      <w:r w:rsidR="008D7775">
        <w:rPr>
          <w:rFonts w:ascii="Bookman Old Style" w:hAnsi="Bookman Old Style"/>
          <w:szCs w:val="24"/>
        </w:rPr>
        <w:t xml:space="preserve"> </w:t>
      </w:r>
      <w:r w:rsidR="00BC52A7" w:rsidRPr="00BC52A7">
        <w:rPr>
          <w:rFonts w:ascii="Bookman Old Style" w:hAnsi="Bookman Old Style"/>
          <w:szCs w:val="24"/>
        </w:rPr>
        <w:t>CREG 501 0</w:t>
      </w:r>
      <w:r w:rsidR="008F408A">
        <w:rPr>
          <w:rFonts w:ascii="Bookman Old Style" w:hAnsi="Bookman Old Style"/>
          <w:szCs w:val="24"/>
        </w:rPr>
        <w:t>59</w:t>
      </w:r>
      <w:r w:rsidR="00BC52A7" w:rsidRPr="00BC52A7">
        <w:rPr>
          <w:rFonts w:ascii="Bookman Old Style" w:hAnsi="Bookman Old Style"/>
          <w:szCs w:val="24"/>
        </w:rPr>
        <w:t xml:space="preserve"> de 2022,</w:t>
      </w:r>
      <w:r w:rsidR="008D7775">
        <w:rPr>
          <w:rFonts w:ascii="Bookman Old Style" w:hAnsi="Bookman Old Style"/>
          <w:szCs w:val="24"/>
        </w:rPr>
        <w:t xml:space="preserve"> </w:t>
      </w:r>
      <w:r w:rsidR="00BC52A7" w:rsidRPr="00BC52A7">
        <w:rPr>
          <w:rFonts w:ascii="Bookman Old Style" w:hAnsi="Bookman Old Style"/>
          <w:szCs w:val="24"/>
        </w:rPr>
        <w:t>“</w:t>
      </w:r>
      <w:r w:rsidR="00C76552" w:rsidRPr="00BD24F5">
        <w:rPr>
          <w:rFonts w:ascii="Bookman Old Style" w:hAnsi="Bookman Old Style"/>
          <w:i/>
          <w:iCs/>
          <w:szCs w:val="24"/>
        </w:rPr>
        <w:t>Por la cual se determina el cargo máximo de generación para el mercado relevante de comercialización de la cabecera municipal de Puerto Carreño en el Departamento del Vichada</w:t>
      </w:r>
      <w:r w:rsidR="00BC52A7" w:rsidRPr="00BC52A7">
        <w:rPr>
          <w:rFonts w:ascii="Bookman Old Style" w:hAnsi="Bookman Old Style"/>
          <w:szCs w:val="24"/>
        </w:rPr>
        <w:t>”</w:t>
      </w:r>
      <w:r w:rsidR="000A42D2">
        <w:rPr>
          <w:rFonts w:ascii="Bookman Old Style" w:hAnsi="Bookman Old Style"/>
          <w:szCs w:val="24"/>
        </w:rPr>
        <w:t>,</w:t>
      </w:r>
      <w:r w:rsidR="00BC52A7" w:rsidRPr="00BC52A7">
        <w:rPr>
          <w:rFonts w:ascii="Bookman Old Style" w:hAnsi="Bookman Old Style"/>
          <w:szCs w:val="24"/>
        </w:rPr>
        <w:t xml:space="preserve"> y que resuelve en el artículo 1 de la misma lo siguiente:</w:t>
      </w:r>
    </w:p>
    <w:p w14:paraId="0BEE64BB" w14:textId="77777777" w:rsidR="00BC52A7" w:rsidRPr="00BC52A7" w:rsidRDefault="00BC52A7" w:rsidP="00BC52A7">
      <w:pPr>
        <w:pStyle w:val="Textodebloque"/>
        <w:ind w:left="284" w:right="6"/>
        <w:contextualSpacing/>
        <w:rPr>
          <w:rFonts w:ascii="Bookman Old Style" w:hAnsi="Bookman Old Style"/>
          <w:szCs w:val="24"/>
        </w:rPr>
      </w:pPr>
    </w:p>
    <w:p w14:paraId="6E9E4C67" w14:textId="0CA5E161" w:rsidR="004A220F" w:rsidRPr="004A220F" w:rsidRDefault="00BC52A7" w:rsidP="004A220F">
      <w:pPr>
        <w:pStyle w:val="Textodebloque"/>
        <w:ind w:right="6"/>
        <w:contextualSpacing/>
        <w:rPr>
          <w:rFonts w:ascii="Bookman Old Style" w:hAnsi="Bookman Old Style"/>
          <w:i/>
          <w:sz w:val="22"/>
          <w:szCs w:val="22"/>
        </w:rPr>
      </w:pPr>
      <w:r w:rsidRPr="00504DB1">
        <w:rPr>
          <w:rFonts w:ascii="Bookman Old Style" w:hAnsi="Bookman Old Style"/>
          <w:i/>
          <w:sz w:val="22"/>
          <w:szCs w:val="22"/>
        </w:rPr>
        <w:t>“</w:t>
      </w:r>
      <w:r w:rsidR="008D7775" w:rsidRPr="00504DB1">
        <w:rPr>
          <w:rFonts w:ascii="Bookman Old Style" w:hAnsi="Bookman Old Style"/>
          <w:i/>
          <w:sz w:val="22"/>
          <w:szCs w:val="22"/>
        </w:rPr>
        <w:t>(</w:t>
      </w:r>
      <w:r w:rsidR="00733E3B" w:rsidRPr="00504DB1">
        <w:rPr>
          <w:rFonts w:ascii="Bookman Old Style" w:hAnsi="Bookman Old Style"/>
          <w:i/>
          <w:sz w:val="22"/>
          <w:szCs w:val="22"/>
        </w:rPr>
        <w:t>..)</w:t>
      </w:r>
      <w:r w:rsidR="00BD24F5">
        <w:rPr>
          <w:rFonts w:ascii="Bookman Old Style" w:hAnsi="Bookman Old Style"/>
          <w:i/>
          <w:sz w:val="22"/>
          <w:szCs w:val="22"/>
        </w:rPr>
        <w:t xml:space="preserve"> </w:t>
      </w:r>
      <w:r w:rsidR="004A220F" w:rsidRPr="004A220F">
        <w:rPr>
          <w:rFonts w:ascii="Bookman Old Style" w:hAnsi="Bookman Old Style"/>
          <w:i/>
          <w:sz w:val="22"/>
          <w:szCs w:val="22"/>
        </w:rPr>
        <w:t>Remuneración de las componentes de inversión y de administración, operación y mantenimiento. Para sistemas híbridos diésel - biomasa, para el mercado relevante de Puerto Carreño en el Departamento del Vichada, las componentes que remuneran los costos de inversión y de administración, operación y mantenimiento son las siguientes:</w:t>
      </w:r>
    </w:p>
    <w:p w14:paraId="49E5EFD2" w14:textId="77777777" w:rsidR="004A220F" w:rsidRPr="004A220F" w:rsidRDefault="004A220F" w:rsidP="004A220F">
      <w:pPr>
        <w:pStyle w:val="Textodebloque"/>
        <w:ind w:right="6"/>
        <w:contextualSpacing/>
        <w:rPr>
          <w:rFonts w:ascii="Bookman Old Style" w:hAnsi="Bookman Old Style"/>
          <w:i/>
          <w:sz w:val="22"/>
          <w:szCs w:val="22"/>
        </w:rPr>
      </w:pPr>
    </w:p>
    <w:p w14:paraId="152E346B" w14:textId="77777777" w:rsidR="004A220F" w:rsidRPr="004A220F" w:rsidRDefault="004A220F" w:rsidP="004A220F">
      <w:pPr>
        <w:pStyle w:val="Textodebloque"/>
        <w:ind w:right="6"/>
        <w:contextualSpacing/>
        <w:jc w:val="center"/>
        <w:rPr>
          <w:rFonts w:ascii="Bookman Old Style" w:hAnsi="Bookman Old Style"/>
          <w:b/>
          <w:i/>
          <w:sz w:val="22"/>
          <w:szCs w:val="22"/>
        </w:rPr>
      </w:pPr>
      <w:r w:rsidRPr="004A220F">
        <w:rPr>
          <w:rFonts w:ascii="Bookman Old Style" w:hAnsi="Bookman Old Style"/>
          <w:b/>
          <w:i/>
          <w:sz w:val="22"/>
          <w:szCs w:val="22"/>
        </w:rPr>
        <w:t>Tabla 1. Componentes de remuneración de costos de inversión y de administración, operación y mantenimiento para sistemas híbridos diésel - biomasa</w:t>
      </w:r>
    </w:p>
    <w:p w14:paraId="289D9A48" w14:textId="77777777" w:rsidR="004A220F" w:rsidRPr="004A220F" w:rsidRDefault="004A220F" w:rsidP="004A220F">
      <w:pPr>
        <w:pStyle w:val="Textodebloque"/>
        <w:ind w:right="6"/>
        <w:contextualSpacing/>
        <w:jc w:val="center"/>
        <w:rPr>
          <w:rFonts w:ascii="Bookman Old Style" w:hAnsi="Bookman Old Style"/>
          <w:b/>
          <w:i/>
          <w:sz w:val="22"/>
          <w:szCs w:val="22"/>
        </w:rPr>
      </w:pPr>
      <w:r w:rsidRPr="004A220F">
        <w:rPr>
          <w:rFonts w:ascii="Bookman Old Style" w:hAnsi="Bookman Old Style"/>
          <w:b/>
          <w:i/>
          <w:sz w:val="22"/>
          <w:szCs w:val="22"/>
        </w:rPr>
        <w:t>(pesos de diciembre de 2006)</w:t>
      </w:r>
    </w:p>
    <w:tbl>
      <w:tblPr>
        <w:tblStyle w:val="Tablaconcuadrcula"/>
        <w:tblW w:w="9203" w:type="dxa"/>
        <w:tblInd w:w="28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4"/>
        <w:gridCol w:w="3824"/>
        <w:gridCol w:w="3825"/>
      </w:tblGrid>
      <w:tr w:rsidR="004A220F" w:rsidRPr="00E71C5E" w14:paraId="08BA9A39" w14:textId="77777777" w:rsidTr="002E759E">
        <w:tc>
          <w:tcPr>
            <w:tcW w:w="1554" w:type="dxa"/>
            <w:vAlign w:val="center"/>
          </w:tcPr>
          <w:p w14:paraId="15B93221" w14:textId="77777777" w:rsidR="004A220F" w:rsidRPr="00E71C5E" w:rsidRDefault="004A220F" w:rsidP="002E759E">
            <w:pPr>
              <w:pStyle w:val="Piedepgina"/>
              <w:tabs>
                <w:tab w:val="clear" w:pos="4252"/>
                <w:tab w:val="clear" w:pos="8504"/>
                <w:tab w:val="center" w:pos="4845"/>
              </w:tabs>
              <w:ind w:right="6"/>
              <w:contextualSpacing/>
              <w:jc w:val="center"/>
              <w:rPr>
                <w:rFonts w:ascii="Bookman Old Style" w:hAnsi="Bookman Old Style" w:cs="Arial"/>
                <w:sz w:val="22"/>
                <w:szCs w:val="22"/>
              </w:rPr>
            </w:pPr>
            <w:r w:rsidRPr="00E71C5E">
              <w:rPr>
                <w:rFonts w:ascii="Bookman Old Style" w:hAnsi="Bookman Old Style" w:cs="Arial"/>
                <w:sz w:val="22"/>
                <w:szCs w:val="22"/>
              </w:rPr>
              <w:t>Tipo de recurso energético</w:t>
            </w:r>
          </w:p>
        </w:tc>
        <w:tc>
          <w:tcPr>
            <w:tcW w:w="3824" w:type="dxa"/>
            <w:vAlign w:val="center"/>
          </w:tcPr>
          <w:p w14:paraId="7CC4CEA3" w14:textId="77777777" w:rsidR="004A220F" w:rsidRPr="00E71C5E" w:rsidRDefault="004A220F" w:rsidP="002E759E">
            <w:pPr>
              <w:pStyle w:val="Piedepgina"/>
              <w:tabs>
                <w:tab w:val="center" w:pos="4845"/>
              </w:tabs>
              <w:ind w:left="284" w:right="6"/>
              <w:contextualSpacing/>
              <w:jc w:val="center"/>
              <w:rPr>
                <w:rFonts w:ascii="Bookman Old Style" w:hAnsi="Bookman Old Style" w:cs="Arial"/>
                <w:sz w:val="22"/>
                <w:szCs w:val="22"/>
              </w:rPr>
            </w:pPr>
            <w:r w:rsidRPr="00E71C5E">
              <w:rPr>
                <w:rFonts w:ascii="Bookman Old Style" w:hAnsi="Bookman Old Style" w:cs="Arial"/>
                <w:sz w:val="22"/>
                <w:szCs w:val="22"/>
              </w:rPr>
              <w:t>Costo de inversión, CIj,0</w:t>
            </w:r>
          </w:p>
          <w:p w14:paraId="25383B54" w14:textId="77777777" w:rsidR="004A220F" w:rsidRPr="00E71C5E" w:rsidRDefault="004A220F" w:rsidP="002E759E">
            <w:pPr>
              <w:pStyle w:val="Piedepgina"/>
              <w:tabs>
                <w:tab w:val="clear" w:pos="4252"/>
                <w:tab w:val="clear" w:pos="8504"/>
                <w:tab w:val="center" w:pos="4845"/>
              </w:tabs>
              <w:ind w:right="6"/>
              <w:contextualSpacing/>
              <w:jc w:val="center"/>
              <w:rPr>
                <w:rFonts w:ascii="Bookman Old Style" w:hAnsi="Bookman Old Style" w:cs="Arial"/>
                <w:sz w:val="22"/>
                <w:szCs w:val="22"/>
              </w:rPr>
            </w:pPr>
            <w:r w:rsidRPr="00E71C5E">
              <w:rPr>
                <w:rFonts w:ascii="Bookman Old Style" w:hAnsi="Bookman Old Style" w:cs="Arial"/>
                <w:sz w:val="22"/>
                <w:szCs w:val="22"/>
              </w:rPr>
              <w:t>($/kWh)</w:t>
            </w:r>
          </w:p>
        </w:tc>
        <w:tc>
          <w:tcPr>
            <w:tcW w:w="3825" w:type="dxa"/>
            <w:vAlign w:val="center"/>
          </w:tcPr>
          <w:p w14:paraId="7948BF95" w14:textId="77777777" w:rsidR="004A220F" w:rsidRPr="00E71C5E" w:rsidRDefault="004A220F" w:rsidP="002E759E">
            <w:pPr>
              <w:pStyle w:val="Piedepgina"/>
              <w:tabs>
                <w:tab w:val="center" w:pos="4845"/>
              </w:tabs>
              <w:ind w:left="284" w:right="6"/>
              <w:contextualSpacing/>
              <w:jc w:val="center"/>
              <w:rPr>
                <w:rFonts w:ascii="Bookman Old Style" w:hAnsi="Bookman Old Style" w:cs="Arial"/>
                <w:sz w:val="22"/>
                <w:szCs w:val="22"/>
              </w:rPr>
            </w:pPr>
            <w:r w:rsidRPr="00E71C5E">
              <w:rPr>
                <w:rFonts w:ascii="Bookman Old Style" w:hAnsi="Bookman Old Style" w:cs="Arial"/>
                <w:sz w:val="22"/>
                <w:szCs w:val="22"/>
              </w:rPr>
              <w:t>Costos de administración, operación y mantenimiento,</w:t>
            </w:r>
          </w:p>
          <w:p w14:paraId="76EAAE90" w14:textId="77777777" w:rsidR="004A220F" w:rsidRPr="00E71C5E" w:rsidRDefault="004A220F" w:rsidP="002E759E">
            <w:pPr>
              <w:pStyle w:val="Piedepgina"/>
              <w:tabs>
                <w:tab w:val="center" w:pos="4845"/>
              </w:tabs>
              <w:ind w:left="284" w:right="6"/>
              <w:contextualSpacing/>
              <w:jc w:val="center"/>
              <w:rPr>
                <w:rFonts w:ascii="Bookman Old Style" w:hAnsi="Bookman Old Style" w:cs="Arial"/>
                <w:sz w:val="22"/>
                <w:szCs w:val="22"/>
              </w:rPr>
            </w:pPr>
            <w:r w:rsidRPr="00E71C5E">
              <w:rPr>
                <w:rFonts w:ascii="Bookman Old Style" w:hAnsi="Bookman Old Style" w:cs="Arial"/>
                <w:sz w:val="22"/>
                <w:szCs w:val="22"/>
              </w:rPr>
              <w:t>CMj,0 ($/kWh)</w:t>
            </w:r>
          </w:p>
          <w:p w14:paraId="2437B8D5" w14:textId="77777777" w:rsidR="004A220F" w:rsidRPr="00E71C5E" w:rsidRDefault="004A220F" w:rsidP="002E759E">
            <w:pPr>
              <w:pStyle w:val="Piedepgina"/>
              <w:tabs>
                <w:tab w:val="clear" w:pos="4252"/>
                <w:tab w:val="clear" w:pos="8504"/>
                <w:tab w:val="center" w:pos="4845"/>
              </w:tabs>
              <w:ind w:right="6"/>
              <w:contextualSpacing/>
              <w:jc w:val="center"/>
              <w:rPr>
                <w:rFonts w:ascii="Bookman Old Style" w:hAnsi="Bookman Old Style" w:cs="Arial"/>
                <w:sz w:val="22"/>
                <w:szCs w:val="22"/>
              </w:rPr>
            </w:pPr>
          </w:p>
        </w:tc>
      </w:tr>
      <w:tr w:rsidR="004A220F" w:rsidRPr="00E71C5E" w14:paraId="4FD16A87" w14:textId="77777777" w:rsidTr="002E759E">
        <w:trPr>
          <w:trHeight w:val="548"/>
        </w:trPr>
        <w:tc>
          <w:tcPr>
            <w:tcW w:w="1554" w:type="dxa"/>
            <w:vAlign w:val="center"/>
          </w:tcPr>
          <w:p w14:paraId="79BB442F" w14:textId="77777777" w:rsidR="004A220F" w:rsidRPr="00E71C5E" w:rsidRDefault="004A220F" w:rsidP="002E759E">
            <w:pPr>
              <w:pStyle w:val="Piedepgina"/>
              <w:tabs>
                <w:tab w:val="clear" w:pos="4252"/>
                <w:tab w:val="clear" w:pos="8504"/>
                <w:tab w:val="center" w:pos="4845"/>
              </w:tabs>
              <w:ind w:right="6"/>
              <w:contextualSpacing/>
              <w:jc w:val="center"/>
              <w:rPr>
                <w:rFonts w:ascii="Bookman Old Style" w:hAnsi="Bookman Old Style" w:cs="Arial"/>
                <w:sz w:val="22"/>
                <w:szCs w:val="22"/>
              </w:rPr>
            </w:pPr>
            <w:r w:rsidRPr="00E71C5E">
              <w:rPr>
                <w:rFonts w:ascii="Bookman Old Style" w:hAnsi="Bookman Old Style" w:cs="Arial"/>
                <w:sz w:val="22"/>
                <w:szCs w:val="22"/>
              </w:rPr>
              <w:t>Biomasa</w:t>
            </w:r>
          </w:p>
        </w:tc>
        <w:tc>
          <w:tcPr>
            <w:tcW w:w="3824" w:type="dxa"/>
            <w:vAlign w:val="center"/>
          </w:tcPr>
          <w:p w14:paraId="2033CA38" w14:textId="77777777" w:rsidR="004A220F" w:rsidRPr="00E71C5E" w:rsidRDefault="004A220F" w:rsidP="002E759E">
            <w:pPr>
              <w:pStyle w:val="Piedepgina"/>
              <w:tabs>
                <w:tab w:val="clear" w:pos="4252"/>
                <w:tab w:val="clear" w:pos="8504"/>
                <w:tab w:val="center" w:pos="4845"/>
              </w:tabs>
              <w:ind w:right="6"/>
              <w:contextualSpacing/>
              <w:jc w:val="center"/>
              <w:rPr>
                <w:rFonts w:ascii="Bookman Old Style" w:hAnsi="Bookman Old Style" w:cs="Arial"/>
                <w:sz w:val="22"/>
                <w:szCs w:val="22"/>
              </w:rPr>
            </w:pPr>
            <w:r w:rsidRPr="00E71C5E">
              <w:rPr>
                <w:rFonts w:ascii="Bookman Old Style" w:hAnsi="Bookman Old Style" w:cs="Arial"/>
                <w:sz w:val="22"/>
                <w:szCs w:val="22"/>
              </w:rPr>
              <w:t>246,66</w:t>
            </w:r>
          </w:p>
        </w:tc>
        <w:tc>
          <w:tcPr>
            <w:tcW w:w="3825" w:type="dxa"/>
            <w:vAlign w:val="center"/>
          </w:tcPr>
          <w:p w14:paraId="7DE185A8" w14:textId="77777777" w:rsidR="004A220F" w:rsidRPr="00E71C5E" w:rsidRDefault="004A220F" w:rsidP="002E759E">
            <w:pPr>
              <w:pStyle w:val="Piedepgina"/>
              <w:tabs>
                <w:tab w:val="clear" w:pos="4252"/>
                <w:tab w:val="clear" w:pos="8504"/>
                <w:tab w:val="center" w:pos="4845"/>
              </w:tabs>
              <w:ind w:right="6"/>
              <w:contextualSpacing/>
              <w:jc w:val="center"/>
              <w:rPr>
                <w:rFonts w:ascii="Bookman Old Style" w:hAnsi="Bookman Old Style" w:cs="Arial"/>
                <w:sz w:val="22"/>
                <w:szCs w:val="22"/>
              </w:rPr>
            </w:pPr>
            <w:r w:rsidRPr="00E71C5E">
              <w:rPr>
                <w:rFonts w:ascii="Bookman Old Style" w:hAnsi="Bookman Old Style" w:cs="Arial"/>
                <w:sz w:val="22"/>
                <w:szCs w:val="22"/>
              </w:rPr>
              <w:t>41,22</w:t>
            </w:r>
          </w:p>
        </w:tc>
      </w:tr>
      <w:tr w:rsidR="004A220F" w:rsidRPr="00E71C5E" w14:paraId="07F12D73" w14:textId="77777777" w:rsidTr="002E759E">
        <w:trPr>
          <w:trHeight w:val="995"/>
        </w:trPr>
        <w:tc>
          <w:tcPr>
            <w:tcW w:w="1554" w:type="dxa"/>
            <w:vAlign w:val="center"/>
          </w:tcPr>
          <w:p w14:paraId="2FF0977C" w14:textId="77777777" w:rsidR="004A220F" w:rsidRPr="00E71C5E" w:rsidRDefault="004A220F" w:rsidP="002E759E">
            <w:pPr>
              <w:pStyle w:val="Piedepgina"/>
              <w:tabs>
                <w:tab w:val="clear" w:pos="4252"/>
                <w:tab w:val="clear" w:pos="8504"/>
                <w:tab w:val="center" w:pos="4845"/>
              </w:tabs>
              <w:ind w:right="6"/>
              <w:contextualSpacing/>
              <w:jc w:val="center"/>
              <w:rPr>
                <w:rFonts w:ascii="Bookman Old Style" w:hAnsi="Bookman Old Style" w:cs="Arial"/>
                <w:sz w:val="22"/>
                <w:szCs w:val="22"/>
              </w:rPr>
            </w:pPr>
            <w:r w:rsidRPr="00E71C5E">
              <w:rPr>
                <w:rFonts w:ascii="Bookman Old Style" w:hAnsi="Bookman Old Style" w:cs="Arial"/>
                <w:sz w:val="22"/>
                <w:szCs w:val="22"/>
              </w:rPr>
              <w:t>Diésel.</w:t>
            </w:r>
          </w:p>
        </w:tc>
        <w:tc>
          <w:tcPr>
            <w:tcW w:w="7649" w:type="dxa"/>
            <w:gridSpan w:val="2"/>
            <w:vAlign w:val="center"/>
          </w:tcPr>
          <w:p w14:paraId="3BF02CBD" w14:textId="77777777" w:rsidR="004A220F" w:rsidRPr="00E71C5E" w:rsidRDefault="004A220F" w:rsidP="002E759E">
            <w:pPr>
              <w:pStyle w:val="Piedepgina"/>
              <w:tabs>
                <w:tab w:val="clear" w:pos="4252"/>
                <w:tab w:val="clear" w:pos="8504"/>
                <w:tab w:val="center" w:pos="4845"/>
              </w:tabs>
              <w:ind w:right="6"/>
              <w:contextualSpacing/>
              <w:jc w:val="center"/>
              <w:rPr>
                <w:rFonts w:ascii="Bookman Old Style" w:hAnsi="Bookman Old Style" w:cs="Arial"/>
                <w:sz w:val="22"/>
                <w:szCs w:val="22"/>
                <w:highlight w:val="cyan"/>
              </w:rPr>
            </w:pPr>
            <w:r w:rsidRPr="00E71C5E">
              <w:rPr>
                <w:rFonts w:ascii="Bookman Old Style" w:hAnsi="Bookman Old Style" w:cs="Arial"/>
                <w:sz w:val="22"/>
                <w:szCs w:val="22"/>
              </w:rPr>
              <w:t>Según lo previsto en el literal a), del artículo 22, de la Resolución CREG 091 de 2007, modificada mediante Resolución CREG 057 de 2009.</w:t>
            </w:r>
          </w:p>
        </w:tc>
      </w:tr>
    </w:tbl>
    <w:p w14:paraId="62462BF1" w14:textId="17C87CF0" w:rsidR="00E65BDC" w:rsidRDefault="00034B16" w:rsidP="008D7775">
      <w:pPr>
        <w:pStyle w:val="Textodebloque"/>
        <w:ind w:right="6"/>
        <w:contextualSpacing/>
        <w:rPr>
          <w:rFonts w:ascii="Bookman Old Style" w:hAnsi="Bookman Old Style"/>
          <w:sz w:val="22"/>
          <w:szCs w:val="22"/>
        </w:rPr>
      </w:pPr>
      <w:r w:rsidRPr="00504DB1">
        <w:rPr>
          <w:rFonts w:ascii="Bookman Old Style" w:hAnsi="Bookman Old Style"/>
          <w:i/>
          <w:sz w:val="22"/>
          <w:szCs w:val="22"/>
        </w:rPr>
        <w:t>(</w:t>
      </w:r>
      <w:r>
        <w:rPr>
          <w:rFonts w:ascii="Bookman Old Style" w:hAnsi="Bookman Old Style"/>
          <w:i/>
          <w:sz w:val="22"/>
          <w:szCs w:val="22"/>
        </w:rPr>
        <w:t>.</w:t>
      </w:r>
      <w:r w:rsidRPr="00504DB1">
        <w:rPr>
          <w:rFonts w:ascii="Bookman Old Style" w:hAnsi="Bookman Old Style"/>
          <w:i/>
          <w:sz w:val="22"/>
          <w:szCs w:val="22"/>
        </w:rPr>
        <w:t>..)”</w:t>
      </w:r>
    </w:p>
    <w:p w14:paraId="4ECD7053" w14:textId="77777777" w:rsidR="00E65BDC" w:rsidRDefault="00E65BDC" w:rsidP="008D7775">
      <w:pPr>
        <w:pStyle w:val="Textodebloque"/>
        <w:ind w:right="6"/>
        <w:contextualSpacing/>
        <w:rPr>
          <w:rFonts w:ascii="Bookman Old Style" w:hAnsi="Bookman Old Style"/>
          <w:sz w:val="22"/>
          <w:szCs w:val="22"/>
        </w:rPr>
      </w:pPr>
    </w:p>
    <w:p w14:paraId="536B02F4" w14:textId="2DB3A0AF" w:rsidR="00C7366B" w:rsidRDefault="00BC52A7" w:rsidP="00BC52A7">
      <w:pPr>
        <w:pStyle w:val="Textodebloque"/>
        <w:ind w:left="284" w:right="6"/>
        <w:contextualSpacing/>
        <w:rPr>
          <w:rFonts w:ascii="Bookman Old Style" w:hAnsi="Bookman Old Style"/>
          <w:szCs w:val="24"/>
        </w:rPr>
      </w:pPr>
      <w:r w:rsidRPr="1E05A6B0">
        <w:rPr>
          <w:rFonts w:ascii="Bookman Old Style" w:hAnsi="Bookman Old Style"/>
        </w:rPr>
        <w:lastRenderedPageBreak/>
        <w:t>Por lo anterior</w:t>
      </w:r>
      <w:r w:rsidR="000A42D2" w:rsidRPr="1E05A6B0">
        <w:rPr>
          <w:rFonts w:ascii="Bookman Old Style" w:hAnsi="Bookman Old Style"/>
        </w:rPr>
        <w:t>,</w:t>
      </w:r>
      <w:r w:rsidRPr="1E05A6B0">
        <w:rPr>
          <w:rFonts w:ascii="Bookman Old Style" w:hAnsi="Bookman Old Style"/>
        </w:rPr>
        <w:t xml:space="preserve"> y teniendo en cuenta el debido proceso de</w:t>
      </w:r>
      <w:r w:rsidR="00711BD5">
        <w:rPr>
          <w:rFonts w:ascii="Bookman Old Style" w:hAnsi="Bookman Old Style"/>
        </w:rPr>
        <w:t>ntro del trámite de</w:t>
      </w:r>
      <w:r w:rsidRPr="1E05A6B0">
        <w:rPr>
          <w:rFonts w:ascii="Bookman Old Style" w:hAnsi="Bookman Old Style"/>
        </w:rPr>
        <w:t xml:space="preserve"> la actuación administrativa</w:t>
      </w:r>
      <w:r w:rsidR="000A42D2" w:rsidRPr="1E05A6B0">
        <w:rPr>
          <w:rFonts w:ascii="Bookman Old Style" w:hAnsi="Bookman Old Style"/>
        </w:rPr>
        <w:t>,</w:t>
      </w:r>
      <w:r w:rsidRPr="1E05A6B0">
        <w:rPr>
          <w:rFonts w:ascii="Bookman Old Style" w:hAnsi="Bookman Old Style"/>
        </w:rPr>
        <w:t xml:space="preserve"> </w:t>
      </w:r>
      <w:r w:rsidRPr="1E05A6B0">
        <w:rPr>
          <w:rFonts w:ascii="Bookman Old Style" w:hAnsi="Bookman Old Style"/>
          <w:lang w:val="es-CO"/>
        </w:rPr>
        <w:t xml:space="preserve">el acto administrativo </w:t>
      </w:r>
      <w:r w:rsidR="009606F2" w:rsidRPr="1E05A6B0">
        <w:rPr>
          <w:rFonts w:ascii="Bookman Old Style" w:hAnsi="Bookman Old Style"/>
          <w:lang w:val="es-CO"/>
        </w:rPr>
        <w:t>fue notifica</w:t>
      </w:r>
      <w:r w:rsidR="006C5853" w:rsidRPr="1E05A6B0">
        <w:rPr>
          <w:rFonts w:ascii="Bookman Old Style" w:hAnsi="Bookman Old Style"/>
          <w:lang w:val="es-CO"/>
        </w:rPr>
        <w:t>do personalmente</w:t>
      </w:r>
      <w:r w:rsidR="009606F2" w:rsidRPr="1E05A6B0">
        <w:rPr>
          <w:rFonts w:ascii="Bookman Old Style" w:hAnsi="Bookman Old Style"/>
          <w:lang w:val="es-CO"/>
        </w:rPr>
        <w:t xml:space="preserve"> </w:t>
      </w:r>
      <w:r w:rsidRPr="1E05A6B0">
        <w:rPr>
          <w:rFonts w:ascii="Bookman Old Style" w:hAnsi="Bookman Old Style"/>
        </w:rPr>
        <w:t xml:space="preserve">a la empresa </w:t>
      </w:r>
      <w:r w:rsidR="006C5853" w:rsidRPr="1E05A6B0">
        <w:rPr>
          <w:rFonts w:ascii="Bookman Old Style" w:hAnsi="Bookman Old Style"/>
        </w:rPr>
        <w:t>REFOENERGY BITA S.A.S</w:t>
      </w:r>
      <w:r w:rsidR="00B2186F">
        <w:rPr>
          <w:rFonts w:ascii="Bookman Old Style" w:hAnsi="Bookman Old Style"/>
        </w:rPr>
        <w:t>.</w:t>
      </w:r>
      <w:r w:rsidR="00F60C1B">
        <w:rPr>
          <w:rFonts w:ascii="Bookman Old Style" w:hAnsi="Bookman Old Style"/>
        </w:rPr>
        <w:t xml:space="preserve"> </w:t>
      </w:r>
      <w:r w:rsidR="006C5853" w:rsidRPr="1E05A6B0">
        <w:rPr>
          <w:rFonts w:ascii="Bookman Old Style" w:hAnsi="Bookman Old Style"/>
        </w:rPr>
        <w:t xml:space="preserve">E.S.P., </w:t>
      </w:r>
      <w:r w:rsidRPr="1E05A6B0">
        <w:rPr>
          <w:rFonts w:ascii="Bookman Old Style" w:hAnsi="Bookman Old Style"/>
        </w:rPr>
        <w:t xml:space="preserve">en adelante </w:t>
      </w:r>
      <w:r w:rsidR="006C5853" w:rsidRPr="1E05A6B0">
        <w:rPr>
          <w:rFonts w:ascii="Bookman Old Style" w:hAnsi="Bookman Old Style"/>
        </w:rPr>
        <w:t>REFOENERGY</w:t>
      </w:r>
      <w:r w:rsidR="00711BD5">
        <w:rPr>
          <w:rFonts w:ascii="Bookman Old Style" w:hAnsi="Bookman Old Style"/>
        </w:rPr>
        <w:t>, el 24 de junio de 2022</w:t>
      </w:r>
      <w:r w:rsidR="001053F9" w:rsidRPr="1E05A6B0">
        <w:rPr>
          <w:rFonts w:ascii="Bookman Old Style" w:hAnsi="Bookman Old Style"/>
        </w:rPr>
        <w:t>.</w:t>
      </w:r>
      <w:r w:rsidR="00C7366B" w:rsidRPr="1E05A6B0">
        <w:rPr>
          <w:rFonts w:ascii="Bookman Old Style" w:hAnsi="Bookman Old Style"/>
        </w:rPr>
        <w:t xml:space="preserve"> </w:t>
      </w:r>
    </w:p>
    <w:p w14:paraId="6C3B88E7" w14:textId="4D125090" w:rsidR="00BC52A7" w:rsidRPr="00A32DD9" w:rsidRDefault="15ED466A" w:rsidP="00A32DD9">
      <w:pPr>
        <w:ind w:left="284"/>
        <w:contextualSpacing/>
        <w:jc w:val="both"/>
        <w:rPr>
          <w:rFonts w:ascii="Bookman Old Style" w:eastAsia="Bookman Old Style" w:hAnsi="Bookman Old Style" w:cs="Bookman Old Style"/>
        </w:rPr>
      </w:pPr>
      <w:r w:rsidRPr="1E05A6B0">
        <w:rPr>
          <w:rFonts w:ascii="Bookman Old Style" w:eastAsia="Bookman Old Style" w:hAnsi="Bookman Old Style" w:cs="Bookman Old Style"/>
        </w:rPr>
        <w:t>Así mismo</w:t>
      </w:r>
      <w:r w:rsidR="00F60C1B">
        <w:rPr>
          <w:rFonts w:ascii="Bookman Old Style" w:eastAsia="Bookman Old Style" w:hAnsi="Bookman Old Style" w:cs="Bookman Old Style"/>
        </w:rPr>
        <w:t>,</w:t>
      </w:r>
      <w:r w:rsidRPr="1E05A6B0">
        <w:rPr>
          <w:rFonts w:ascii="Bookman Old Style" w:eastAsia="Bookman Old Style" w:hAnsi="Bookman Old Style" w:cs="Bookman Old Style"/>
        </w:rPr>
        <w:t xml:space="preserve"> se notificó </w:t>
      </w:r>
      <w:r w:rsidR="00AA2ED2">
        <w:rPr>
          <w:rFonts w:ascii="Bookman Old Style" w:eastAsia="Bookman Old Style" w:hAnsi="Bookman Old Style" w:cs="Bookman Old Style"/>
        </w:rPr>
        <w:t>por</w:t>
      </w:r>
      <w:r w:rsidR="00AA2ED2" w:rsidRPr="1E05A6B0">
        <w:rPr>
          <w:rFonts w:ascii="Bookman Old Style" w:eastAsia="Bookman Old Style" w:hAnsi="Bookman Old Style" w:cs="Bookman Old Style"/>
        </w:rPr>
        <w:t xml:space="preserve"> </w:t>
      </w:r>
      <w:r w:rsidR="71FA4E6A" w:rsidRPr="519E4BEE">
        <w:rPr>
          <w:rFonts w:ascii="Bookman Old Style" w:eastAsia="Bookman Old Style" w:hAnsi="Bookman Old Style" w:cs="Bookman Old Style"/>
        </w:rPr>
        <w:t>aviso</w:t>
      </w:r>
      <w:r w:rsidR="00AA2ED2">
        <w:rPr>
          <w:rFonts w:ascii="Bookman Old Style" w:eastAsia="Bookman Old Style" w:hAnsi="Bookman Old Style" w:cs="Bookman Old Style"/>
        </w:rPr>
        <w:t xml:space="preserve"> </w:t>
      </w:r>
      <w:r w:rsidR="00AA2ED2" w:rsidRPr="00AA2ED2">
        <w:rPr>
          <w:rFonts w:ascii="Bookman Old Style" w:eastAsia="Bookman Old Style" w:hAnsi="Bookman Old Style" w:cs="Bookman Old Style"/>
        </w:rPr>
        <w:t>el acto administrativo</w:t>
      </w:r>
      <w:r w:rsidRPr="1E05A6B0">
        <w:rPr>
          <w:rFonts w:ascii="Bookman Old Style" w:eastAsia="Bookman Old Style" w:hAnsi="Bookman Old Style" w:cs="Bookman Old Style"/>
        </w:rPr>
        <w:t xml:space="preserve"> a</w:t>
      </w:r>
      <w:r w:rsidRPr="519E4BEE">
        <w:rPr>
          <w:rFonts w:ascii="Bookman Old Style" w:eastAsia="Bookman Old Style" w:hAnsi="Bookman Old Style" w:cs="Bookman Old Style"/>
        </w:rPr>
        <w:t xml:space="preserve"> </w:t>
      </w:r>
      <w:r w:rsidR="31618318" w:rsidRPr="519E4BEE">
        <w:rPr>
          <w:rFonts w:ascii="Bookman Old Style" w:eastAsia="Bookman Old Style" w:hAnsi="Bookman Old Style" w:cs="Bookman Old Style"/>
        </w:rPr>
        <w:t>la</w:t>
      </w:r>
      <w:r w:rsidRPr="1E05A6B0">
        <w:rPr>
          <w:rFonts w:ascii="Bookman Old Style" w:eastAsia="Bookman Old Style" w:hAnsi="Bookman Old Style" w:cs="Bookman Old Style"/>
        </w:rPr>
        <w:t xml:space="preserve"> </w:t>
      </w:r>
      <w:r w:rsidR="4FB5552F" w:rsidRPr="1E05A6B0">
        <w:rPr>
          <w:rFonts w:ascii="Bookman Old Style" w:eastAsia="Bookman Old Style" w:hAnsi="Bookman Old Style" w:cs="Bookman Old Style"/>
          <w:color w:val="000000" w:themeColor="text1"/>
        </w:rPr>
        <w:t>Empresa de Energía Eléctrica del Departamento del Vichada S.A. E.S.P.</w:t>
      </w:r>
      <w:r w:rsidRPr="1E05A6B0">
        <w:rPr>
          <w:rFonts w:ascii="Bookman Old Style" w:eastAsia="Bookman Old Style" w:hAnsi="Bookman Old Style" w:cs="Bookman Old Style"/>
        </w:rPr>
        <w:t xml:space="preserve"> </w:t>
      </w:r>
      <w:r w:rsidRPr="42CC32AA">
        <w:rPr>
          <w:rFonts w:ascii="Bookman Old Style" w:eastAsia="Bookman Old Style" w:hAnsi="Bookman Old Style" w:cs="Bookman Old Style"/>
        </w:rPr>
        <w:t xml:space="preserve">el </w:t>
      </w:r>
      <w:r w:rsidR="341DBE82" w:rsidRPr="0056094D">
        <w:rPr>
          <w:rFonts w:ascii="Bookman Old Style" w:eastAsia="Bookman Old Style" w:hAnsi="Bookman Old Style" w:cs="Bookman Old Style"/>
        </w:rPr>
        <w:t>14</w:t>
      </w:r>
      <w:r w:rsidRPr="1E05A6B0">
        <w:rPr>
          <w:rFonts w:ascii="Bookman Old Style" w:eastAsia="Bookman Old Style" w:hAnsi="Bookman Old Style" w:cs="Bookman Old Style"/>
        </w:rPr>
        <w:t xml:space="preserve"> de </w:t>
      </w:r>
      <w:r w:rsidR="760830D3" w:rsidRPr="42CC32AA">
        <w:rPr>
          <w:rFonts w:ascii="Bookman Old Style" w:eastAsia="Bookman Old Style" w:hAnsi="Bookman Old Style" w:cs="Bookman Old Style"/>
        </w:rPr>
        <w:t>octubre</w:t>
      </w:r>
      <w:r w:rsidRPr="1E05A6B0">
        <w:rPr>
          <w:rFonts w:ascii="Bookman Old Style" w:eastAsia="Bookman Old Style" w:hAnsi="Bookman Old Style" w:cs="Bookman Old Style"/>
        </w:rPr>
        <w:t xml:space="preserve"> de</w:t>
      </w:r>
      <w:r w:rsidR="00711BD5">
        <w:rPr>
          <w:rFonts w:ascii="Bookman Old Style" w:eastAsia="Bookman Old Style" w:hAnsi="Bookman Old Style" w:cs="Bookman Old Style"/>
        </w:rPr>
        <w:t>l presente año.</w:t>
      </w:r>
      <w:r w:rsidRPr="1E05A6B0">
        <w:rPr>
          <w:rFonts w:ascii="Bookman Old Style" w:eastAsia="Bookman Old Style" w:hAnsi="Bookman Old Style" w:cs="Bookman Old Style"/>
        </w:rPr>
        <w:t xml:space="preserve"> </w:t>
      </w:r>
    </w:p>
    <w:p w14:paraId="6B367743" w14:textId="54424EEF" w:rsidR="00BC52A7" w:rsidRDefault="00BC52A7" w:rsidP="00BC52A7">
      <w:pPr>
        <w:pStyle w:val="Textodebloque"/>
        <w:ind w:left="284" w:right="6"/>
        <w:contextualSpacing/>
        <w:rPr>
          <w:szCs w:val="24"/>
        </w:rPr>
      </w:pPr>
    </w:p>
    <w:p w14:paraId="0598B0ED" w14:textId="77777777" w:rsidR="00BC52A7" w:rsidRPr="00733E3B" w:rsidRDefault="00BC52A7" w:rsidP="00BC52A7">
      <w:pPr>
        <w:pStyle w:val="Textodebloque"/>
        <w:ind w:left="284" w:right="6"/>
        <w:contextualSpacing/>
        <w:rPr>
          <w:rFonts w:ascii="Bookman Old Style" w:hAnsi="Bookman Old Style"/>
          <w:b/>
          <w:szCs w:val="24"/>
        </w:rPr>
      </w:pPr>
      <w:r w:rsidRPr="00733E3B">
        <w:rPr>
          <w:rFonts w:ascii="Bookman Old Style" w:hAnsi="Bookman Old Style"/>
          <w:b/>
          <w:szCs w:val="24"/>
        </w:rPr>
        <w:t>II. RECURSO DE REPOSICIÓN</w:t>
      </w:r>
    </w:p>
    <w:p w14:paraId="4DC82AA5" w14:textId="77777777" w:rsidR="00BC52A7" w:rsidRPr="00BC52A7" w:rsidRDefault="00BC52A7" w:rsidP="00BC52A7">
      <w:pPr>
        <w:pStyle w:val="Textodebloque"/>
        <w:ind w:left="284" w:right="6"/>
        <w:contextualSpacing/>
        <w:rPr>
          <w:rFonts w:ascii="Bookman Old Style" w:hAnsi="Bookman Old Style"/>
          <w:szCs w:val="24"/>
        </w:rPr>
      </w:pPr>
    </w:p>
    <w:p w14:paraId="1318DEC6" w14:textId="6587E2A1" w:rsidR="00BC52A7" w:rsidRPr="00733E3B" w:rsidRDefault="00BC52A7" w:rsidP="00BC52A7">
      <w:pPr>
        <w:pStyle w:val="Textodebloque"/>
        <w:ind w:left="284" w:right="6"/>
        <w:contextualSpacing/>
        <w:rPr>
          <w:rFonts w:ascii="Bookman Old Style" w:hAnsi="Bookman Old Style"/>
          <w:b/>
          <w:szCs w:val="24"/>
        </w:rPr>
      </w:pPr>
      <w:r w:rsidRPr="00733E3B">
        <w:rPr>
          <w:rFonts w:ascii="Bookman Old Style" w:hAnsi="Bookman Old Style"/>
          <w:b/>
          <w:szCs w:val="24"/>
        </w:rPr>
        <w:t xml:space="preserve">1. </w:t>
      </w:r>
      <w:r w:rsidR="00034D3E">
        <w:rPr>
          <w:rFonts w:ascii="Bookman Old Style" w:hAnsi="Bookman Old Style"/>
          <w:b/>
          <w:szCs w:val="24"/>
        </w:rPr>
        <w:t>Procedenc</w:t>
      </w:r>
      <w:r w:rsidR="002841E4">
        <w:rPr>
          <w:rFonts w:ascii="Bookman Old Style" w:hAnsi="Bookman Old Style"/>
          <w:b/>
          <w:szCs w:val="24"/>
        </w:rPr>
        <w:t>i</w:t>
      </w:r>
      <w:r w:rsidR="00034D3E">
        <w:rPr>
          <w:rFonts w:ascii="Bookman Old Style" w:hAnsi="Bookman Old Style"/>
          <w:b/>
          <w:szCs w:val="24"/>
        </w:rPr>
        <w:t>a y</w:t>
      </w:r>
      <w:r w:rsidRPr="00733E3B">
        <w:rPr>
          <w:rFonts w:ascii="Bookman Old Style" w:hAnsi="Bookman Old Style"/>
          <w:b/>
          <w:szCs w:val="24"/>
        </w:rPr>
        <w:t xml:space="preserve"> admisibilidad del recurso </w:t>
      </w:r>
    </w:p>
    <w:p w14:paraId="117811ED" w14:textId="77777777" w:rsidR="0054541F" w:rsidRPr="00BC52A7" w:rsidRDefault="0054541F" w:rsidP="00C14E95">
      <w:pPr>
        <w:pStyle w:val="Textodebloque"/>
        <w:spacing w:after="0"/>
        <w:ind w:left="284" w:right="6"/>
        <w:contextualSpacing/>
        <w:rPr>
          <w:rFonts w:ascii="Bookman Old Style" w:hAnsi="Bookman Old Style"/>
          <w:szCs w:val="24"/>
        </w:rPr>
      </w:pPr>
    </w:p>
    <w:p w14:paraId="3A4EDD66" w14:textId="77777777" w:rsidR="00034D3E" w:rsidRDefault="00034D3E" w:rsidP="00C14E95">
      <w:pPr>
        <w:ind w:left="284" w:right="-142"/>
        <w:contextualSpacing/>
        <w:jc w:val="both"/>
        <w:rPr>
          <w:rFonts w:ascii="Bookman Old Style" w:hAnsi="Bookman Old Style" w:cs="Arial"/>
          <w:spacing w:val="-5"/>
        </w:rPr>
      </w:pPr>
      <w:r>
        <w:rPr>
          <w:rFonts w:ascii="Bookman Old Style" w:hAnsi="Bookman Old Style" w:cs="Arial"/>
          <w:spacing w:val="-5"/>
        </w:rPr>
        <w:t xml:space="preserve">De acuerdo con el artículo 113 de la Ley 142 de 1994, contra los actos de las comisiones de regulación que pongan fin a las actuaciones administrativas sólo cabe recurso de reposición, el cual podrá interponerse dentro de los cinco días siguientes a la notificación del acto administrativo. </w:t>
      </w:r>
    </w:p>
    <w:p w14:paraId="24D4F1D1" w14:textId="77777777" w:rsidR="00034D3E" w:rsidRPr="00BC52A7" w:rsidRDefault="00034D3E" w:rsidP="00C14E95">
      <w:pPr>
        <w:pStyle w:val="Textodebloque"/>
        <w:spacing w:after="0"/>
        <w:ind w:left="284" w:right="6"/>
        <w:contextualSpacing/>
        <w:rPr>
          <w:rFonts w:ascii="Bookman Old Style" w:hAnsi="Bookman Old Style"/>
          <w:szCs w:val="24"/>
        </w:rPr>
      </w:pPr>
    </w:p>
    <w:p w14:paraId="3C4B40D7" w14:textId="2B57E8D8" w:rsidR="00BC52A7" w:rsidRPr="00BC52A7" w:rsidRDefault="008C7152" w:rsidP="00C14E95">
      <w:pPr>
        <w:pStyle w:val="Textodebloque"/>
        <w:spacing w:after="0"/>
        <w:ind w:left="284" w:right="6"/>
        <w:contextualSpacing/>
        <w:rPr>
          <w:rFonts w:ascii="Bookman Old Style" w:hAnsi="Bookman Old Style"/>
        </w:rPr>
      </w:pPr>
      <w:r w:rsidRPr="00BC52A7">
        <w:rPr>
          <w:rFonts w:ascii="Bookman Old Style" w:hAnsi="Bookman Old Style"/>
          <w:szCs w:val="24"/>
        </w:rPr>
        <w:t>La Resolución CREG 501 0</w:t>
      </w:r>
      <w:r>
        <w:rPr>
          <w:rFonts w:ascii="Bookman Old Style" w:hAnsi="Bookman Old Style"/>
          <w:szCs w:val="24"/>
        </w:rPr>
        <w:t>59</w:t>
      </w:r>
      <w:r w:rsidRPr="00BC52A7">
        <w:rPr>
          <w:rFonts w:ascii="Bookman Old Style" w:hAnsi="Bookman Old Style"/>
          <w:szCs w:val="24"/>
        </w:rPr>
        <w:t xml:space="preserve"> de 2022 se notificó</w:t>
      </w:r>
      <w:r>
        <w:rPr>
          <w:rFonts w:ascii="Bookman Old Style" w:hAnsi="Bookman Old Style"/>
          <w:szCs w:val="24"/>
        </w:rPr>
        <w:t xml:space="preserve"> personalmente</w:t>
      </w:r>
      <w:r w:rsidRPr="00BC52A7">
        <w:rPr>
          <w:rFonts w:ascii="Bookman Old Style" w:hAnsi="Bookman Old Style"/>
          <w:szCs w:val="24"/>
        </w:rPr>
        <w:t xml:space="preserve"> a la empresa </w:t>
      </w:r>
      <w:r>
        <w:rPr>
          <w:rFonts w:ascii="Bookman Old Style" w:hAnsi="Bookman Old Style"/>
          <w:szCs w:val="24"/>
        </w:rPr>
        <w:t>REFOENERGY</w:t>
      </w:r>
      <w:r w:rsidRPr="00BC52A7">
        <w:rPr>
          <w:rFonts w:ascii="Bookman Old Style" w:hAnsi="Bookman Old Style"/>
          <w:szCs w:val="24"/>
        </w:rPr>
        <w:t xml:space="preserve"> el </w:t>
      </w:r>
      <w:r>
        <w:rPr>
          <w:rFonts w:ascii="Bookman Old Style" w:hAnsi="Bookman Old Style"/>
          <w:szCs w:val="24"/>
        </w:rPr>
        <w:t>24</w:t>
      </w:r>
      <w:r w:rsidRPr="00BC52A7">
        <w:rPr>
          <w:rFonts w:ascii="Bookman Old Style" w:hAnsi="Bookman Old Style"/>
          <w:szCs w:val="24"/>
        </w:rPr>
        <w:t xml:space="preserve"> de junio</w:t>
      </w:r>
      <w:r>
        <w:rPr>
          <w:rFonts w:ascii="Bookman Old Style" w:hAnsi="Bookman Old Style"/>
          <w:szCs w:val="24"/>
        </w:rPr>
        <w:t xml:space="preserve"> del año en curso. </w:t>
      </w:r>
    </w:p>
    <w:p w14:paraId="4E381BEF" w14:textId="77777777" w:rsidR="00BC52A7" w:rsidRPr="00BC52A7" w:rsidRDefault="00BC52A7" w:rsidP="00BC52A7">
      <w:pPr>
        <w:pStyle w:val="Textodebloque"/>
        <w:ind w:left="284" w:right="6"/>
        <w:contextualSpacing/>
        <w:rPr>
          <w:rFonts w:ascii="Bookman Old Style" w:hAnsi="Bookman Old Style"/>
          <w:szCs w:val="24"/>
        </w:rPr>
      </w:pPr>
    </w:p>
    <w:p w14:paraId="330903E2" w14:textId="20B44470" w:rsidR="00C11528" w:rsidRPr="00BC52A7" w:rsidRDefault="00BC52A7" w:rsidP="00C11528">
      <w:pPr>
        <w:pStyle w:val="Textodebloque"/>
        <w:ind w:left="284" w:right="6"/>
        <w:contextualSpacing/>
        <w:rPr>
          <w:rFonts w:ascii="Bookman Old Style" w:hAnsi="Bookman Old Style"/>
          <w:szCs w:val="24"/>
        </w:rPr>
      </w:pPr>
      <w:r w:rsidRPr="00BC52A7">
        <w:rPr>
          <w:rFonts w:ascii="Bookman Old Style" w:hAnsi="Bookman Old Style"/>
          <w:szCs w:val="24"/>
        </w:rPr>
        <w:t xml:space="preserve">Mediante escrito </w:t>
      </w:r>
      <w:r w:rsidR="0067077F">
        <w:rPr>
          <w:rFonts w:ascii="Bookman Old Style" w:hAnsi="Bookman Old Style"/>
          <w:szCs w:val="24"/>
        </w:rPr>
        <w:t xml:space="preserve">con </w:t>
      </w:r>
      <w:r w:rsidRPr="00BC52A7">
        <w:rPr>
          <w:rFonts w:ascii="Bookman Old Style" w:hAnsi="Bookman Old Style"/>
          <w:szCs w:val="24"/>
        </w:rPr>
        <w:t>radicado CREG E-2022-00</w:t>
      </w:r>
      <w:r w:rsidR="001053F9">
        <w:rPr>
          <w:rFonts w:ascii="Bookman Old Style" w:hAnsi="Bookman Old Style"/>
          <w:szCs w:val="24"/>
        </w:rPr>
        <w:t>95698</w:t>
      </w:r>
      <w:r w:rsidRPr="00BC52A7">
        <w:rPr>
          <w:rFonts w:ascii="Bookman Old Style" w:hAnsi="Bookman Old Style"/>
          <w:szCs w:val="24"/>
        </w:rPr>
        <w:t xml:space="preserve"> del </w:t>
      </w:r>
      <w:r w:rsidR="001053F9">
        <w:rPr>
          <w:rFonts w:ascii="Bookman Old Style" w:hAnsi="Bookman Old Style"/>
          <w:szCs w:val="24"/>
        </w:rPr>
        <w:t>31</w:t>
      </w:r>
      <w:r w:rsidRPr="00BC52A7">
        <w:rPr>
          <w:rFonts w:ascii="Bookman Old Style" w:hAnsi="Bookman Old Style"/>
          <w:szCs w:val="24"/>
        </w:rPr>
        <w:t xml:space="preserve"> de </w:t>
      </w:r>
      <w:r w:rsidR="001053F9">
        <w:rPr>
          <w:rFonts w:ascii="Bookman Old Style" w:hAnsi="Bookman Old Style"/>
          <w:szCs w:val="24"/>
        </w:rPr>
        <w:t>agosto</w:t>
      </w:r>
      <w:r w:rsidRPr="00BC52A7">
        <w:rPr>
          <w:rFonts w:ascii="Bookman Old Style" w:hAnsi="Bookman Old Style"/>
          <w:szCs w:val="24"/>
        </w:rPr>
        <w:t xml:space="preserve"> de 2022, el representante legal de la empresa </w:t>
      </w:r>
      <w:r w:rsidR="001053F9">
        <w:rPr>
          <w:rFonts w:ascii="Bookman Old Style" w:hAnsi="Bookman Old Style"/>
          <w:szCs w:val="24"/>
        </w:rPr>
        <w:t>REFOENERY</w:t>
      </w:r>
      <w:r w:rsidRPr="00BC52A7">
        <w:rPr>
          <w:rFonts w:ascii="Bookman Old Style" w:hAnsi="Bookman Old Style"/>
          <w:szCs w:val="24"/>
        </w:rPr>
        <w:t xml:space="preserve"> interpuso recurso de reposición contra la </w:t>
      </w:r>
      <w:r w:rsidR="00C129F4">
        <w:rPr>
          <w:rFonts w:ascii="Bookman Old Style" w:hAnsi="Bookman Old Style"/>
          <w:szCs w:val="24"/>
        </w:rPr>
        <w:t>r</w:t>
      </w:r>
      <w:r w:rsidRPr="00BC52A7">
        <w:rPr>
          <w:rFonts w:ascii="Bookman Old Style" w:hAnsi="Bookman Old Style"/>
          <w:szCs w:val="24"/>
        </w:rPr>
        <w:t>esolución precitada</w:t>
      </w:r>
      <w:r w:rsidR="00C11528">
        <w:rPr>
          <w:rFonts w:ascii="Bookman Old Style" w:hAnsi="Bookman Old Style"/>
          <w:szCs w:val="24"/>
        </w:rPr>
        <w:t>, encontrándose dentro del término para su presentación</w:t>
      </w:r>
      <w:r w:rsidR="00A83753">
        <w:rPr>
          <w:rFonts w:ascii="Bookman Old Style" w:hAnsi="Bookman Old Style"/>
          <w:szCs w:val="24"/>
        </w:rPr>
        <w:t>,</w:t>
      </w:r>
      <w:r w:rsidR="00C11528">
        <w:rPr>
          <w:rFonts w:ascii="Bookman Old Style" w:hAnsi="Bookman Old Style"/>
          <w:szCs w:val="24"/>
        </w:rPr>
        <w:t xml:space="preserve"> el cual </w:t>
      </w:r>
      <w:r w:rsidR="00C11528">
        <w:rPr>
          <w:rFonts w:ascii="Bookman Old Style" w:hAnsi="Bookman Old Style" w:cs="Arial"/>
          <w:spacing w:val="-5"/>
          <w:szCs w:val="24"/>
        </w:rPr>
        <w:t xml:space="preserve">vencía el </w:t>
      </w:r>
      <w:r w:rsidR="001053F9">
        <w:rPr>
          <w:rFonts w:ascii="Bookman Old Style" w:hAnsi="Bookman Old Style" w:cs="Arial"/>
          <w:spacing w:val="-5"/>
          <w:szCs w:val="24"/>
        </w:rPr>
        <w:t>31</w:t>
      </w:r>
      <w:r w:rsidR="00C11528">
        <w:rPr>
          <w:rFonts w:ascii="Bookman Old Style" w:hAnsi="Bookman Old Style" w:cs="Arial"/>
          <w:spacing w:val="-5"/>
          <w:szCs w:val="24"/>
        </w:rPr>
        <w:t xml:space="preserve"> de </w:t>
      </w:r>
      <w:r w:rsidR="001053F9">
        <w:rPr>
          <w:rFonts w:ascii="Bookman Old Style" w:hAnsi="Bookman Old Style" w:cs="Arial"/>
          <w:spacing w:val="-5"/>
          <w:szCs w:val="24"/>
        </w:rPr>
        <w:t>agosto</w:t>
      </w:r>
      <w:r w:rsidR="006D0AA8">
        <w:rPr>
          <w:rFonts w:ascii="Bookman Old Style" w:hAnsi="Bookman Old Style" w:cs="Arial"/>
          <w:spacing w:val="-5"/>
          <w:szCs w:val="24"/>
        </w:rPr>
        <w:t xml:space="preserve"> de 2022</w:t>
      </w:r>
      <w:r w:rsidR="00C11528" w:rsidRPr="00BC52A7">
        <w:rPr>
          <w:rFonts w:ascii="Bookman Old Style" w:hAnsi="Bookman Old Style"/>
          <w:szCs w:val="24"/>
        </w:rPr>
        <w:t>.</w:t>
      </w:r>
    </w:p>
    <w:p w14:paraId="59947B4F" w14:textId="7BE6B503" w:rsidR="00BC52A7" w:rsidRPr="00BC52A7" w:rsidRDefault="00BC52A7" w:rsidP="00BC52A7">
      <w:pPr>
        <w:pStyle w:val="Textodebloque"/>
        <w:ind w:left="284" w:right="6"/>
        <w:contextualSpacing/>
        <w:rPr>
          <w:rFonts w:ascii="Bookman Old Style" w:hAnsi="Bookman Old Style"/>
          <w:szCs w:val="24"/>
        </w:rPr>
      </w:pPr>
    </w:p>
    <w:p w14:paraId="5B1DAEF2" w14:textId="693A9E52" w:rsidR="00BC52A7" w:rsidRPr="00BC52A7" w:rsidRDefault="00BC52A7" w:rsidP="00BC52A7">
      <w:pPr>
        <w:pStyle w:val="Textodebloque"/>
        <w:ind w:left="284" w:right="6"/>
        <w:contextualSpacing/>
        <w:rPr>
          <w:rFonts w:ascii="Bookman Old Style" w:hAnsi="Bookman Old Style"/>
          <w:szCs w:val="24"/>
        </w:rPr>
      </w:pPr>
      <w:r w:rsidRPr="00BC52A7">
        <w:rPr>
          <w:rFonts w:ascii="Bookman Old Style" w:hAnsi="Bookman Old Style"/>
          <w:szCs w:val="24"/>
        </w:rPr>
        <w:t>En virtud de lo anterior</w:t>
      </w:r>
      <w:r w:rsidR="00A83753">
        <w:rPr>
          <w:rFonts w:ascii="Bookman Old Style" w:hAnsi="Bookman Old Style"/>
          <w:szCs w:val="24"/>
        </w:rPr>
        <w:t>,</w:t>
      </w:r>
      <w:r w:rsidRPr="00BC52A7">
        <w:rPr>
          <w:rFonts w:ascii="Bookman Old Style" w:hAnsi="Bookman Old Style"/>
          <w:szCs w:val="24"/>
        </w:rPr>
        <w:t xml:space="preserve"> y una vez verificado el cumplimiento de los requisitos a los que hace referencia el artículo 77 del Código de Procedimiento Administrativo y de lo Contencioso Administrativo</w:t>
      </w:r>
      <w:r w:rsidR="00A83753">
        <w:rPr>
          <w:rFonts w:ascii="Bookman Old Style" w:hAnsi="Bookman Old Style"/>
          <w:szCs w:val="24"/>
        </w:rPr>
        <w:t>,</w:t>
      </w:r>
      <w:r w:rsidRPr="00BC52A7">
        <w:rPr>
          <w:rFonts w:ascii="Bookman Old Style" w:hAnsi="Bookman Old Style"/>
          <w:szCs w:val="24"/>
        </w:rPr>
        <w:t xml:space="preserve"> en concordancia con el artículo 113 de la Ley 142 de 1994, procede la CREG a realizar un análisis y pronunciarse en relación con los argumentos en que se sustenta la impugnación</w:t>
      </w:r>
      <w:r w:rsidR="00DE26D6">
        <w:rPr>
          <w:rFonts w:ascii="Bookman Old Style" w:hAnsi="Bookman Old Style"/>
          <w:szCs w:val="24"/>
        </w:rPr>
        <w:t xml:space="preserve"> presentada por el recurrente</w:t>
      </w:r>
      <w:r w:rsidRPr="00BC52A7">
        <w:rPr>
          <w:rFonts w:ascii="Bookman Old Style" w:hAnsi="Bookman Old Style"/>
          <w:szCs w:val="24"/>
        </w:rPr>
        <w:t>.</w:t>
      </w:r>
    </w:p>
    <w:p w14:paraId="1CCD5062" w14:textId="77777777" w:rsidR="00BC52A7" w:rsidRPr="00BC52A7" w:rsidRDefault="00BC52A7" w:rsidP="00BC52A7">
      <w:pPr>
        <w:pStyle w:val="Textodebloque"/>
        <w:ind w:left="284" w:right="6"/>
        <w:contextualSpacing/>
        <w:rPr>
          <w:rFonts w:ascii="Bookman Old Style" w:hAnsi="Bookman Old Style"/>
          <w:szCs w:val="24"/>
        </w:rPr>
      </w:pPr>
    </w:p>
    <w:p w14:paraId="0B918A9C" w14:textId="77777777" w:rsidR="00BC52A7" w:rsidRPr="00733E3B" w:rsidRDefault="00BC52A7" w:rsidP="00BC52A7">
      <w:pPr>
        <w:pStyle w:val="Textodebloque"/>
        <w:ind w:left="284" w:right="6"/>
        <w:contextualSpacing/>
        <w:rPr>
          <w:rFonts w:ascii="Bookman Old Style" w:hAnsi="Bookman Old Style"/>
          <w:b/>
          <w:szCs w:val="24"/>
        </w:rPr>
      </w:pPr>
      <w:r w:rsidRPr="00733E3B">
        <w:rPr>
          <w:rFonts w:ascii="Bookman Old Style" w:hAnsi="Bookman Old Style"/>
          <w:b/>
          <w:szCs w:val="24"/>
        </w:rPr>
        <w:t>2. Fundamentos del recurso</w:t>
      </w:r>
    </w:p>
    <w:p w14:paraId="25E9724E" w14:textId="77777777" w:rsidR="00DC049C" w:rsidRDefault="00DC049C" w:rsidP="00BC52A7">
      <w:pPr>
        <w:pStyle w:val="Textodebloque"/>
        <w:ind w:left="284" w:right="6"/>
        <w:contextualSpacing/>
        <w:rPr>
          <w:rFonts w:ascii="Bookman Old Style" w:hAnsi="Bookman Old Style"/>
          <w:szCs w:val="24"/>
        </w:rPr>
      </w:pPr>
    </w:p>
    <w:p w14:paraId="07027AAA" w14:textId="37030F0B" w:rsidR="00BC52A7" w:rsidRPr="00F7418C" w:rsidRDefault="00BC52A7" w:rsidP="00BC52A7">
      <w:pPr>
        <w:pStyle w:val="Textodebloque"/>
        <w:ind w:left="284" w:right="6"/>
        <w:contextualSpacing/>
        <w:rPr>
          <w:rFonts w:ascii="Bookman Old Style" w:hAnsi="Bookman Old Style"/>
          <w:sz w:val="22"/>
          <w:szCs w:val="22"/>
        </w:rPr>
      </w:pPr>
      <w:r w:rsidRPr="00BC52A7">
        <w:rPr>
          <w:rFonts w:ascii="Bookman Old Style" w:hAnsi="Bookman Old Style"/>
          <w:szCs w:val="24"/>
        </w:rPr>
        <w:t xml:space="preserve">Los argumentos del recurso de reposición interpuesto por la empresa </w:t>
      </w:r>
      <w:r w:rsidR="001053F9">
        <w:rPr>
          <w:rFonts w:ascii="Bookman Old Style" w:hAnsi="Bookman Old Style"/>
          <w:szCs w:val="24"/>
        </w:rPr>
        <w:t>REFOENERGY</w:t>
      </w:r>
      <w:r w:rsidRPr="00BC52A7">
        <w:rPr>
          <w:rFonts w:ascii="Bookman Old Style" w:hAnsi="Bookman Old Style"/>
          <w:szCs w:val="24"/>
        </w:rPr>
        <w:t>, hacen referencia a lo siguiente:</w:t>
      </w:r>
    </w:p>
    <w:p w14:paraId="052877E5" w14:textId="77777777" w:rsidR="00BC52A7" w:rsidRPr="00F7418C" w:rsidRDefault="00BC52A7" w:rsidP="00BC52A7">
      <w:pPr>
        <w:pStyle w:val="Textodebloque"/>
        <w:ind w:left="284" w:right="6"/>
        <w:contextualSpacing/>
        <w:rPr>
          <w:rFonts w:ascii="Bookman Old Style" w:hAnsi="Bookman Old Style"/>
          <w:sz w:val="22"/>
          <w:szCs w:val="22"/>
        </w:rPr>
      </w:pPr>
    </w:p>
    <w:p w14:paraId="56DA5C2A" w14:textId="5957A9AC" w:rsidR="007B5740" w:rsidRPr="002D71D9" w:rsidRDefault="00BC52A7" w:rsidP="002D71D9">
      <w:pPr>
        <w:pStyle w:val="Textodebloque"/>
        <w:ind w:right="6"/>
        <w:contextualSpacing/>
        <w:rPr>
          <w:rFonts w:ascii="Bookman Old Style" w:hAnsi="Bookman Old Style"/>
          <w:sz w:val="22"/>
          <w:szCs w:val="22"/>
        </w:rPr>
      </w:pPr>
      <w:r w:rsidRPr="00523A7E">
        <w:rPr>
          <w:rFonts w:ascii="Bookman Old Style" w:hAnsi="Bookman Old Style"/>
          <w:i/>
          <w:sz w:val="22"/>
          <w:szCs w:val="22"/>
        </w:rPr>
        <w:t>“(.</w:t>
      </w:r>
      <w:r w:rsidR="002D71D9">
        <w:rPr>
          <w:rFonts w:ascii="Bookman Old Style" w:hAnsi="Bookman Old Style"/>
          <w:i/>
          <w:sz w:val="22"/>
          <w:szCs w:val="22"/>
        </w:rPr>
        <w:t>.</w:t>
      </w:r>
      <w:r w:rsidRPr="00523A7E">
        <w:rPr>
          <w:rFonts w:ascii="Bookman Old Style" w:hAnsi="Bookman Old Style"/>
          <w:i/>
          <w:sz w:val="22"/>
          <w:szCs w:val="22"/>
        </w:rPr>
        <w:t>.)</w:t>
      </w:r>
      <w:r w:rsidR="008A15B6" w:rsidRPr="00523A7E">
        <w:rPr>
          <w:rFonts w:ascii="Bookman Old Style" w:hAnsi="Bookman Old Style"/>
          <w:i/>
          <w:sz w:val="22"/>
          <w:szCs w:val="22"/>
        </w:rPr>
        <w:t xml:space="preserve"> </w:t>
      </w:r>
      <w:r w:rsidR="002D71D9" w:rsidRPr="002D71D9">
        <w:rPr>
          <w:rFonts w:ascii="Bookman Old Style" w:hAnsi="Bookman Old Style"/>
          <w:i/>
          <w:iCs/>
          <w:sz w:val="22"/>
          <w:szCs w:val="22"/>
        </w:rPr>
        <w:t>1.</w:t>
      </w:r>
      <w:r w:rsidR="002D71D9">
        <w:rPr>
          <w:rFonts w:ascii="Bookman Old Style" w:hAnsi="Bookman Old Style"/>
          <w:sz w:val="22"/>
          <w:szCs w:val="22"/>
        </w:rPr>
        <w:t xml:space="preserve"> </w:t>
      </w:r>
      <w:r w:rsidR="007B5740" w:rsidRPr="00523A7E">
        <w:rPr>
          <w:rFonts w:ascii="Bookman Old Style" w:hAnsi="Bookman Old Style"/>
          <w:i/>
          <w:sz w:val="22"/>
          <w:szCs w:val="22"/>
        </w:rPr>
        <w:t xml:space="preserve">LA DETERMINACION DEL CARGO MAXIMO DE GENERACION DIFIERE DE LA DETERMINACION DEL COMPONENTE G DENTRO DEL CALCULO DEL COSTO UNITARIO </w:t>
      </w:r>
      <w:proofErr w:type="spellStart"/>
      <w:r w:rsidR="007B5740" w:rsidRPr="00523A7E">
        <w:rPr>
          <w:rFonts w:ascii="Bookman Old Style" w:hAnsi="Bookman Old Style"/>
          <w:i/>
          <w:sz w:val="22"/>
          <w:szCs w:val="22"/>
        </w:rPr>
        <w:t>kw</w:t>
      </w:r>
      <w:proofErr w:type="spellEnd"/>
      <w:r w:rsidR="007B5740" w:rsidRPr="00523A7E">
        <w:rPr>
          <w:rFonts w:ascii="Bookman Old Style" w:hAnsi="Bookman Old Style"/>
          <w:i/>
          <w:sz w:val="22"/>
          <w:szCs w:val="22"/>
        </w:rPr>
        <w:t>/h PARA EFECTOS DE LA FIJACION DE TARIFA AL USUARIO.</w:t>
      </w:r>
    </w:p>
    <w:p w14:paraId="28E74DE9" w14:textId="77777777" w:rsidR="002D71D9" w:rsidRDefault="002D71D9" w:rsidP="00114523">
      <w:pPr>
        <w:pStyle w:val="Textodebloque"/>
        <w:ind w:right="6"/>
        <w:contextualSpacing/>
        <w:rPr>
          <w:rFonts w:ascii="Bookman Old Style" w:hAnsi="Bookman Old Style"/>
          <w:i/>
          <w:sz w:val="22"/>
          <w:szCs w:val="22"/>
        </w:rPr>
      </w:pPr>
    </w:p>
    <w:p w14:paraId="1563D0FC" w14:textId="1315082C" w:rsidR="002E759E" w:rsidRPr="00523A7E" w:rsidRDefault="007B5740" w:rsidP="00114523">
      <w:pPr>
        <w:pStyle w:val="Textodebloque"/>
        <w:ind w:right="6"/>
        <w:contextualSpacing/>
        <w:rPr>
          <w:rFonts w:ascii="Bookman Old Style" w:hAnsi="Bookman Old Style"/>
          <w:i/>
          <w:sz w:val="22"/>
          <w:szCs w:val="22"/>
        </w:rPr>
      </w:pPr>
      <w:r w:rsidRPr="00523A7E">
        <w:rPr>
          <w:rFonts w:ascii="Bookman Old Style" w:hAnsi="Bookman Old Style"/>
          <w:i/>
          <w:sz w:val="22"/>
          <w:szCs w:val="22"/>
        </w:rPr>
        <w:t xml:space="preserve">El poder otorgado por </w:t>
      </w:r>
      <w:proofErr w:type="spellStart"/>
      <w:r w:rsidRPr="00523A7E">
        <w:rPr>
          <w:rFonts w:ascii="Bookman Old Style" w:hAnsi="Bookman Old Style"/>
          <w:i/>
          <w:sz w:val="22"/>
          <w:szCs w:val="22"/>
        </w:rPr>
        <w:t>Electrovichada</w:t>
      </w:r>
      <w:proofErr w:type="spellEnd"/>
      <w:r w:rsidRPr="00523A7E">
        <w:rPr>
          <w:rFonts w:ascii="Bookman Old Style" w:hAnsi="Bookman Old Style"/>
          <w:i/>
          <w:sz w:val="22"/>
          <w:szCs w:val="22"/>
        </w:rPr>
        <w:t xml:space="preserve"> a </w:t>
      </w:r>
      <w:proofErr w:type="spellStart"/>
      <w:r w:rsidRPr="00523A7E">
        <w:rPr>
          <w:rFonts w:ascii="Bookman Old Style" w:hAnsi="Bookman Old Style"/>
          <w:i/>
          <w:sz w:val="22"/>
          <w:szCs w:val="22"/>
        </w:rPr>
        <w:t>Refoenergy</w:t>
      </w:r>
      <w:proofErr w:type="spellEnd"/>
      <w:r w:rsidRPr="00523A7E">
        <w:rPr>
          <w:rFonts w:ascii="Bookman Old Style" w:hAnsi="Bookman Old Style"/>
          <w:i/>
          <w:sz w:val="22"/>
          <w:szCs w:val="22"/>
        </w:rPr>
        <w:t>, NO INCLUYO la AUTORIZACIÓN para solicitar de cargo máximo de generación para sus plantas Diesel, pues la fórmula aplicable para determinación del costo del componente G de la tarifa al usuario, definida por la CREG091, ya viene siendo aplicada para las plantas Diesel propias o que le entrego el IPSE; incluso descontando del costo de inversión, el valor de las plantas de propiedad del IPSE,</w:t>
      </w:r>
      <w:r w:rsidR="002E759E" w:rsidRPr="00523A7E">
        <w:rPr>
          <w:rFonts w:ascii="Bookman Old Style" w:hAnsi="Bookman Old Style"/>
          <w:i/>
          <w:sz w:val="22"/>
          <w:szCs w:val="22"/>
        </w:rPr>
        <w:t xml:space="preserve"> como corresponde. Sin embargo, la tarifa usuario es determinada por el costo unitario de energía de la población más cercana conectada al SIN. En este caso lo que se solicito fue determinar el cargo máximo de generación para una planta híbrida (Diésel - Biomasa), que no hace parte de los ACTIVOS DE GENERACION de </w:t>
      </w:r>
      <w:proofErr w:type="spellStart"/>
      <w:r w:rsidR="002E759E" w:rsidRPr="00523A7E">
        <w:rPr>
          <w:rFonts w:ascii="Bookman Old Style" w:hAnsi="Bookman Old Style"/>
          <w:i/>
          <w:sz w:val="22"/>
          <w:szCs w:val="22"/>
        </w:rPr>
        <w:t>Electrovichada</w:t>
      </w:r>
      <w:proofErr w:type="spellEnd"/>
      <w:r w:rsidR="002E759E" w:rsidRPr="00523A7E">
        <w:rPr>
          <w:rFonts w:ascii="Bookman Old Style" w:hAnsi="Bookman Old Style"/>
          <w:i/>
          <w:sz w:val="22"/>
          <w:szCs w:val="22"/>
        </w:rPr>
        <w:t xml:space="preserve">, sino que es la fuente de generación hibrida de </w:t>
      </w:r>
      <w:r w:rsidR="002E759E" w:rsidRPr="00523A7E">
        <w:rPr>
          <w:rFonts w:ascii="Bookman Old Style" w:hAnsi="Bookman Old Style"/>
          <w:i/>
          <w:sz w:val="22"/>
          <w:szCs w:val="22"/>
        </w:rPr>
        <w:lastRenderedPageBreak/>
        <w:t xml:space="preserve">propiedad de REFOENERGY, que produce la energía comprada por </w:t>
      </w:r>
      <w:proofErr w:type="spellStart"/>
      <w:r w:rsidR="002E759E" w:rsidRPr="00523A7E">
        <w:rPr>
          <w:rFonts w:ascii="Bookman Old Style" w:hAnsi="Bookman Old Style"/>
          <w:i/>
          <w:sz w:val="22"/>
          <w:szCs w:val="22"/>
        </w:rPr>
        <w:t>Electrovichada</w:t>
      </w:r>
      <w:proofErr w:type="spellEnd"/>
      <w:r w:rsidR="002E759E" w:rsidRPr="00523A7E">
        <w:rPr>
          <w:rFonts w:ascii="Bookman Old Style" w:hAnsi="Bookman Old Style"/>
          <w:i/>
          <w:sz w:val="22"/>
          <w:szCs w:val="22"/>
        </w:rPr>
        <w:t xml:space="preserve"> ESP para proveerle a sus usuarios regulados en su condición de comercializadora. (art. 11 ley 143 de 1994). (Contrato 084 de 2016 PPA TAKE OR PAY 20 AÑOS compra DE ENERGIA EN FIRME).</w:t>
      </w:r>
    </w:p>
    <w:p w14:paraId="51766B42" w14:textId="77777777" w:rsidR="00114523" w:rsidRPr="00523A7E" w:rsidRDefault="00114523" w:rsidP="00114523">
      <w:pPr>
        <w:pStyle w:val="Textodebloque"/>
        <w:ind w:right="6"/>
        <w:contextualSpacing/>
        <w:rPr>
          <w:rFonts w:ascii="Bookman Old Style" w:hAnsi="Bookman Old Style"/>
          <w:sz w:val="22"/>
          <w:szCs w:val="22"/>
        </w:rPr>
      </w:pPr>
    </w:p>
    <w:p w14:paraId="2486139F" w14:textId="63FBE469" w:rsidR="002E759E" w:rsidRPr="00523A7E" w:rsidRDefault="002E759E" w:rsidP="00114523">
      <w:pPr>
        <w:pStyle w:val="Textodebloque"/>
        <w:ind w:right="6"/>
        <w:contextualSpacing/>
        <w:rPr>
          <w:rFonts w:ascii="Bookman Old Style" w:hAnsi="Bookman Old Style"/>
          <w:i/>
          <w:sz w:val="22"/>
          <w:szCs w:val="22"/>
        </w:rPr>
      </w:pPr>
      <w:proofErr w:type="spellStart"/>
      <w:r w:rsidRPr="00523A7E">
        <w:rPr>
          <w:rFonts w:ascii="Bookman Old Style" w:hAnsi="Bookman Old Style"/>
          <w:i/>
          <w:sz w:val="22"/>
          <w:szCs w:val="22"/>
        </w:rPr>
        <w:t>Electrovichada</w:t>
      </w:r>
      <w:proofErr w:type="spellEnd"/>
      <w:r w:rsidRPr="00523A7E">
        <w:rPr>
          <w:rFonts w:ascii="Bookman Old Style" w:hAnsi="Bookman Old Style"/>
          <w:i/>
          <w:sz w:val="22"/>
          <w:szCs w:val="22"/>
        </w:rPr>
        <w:t>, tiene en su parque de generación, unidades de generación diésel propias o entregadas por el IPSE, sobre los cuales aplica LIBREMENTE (libertad vigilada) la fórmula tarifara para el cálculo del componente G DIESEL, establecidas en la CREG 091/2007 en aplicación del literal a) del art. 22, misma norma.</w:t>
      </w:r>
    </w:p>
    <w:p w14:paraId="69B21B1C" w14:textId="77777777" w:rsidR="00114523" w:rsidRPr="002A6D85" w:rsidRDefault="00114523" w:rsidP="00114523">
      <w:pPr>
        <w:pStyle w:val="Textodebloque"/>
        <w:ind w:right="6"/>
        <w:contextualSpacing/>
        <w:rPr>
          <w:rFonts w:ascii="Bookman Old Style" w:hAnsi="Bookman Old Style"/>
          <w:i/>
          <w:sz w:val="20"/>
        </w:rPr>
      </w:pPr>
    </w:p>
    <w:p w14:paraId="684438A6" w14:textId="53B88ACF" w:rsidR="007B5740" w:rsidRPr="002A6D85" w:rsidRDefault="002E759E" w:rsidP="00114523">
      <w:pPr>
        <w:pStyle w:val="Textodebloque"/>
        <w:ind w:right="6"/>
        <w:contextualSpacing/>
        <w:rPr>
          <w:rFonts w:ascii="Bookman Old Style" w:hAnsi="Bookman Old Style"/>
          <w:i/>
          <w:sz w:val="22"/>
          <w:szCs w:val="22"/>
        </w:rPr>
      </w:pPr>
      <w:r w:rsidRPr="002A6D85">
        <w:rPr>
          <w:rFonts w:ascii="Bookman Old Style" w:hAnsi="Bookman Old Style"/>
          <w:i/>
          <w:sz w:val="22"/>
          <w:szCs w:val="22"/>
        </w:rPr>
        <w:t>En este sentido, para el trámite de la solicitud es necesario además de aplicar los contenidos de los arts. 22.d; 24.5 y 25 de la CREG 091/07, acudir a la art. 21 que señala:</w:t>
      </w:r>
    </w:p>
    <w:p w14:paraId="43F76983" w14:textId="0597944B" w:rsidR="007B5740" w:rsidRPr="002A6D85" w:rsidRDefault="007B5740" w:rsidP="00BC52A7">
      <w:pPr>
        <w:pStyle w:val="Textodebloque"/>
        <w:ind w:left="284" w:right="6"/>
        <w:contextualSpacing/>
        <w:rPr>
          <w:rFonts w:ascii="Bookman Old Style" w:hAnsi="Bookman Old Style"/>
          <w:i/>
          <w:sz w:val="22"/>
          <w:szCs w:val="22"/>
        </w:rPr>
      </w:pPr>
    </w:p>
    <w:p w14:paraId="7C4AD437" w14:textId="7AE3D13B" w:rsidR="002E759E" w:rsidRPr="00460275" w:rsidRDefault="002E759E" w:rsidP="00DD35EE">
      <w:pPr>
        <w:pStyle w:val="Textodebloque"/>
        <w:ind w:left="851" w:right="6"/>
        <w:contextualSpacing/>
        <w:rPr>
          <w:rFonts w:ascii="Bookman Old Style" w:hAnsi="Bookman Old Style"/>
          <w:i/>
          <w:sz w:val="22"/>
          <w:szCs w:val="22"/>
        </w:rPr>
      </w:pPr>
      <w:r w:rsidRPr="00460275">
        <w:rPr>
          <w:rFonts w:ascii="Bookman Old Style" w:hAnsi="Bookman Old Style"/>
          <w:b/>
          <w:i/>
          <w:sz w:val="22"/>
          <w:szCs w:val="22"/>
        </w:rPr>
        <w:t>“</w:t>
      </w:r>
      <w:r w:rsidRPr="00460275">
        <w:rPr>
          <w:rFonts w:ascii="Bookman Old Style" w:hAnsi="Bookman Old Style"/>
          <w:i/>
          <w:sz w:val="22"/>
          <w:szCs w:val="22"/>
        </w:rPr>
        <w:t>ARTÍCULO 21. CÁLCULO DEL CARGO MÁXIMO DE GENERACIÓN. El prestador del servicio determinará para cada tecnología de generación, los cargos máximos por energía generada o por capacidad disponible, como la suma de los costos de inversión y los costos de Administración, Operación y Mantenimiento.”</w:t>
      </w:r>
    </w:p>
    <w:p w14:paraId="6624DD5B" w14:textId="77777777" w:rsidR="002E759E" w:rsidRPr="00523A7E" w:rsidRDefault="002E759E" w:rsidP="002E759E">
      <w:pPr>
        <w:pStyle w:val="Textodebloque"/>
        <w:ind w:left="284" w:right="6"/>
        <w:contextualSpacing/>
        <w:rPr>
          <w:rFonts w:ascii="Bookman Old Style" w:hAnsi="Bookman Old Style"/>
          <w:sz w:val="22"/>
          <w:szCs w:val="22"/>
        </w:rPr>
      </w:pPr>
    </w:p>
    <w:p w14:paraId="2320C296" w14:textId="1C3631E5" w:rsidR="007B5740" w:rsidRPr="00523A7E" w:rsidRDefault="002E759E"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 xml:space="preserve">De tal manera que cada unidad que conforma el parque generador de la </w:t>
      </w:r>
      <w:proofErr w:type="gramStart"/>
      <w:r w:rsidRPr="00523A7E">
        <w:rPr>
          <w:rFonts w:ascii="Bookman Old Style" w:hAnsi="Bookman Old Style"/>
          <w:i/>
          <w:sz w:val="22"/>
          <w:szCs w:val="22"/>
        </w:rPr>
        <w:t>ESP,</w:t>
      </w:r>
      <w:proofErr w:type="gramEnd"/>
      <w:r w:rsidRPr="00523A7E">
        <w:rPr>
          <w:rFonts w:ascii="Bookman Old Style" w:hAnsi="Bookman Old Style"/>
          <w:i/>
          <w:sz w:val="22"/>
          <w:szCs w:val="22"/>
        </w:rPr>
        <w:t xml:space="preserve"> se calcula de manera independiente de conformidad con el cargo máximo que determine la CREG, en virtud de la REGULACION que para cada UNIDAD tecnológica aplique (art 22 Creg 091/07)</w:t>
      </w:r>
    </w:p>
    <w:p w14:paraId="33D88CE7" w14:textId="2F4CCA9F" w:rsidR="007B5740" w:rsidRPr="00523A7E" w:rsidRDefault="007B5740" w:rsidP="00B60BFB">
      <w:pPr>
        <w:pStyle w:val="Textodebloque"/>
        <w:ind w:right="6"/>
        <w:contextualSpacing/>
        <w:rPr>
          <w:rFonts w:ascii="Bookman Old Style" w:hAnsi="Bookman Old Style"/>
          <w:b/>
          <w:sz w:val="22"/>
          <w:szCs w:val="22"/>
        </w:rPr>
      </w:pPr>
    </w:p>
    <w:p w14:paraId="3005F215" w14:textId="2DC7D52E" w:rsidR="002E759E" w:rsidRPr="00523A7E" w:rsidRDefault="002E759E"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 xml:space="preserve">Es claro para </w:t>
      </w:r>
      <w:proofErr w:type="spellStart"/>
      <w:r w:rsidRPr="00523A7E">
        <w:rPr>
          <w:rFonts w:ascii="Bookman Old Style" w:hAnsi="Bookman Old Style"/>
          <w:i/>
          <w:sz w:val="22"/>
          <w:szCs w:val="22"/>
        </w:rPr>
        <w:t>Electrovichada</w:t>
      </w:r>
      <w:proofErr w:type="spellEnd"/>
      <w:r w:rsidRPr="00523A7E">
        <w:rPr>
          <w:rFonts w:ascii="Bookman Old Style" w:hAnsi="Bookman Old Style"/>
          <w:i/>
          <w:sz w:val="22"/>
          <w:szCs w:val="22"/>
        </w:rPr>
        <w:t xml:space="preserve"> que, en su condición de ESP autorizada para generación, distribución y comercialización; puede incorporar en el componente G de la tarifa tantas unidades tecnológicas Diesel, y tantas unidades de energía renovable (plantas fotovoltaicas, eólicas, </w:t>
      </w:r>
      <w:proofErr w:type="spellStart"/>
      <w:r w:rsidRPr="00523A7E">
        <w:rPr>
          <w:rFonts w:ascii="Bookman Old Style" w:hAnsi="Bookman Old Style"/>
          <w:i/>
          <w:sz w:val="22"/>
          <w:szCs w:val="22"/>
        </w:rPr>
        <w:t>etc</w:t>
      </w:r>
      <w:proofErr w:type="spellEnd"/>
      <w:r w:rsidRPr="00523A7E">
        <w:rPr>
          <w:rFonts w:ascii="Bookman Old Style" w:hAnsi="Bookman Old Style"/>
          <w:i/>
          <w:sz w:val="22"/>
          <w:szCs w:val="22"/>
        </w:rPr>
        <w:t xml:space="preserve">) como el número que sea requerido para atender la demanda, estando solo limitado por el factor de eficiencia del costo de todo su componente G en la tarifa usuario, y que cada Planta (Unidad tecnológica), puede Y DEBE tener su Cargo máximo de Generación debidamente calculado conforme a formula determinada, de manera general </w:t>
      </w:r>
      <w:proofErr w:type="spellStart"/>
      <w:r w:rsidRPr="00523A7E">
        <w:rPr>
          <w:rFonts w:ascii="Bookman Old Style" w:hAnsi="Bookman Old Style"/>
          <w:i/>
          <w:sz w:val="22"/>
          <w:szCs w:val="22"/>
        </w:rPr>
        <w:t>ó</w:t>
      </w:r>
      <w:proofErr w:type="spellEnd"/>
      <w:r w:rsidRPr="00523A7E">
        <w:rPr>
          <w:rFonts w:ascii="Bookman Old Style" w:hAnsi="Bookman Old Style"/>
          <w:i/>
          <w:sz w:val="22"/>
          <w:szCs w:val="22"/>
        </w:rPr>
        <w:t xml:space="preserve"> en “resolución particular” (cuando se trate de soluciones hibridas art 22 </w:t>
      </w:r>
      <w:proofErr w:type="spellStart"/>
      <w:r w:rsidRPr="00523A7E">
        <w:rPr>
          <w:rFonts w:ascii="Bookman Old Style" w:hAnsi="Bookman Old Style"/>
          <w:i/>
          <w:sz w:val="22"/>
          <w:szCs w:val="22"/>
        </w:rPr>
        <w:t>lit</w:t>
      </w:r>
      <w:proofErr w:type="spellEnd"/>
      <w:r w:rsidRPr="00523A7E">
        <w:rPr>
          <w:rFonts w:ascii="Bookman Old Style" w:hAnsi="Bookman Old Style"/>
          <w:i/>
          <w:sz w:val="22"/>
          <w:szCs w:val="22"/>
        </w:rPr>
        <w:t xml:space="preserve"> d) CEG 091 /07) por la CREG.</w:t>
      </w:r>
    </w:p>
    <w:p w14:paraId="16FCC814" w14:textId="77777777" w:rsidR="007B5740" w:rsidRPr="00523A7E" w:rsidRDefault="007B5740" w:rsidP="00B60BFB">
      <w:pPr>
        <w:pStyle w:val="Textodebloque"/>
        <w:ind w:right="6"/>
        <w:contextualSpacing/>
        <w:rPr>
          <w:rFonts w:ascii="Bookman Old Style" w:hAnsi="Bookman Old Style"/>
          <w:b/>
          <w:sz w:val="22"/>
          <w:szCs w:val="22"/>
        </w:rPr>
      </w:pPr>
    </w:p>
    <w:p w14:paraId="299AAEFD" w14:textId="45B77832" w:rsidR="007B5740" w:rsidRPr="00523A7E" w:rsidRDefault="002E759E"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 xml:space="preserve">En este caso, </w:t>
      </w:r>
      <w:proofErr w:type="spellStart"/>
      <w:r w:rsidRPr="00523A7E">
        <w:rPr>
          <w:rFonts w:ascii="Bookman Old Style" w:hAnsi="Bookman Old Style"/>
          <w:i/>
          <w:sz w:val="22"/>
          <w:szCs w:val="22"/>
        </w:rPr>
        <w:t>Electrovichada</w:t>
      </w:r>
      <w:proofErr w:type="spellEnd"/>
      <w:r w:rsidRPr="00523A7E">
        <w:rPr>
          <w:rFonts w:ascii="Bookman Old Style" w:hAnsi="Bookman Old Style"/>
          <w:i/>
          <w:sz w:val="22"/>
          <w:szCs w:val="22"/>
        </w:rPr>
        <w:t xml:space="preserve"> compró energía para los próximos 20 años a REFOENERGY BITA, generada por la planta de generación Hibrida Diesel-Biomasa que es de propiedad de</w:t>
      </w:r>
      <w:r w:rsidRPr="00523A7E">
        <w:rPr>
          <w:i/>
          <w:sz w:val="22"/>
          <w:szCs w:val="22"/>
        </w:rPr>
        <w:t xml:space="preserve"> </w:t>
      </w:r>
      <w:proofErr w:type="spellStart"/>
      <w:r w:rsidRPr="00523A7E">
        <w:rPr>
          <w:rFonts w:ascii="Bookman Old Style" w:hAnsi="Bookman Old Style"/>
          <w:i/>
          <w:sz w:val="22"/>
          <w:szCs w:val="22"/>
        </w:rPr>
        <w:t>Refoenergy</w:t>
      </w:r>
      <w:proofErr w:type="spellEnd"/>
      <w:r w:rsidRPr="00523A7E">
        <w:rPr>
          <w:rFonts w:ascii="Bookman Old Style" w:hAnsi="Bookman Old Style"/>
          <w:i/>
          <w:sz w:val="22"/>
          <w:szCs w:val="22"/>
        </w:rPr>
        <w:t>, quien es GENERADOR puede vender energía en firme a los comercializadores (ARTÍCULO 31. LEY 143 1994 literal b) y; por tanto, es agente del mercado energético, razón por la cual tiene derecho a proponer la fórmula para la remuneración de los activos de generación (UNIDAD TECNOLOGICA HIBRIDA DIESEL BIO</w:t>
      </w:r>
      <w:r w:rsidR="00A32DD9">
        <w:rPr>
          <w:rFonts w:ascii="Bookman Old Style" w:hAnsi="Bookman Old Style"/>
          <w:i/>
          <w:sz w:val="22"/>
          <w:szCs w:val="22"/>
        </w:rPr>
        <w:t>M</w:t>
      </w:r>
      <w:r w:rsidRPr="00523A7E">
        <w:rPr>
          <w:rFonts w:ascii="Bookman Old Style" w:hAnsi="Bookman Old Style"/>
          <w:i/>
          <w:sz w:val="22"/>
          <w:szCs w:val="22"/>
        </w:rPr>
        <w:t>ASA) de su propiedad. Por ello ha propuesto y adelantado el presente tramite de determinación del cargo máximo de remuneración PARTICULAR de la inversión y AOM para la Planta Hibrida de Generación Diesel- Biomasa (art 22 literal d), art 23 CREG 091/07), donde uno de los elementos esenciales es el largo plazo del mismo, ya que, al estarse realizando la financiación por parte de la Generadora, se requiere un plazo que permita el retorno de la inversión, para la determinación del Precio del kWh generado o el mecanismo de definición del cargo máximo de generación y su indexador.</w:t>
      </w:r>
    </w:p>
    <w:p w14:paraId="036D6399" w14:textId="16928EEB" w:rsidR="002E759E" w:rsidRPr="00523A7E" w:rsidRDefault="002E759E" w:rsidP="00B60BFB">
      <w:pPr>
        <w:pStyle w:val="Textodebloque"/>
        <w:ind w:right="6"/>
        <w:contextualSpacing/>
        <w:rPr>
          <w:rFonts w:ascii="Bookman Old Style" w:hAnsi="Bookman Old Style"/>
          <w:sz w:val="22"/>
          <w:szCs w:val="22"/>
        </w:rPr>
      </w:pPr>
    </w:p>
    <w:p w14:paraId="0F8198E7" w14:textId="75760B30" w:rsidR="002E759E" w:rsidRPr="00523A7E" w:rsidRDefault="002E759E"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 xml:space="preserve">Posteriormente a la determinación del cargo máximo de generación de la planta hibrida Diesel-Biomasa, y como lo ha reiterado la Comisión de Regulación de Energía y Gas (CREG), </w:t>
      </w:r>
      <w:proofErr w:type="spellStart"/>
      <w:r w:rsidRPr="00523A7E">
        <w:rPr>
          <w:rFonts w:ascii="Bookman Old Style" w:hAnsi="Bookman Old Style"/>
          <w:i/>
          <w:sz w:val="22"/>
          <w:szCs w:val="22"/>
        </w:rPr>
        <w:t>Electrovichada</w:t>
      </w:r>
      <w:proofErr w:type="spellEnd"/>
      <w:r w:rsidRPr="00523A7E">
        <w:rPr>
          <w:rFonts w:ascii="Bookman Old Style" w:hAnsi="Bookman Old Style"/>
          <w:i/>
          <w:sz w:val="22"/>
          <w:szCs w:val="22"/>
        </w:rPr>
        <w:t xml:space="preserve"> en su condición de comercializadora que “aspira al reconocimiento de los costos agregados de las compras de energía en el costo unitario de prestación del servicio al usuario regulado”, podrá adelantar el </w:t>
      </w:r>
      <w:proofErr w:type="spellStart"/>
      <w:r w:rsidRPr="00523A7E">
        <w:rPr>
          <w:rFonts w:ascii="Bookman Old Style" w:hAnsi="Bookman Old Style"/>
          <w:i/>
          <w:sz w:val="22"/>
          <w:szCs w:val="22"/>
        </w:rPr>
        <w:t>tramite</w:t>
      </w:r>
      <w:proofErr w:type="spellEnd"/>
      <w:r w:rsidRPr="00523A7E">
        <w:rPr>
          <w:rFonts w:ascii="Bookman Old Style" w:hAnsi="Bookman Old Style"/>
          <w:i/>
          <w:sz w:val="22"/>
          <w:szCs w:val="22"/>
        </w:rPr>
        <w:t xml:space="preserve"> pertinente, relativo a la determinación del costo unitario del componente G (generación) trasladable </w:t>
      </w:r>
      <w:r w:rsidRPr="00523A7E">
        <w:rPr>
          <w:rFonts w:ascii="Bookman Old Style" w:hAnsi="Bookman Old Style"/>
          <w:i/>
          <w:sz w:val="22"/>
          <w:szCs w:val="22"/>
        </w:rPr>
        <w:lastRenderedPageBreak/>
        <w:t>al usuario para calcular su tarifa (identificando cada una de sus unidades (plantas) de generación, PROPIAS O DE TERCEROS y los valores de las compras de energía, y, dentro de la fórmula de definición, deberán demostrar que cumplen con los principios de eficiencia, transparencia, neutralidad y fiabilidad. (art. 11 L.143/94)</w:t>
      </w:r>
    </w:p>
    <w:p w14:paraId="4C9838B2" w14:textId="06C3D777" w:rsidR="002E759E" w:rsidRPr="00523A7E" w:rsidRDefault="002E759E" w:rsidP="00B60BFB">
      <w:pPr>
        <w:pStyle w:val="Textodebloque"/>
        <w:ind w:right="6"/>
        <w:contextualSpacing/>
        <w:rPr>
          <w:rFonts w:ascii="Bookman Old Style" w:hAnsi="Bookman Old Style"/>
          <w:sz w:val="22"/>
          <w:szCs w:val="22"/>
        </w:rPr>
      </w:pPr>
    </w:p>
    <w:p w14:paraId="065B7754" w14:textId="411F6D0E" w:rsidR="002E759E" w:rsidRPr="00523A7E" w:rsidRDefault="002E759E"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INCONFORMIDAD CONCRETA RESPECTO DE LAS CONSIDERACIONES JURIDICAS y RESOLUCION</w:t>
      </w:r>
    </w:p>
    <w:p w14:paraId="6A4036A3" w14:textId="77777777" w:rsidR="002E759E" w:rsidRPr="00523A7E" w:rsidRDefault="002E759E" w:rsidP="00B60BFB">
      <w:pPr>
        <w:pStyle w:val="Textodebloque"/>
        <w:ind w:right="6"/>
        <w:contextualSpacing/>
        <w:rPr>
          <w:rFonts w:ascii="Bookman Old Style" w:hAnsi="Bookman Old Style"/>
          <w:sz w:val="22"/>
          <w:szCs w:val="22"/>
        </w:rPr>
      </w:pPr>
    </w:p>
    <w:p w14:paraId="5A8BAD42" w14:textId="705D585A" w:rsidR="00255620" w:rsidRPr="00523A7E" w:rsidRDefault="002E759E"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 xml:space="preserve">Tal como lo transcribe la resolución recurrida en este acápite, reiterando lo señalado en los acápites 1 y 3 de la misma; lo que se solicitó, fue “el inicio de trámite administrativo para la determinación del CARGO MAXIMO DE GENERACION para sistema hibrido de generación que remunere el proyecto de energía renovable BIOMASA –DIESEL”, …”dado que “Hasta este momento no se han fijado los cargos máximos de generación para sistemas híbridos BIOMASA DIESEL 4.5mw como es el caso concreto”, teniendo como componente de RESPALDO unidades DIESEL que son de propiedad de </w:t>
      </w:r>
      <w:proofErr w:type="spellStart"/>
      <w:r w:rsidRPr="00523A7E">
        <w:rPr>
          <w:rFonts w:ascii="Bookman Old Style" w:hAnsi="Bookman Old Style"/>
          <w:i/>
          <w:sz w:val="22"/>
          <w:szCs w:val="22"/>
        </w:rPr>
        <w:t>Refoenergy</w:t>
      </w:r>
      <w:proofErr w:type="spellEnd"/>
      <w:r w:rsidRPr="00523A7E">
        <w:rPr>
          <w:rFonts w:ascii="Bookman Old Style" w:hAnsi="Bookman Old Style"/>
          <w:i/>
          <w:sz w:val="22"/>
          <w:szCs w:val="22"/>
        </w:rPr>
        <w:t xml:space="preserve"> y que solo están incorporadas en la fórmula de costo eficiente para atender máximo el 10% de la generación, (artículo 22 literal d) de la Resolución CREG 091/2007; art. 23 Ley 143 de 1994;</w:t>
      </w:r>
      <w:r w:rsidR="00114523" w:rsidRPr="00523A7E">
        <w:rPr>
          <w:rFonts w:ascii="Bookman Old Style" w:hAnsi="Bookman Old Style"/>
          <w:i/>
          <w:sz w:val="22"/>
          <w:szCs w:val="22"/>
        </w:rPr>
        <w:t xml:space="preserve"> </w:t>
      </w:r>
      <w:r w:rsidR="00255620" w:rsidRPr="00523A7E">
        <w:rPr>
          <w:rFonts w:ascii="Bookman Old Style" w:hAnsi="Bookman Old Style"/>
          <w:i/>
          <w:sz w:val="22"/>
          <w:szCs w:val="22"/>
        </w:rPr>
        <w:t>Sin embargo, en la consideración jurídica 4.1, se acude a la competencia para determinar</w:t>
      </w:r>
    </w:p>
    <w:p w14:paraId="44ACBDE5" w14:textId="77777777" w:rsidR="00114523" w:rsidRPr="00523A7E" w:rsidRDefault="00114523" w:rsidP="00B60BFB">
      <w:pPr>
        <w:pStyle w:val="Textodebloque"/>
        <w:ind w:right="6"/>
        <w:contextualSpacing/>
        <w:rPr>
          <w:rFonts w:ascii="Bookman Old Style" w:hAnsi="Bookman Old Style"/>
          <w:sz w:val="22"/>
          <w:szCs w:val="22"/>
        </w:rPr>
      </w:pPr>
    </w:p>
    <w:p w14:paraId="322AA6CE" w14:textId="0F121B44" w:rsidR="007B5740" w:rsidRPr="00523A7E" w:rsidRDefault="00255620"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 xml:space="preserve">“las “formulas tarifarias generales para establecer el costo unitario de prestación del servicio” en la ZNI y por tanto lo que se ordena es definir la fórmula para el cargo máximo de generación del “Sistema de Generación Biomasa” e incorporarlo dentro del parque de generación de </w:t>
      </w:r>
      <w:proofErr w:type="spellStart"/>
      <w:r w:rsidRPr="00523A7E">
        <w:rPr>
          <w:rFonts w:ascii="Bookman Old Style" w:hAnsi="Bookman Old Style"/>
          <w:i/>
          <w:sz w:val="22"/>
          <w:szCs w:val="22"/>
        </w:rPr>
        <w:t>Electrovichada</w:t>
      </w:r>
      <w:proofErr w:type="spellEnd"/>
      <w:r w:rsidRPr="00523A7E">
        <w:rPr>
          <w:rFonts w:ascii="Bookman Old Style" w:hAnsi="Bookman Old Style"/>
          <w:i/>
          <w:sz w:val="22"/>
          <w:szCs w:val="22"/>
        </w:rPr>
        <w:t xml:space="preserve">, para finalmente definir la fórmula de cálculo del componente “g” en el esquema tarifario de costo unitario de </w:t>
      </w:r>
      <w:proofErr w:type="spellStart"/>
      <w:r w:rsidRPr="00523A7E">
        <w:rPr>
          <w:rFonts w:ascii="Bookman Old Style" w:hAnsi="Bookman Old Style"/>
          <w:i/>
          <w:sz w:val="22"/>
          <w:szCs w:val="22"/>
        </w:rPr>
        <w:t>Electrovichada</w:t>
      </w:r>
      <w:proofErr w:type="spellEnd"/>
      <w:r w:rsidRPr="00523A7E">
        <w:rPr>
          <w:rFonts w:ascii="Bookman Old Style" w:hAnsi="Bookman Old Style"/>
          <w:i/>
          <w:sz w:val="22"/>
          <w:szCs w:val="22"/>
        </w:rPr>
        <w:t xml:space="preserve"> para los usuarios el municipio de Puerto Carreño( 73.11 de la Ley 142 de 1994), incluida su fórmula de actualización mensual tarifaria. (parte resolutiva de la resolución recurrida)</w:t>
      </w:r>
    </w:p>
    <w:p w14:paraId="76E08040" w14:textId="1DA515BB" w:rsidR="00255620" w:rsidRPr="00523A7E" w:rsidRDefault="00255620" w:rsidP="00B60BFB">
      <w:pPr>
        <w:pStyle w:val="Textodebloque"/>
        <w:ind w:right="6"/>
        <w:contextualSpacing/>
        <w:rPr>
          <w:rFonts w:ascii="Bookman Old Style" w:hAnsi="Bookman Old Style"/>
          <w:i/>
          <w:sz w:val="22"/>
          <w:szCs w:val="22"/>
        </w:rPr>
      </w:pPr>
    </w:p>
    <w:p w14:paraId="613F71C9" w14:textId="2493CEF7" w:rsidR="00255620" w:rsidRPr="00523A7E" w:rsidRDefault="00255620"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 xml:space="preserve">La planta de generación DIESEL-BIOMASA de </w:t>
      </w:r>
      <w:proofErr w:type="spellStart"/>
      <w:r w:rsidRPr="00523A7E">
        <w:rPr>
          <w:rFonts w:ascii="Bookman Old Style" w:hAnsi="Bookman Old Style"/>
          <w:i/>
          <w:sz w:val="22"/>
          <w:szCs w:val="22"/>
        </w:rPr>
        <w:t>refoenergy</w:t>
      </w:r>
      <w:proofErr w:type="spellEnd"/>
      <w:r w:rsidRPr="00523A7E">
        <w:rPr>
          <w:rFonts w:ascii="Bookman Old Style" w:hAnsi="Bookman Old Style"/>
          <w:i/>
          <w:sz w:val="22"/>
          <w:szCs w:val="22"/>
        </w:rPr>
        <w:t xml:space="preserve"> en puerto Carreño requiere que se le fije el cargo máximo para ESA TECNOLOGIA HIBRIDA con respaldo (diésel); no se está pidiendo que remuneren dos plantas independientes, ni la generación de cada una de ellas en ponderación de su participación en la energía entregada para determinar el valor del </w:t>
      </w:r>
      <w:proofErr w:type="spellStart"/>
      <w:r w:rsidRPr="00523A7E">
        <w:rPr>
          <w:rFonts w:ascii="Bookman Old Style" w:hAnsi="Bookman Old Style"/>
          <w:i/>
          <w:sz w:val="22"/>
          <w:szCs w:val="22"/>
        </w:rPr>
        <w:t>Kw</w:t>
      </w:r>
      <w:proofErr w:type="spellEnd"/>
      <w:r w:rsidRPr="00523A7E">
        <w:rPr>
          <w:rFonts w:ascii="Bookman Old Style" w:hAnsi="Bookman Old Style"/>
          <w:i/>
          <w:sz w:val="22"/>
          <w:szCs w:val="22"/>
        </w:rPr>
        <w:t xml:space="preserve">/h vendido a </w:t>
      </w:r>
      <w:proofErr w:type="spellStart"/>
      <w:r w:rsidRPr="00523A7E">
        <w:rPr>
          <w:rFonts w:ascii="Bookman Old Style" w:hAnsi="Bookman Old Style"/>
          <w:i/>
          <w:sz w:val="22"/>
          <w:szCs w:val="22"/>
        </w:rPr>
        <w:t>electrovichada</w:t>
      </w:r>
      <w:proofErr w:type="spellEnd"/>
      <w:r w:rsidRPr="00523A7E">
        <w:rPr>
          <w:rFonts w:ascii="Bookman Old Style" w:hAnsi="Bookman Old Style"/>
          <w:i/>
          <w:sz w:val="22"/>
          <w:szCs w:val="22"/>
        </w:rPr>
        <w:t>.</w:t>
      </w:r>
    </w:p>
    <w:p w14:paraId="5577ABDA" w14:textId="6B08A707" w:rsidR="00255620" w:rsidRPr="00523A7E" w:rsidRDefault="00255620" w:rsidP="00B60BFB">
      <w:pPr>
        <w:pStyle w:val="Textodebloque"/>
        <w:ind w:right="6"/>
        <w:contextualSpacing/>
        <w:rPr>
          <w:rFonts w:ascii="Bookman Old Style" w:hAnsi="Bookman Old Style"/>
          <w:i/>
          <w:sz w:val="22"/>
          <w:szCs w:val="22"/>
        </w:rPr>
      </w:pPr>
    </w:p>
    <w:p w14:paraId="45FCB9C5" w14:textId="461D8EC0" w:rsidR="00255620" w:rsidRPr="00523A7E" w:rsidRDefault="00255620"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 xml:space="preserve">Como se verá más adelante; la fórmula utilizada por el documento técnico de soporte de la resolución recurrida es COSTO-INEFICIENTE (dado que el factor de ponderación de Diesel es de 52% </w:t>
      </w:r>
      <w:proofErr w:type="spellStart"/>
      <w:r w:rsidRPr="00523A7E">
        <w:rPr>
          <w:rFonts w:ascii="Bookman Old Style" w:hAnsi="Bookman Old Style"/>
          <w:i/>
          <w:sz w:val="22"/>
          <w:szCs w:val="22"/>
        </w:rPr>
        <w:t>aprox</w:t>
      </w:r>
      <w:proofErr w:type="spellEnd"/>
      <w:r w:rsidRPr="00523A7E">
        <w:rPr>
          <w:rFonts w:ascii="Bookman Old Style" w:hAnsi="Bookman Old Style"/>
          <w:i/>
          <w:sz w:val="22"/>
          <w:szCs w:val="22"/>
        </w:rPr>
        <w:t xml:space="preserve"> (-el más ineficiente en Vichada por rendimiento y vetustez del parque eléctrico de puerto Carreño y porque el diésel está sometido en este momento al estrés del mercado internacional) y la ponderación del componente de Biomasa que es el más eficiente (no </w:t>
      </w:r>
      <w:proofErr w:type="spellStart"/>
      <w:r w:rsidRPr="00523A7E">
        <w:rPr>
          <w:rFonts w:ascii="Bookman Old Style" w:hAnsi="Bookman Old Style"/>
          <w:i/>
          <w:sz w:val="22"/>
          <w:szCs w:val="22"/>
        </w:rPr>
        <w:t>mas</w:t>
      </w:r>
      <w:proofErr w:type="spellEnd"/>
      <w:r w:rsidRPr="00523A7E">
        <w:rPr>
          <w:rFonts w:ascii="Bookman Old Style" w:hAnsi="Bookman Old Style"/>
          <w:i/>
          <w:sz w:val="22"/>
          <w:szCs w:val="22"/>
        </w:rPr>
        <w:t xml:space="preserve"> barata lo que es muy diferente según sentencia C-150 2003 de la Corte Constitucional) es del 48% </w:t>
      </w:r>
      <w:proofErr w:type="spellStart"/>
      <w:r w:rsidRPr="00523A7E">
        <w:rPr>
          <w:rFonts w:ascii="Bookman Old Style" w:hAnsi="Bookman Old Style"/>
          <w:i/>
          <w:sz w:val="22"/>
          <w:szCs w:val="22"/>
        </w:rPr>
        <w:t>aprox</w:t>
      </w:r>
      <w:proofErr w:type="spellEnd"/>
      <w:r w:rsidRPr="00523A7E">
        <w:rPr>
          <w:rFonts w:ascii="Bookman Old Style" w:hAnsi="Bookman Old Style"/>
          <w:i/>
          <w:sz w:val="22"/>
          <w:szCs w:val="22"/>
        </w:rPr>
        <w:t>, dejando de lado la fórmula propuesta en la solicitud donde los costos de inversión operación y mantenimiento del componente Biomasa de la Planta hibrida</w:t>
      </w:r>
      <w:r w:rsidR="005A2319" w:rsidRPr="00523A7E">
        <w:rPr>
          <w:rFonts w:ascii="Bookman Old Style" w:hAnsi="Bookman Old Style"/>
          <w:i/>
          <w:sz w:val="22"/>
          <w:szCs w:val="22"/>
        </w:rPr>
        <w:t xml:space="preserve"> </w:t>
      </w:r>
      <w:r w:rsidRPr="00523A7E">
        <w:rPr>
          <w:rFonts w:ascii="Bookman Old Style" w:hAnsi="Bookman Old Style"/>
          <w:i/>
          <w:sz w:val="22"/>
          <w:szCs w:val="22"/>
        </w:rPr>
        <w:t>subsumen y disminuyen los costos de operación y mantenimiento del componente diésel usado al mínimo 10%, para generar, con su nivel de eficiencia máximo, por unidades independientes; y menores requerimientos de reposición o mantenimiento).</w:t>
      </w:r>
    </w:p>
    <w:p w14:paraId="4605B364" w14:textId="63BFDD51" w:rsidR="00255620" w:rsidRPr="00523A7E" w:rsidRDefault="00255620" w:rsidP="00B60BFB">
      <w:pPr>
        <w:pStyle w:val="Textodebloque"/>
        <w:ind w:right="6"/>
        <w:contextualSpacing/>
        <w:rPr>
          <w:rFonts w:ascii="Bookman Old Style" w:hAnsi="Bookman Old Style"/>
          <w:sz w:val="22"/>
          <w:szCs w:val="22"/>
        </w:rPr>
      </w:pPr>
    </w:p>
    <w:p w14:paraId="529A4C09" w14:textId="732E54A1" w:rsidR="00255620" w:rsidRPr="00523A7E" w:rsidRDefault="00255620" w:rsidP="00CD0083">
      <w:pPr>
        <w:pStyle w:val="Textodebloque"/>
        <w:ind w:right="6"/>
        <w:contextualSpacing/>
        <w:rPr>
          <w:rFonts w:ascii="Bookman Old Style" w:hAnsi="Bookman Old Style"/>
          <w:i/>
          <w:sz w:val="22"/>
          <w:szCs w:val="22"/>
        </w:rPr>
      </w:pPr>
      <w:r w:rsidRPr="00523A7E">
        <w:rPr>
          <w:rFonts w:ascii="Bookman Old Style" w:hAnsi="Bookman Old Style"/>
          <w:i/>
          <w:sz w:val="22"/>
          <w:szCs w:val="22"/>
        </w:rPr>
        <w:t xml:space="preserve">De tal manera que el valor </w:t>
      </w:r>
      <w:proofErr w:type="spellStart"/>
      <w:r w:rsidRPr="00523A7E">
        <w:rPr>
          <w:rFonts w:ascii="Bookman Old Style" w:hAnsi="Bookman Old Style"/>
          <w:i/>
          <w:sz w:val="22"/>
          <w:szCs w:val="22"/>
        </w:rPr>
        <w:t>Kw</w:t>
      </w:r>
      <w:proofErr w:type="spellEnd"/>
      <w:r w:rsidRPr="00523A7E">
        <w:rPr>
          <w:rFonts w:ascii="Bookman Old Style" w:hAnsi="Bookman Old Style"/>
          <w:i/>
          <w:sz w:val="22"/>
          <w:szCs w:val="22"/>
        </w:rPr>
        <w:t>/h que se define en el art. 1 de la resolución recurrida, utilizando con exclusividad la generación FNCER (BIOMASA) excluyendo costos de inversión de la tecnología debidamente reconocidos por la UPME en ejercicio de sus competencias, no responde al requerimiento de los artículos 22 literal d) (costos de inversión sistema hibrido); 24.5 (remuneración AOM para otras tecnologías de conversión); y 25, de la Creg 091/07, en tanto además se asume de manera “inadecuada4” una ponderación de los costos de</w:t>
      </w:r>
      <w:r w:rsidR="00CD0083">
        <w:rPr>
          <w:rFonts w:ascii="Bookman Old Style" w:hAnsi="Bookman Old Style"/>
          <w:i/>
          <w:sz w:val="22"/>
          <w:szCs w:val="22"/>
        </w:rPr>
        <w:t xml:space="preserve"> </w:t>
      </w:r>
      <w:r w:rsidRPr="00523A7E">
        <w:rPr>
          <w:rFonts w:ascii="Bookman Old Style" w:hAnsi="Bookman Old Style"/>
          <w:i/>
          <w:sz w:val="22"/>
          <w:szCs w:val="22"/>
        </w:rPr>
        <w:t xml:space="preserve">generación Diesel y los de Biomasa; </w:t>
      </w:r>
      <w:r w:rsidRPr="00523A7E">
        <w:rPr>
          <w:rFonts w:ascii="Bookman Old Style" w:hAnsi="Bookman Old Style"/>
          <w:i/>
          <w:sz w:val="22"/>
          <w:szCs w:val="22"/>
        </w:rPr>
        <w:lastRenderedPageBreak/>
        <w:t>donde la tecnología ineficiente pesa más que la eficiente para efectos de la determinación del cargo.</w:t>
      </w:r>
    </w:p>
    <w:p w14:paraId="23DE73C5" w14:textId="280C079D" w:rsidR="00255620" w:rsidRPr="00523A7E" w:rsidRDefault="00255620" w:rsidP="00B60BFB">
      <w:pPr>
        <w:pStyle w:val="Textodebloque"/>
        <w:ind w:right="6"/>
        <w:contextualSpacing/>
        <w:rPr>
          <w:rFonts w:ascii="Bookman Old Style" w:hAnsi="Bookman Old Style"/>
          <w:sz w:val="22"/>
          <w:szCs w:val="22"/>
        </w:rPr>
      </w:pPr>
    </w:p>
    <w:p w14:paraId="708CCA9A" w14:textId="06F6C436" w:rsidR="00255620" w:rsidRPr="00523A7E" w:rsidRDefault="00255620"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 xml:space="preserve">Así, la resolución que se recurre NO DETERMINA EL CARGO MÁXIMO DE GENERACIÓN PARA LA SOLUCIÓN HIBRIDA EN PARTICULAR, PARA INCENTIVAR LA INVERSION EN ENERGIAS LIMPIAS FNCER (con entrega en firme, continua 24/7 y de calidad) tal cual se regula y permite en los </w:t>
      </w:r>
      <w:proofErr w:type="spellStart"/>
      <w:r w:rsidRPr="00523A7E">
        <w:rPr>
          <w:rFonts w:ascii="Bookman Old Style" w:hAnsi="Bookman Old Style"/>
          <w:i/>
          <w:sz w:val="22"/>
          <w:szCs w:val="22"/>
        </w:rPr>
        <w:t>arts</w:t>
      </w:r>
      <w:proofErr w:type="spellEnd"/>
      <w:r w:rsidRPr="00523A7E">
        <w:rPr>
          <w:rFonts w:ascii="Bookman Old Style" w:hAnsi="Bookman Old Style"/>
          <w:i/>
          <w:sz w:val="22"/>
          <w:szCs w:val="22"/>
        </w:rPr>
        <w:t xml:space="preserve"> 20, 21, literal d) del artículo art 22. CREG O91/007, sino que INCENTIVA EL USO DEL DIESEL PARA GENERAR EN LA ZNI de Puerto Carreño (tal como se venía</w:t>
      </w:r>
      <w:r w:rsidR="005A2319" w:rsidRPr="00523A7E">
        <w:rPr>
          <w:rFonts w:ascii="Bookman Old Style" w:hAnsi="Bookman Old Style"/>
          <w:i/>
          <w:sz w:val="22"/>
          <w:szCs w:val="22"/>
        </w:rPr>
        <w:t xml:space="preserve"> </w:t>
      </w:r>
      <w:r w:rsidRPr="00523A7E">
        <w:rPr>
          <w:rFonts w:ascii="Bookman Old Style" w:hAnsi="Bookman Old Style"/>
          <w:i/>
          <w:sz w:val="22"/>
          <w:szCs w:val="22"/>
        </w:rPr>
        <w:t>realizando hasta diciembre 2020, con plantas cuya inversión es mínima o que ni siquiera puede ser remunerada porque las entrego el IPSE para su uso, pero cuyo costo se sobrevalora al pagar la energía al valor del punto del mercado SIN más cercano), pues está mejor remunerado, a costa incluso de la ineficiencia de sus plantas.</w:t>
      </w:r>
    </w:p>
    <w:p w14:paraId="19286E1D" w14:textId="3F151592" w:rsidR="00255620" w:rsidRPr="00523A7E" w:rsidRDefault="00255620" w:rsidP="00B60BFB">
      <w:pPr>
        <w:pStyle w:val="Textodebloque"/>
        <w:ind w:right="6"/>
        <w:contextualSpacing/>
        <w:rPr>
          <w:rFonts w:ascii="Bookman Old Style" w:hAnsi="Bookman Old Style"/>
          <w:sz w:val="22"/>
          <w:szCs w:val="22"/>
        </w:rPr>
      </w:pPr>
    </w:p>
    <w:p w14:paraId="26E94883" w14:textId="4C7E3680" w:rsidR="00255620" w:rsidRPr="00523A7E" w:rsidRDefault="00255620"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La resolución y desincentiva la transición HACIA LAS TECNOLOGIAS LIMPIAS, mediante la IMPLEMENTACION DE SOLUCIONES HIBRIDAS, Contrariando los objetivos de transición energética y los compromisos de “Carbono 0” que suscribió Colombia en Acuerdos Internacionales cuyo cumplimiento se incorporó a través de las Leyes 1715/13, 1753/15 (art 153), 142/94 (art. 89,3 y 99,10), 855/03 (art.</w:t>
      </w:r>
      <w:proofErr w:type="gramStart"/>
      <w:r w:rsidRPr="00523A7E">
        <w:rPr>
          <w:rFonts w:ascii="Bookman Old Style" w:hAnsi="Bookman Old Style"/>
          <w:i/>
          <w:sz w:val="22"/>
          <w:szCs w:val="22"/>
        </w:rPr>
        <w:t>1)y</w:t>
      </w:r>
      <w:proofErr w:type="gramEnd"/>
      <w:r w:rsidRPr="00523A7E">
        <w:rPr>
          <w:rFonts w:ascii="Bookman Old Style" w:hAnsi="Bookman Old Style"/>
          <w:i/>
          <w:sz w:val="22"/>
          <w:szCs w:val="22"/>
        </w:rPr>
        <w:t xml:space="preserve"> con el Decreto 1073/15 (arts. 2.2.3.2.6.1.1, 2.2.3.2.6.1.2 y 2.2.3.2.6.1.8,)</w:t>
      </w:r>
    </w:p>
    <w:p w14:paraId="20FDB9E6" w14:textId="40D16786" w:rsidR="00255620" w:rsidRPr="00523A7E" w:rsidRDefault="00255620" w:rsidP="00B60BFB">
      <w:pPr>
        <w:pStyle w:val="Textodebloque"/>
        <w:ind w:right="6"/>
        <w:contextualSpacing/>
        <w:rPr>
          <w:rFonts w:ascii="Bookman Old Style" w:hAnsi="Bookman Old Style"/>
          <w:sz w:val="22"/>
          <w:szCs w:val="22"/>
        </w:rPr>
      </w:pPr>
    </w:p>
    <w:p w14:paraId="3C7D57A5" w14:textId="6C93ED55" w:rsidR="00255620" w:rsidRPr="00523A7E" w:rsidRDefault="00255620"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Por tanto, para determinar un cargo máximo de generación con “costo-eficiente” en el archivo Excel adjunto al documento técnico Anexo a la Resolución que se recurre Hoja “Cargo CREG” en VERDE se han identificado ponderadores de generación asociados a la propuesta de máxima eficiencia de la planta HIBRIDA EN BIOMASA 90%-DIESEL 10% y con esta ponderación se han calculado los gastos de AOM).</w:t>
      </w:r>
    </w:p>
    <w:p w14:paraId="0204BFE8" w14:textId="0B42DBA9" w:rsidR="00255620" w:rsidRPr="00523A7E" w:rsidRDefault="00255620" w:rsidP="00B60BFB">
      <w:pPr>
        <w:pStyle w:val="Textodebloque"/>
        <w:ind w:right="6"/>
        <w:contextualSpacing/>
        <w:rPr>
          <w:rFonts w:ascii="Bookman Old Style" w:hAnsi="Bookman Old Style"/>
          <w:sz w:val="22"/>
          <w:szCs w:val="22"/>
        </w:rPr>
      </w:pPr>
    </w:p>
    <w:p w14:paraId="1EF1949A" w14:textId="265AE4AB" w:rsidR="00255620" w:rsidRPr="00523A7E" w:rsidRDefault="00255620"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2. PRINCIPIO DE COMPETENCIA LEAL QUE REGULA EL MERCADO ENERGÉTICO CONFORME A LA CONSTITUCIÓN POLÍTICA;</w:t>
      </w:r>
      <w:r w:rsidR="005A2319" w:rsidRPr="00523A7E">
        <w:rPr>
          <w:rFonts w:ascii="Bookman Old Style" w:hAnsi="Bookman Old Style"/>
          <w:i/>
          <w:sz w:val="22"/>
          <w:szCs w:val="22"/>
        </w:rPr>
        <w:t xml:space="preserve"> </w:t>
      </w:r>
      <w:r w:rsidRPr="00523A7E">
        <w:rPr>
          <w:rFonts w:ascii="Bookman Old Style" w:hAnsi="Bookman Old Style"/>
          <w:i/>
          <w:sz w:val="22"/>
          <w:szCs w:val="22"/>
        </w:rPr>
        <w:t xml:space="preserve">Tal como lo ha considerado la misma CREG en la resolución </w:t>
      </w:r>
      <w:r w:rsidRPr="00523A7E">
        <w:rPr>
          <w:rFonts w:ascii="Bookman Old Style" w:hAnsi="Bookman Old Style"/>
          <w:sz w:val="22"/>
          <w:szCs w:val="22"/>
        </w:rPr>
        <w:t xml:space="preserve">recurrida Puerto Carreño no es una </w:t>
      </w:r>
      <w:proofErr w:type="spellStart"/>
      <w:r w:rsidRPr="00523A7E">
        <w:rPr>
          <w:rFonts w:ascii="Bookman Old Style" w:hAnsi="Bookman Old Style"/>
          <w:sz w:val="22"/>
          <w:szCs w:val="22"/>
        </w:rPr>
        <w:t>Area</w:t>
      </w:r>
      <w:proofErr w:type="spellEnd"/>
      <w:r w:rsidRPr="00523A7E">
        <w:rPr>
          <w:rFonts w:ascii="Bookman Old Style" w:hAnsi="Bookman Old Style"/>
          <w:sz w:val="22"/>
          <w:szCs w:val="22"/>
        </w:rPr>
        <w:t xml:space="preserve"> de Servicio Exclusivo y por tanto </w:t>
      </w:r>
      <w:proofErr w:type="spellStart"/>
      <w:r w:rsidRPr="00523A7E">
        <w:rPr>
          <w:rFonts w:ascii="Bookman Old Style" w:hAnsi="Bookman Old Style"/>
          <w:sz w:val="22"/>
          <w:szCs w:val="22"/>
        </w:rPr>
        <w:t>Electrovichada</w:t>
      </w:r>
      <w:proofErr w:type="spellEnd"/>
      <w:r w:rsidRPr="00523A7E">
        <w:rPr>
          <w:rFonts w:ascii="Bookman Old Style" w:hAnsi="Bookman Old Style"/>
          <w:sz w:val="22"/>
          <w:szCs w:val="22"/>
        </w:rPr>
        <w:t xml:space="preserve"> y </w:t>
      </w:r>
      <w:proofErr w:type="spellStart"/>
      <w:r w:rsidRPr="00523A7E">
        <w:rPr>
          <w:rFonts w:ascii="Bookman Old Style" w:hAnsi="Bookman Old Style"/>
          <w:i/>
          <w:sz w:val="22"/>
          <w:szCs w:val="22"/>
        </w:rPr>
        <w:t>Refoenergy</w:t>
      </w:r>
      <w:proofErr w:type="spellEnd"/>
      <w:r w:rsidRPr="00523A7E">
        <w:rPr>
          <w:rFonts w:ascii="Bookman Old Style" w:hAnsi="Bookman Old Style"/>
          <w:i/>
          <w:sz w:val="22"/>
          <w:szCs w:val="22"/>
        </w:rPr>
        <w:t xml:space="preserve"> están sometidas a la determinación de cargos máximos de generación para cada una de las UNIDADES TECNOLOGICAS DE GENERACIÓN DE MANERA</w:t>
      </w:r>
      <w:r w:rsidRPr="00523A7E">
        <w:rPr>
          <w:rFonts w:ascii="Bookman Old Style" w:hAnsi="Bookman Old Style"/>
          <w:sz w:val="22"/>
          <w:szCs w:val="22"/>
        </w:rPr>
        <w:t xml:space="preserve"> </w:t>
      </w:r>
      <w:r w:rsidRPr="00523A7E">
        <w:rPr>
          <w:rFonts w:ascii="Bookman Old Style" w:hAnsi="Bookman Old Style"/>
          <w:i/>
          <w:sz w:val="22"/>
          <w:szCs w:val="22"/>
        </w:rPr>
        <w:t xml:space="preserve">INDEPENDIENTE y en este caso la Planta hibrida DIESEL BIOMASA es UNA UNIDAD DE GENERACION cuyo valor de </w:t>
      </w:r>
      <w:proofErr w:type="spellStart"/>
      <w:r w:rsidRPr="00523A7E">
        <w:rPr>
          <w:rFonts w:ascii="Bookman Old Style" w:hAnsi="Bookman Old Style"/>
          <w:i/>
          <w:sz w:val="22"/>
          <w:szCs w:val="22"/>
        </w:rPr>
        <w:t>kw</w:t>
      </w:r>
      <w:proofErr w:type="spellEnd"/>
      <w:r w:rsidRPr="00523A7E">
        <w:rPr>
          <w:rFonts w:ascii="Bookman Old Style" w:hAnsi="Bookman Old Style"/>
          <w:i/>
          <w:sz w:val="22"/>
          <w:szCs w:val="22"/>
        </w:rPr>
        <w:t>/h DEBE SER DETERMINADO por la CREG, teniendo como soporte las condiciones PARTICULARES Y CONCRETAS DE ESA PLANTA HIBRIDA, para que posteriormente, si llega otro agente generador al mercado que se incorpore con una solución HIBRIDA DIESEL-BIOMASA, su cargo particular sea también determinado y ASI INCENTIVAR LA COMPETENCIA, en el entendido de que TODOS LOS ACTORES DEL MERCADO pueden presentar sus fórmulas, diseños inversiones plazos de remuneración de la inversión, costos financieros y demás que le permitan competir en el mercado de Puerto Carreño.</w:t>
      </w:r>
    </w:p>
    <w:p w14:paraId="3E4E2D6A" w14:textId="4097E73E" w:rsidR="00255620" w:rsidRPr="00523A7E" w:rsidRDefault="00255620" w:rsidP="00B60BFB">
      <w:pPr>
        <w:pStyle w:val="Textodebloque"/>
        <w:ind w:right="6"/>
        <w:contextualSpacing/>
        <w:rPr>
          <w:rFonts w:ascii="Bookman Old Style" w:hAnsi="Bookman Old Style"/>
          <w:i/>
          <w:sz w:val="22"/>
          <w:szCs w:val="22"/>
        </w:rPr>
      </w:pPr>
    </w:p>
    <w:p w14:paraId="00D0983A" w14:textId="3E76E3E4" w:rsidR="005A27F9" w:rsidRPr="00523A7E" w:rsidRDefault="005A27F9"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 xml:space="preserve">lo definió la Corte Constitucional en sentencia C-150/2003 </w:t>
      </w:r>
      <w:r w:rsidR="00402BED">
        <w:rPr>
          <w:rFonts w:ascii="Bookman Old Style" w:hAnsi="Bookman Old Style"/>
          <w:i/>
          <w:sz w:val="22"/>
          <w:szCs w:val="22"/>
        </w:rPr>
        <w:t>(…)</w:t>
      </w:r>
    </w:p>
    <w:p w14:paraId="120E27D9" w14:textId="77777777" w:rsidR="005A2319" w:rsidRPr="00523A7E" w:rsidRDefault="005A2319" w:rsidP="00B60BFB">
      <w:pPr>
        <w:pStyle w:val="Textodebloque"/>
        <w:ind w:right="6"/>
        <w:contextualSpacing/>
        <w:rPr>
          <w:rFonts w:ascii="Bookman Old Style" w:hAnsi="Bookman Old Style"/>
          <w:i/>
          <w:sz w:val="22"/>
          <w:szCs w:val="22"/>
        </w:rPr>
      </w:pPr>
    </w:p>
    <w:p w14:paraId="070F682B" w14:textId="4D10A170" w:rsidR="005A27F9" w:rsidRPr="00523A7E" w:rsidRDefault="005A27F9"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“4.5.2.2.4. En un mercado competitivo el incremento del precio como resultado de la ineficiencia, conlleva un riesgo, a saber, que el productor pierda participación en el mercado debido a que sus precios serán superiores a los de sus competidores. En este orden de ideas, la disposición según la cual 'las fórmulas tarifarias no pueden trasladar a los usuarios los costos de una gestión ineficiente' pretende que los usuarios no paguen el costo de las ineficiencias de las empresas, tal como no lo harían en un mercado competitivo.</w:t>
      </w:r>
    </w:p>
    <w:p w14:paraId="25AE85E5" w14:textId="77777777" w:rsidR="005A27F9" w:rsidRPr="00523A7E" w:rsidRDefault="005A27F9" w:rsidP="00B60BFB">
      <w:pPr>
        <w:pStyle w:val="Textodebloque"/>
        <w:ind w:right="6"/>
        <w:contextualSpacing/>
        <w:rPr>
          <w:rFonts w:ascii="Bookman Old Style" w:hAnsi="Bookman Old Style"/>
          <w:sz w:val="22"/>
          <w:szCs w:val="22"/>
        </w:rPr>
      </w:pPr>
    </w:p>
    <w:p w14:paraId="305200EF" w14:textId="30BAF0C6" w:rsidR="005A27F9" w:rsidRPr="00523A7E" w:rsidRDefault="005A27F9" w:rsidP="00CD0083">
      <w:pPr>
        <w:pStyle w:val="Textodebloque"/>
        <w:ind w:right="6"/>
        <w:contextualSpacing/>
        <w:rPr>
          <w:rFonts w:ascii="Bookman Old Style" w:hAnsi="Bookman Old Style"/>
          <w:i/>
          <w:sz w:val="22"/>
          <w:szCs w:val="22"/>
        </w:rPr>
      </w:pPr>
      <w:r w:rsidRPr="00523A7E">
        <w:rPr>
          <w:rFonts w:ascii="Bookman Old Style" w:hAnsi="Bookman Old Style"/>
          <w:i/>
          <w:sz w:val="22"/>
          <w:szCs w:val="22"/>
        </w:rPr>
        <w:t>4.5.2.2.5. Como ya se indicó, las prácticas restrictivas de la competencia son</w:t>
      </w:r>
      <w:r w:rsidR="00CD0083">
        <w:rPr>
          <w:rFonts w:ascii="Bookman Old Style" w:hAnsi="Bookman Old Style"/>
          <w:i/>
          <w:sz w:val="22"/>
          <w:szCs w:val="22"/>
        </w:rPr>
        <w:t xml:space="preserve"> </w:t>
      </w:r>
      <w:r w:rsidRPr="00523A7E">
        <w:rPr>
          <w:rFonts w:ascii="Bookman Old Style" w:hAnsi="Bookman Old Style"/>
          <w:i/>
          <w:sz w:val="22"/>
          <w:szCs w:val="22"/>
        </w:rPr>
        <w:t xml:space="preserve">comportamientos por medio de los cuales, quien las realiza, se vale de las ventajas de las que asigne de manera eficiente los bienes y servicios que se producen en una </w:t>
      </w:r>
      <w:r w:rsidRPr="00523A7E">
        <w:rPr>
          <w:rFonts w:ascii="Bookman Old Style" w:hAnsi="Bookman Old Style"/>
          <w:i/>
          <w:sz w:val="22"/>
          <w:szCs w:val="22"/>
        </w:rPr>
        <w:lastRenderedPageBreak/>
        <w:t>economía. La prohibición de que las empresas se apropien de las utilidades provenientes de tales prácticas busca proteger dichas condiciones para garantizar la eficiencia del mercado en beneficio de los usuarios.</w:t>
      </w:r>
    </w:p>
    <w:p w14:paraId="33B7039B" w14:textId="77777777" w:rsidR="00114523" w:rsidRPr="00523A7E" w:rsidRDefault="00114523" w:rsidP="00B60BFB">
      <w:pPr>
        <w:pStyle w:val="Textodebloque"/>
        <w:ind w:right="6"/>
        <w:contextualSpacing/>
        <w:rPr>
          <w:rFonts w:ascii="Bookman Old Style" w:hAnsi="Bookman Old Style"/>
          <w:i/>
          <w:sz w:val="22"/>
          <w:szCs w:val="22"/>
        </w:rPr>
      </w:pPr>
    </w:p>
    <w:p w14:paraId="469AFAC5" w14:textId="092BBFD8" w:rsidR="005A27F9" w:rsidRPr="00523A7E" w:rsidRDefault="005A27F9" w:rsidP="00CD0083">
      <w:pPr>
        <w:pStyle w:val="Textodebloque"/>
        <w:ind w:right="6"/>
        <w:contextualSpacing/>
        <w:rPr>
          <w:rFonts w:ascii="Bookman Old Style" w:hAnsi="Bookman Old Style"/>
          <w:i/>
          <w:sz w:val="22"/>
          <w:szCs w:val="22"/>
        </w:rPr>
      </w:pPr>
      <w:r w:rsidRPr="00523A7E">
        <w:rPr>
          <w:rFonts w:ascii="Bookman Old Style" w:hAnsi="Bookman Old Style"/>
          <w:i/>
          <w:sz w:val="22"/>
          <w:szCs w:val="22"/>
        </w:rPr>
        <w:t xml:space="preserve">4.5.2.2.6. En conclusión, el numeral 87.1 del artículo 87 de la Ley 142 de 1994 contiene algunos de los elementos que, de acuerdo con la teoría económica de un mercado competitivo, caracterizan un mercado eficiente y las implicaciones que de este se derivan. En este orden de ideas, la Corte encuentra que el criterio de eficiencia descrito en la norma en </w:t>
      </w:r>
      <w:proofErr w:type="gramStart"/>
      <w:r w:rsidRPr="00523A7E">
        <w:rPr>
          <w:rFonts w:ascii="Bookman Old Style" w:hAnsi="Bookman Old Style"/>
          <w:i/>
          <w:sz w:val="22"/>
          <w:szCs w:val="22"/>
        </w:rPr>
        <w:t>cuestión,</w:t>
      </w:r>
      <w:proofErr w:type="gramEnd"/>
      <w:r w:rsidRPr="00523A7E">
        <w:rPr>
          <w:rFonts w:ascii="Bookman Old Style" w:hAnsi="Bookman Old Style"/>
          <w:i/>
          <w:sz w:val="22"/>
          <w:szCs w:val="22"/>
        </w:rPr>
        <w:t xml:space="preserve"> desarrolla la prescripción del artículo 365 Superior, según el</w:t>
      </w:r>
      <w:r w:rsidRPr="00523A7E">
        <w:rPr>
          <w:i/>
          <w:sz w:val="22"/>
          <w:szCs w:val="22"/>
        </w:rPr>
        <w:t xml:space="preserve"> </w:t>
      </w:r>
      <w:r w:rsidRPr="00523A7E">
        <w:rPr>
          <w:rFonts w:ascii="Bookman Old Style" w:hAnsi="Bookman Old Style"/>
          <w:i/>
          <w:sz w:val="22"/>
          <w:szCs w:val="22"/>
        </w:rPr>
        <w:t>cual 'es deber del Estado asegurar su prestación eficiente a todos los habitantes del territorio nacional'. Si bien el legislador habría podido definir eficiencia, en otros términos, se encuentra dentro de su margen de configuración hacerlo siguiendo teorías económicas sobre la eficiencia en un mercado económico competitivo. La Constitución no impone, como ya se anotó, un modelo económico y por lo tanto permite que el legislador tenga en cuenta diferentes teorías sobre qué es la eficiencia y cómo se logra que la autoridad de regulación propenda por ella, siempre que no adopte decisiones</w:t>
      </w:r>
      <w:r w:rsidR="00CD0083">
        <w:rPr>
          <w:rFonts w:ascii="Bookman Old Style" w:hAnsi="Bookman Old Style"/>
          <w:i/>
          <w:sz w:val="22"/>
          <w:szCs w:val="22"/>
        </w:rPr>
        <w:t xml:space="preserve"> </w:t>
      </w:r>
      <w:r w:rsidRPr="00523A7E">
        <w:rPr>
          <w:rFonts w:ascii="Bookman Old Style" w:hAnsi="Bookman Old Style"/>
          <w:i/>
          <w:sz w:val="22"/>
          <w:szCs w:val="22"/>
        </w:rPr>
        <w:t>manifiestamente irrazonables o contrarias a mandatos o prohibiciones contenidos en la Carta. En cambio, como ya se anotó, habría violado el principio de reserva de ley en la fijación del régimen de la regulación de los servicios públicos domiciliarios el que el legislador hubiera guardado silencio al respecto, delegando implícita y prácticamente en el órgano regulador la definición de este principio de rango constitucional. Además, la definición legislativa está orientada a evitar distorsiones del mercado que lleven a que la libre competencia deje de ser un derecho en beneficio de todos. Por ello, se declarará su asequibilidad”. (Resaltado fuera de texto).</w:t>
      </w:r>
    </w:p>
    <w:p w14:paraId="418D5F5D" w14:textId="77777777" w:rsidR="005A27F9" w:rsidRPr="00523A7E" w:rsidRDefault="005A27F9" w:rsidP="00B60BFB">
      <w:pPr>
        <w:pStyle w:val="Textodebloque"/>
        <w:ind w:right="6"/>
        <w:contextualSpacing/>
        <w:rPr>
          <w:rFonts w:ascii="Bookman Old Style" w:hAnsi="Bookman Old Style"/>
          <w:sz w:val="22"/>
          <w:szCs w:val="22"/>
        </w:rPr>
      </w:pPr>
    </w:p>
    <w:p w14:paraId="1E8F0806" w14:textId="25400EA7" w:rsidR="005A27F9" w:rsidRPr="00523A7E" w:rsidRDefault="005A27F9"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 xml:space="preserve">O como lo ha considerado la CREG en múltiples resoluciones: </w:t>
      </w:r>
    </w:p>
    <w:p w14:paraId="257EEA4C" w14:textId="10EF1FFB" w:rsidR="005A27F9" w:rsidRPr="00523A7E" w:rsidRDefault="005A27F9" w:rsidP="00B60BFB">
      <w:pPr>
        <w:pStyle w:val="Textodebloque"/>
        <w:ind w:right="6"/>
        <w:contextualSpacing/>
        <w:rPr>
          <w:rFonts w:ascii="Bookman Old Style" w:hAnsi="Bookman Old Style"/>
          <w:sz w:val="22"/>
          <w:szCs w:val="22"/>
        </w:rPr>
      </w:pPr>
    </w:p>
    <w:p w14:paraId="40AAA6C4" w14:textId="1219BAAC" w:rsidR="005A27F9" w:rsidRPr="00523A7E" w:rsidRDefault="005A27F9" w:rsidP="00CD0083">
      <w:pPr>
        <w:pStyle w:val="Textodebloque"/>
        <w:ind w:right="6"/>
        <w:contextualSpacing/>
        <w:rPr>
          <w:rFonts w:ascii="Bookman Old Style" w:hAnsi="Bookman Old Style"/>
          <w:i/>
          <w:sz w:val="22"/>
          <w:szCs w:val="22"/>
        </w:rPr>
      </w:pPr>
      <w:r w:rsidRPr="00523A7E">
        <w:rPr>
          <w:rFonts w:ascii="Bookman Old Style" w:hAnsi="Bookman Old Style"/>
          <w:i/>
          <w:sz w:val="22"/>
          <w:szCs w:val="22"/>
        </w:rPr>
        <w:t>“En relación con el alcance de las atribuciones asignadas a esta Comisión en las</w:t>
      </w:r>
      <w:r w:rsidR="00CD0083">
        <w:rPr>
          <w:rFonts w:ascii="Bookman Old Style" w:hAnsi="Bookman Old Style"/>
          <w:i/>
          <w:sz w:val="22"/>
          <w:szCs w:val="22"/>
        </w:rPr>
        <w:t xml:space="preserve"> </w:t>
      </w:r>
      <w:r w:rsidRPr="00523A7E">
        <w:rPr>
          <w:rFonts w:ascii="Bookman Old Style" w:hAnsi="Bookman Old Style"/>
          <w:i/>
          <w:sz w:val="22"/>
          <w:szCs w:val="22"/>
        </w:rPr>
        <w:t xml:space="preserve">Leyes 142 y 143 de 1994 en materia regulatoria, se tiene en cuenta que el ejercicio de dicha facultad ha sido considerada como una forma de intervención estatal en la economía a fin de garantizar la prestación eficiente de los servicios públicos domiciliarios de energía eléctrica y gas combustible y el adecuado funcionamiento del mercado, corrigiendo los errores de un mercado imperfecto, delimitando el ejercicio de la libertad de empresa, promoviendo y preservando la sana y transparente competencia, protegiendo los derechos de los usuarios, así como evitando el abuso de la posición dominante, entre otras. Es por esto </w:t>
      </w:r>
      <w:proofErr w:type="gramStart"/>
      <w:r w:rsidRPr="00523A7E">
        <w:rPr>
          <w:rFonts w:ascii="Bookman Old Style" w:hAnsi="Bookman Old Style"/>
          <w:i/>
          <w:sz w:val="22"/>
          <w:szCs w:val="22"/>
        </w:rPr>
        <w:t>que</w:t>
      </w:r>
      <w:proofErr w:type="gramEnd"/>
      <w:r w:rsidRPr="00523A7E">
        <w:rPr>
          <w:rFonts w:ascii="Bookman Old Style" w:hAnsi="Bookman Old Style"/>
          <w:i/>
          <w:sz w:val="22"/>
          <w:szCs w:val="22"/>
        </w:rPr>
        <w:t xml:space="preserve"> las facultades regulatorias previstas en los artículos 73 y 74.1 de la Ley 142 de 1994 deben sujetarse al cumplimiento de los fines y principios de orden constitucional y legal en materia social y económica previstos en dichas normas, garantizando la efectividad de los principios sociales y el adecuado funcionamiento del mercado, la corrección de las imperfecciones del mercado, así como la satisfacción del interés general.</w:t>
      </w:r>
    </w:p>
    <w:p w14:paraId="01255F92" w14:textId="11D0060F" w:rsidR="005A27F9" w:rsidRPr="00523A7E" w:rsidRDefault="005A27F9" w:rsidP="00B60BFB">
      <w:pPr>
        <w:pStyle w:val="Textodebloque"/>
        <w:ind w:right="6"/>
        <w:contextualSpacing/>
        <w:rPr>
          <w:rFonts w:ascii="Bookman Old Style" w:hAnsi="Bookman Old Style"/>
          <w:sz w:val="22"/>
          <w:szCs w:val="22"/>
        </w:rPr>
      </w:pPr>
    </w:p>
    <w:p w14:paraId="748532C2" w14:textId="5B95C57F" w:rsidR="005A27F9" w:rsidRPr="00523A7E" w:rsidRDefault="005A27F9"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 xml:space="preserve">En este sentido, dentro de las actuaciones administrativas, generales o particulares, que adelante esta Comisión, para la correcta aplicación de los criterios en materia </w:t>
      </w:r>
      <w:r w:rsidR="00114523" w:rsidRPr="00523A7E">
        <w:rPr>
          <w:rFonts w:ascii="Bookman Old Style" w:hAnsi="Bookman Old Style"/>
          <w:i/>
          <w:sz w:val="22"/>
          <w:szCs w:val="22"/>
        </w:rPr>
        <w:t>tarifaria, así como su aplicación armónica con los principios constitucionales y legales en materia de servicios públicos, debe existir una convergencia entre los intereses colectivos que persigue la prestación de los servicios públicos, como aquellos intereses de las empresas y agentes en relación con la competencia, la iniciativa privada y la libertad de empresa.</w:t>
      </w:r>
    </w:p>
    <w:p w14:paraId="1BC67EAB" w14:textId="28F61E52" w:rsidR="00114523" w:rsidRPr="00523A7E" w:rsidRDefault="00114523" w:rsidP="00B60BFB">
      <w:pPr>
        <w:pStyle w:val="Textodebloque"/>
        <w:ind w:right="6"/>
        <w:contextualSpacing/>
        <w:rPr>
          <w:rFonts w:ascii="Bookman Old Style" w:hAnsi="Bookman Old Style"/>
          <w:sz w:val="22"/>
          <w:szCs w:val="22"/>
        </w:rPr>
      </w:pPr>
    </w:p>
    <w:p w14:paraId="04F5EC1C" w14:textId="7A7393C9" w:rsidR="00114523" w:rsidRPr="00523A7E" w:rsidRDefault="00114523"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 xml:space="preserve">Por lo tanto, esta convergencia a través de los mecanismos regulatorios debe garantizar el equilibrio entre la libertad económica (incentivo económico), la promoción de intereses colectivos concretos y la prestación de servicios públicos, es decir, la regulación ha de propender por hacer compatibles los intereses privados que actúan </w:t>
      </w:r>
      <w:r w:rsidRPr="00523A7E">
        <w:rPr>
          <w:rFonts w:ascii="Bookman Old Style" w:hAnsi="Bookman Old Style"/>
          <w:i/>
          <w:sz w:val="22"/>
          <w:szCs w:val="22"/>
        </w:rPr>
        <w:lastRenderedPageBreak/>
        <w:t>como motor de la actividad económica, con la satisfacción de las necesidades colectivas</w:t>
      </w:r>
    </w:p>
    <w:p w14:paraId="02EDBC9D" w14:textId="75697C9E" w:rsidR="005A27F9" w:rsidRPr="00523A7E" w:rsidRDefault="005A27F9" w:rsidP="00B60BFB">
      <w:pPr>
        <w:pStyle w:val="Textodebloque"/>
        <w:ind w:right="6"/>
        <w:contextualSpacing/>
        <w:rPr>
          <w:rFonts w:ascii="Bookman Old Style" w:hAnsi="Bookman Old Style"/>
          <w:i/>
          <w:sz w:val="22"/>
          <w:szCs w:val="22"/>
        </w:rPr>
      </w:pPr>
    </w:p>
    <w:p w14:paraId="6ADEB255" w14:textId="27BAF8A5" w:rsidR="005A27F9" w:rsidRPr="00523A7E" w:rsidRDefault="00114523"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3. APLICACIÓN DE LAS FORMULAS DE CALCULO DE LA AGENCIA INTERNACIONAL DE ENERGÍAS RENOVABLES (IRENA)", PARA LA DETERMINACION DEL CARGO MAXIMO DE GENERACION (COSTO k</w:t>
      </w:r>
      <w:r w:rsidR="00CD0083">
        <w:rPr>
          <w:rFonts w:ascii="Bookman Old Style" w:hAnsi="Bookman Old Style"/>
          <w:i/>
          <w:sz w:val="22"/>
          <w:szCs w:val="22"/>
        </w:rPr>
        <w:t>W</w:t>
      </w:r>
      <w:r w:rsidRPr="00523A7E">
        <w:rPr>
          <w:rFonts w:ascii="Bookman Old Style" w:hAnsi="Bookman Old Style"/>
          <w:i/>
          <w:sz w:val="22"/>
          <w:szCs w:val="22"/>
        </w:rPr>
        <w:t>/h DE ENERGIA GENERADA POR FNCER BIOMASA</w:t>
      </w:r>
    </w:p>
    <w:p w14:paraId="23106FC0" w14:textId="77777777" w:rsidR="005A2319" w:rsidRPr="00523A7E" w:rsidRDefault="005A2319" w:rsidP="00B60BFB">
      <w:pPr>
        <w:pStyle w:val="Textodebloque"/>
        <w:ind w:right="6"/>
        <w:contextualSpacing/>
        <w:rPr>
          <w:rFonts w:ascii="Bookman Old Style" w:hAnsi="Bookman Old Style"/>
          <w:i/>
          <w:sz w:val="22"/>
          <w:szCs w:val="22"/>
        </w:rPr>
      </w:pPr>
    </w:p>
    <w:p w14:paraId="2EDA1979" w14:textId="13186BA2" w:rsidR="005A2319" w:rsidRPr="00523A7E" w:rsidRDefault="005A2319"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Para determinar EL COSTO EFICIENTE (LCOE) del valor del KW/h generado por la PLANTA HIBRIDA BIOMASA- DIESEL, la solicitud que se presentó por REFOENERGY propone acoger los criterios señalados en los documentos técnicos emitidos por IRENA7, en materia de energías renovables; a los cuales COLOMBIA les dio el nivel de ASESORIA TECNICA CALIFICADA cuando acepto y aprobó el "Estatuto de la Agencia Internacional de Energías Renovables (IRENA)" mediante la Ley 1665 de 2013, (art. IV , literal A, numeral 1) comprometiéndose a NIVEL INTERNACIONAL Y MULTILATERAL a promover, a través IRENA"(...) la implantación generalizada y reforzada y el uso sostenible de todas las formas de energía renovable (...)" (art. I); determinando que IRENA “h) proporcionará información sobre el desarrollo y aplicación de normas técnicas nacionales e internacionales relativas a las energías renovables, a partir de criterios solventes".(art. IV , literal A, numeral 1, literal h, L.1665/13) Igualmente, para determinar EL COSTO EFICIENTE (LCOE) del valor del KW/h generado por la PLANTA HIBRIDA BIOMASA- DIESEL, la solicitud que se presentó por REFOENERGY, para determinar el cargo máximo de generación de la Planta Hibrida, tuvo en cuenta que la Ley 1844 de 2017 aprobó el «ACUERDO DE PARÍS», adoptado el 12 de diciembre de 2015 durante</w:t>
      </w:r>
      <w:r w:rsidR="002A4580" w:rsidRPr="00523A7E">
        <w:rPr>
          <w:rFonts w:ascii="Bookman Old Style" w:hAnsi="Bookman Old Style"/>
          <w:i/>
          <w:sz w:val="22"/>
          <w:szCs w:val="22"/>
        </w:rPr>
        <w:t xml:space="preserve"> la COP21 de la Convención Marco de las Naciones Unidas sobre el Cambio Climático, lo cual ratifica la participación de Colombia en dicho acuerdo y el cumplimiento de los compromisos adquiridos por el país, de reducir sus emisiones de gases de efecto invernadero en un 20% con respecto a las emisiones proyectadas para el año 2030, en el escenario Business as Usual (BAU) definido, de acuerdo con lo consignado en las Contribuciones Determinadas a Nivel Nacional (NDC). Por esa razón en momento alguno se tuvo como referente histórico o proyectado para la determinación del cargo máximo de la planta híbrida; una generación con el componente Diésel superior al 10%; solo en tanto las emisiones de efecto invernadero por cada KW/h generado con Diésel, de acuerdo con el Decreto 926 de 2017 es de 0,800507 kgCO²/kWh8; mientras que la generación con el componente Biomasa de la Planta de Híbrida es NEUTRA en materia de emisiones de carbono.</w:t>
      </w:r>
    </w:p>
    <w:p w14:paraId="2AE5CFBD" w14:textId="4D5F4DBE" w:rsidR="002A4580" w:rsidRPr="00523A7E" w:rsidRDefault="002A4580" w:rsidP="00B60BFB">
      <w:pPr>
        <w:pStyle w:val="Textodebloque"/>
        <w:ind w:right="6"/>
        <w:contextualSpacing/>
        <w:rPr>
          <w:rFonts w:ascii="Bookman Old Style" w:hAnsi="Bookman Old Style"/>
          <w:i/>
          <w:sz w:val="22"/>
          <w:szCs w:val="22"/>
        </w:rPr>
      </w:pPr>
    </w:p>
    <w:p w14:paraId="5C3641D2" w14:textId="6712A96E" w:rsidR="002A4580" w:rsidRPr="00523A7E" w:rsidRDefault="002A4580"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Esta previsión de mínima generación posible con el componente DIESEL de la Planta Hibrida (para cálculo del LCOE –costo eficiente) está plenamente identificada en la fórmula de determinación del cargo máximo de generación presentada por REFOENERGY, sin embargo el documento técnico, la omite y desplaza, al incorporar el costo pleno de generación diésel en la fórmula de remuneración de costos de AOM, ponderando en el 52% la generación con este componente, lo que inmediatamente incrementa las emisiones de gases de efecto invernadero; sin que haya ninguna consideración al respecto.</w:t>
      </w:r>
    </w:p>
    <w:p w14:paraId="51FAD6D3" w14:textId="1F102BC7" w:rsidR="002A4580" w:rsidRPr="00523A7E" w:rsidRDefault="002A4580" w:rsidP="00B60BFB">
      <w:pPr>
        <w:pStyle w:val="Textodebloque"/>
        <w:ind w:right="6"/>
        <w:contextualSpacing/>
        <w:rPr>
          <w:rFonts w:ascii="Bookman Old Style" w:hAnsi="Bookman Old Style"/>
          <w:i/>
          <w:sz w:val="22"/>
          <w:szCs w:val="22"/>
        </w:rPr>
      </w:pPr>
    </w:p>
    <w:p w14:paraId="600DB23F" w14:textId="1C54FC2E" w:rsidR="002A4580" w:rsidRPr="00523A7E" w:rsidRDefault="002A4580"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COSTOS INVERSIÓN</w:t>
      </w:r>
    </w:p>
    <w:p w14:paraId="035B2504" w14:textId="77777777" w:rsidR="00AE0AEB" w:rsidRPr="00523A7E" w:rsidRDefault="00AE0AEB" w:rsidP="00B60BFB">
      <w:pPr>
        <w:pStyle w:val="Textodebloque"/>
        <w:ind w:right="6"/>
        <w:contextualSpacing/>
        <w:rPr>
          <w:rFonts w:ascii="Bookman Old Style" w:hAnsi="Bookman Old Style"/>
          <w:i/>
          <w:sz w:val="22"/>
          <w:szCs w:val="22"/>
        </w:rPr>
      </w:pPr>
    </w:p>
    <w:p w14:paraId="4A6C43F0" w14:textId="4B698939" w:rsidR="002A4580" w:rsidRPr="00523A7E" w:rsidRDefault="002A4580"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El documento técnico de soporte de la Resolución que se recurre excluye valores de inversión</w:t>
      </w:r>
      <w:r w:rsidR="009F5A85">
        <w:rPr>
          <w:rFonts w:ascii="Bookman Old Style" w:hAnsi="Bookman Old Style"/>
          <w:i/>
          <w:sz w:val="22"/>
          <w:szCs w:val="22"/>
        </w:rPr>
        <w:t xml:space="preserve"> </w:t>
      </w:r>
      <w:r w:rsidRPr="00523A7E">
        <w:rPr>
          <w:rFonts w:ascii="Bookman Old Style" w:hAnsi="Bookman Old Style"/>
          <w:i/>
          <w:sz w:val="22"/>
          <w:szCs w:val="22"/>
        </w:rPr>
        <w:t>que efectivamente fueron realizados y pagados por REFOENERGY para el diseño,</w:t>
      </w:r>
      <w:r w:rsidR="00AE0AEB" w:rsidRPr="00523A7E">
        <w:rPr>
          <w:rFonts w:ascii="Bookman Old Style" w:hAnsi="Bookman Old Style"/>
          <w:i/>
          <w:sz w:val="22"/>
          <w:szCs w:val="22"/>
        </w:rPr>
        <w:t xml:space="preserve"> </w:t>
      </w:r>
      <w:r w:rsidRPr="00523A7E">
        <w:rPr>
          <w:rFonts w:ascii="Bookman Old Style" w:hAnsi="Bookman Old Style"/>
          <w:i/>
          <w:sz w:val="22"/>
          <w:szCs w:val="22"/>
        </w:rPr>
        <w:t>implementación, construcción, pruebas, conexión al punto de entrega de la ESP, de la planta</w:t>
      </w:r>
      <w:r w:rsidR="00AE0AEB" w:rsidRPr="00523A7E">
        <w:rPr>
          <w:rFonts w:ascii="Bookman Old Style" w:hAnsi="Bookman Old Style"/>
          <w:i/>
          <w:sz w:val="22"/>
          <w:szCs w:val="22"/>
        </w:rPr>
        <w:t xml:space="preserve"> </w:t>
      </w:r>
      <w:r w:rsidRPr="00523A7E">
        <w:rPr>
          <w:rFonts w:ascii="Bookman Old Style" w:hAnsi="Bookman Old Style"/>
          <w:i/>
          <w:sz w:val="22"/>
          <w:szCs w:val="22"/>
        </w:rPr>
        <w:t>Hibrida Biomasa Diesel, causados previos al inicio de operación, en diciembre de 2020.</w:t>
      </w:r>
      <w:r w:rsidR="00AE0AEB" w:rsidRPr="00523A7E">
        <w:rPr>
          <w:rFonts w:ascii="Bookman Old Style" w:hAnsi="Bookman Old Style"/>
          <w:i/>
          <w:sz w:val="22"/>
          <w:szCs w:val="22"/>
        </w:rPr>
        <w:t xml:space="preserve"> </w:t>
      </w:r>
      <w:r w:rsidRPr="00523A7E">
        <w:rPr>
          <w:rFonts w:ascii="Bookman Old Style" w:hAnsi="Bookman Old Style"/>
          <w:i/>
          <w:sz w:val="22"/>
          <w:szCs w:val="22"/>
        </w:rPr>
        <w:t>Igualmente, el documento técnico de soporte de la Resolución que se recurre excluye valores</w:t>
      </w:r>
      <w:r w:rsidR="00AE0AEB" w:rsidRPr="00523A7E">
        <w:rPr>
          <w:rFonts w:ascii="Bookman Old Style" w:hAnsi="Bookman Old Style"/>
          <w:i/>
          <w:sz w:val="22"/>
          <w:szCs w:val="22"/>
        </w:rPr>
        <w:t xml:space="preserve"> </w:t>
      </w:r>
      <w:r w:rsidRPr="00523A7E">
        <w:rPr>
          <w:rFonts w:ascii="Bookman Old Style" w:hAnsi="Bookman Old Style"/>
          <w:i/>
          <w:sz w:val="22"/>
          <w:szCs w:val="22"/>
        </w:rPr>
        <w:t>de inversión que efectivamente fueron reconocidos TECNICAMENTE por la UPME (conforme</w:t>
      </w:r>
      <w:r w:rsidR="00AE0AEB" w:rsidRPr="00523A7E">
        <w:rPr>
          <w:rFonts w:ascii="Bookman Old Style" w:hAnsi="Bookman Old Style"/>
          <w:i/>
          <w:sz w:val="22"/>
          <w:szCs w:val="22"/>
        </w:rPr>
        <w:t xml:space="preserve"> </w:t>
      </w:r>
      <w:r w:rsidRPr="00523A7E">
        <w:rPr>
          <w:rFonts w:ascii="Bookman Old Style" w:hAnsi="Bookman Old Style"/>
          <w:i/>
          <w:sz w:val="22"/>
          <w:szCs w:val="22"/>
        </w:rPr>
        <w:t xml:space="preserve">a sus competencias técnicas en resolución </w:t>
      </w:r>
      <w:r w:rsidRPr="00523A7E">
        <w:rPr>
          <w:rFonts w:ascii="Bookman Old Style" w:hAnsi="Bookman Old Style"/>
          <w:i/>
          <w:sz w:val="22"/>
          <w:szCs w:val="22"/>
        </w:rPr>
        <w:lastRenderedPageBreak/>
        <w:t>debidamente aportada a este expediente) como</w:t>
      </w:r>
      <w:r w:rsidR="00AE0AEB" w:rsidRPr="00523A7E">
        <w:rPr>
          <w:rFonts w:ascii="Bookman Old Style" w:hAnsi="Bookman Old Style"/>
          <w:i/>
          <w:sz w:val="22"/>
          <w:szCs w:val="22"/>
        </w:rPr>
        <w:t xml:space="preserve"> </w:t>
      </w:r>
      <w:r w:rsidRPr="00523A7E">
        <w:rPr>
          <w:rFonts w:ascii="Bookman Old Style" w:hAnsi="Bookman Old Style"/>
          <w:i/>
          <w:sz w:val="22"/>
          <w:szCs w:val="22"/>
        </w:rPr>
        <w:t>gastos de inversión susceptibles de aplicación de los incentivos tributarios contenidos en la</w:t>
      </w:r>
      <w:r w:rsidR="00AE0AEB" w:rsidRPr="00523A7E">
        <w:rPr>
          <w:rFonts w:ascii="Bookman Old Style" w:hAnsi="Bookman Old Style"/>
          <w:i/>
          <w:sz w:val="22"/>
          <w:szCs w:val="22"/>
        </w:rPr>
        <w:t xml:space="preserve"> </w:t>
      </w:r>
      <w:r w:rsidRPr="00523A7E">
        <w:rPr>
          <w:rFonts w:ascii="Bookman Old Style" w:hAnsi="Bookman Old Style"/>
          <w:i/>
          <w:sz w:val="22"/>
          <w:szCs w:val="22"/>
        </w:rPr>
        <w:t>ley 1715. sin ningún soporte técnico adicional al de</w:t>
      </w:r>
      <w:r w:rsidR="00AE0AEB" w:rsidRPr="00523A7E">
        <w:rPr>
          <w:rFonts w:ascii="Bookman Old Style" w:hAnsi="Bookman Old Style"/>
          <w:i/>
          <w:sz w:val="22"/>
          <w:szCs w:val="22"/>
        </w:rPr>
        <w:t xml:space="preserve"> Todas las facturas y soportes de costos efectivos de inversión asociados a la solución Biomasa, han sido revisados, soportados con factura y reactivados en el archivo Excel anexo al documento técnico de soporte de la Resolución que se recurre (ver resaltados en VERDE de la hoja “INVERSION PRESUPUESTO CREG”) con el fin de que sean tenidos en cuenta, como corresponde, en la remuneración del costo de inversión de la Planta Hibrida Biomasa Diesel de </w:t>
      </w:r>
      <w:proofErr w:type="spellStart"/>
      <w:r w:rsidR="00AE0AEB" w:rsidRPr="00523A7E">
        <w:rPr>
          <w:rFonts w:ascii="Bookman Old Style" w:hAnsi="Bookman Old Style"/>
          <w:i/>
          <w:sz w:val="22"/>
          <w:szCs w:val="22"/>
        </w:rPr>
        <w:t>Refoenergy</w:t>
      </w:r>
      <w:proofErr w:type="spellEnd"/>
      <w:r w:rsidR="00AE0AEB" w:rsidRPr="00523A7E">
        <w:rPr>
          <w:rFonts w:ascii="Bookman Old Style" w:hAnsi="Bookman Old Style"/>
          <w:i/>
          <w:sz w:val="22"/>
          <w:szCs w:val="22"/>
        </w:rPr>
        <w:t xml:space="preserve"> Bita.</w:t>
      </w:r>
    </w:p>
    <w:p w14:paraId="03603376" w14:textId="78DBC455" w:rsidR="00AE0AEB" w:rsidRPr="00523A7E" w:rsidRDefault="00AE0AEB" w:rsidP="00B60BFB">
      <w:pPr>
        <w:pStyle w:val="Textodebloque"/>
        <w:ind w:right="6"/>
        <w:contextualSpacing/>
        <w:rPr>
          <w:rFonts w:ascii="Bookman Old Style" w:hAnsi="Bookman Old Style"/>
          <w:i/>
          <w:sz w:val="22"/>
          <w:szCs w:val="22"/>
        </w:rPr>
      </w:pPr>
    </w:p>
    <w:p w14:paraId="13D455C1" w14:textId="77777777" w:rsidR="00AE0AEB" w:rsidRPr="00523A7E" w:rsidRDefault="00AE0AEB"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COSTO FINANCIERO</w:t>
      </w:r>
    </w:p>
    <w:p w14:paraId="6207B588" w14:textId="77777777" w:rsidR="00876645" w:rsidRPr="00523A7E" w:rsidRDefault="00876645" w:rsidP="00B60BFB">
      <w:pPr>
        <w:pStyle w:val="Textodebloque"/>
        <w:ind w:right="6"/>
        <w:contextualSpacing/>
        <w:rPr>
          <w:rFonts w:ascii="Bookman Old Style" w:hAnsi="Bookman Old Style"/>
          <w:i/>
          <w:sz w:val="22"/>
          <w:szCs w:val="22"/>
        </w:rPr>
      </w:pPr>
    </w:p>
    <w:p w14:paraId="727FB135" w14:textId="2E852F47" w:rsidR="00AE0AEB" w:rsidRPr="00523A7E" w:rsidRDefault="00AE0AEB"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El documento técnico de soporte de la Resolución y que se recurre, (</w:t>
      </w:r>
      <w:proofErr w:type="spellStart"/>
      <w:r w:rsidRPr="00523A7E">
        <w:rPr>
          <w:rFonts w:ascii="Bookman Old Style" w:hAnsi="Bookman Old Style"/>
          <w:i/>
          <w:sz w:val="22"/>
          <w:szCs w:val="22"/>
        </w:rPr>
        <w:t>pag</w:t>
      </w:r>
      <w:proofErr w:type="spellEnd"/>
      <w:r w:rsidRPr="00523A7E">
        <w:rPr>
          <w:rFonts w:ascii="Bookman Old Style" w:hAnsi="Bookman Old Style"/>
          <w:i/>
          <w:sz w:val="22"/>
          <w:szCs w:val="22"/>
        </w:rPr>
        <w:t xml:space="preserve"> 32), excluye de la remuneración del componente de inversión los valores del costo financiero (servicio de la deuda) a pagar por </w:t>
      </w:r>
      <w:proofErr w:type="spellStart"/>
      <w:r w:rsidR="00A32DD9">
        <w:rPr>
          <w:rFonts w:ascii="Bookman Old Style" w:hAnsi="Bookman Old Style"/>
          <w:i/>
          <w:sz w:val="22"/>
          <w:szCs w:val="22"/>
        </w:rPr>
        <w:t>R</w:t>
      </w:r>
      <w:r w:rsidRPr="00523A7E">
        <w:rPr>
          <w:rFonts w:ascii="Bookman Old Style" w:hAnsi="Bookman Old Style"/>
          <w:i/>
          <w:sz w:val="22"/>
          <w:szCs w:val="22"/>
        </w:rPr>
        <w:t>efoenergy</w:t>
      </w:r>
      <w:proofErr w:type="spellEnd"/>
      <w:r w:rsidRPr="00523A7E">
        <w:rPr>
          <w:rFonts w:ascii="Bookman Old Style" w:hAnsi="Bookman Old Style"/>
          <w:i/>
          <w:sz w:val="22"/>
          <w:szCs w:val="22"/>
        </w:rPr>
        <w:t xml:space="preserve"> y decide trasladarlo al cálculo de la tasa de descuento (TD); aplicable a la determinación del cargo máximo para la remuneración de activos de generación Biomasa (</w:t>
      </w:r>
      <w:proofErr w:type="spellStart"/>
      <w:r w:rsidRPr="00523A7E">
        <w:rPr>
          <w:rFonts w:ascii="Bookman Old Style" w:hAnsi="Bookman Old Style"/>
          <w:i/>
          <w:sz w:val="22"/>
          <w:szCs w:val="22"/>
        </w:rPr>
        <w:t>pag</w:t>
      </w:r>
      <w:proofErr w:type="spellEnd"/>
      <w:r w:rsidRPr="00523A7E">
        <w:rPr>
          <w:rFonts w:ascii="Bookman Old Style" w:hAnsi="Bookman Old Style"/>
          <w:i/>
          <w:sz w:val="22"/>
          <w:szCs w:val="22"/>
        </w:rPr>
        <w:t xml:space="preserve"> 36 a 38). Revisada la Hoja “TD” del archivo Excel anexo al documento técnico de soporte de la Resolución que se recurre, se encuentra que el valor de </w:t>
      </w:r>
      <w:proofErr w:type="spellStart"/>
      <w:r w:rsidRPr="00523A7E">
        <w:rPr>
          <w:rFonts w:ascii="Bookman Old Style" w:hAnsi="Bookman Old Style"/>
          <w:i/>
          <w:sz w:val="22"/>
          <w:szCs w:val="22"/>
        </w:rPr>
        <w:t>Kd</w:t>
      </w:r>
      <w:proofErr w:type="spellEnd"/>
      <w:r w:rsidRPr="00523A7E">
        <w:rPr>
          <w:rFonts w:ascii="Bookman Old Style" w:hAnsi="Bookman Old Style"/>
          <w:i/>
          <w:sz w:val="22"/>
          <w:szCs w:val="22"/>
        </w:rPr>
        <w:t xml:space="preserve"> es de 9,62%, como un componente fijo incorporado en la determinación del WACC lo cual difiere del valor de tasa de interés pactada en el contrato de crédito (que se remitió e incorporo a este expediente en oportunidad) que es de IBR Trimestral + Spread de 3,750 Puntos Porcentuales, que para marzo-mayo de 2021 era de 5,5672% EA pero con las condiciones económicas del mercado financiero cambiante (durante el tiempo que tomo la CREG para decidir la solicitud de </w:t>
      </w:r>
      <w:proofErr w:type="spellStart"/>
      <w:r w:rsidRPr="00523A7E">
        <w:rPr>
          <w:rFonts w:ascii="Bookman Old Style" w:hAnsi="Bookman Old Style"/>
          <w:i/>
          <w:sz w:val="22"/>
          <w:szCs w:val="22"/>
        </w:rPr>
        <w:t>refoenergy</w:t>
      </w:r>
      <w:proofErr w:type="spellEnd"/>
      <w:r w:rsidRPr="00523A7E">
        <w:rPr>
          <w:rFonts w:ascii="Bookman Old Style" w:hAnsi="Bookman Old Style"/>
          <w:i/>
          <w:sz w:val="22"/>
          <w:szCs w:val="22"/>
        </w:rPr>
        <w:t>) asociadas, entre otros a la guerra en Ucrania, ha subido al punto que el trimestre agosto septiembre octubre de 2022 equivale a una tasa efectiva anual del 13,2842% EA; lo cual implica que el costo financiero debe ser un componente variable incorporado en la determinación del WACC, y objeto de revisión para actualización del cargo cada vez que se modifique la variable tasa de interés.</w:t>
      </w:r>
    </w:p>
    <w:p w14:paraId="53AEF79A" w14:textId="7DE1408D" w:rsidR="00AE0AEB" w:rsidRPr="00523A7E" w:rsidRDefault="00AE0AEB" w:rsidP="00B60BFB">
      <w:pPr>
        <w:pStyle w:val="Textodebloque"/>
        <w:ind w:right="6"/>
        <w:contextualSpacing/>
        <w:rPr>
          <w:rFonts w:ascii="Bookman Old Style" w:hAnsi="Bookman Old Style"/>
          <w:i/>
          <w:sz w:val="22"/>
          <w:szCs w:val="22"/>
        </w:rPr>
      </w:pPr>
    </w:p>
    <w:p w14:paraId="457660D3" w14:textId="7D5930D9" w:rsidR="00AE0AEB" w:rsidRPr="00523A7E" w:rsidRDefault="00AE0AEB"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En consecuencia, para que la determinación del cálculo de la tasa de descuento aplicable al Cargo Máximo de generación Biomasa en la solución hibrida se ajuste a la realidad de la solicitud (debidamente soportada por documentos de crédito ya contratados); en la Hoja “TD” del archivo Excel anexo al documento técnico de soporte de la Resolución que se recurre se ha ajustado el valor de “</w:t>
      </w:r>
      <w:proofErr w:type="spellStart"/>
      <w:r w:rsidRPr="00523A7E">
        <w:rPr>
          <w:rFonts w:ascii="Bookman Old Style" w:hAnsi="Bookman Old Style"/>
          <w:i/>
          <w:sz w:val="22"/>
          <w:szCs w:val="22"/>
        </w:rPr>
        <w:t>Kd</w:t>
      </w:r>
      <w:proofErr w:type="spellEnd"/>
      <w:r w:rsidRPr="00523A7E">
        <w:rPr>
          <w:rFonts w:ascii="Bookman Old Style" w:hAnsi="Bookman Old Style"/>
          <w:i/>
          <w:sz w:val="22"/>
          <w:szCs w:val="22"/>
        </w:rPr>
        <w:t xml:space="preserve">” a 13,2842% EA (ver resaltados en VERDE de la hoja “TD”) con el fin de que sean tenidos en cuenta, como corresponde, en la remuneración de los activos de generación Biomasa de la Planta Hibrida Diesel-Biomasa de </w:t>
      </w:r>
      <w:proofErr w:type="spellStart"/>
      <w:r w:rsidRPr="00523A7E">
        <w:rPr>
          <w:rFonts w:ascii="Bookman Old Style" w:hAnsi="Bookman Old Style"/>
          <w:i/>
          <w:sz w:val="22"/>
          <w:szCs w:val="22"/>
        </w:rPr>
        <w:t>Refoenergy</w:t>
      </w:r>
      <w:proofErr w:type="spellEnd"/>
      <w:r w:rsidRPr="00523A7E">
        <w:rPr>
          <w:rFonts w:ascii="Bookman Old Style" w:hAnsi="Bookman Old Style"/>
          <w:i/>
          <w:sz w:val="22"/>
          <w:szCs w:val="22"/>
        </w:rPr>
        <w:t xml:space="preserve"> Bita.</w:t>
      </w:r>
    </w:p>
    <w:p w14:paraId="61B3DFAE" w14:textId="4C98F0F3" w:rsidR="00AE0AEB" w:rsidRPr="00523A7E" w:rsidRDefault="00AE0AEB" w:rsidP="00B60BFB">
      <w:pPr>
        <w:pStyle w:val="Textodebloque"/>
        <w:ind w:right="6"/>
        <w:contextualSpacing/>
        <w:rPr>
          <w:rFonts w:ascii="Bookman Old Style" w:hAnsi="Bookman Old Style"/>
          <w:i/>
          <w:sz w:val="22"/>
          <w:szCs w:val="22"/>
        </w:rPr>
      </w:pPr>
    </w:p>
    <w:p w14:paraId="21F7F2AA" w14:textId="4AE1A3FD" w:rsidR="00AE0AEB" w:rsidRDefault="00AE0AEB"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ACTIVOS DE CONEXIÓN PARA ENTREGA DE ENERGIA</w:t>
      </w:r>
    </w:p>
    <w:p w14:paraId="4D5D052A" w14:textId="77777777" w:rsidR="00CD0083" w:rsidRPr="00523A7E" w:rsidRDefault="00CD0083" w:rsidP="00B60BFB">
      <w:pPr>
        <w:pStyle w:val="Textodebloque"/>
        <w:ind w:right="6"/>
        <w:contextualSpacing/>
        <w:rPr>
          <w:rFonts w:ascii="Bookman Old Style" w:hAnsi="Bookman Old Style"/>
          <w:i/>
          <w:sz w:val="22"/>
          <w:szCs w:val="22"/>
        </w:rPr>
      </w:pPr>
    </w:p>
    <w:p w14:paraId="4A633C1C" w14:textId="742430BA" w:rsidR="00AE0AEB" w:rsidRPr="00523A7E" w:rsidRDefault="00AE0AEB"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El documento técnico de soporte de la Resolución y que se recurre, (</w:t>
      </w:r>
      <w:proofErr w:type="spellStart"/>
      <w:r w:rsidRPr="00523A7E">
        <w:rPr>
          <w:rFonts w:ascii="Bookman Old Style" w:hAnsi="Bookman Old Style"/>
          <w:i/>
          <w:sz w:val="22"/>
          <w:szCs w:val="22"/>
        </w:rPr>
        <w:t>pag</w:t>
      </w:r>
      <w:proofErr w:type="spellEnd"/>
      <w:r w:rsidRPr="00523A7E">
        <w:rPr>
          <w:rFonts w:ascii="Bookman Old Style" w:hAnsi="Bookman Old Style"/>
          <w:i/>
          <w:sz w:val="22"/>
          <w:szCs w:val="22"/>
        </w:rPr>
        <w:t xml:space="preserve"> 32), excluye de la remuneración del componente de inversión los valores del costo de conexión, señalando que iniciará tramite separa para la determinación de cago máximo de distribución, soportado en el nivel de tensión 3 de la red que va desde el punto de salida de la energía generada en la planta hibrida y el punto de recibo y medición de la energía comprada en las instalaciones físicas de </w:t>
      </w:r>
      <w:proofErr w:type="spellStart"/>
      <w:r w:rsidRPr="00523A7E">
        <w:rPr>
          <w:rFonts w:ascii="Bookman Old Style" w:hAnsi="Bookman Old Style"/>
          <w:i/>
          <w:sz w:val="22"/>
          <w:szCs w:val="22"/>
        </w:rPr>
        <w:t>Electrovichada</w:t>
      </w:r>
      <w:proofErr w:type="spellEnd"/>
      <w:r w:rsidRPr="00523A7E">
        <w:rPr>
          <w:rFonts w:ascii="Bookman Old Style" w:hAnsi="Bookman Old Style"/>
          <w:i/>
          <w:sz w:val="22"/>
          <w:szCs w:val="22"/>
        </w:rPr>
        <w:t>.</w:t>
      </w:r>
    </w:p>
    <w:p w14:paraId="555B8571" w14:textId="77777777" w:rsidR="00AE0AEB" w:rsidRPr="00523A7E" w:rsidRDefault="00AE0AEB" w:rsidP="00B60BFB">
      <w:pPr>
        <w:pStyle w:val="Textodebloque"/>
        <w:ind w:right="6"/>
        <w:contextualSpacing/>
        <w:rPr>
          <w:rFonts w:ascii="Bookman Old Style" w:hAnsi="Bookman Old Style"/>
          <w:i/>
          <w:sz w:val="22"/>
          <w:szCs w:val="22"/>
        </w:rPr>
      </w:pPr>
    </w:p>
    <w:p w14:paraId="7E58C83D" w14:textId="304232F9" w:rsidR="00D03F29" w:rsidRPr="00523A7E" w:rsidRDefault="00AE0AEB"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 xml:space="preserve">A este respecto se precisa que tal como se presentó en el diagrama unifilar (incorporado a este expediente por solicitud de la CREG) REFOENERGY llega a entregar la energía en la Barra de 34,5KV, que se ubica FISICAMENTE y TECNICAMENTE en un punto diferente y anterior al inicio del Sistema de distribución de </w:t>
      </w:r>
      <w:proofErr w:type="spellStart"/>
      <w:r w:rsidRPr="00523A7E">
        <w:rPr>
          <w:rFonts w:ascii="Bookman Old Style" w:hAnsi="Bookman Old Style"/>
          <w:i/>
          <w:sz w:val="22"/>
          <w:szCs w:val="22"/>
        </w:rPr>
        <w:t>Electrovichada</w:t>
      </w:r>
      <w:proofErr w:type="spellEnd"/>
      <w:r w:rsidRPr="00523A7E">
        <w:rPr>
          <w:rFonts w:ascii="Bookman Old Style" w:hAnsi="Bookman Old Style"/>
          <w:i/>
          <w:sz w:val="22"/>
          <w:szCs w:val="22"/>
        </w:rPr>
        <w:t xml:space="preserve">. En este sentido ninguno de los activos de conexión que se presentan para ser remunerados como costo de inversión se vinculan al SDL de Puerto Carreño cuyo OR es </w:t>
      </w:r>
      <w:proofErr w:type="spellStart"/>
      <w:r w:rsidRPr="00523A7E">
        <w:rPr>
          <w:rFonts w:ascii="Bookman Old Style" w:hAnsi="Bookman Old Style"/>
          <w:i/>
          <w:sz w:val="22"/>
          <w:szCs w:val="22"/>
        </w:rPr>
        <w:t>Electrovichada</w:t>
      </w:r>
      <w:proofErr w:type="spellEnd"/>
      <w:r w:rsidRPr="00523A7E">
        <w:rPr>
          <w:rFonts w:ascii="Bookman Old Style" w:hAnsi="Bookman Old Style"/>
          <w:i/>
          <w:sz w:val="22"/>
          <w:szCs w:val="22"/>
        </w:rPr>
        <w:t xml:space="preserve"> (independientemente del nivel de tensión en el que se transporta la energía para su entrega al comprador) y en ese sentido no corresponde a un activo de </w:t>
      </w:r>
      <w:r w:rsidRPr="00523A7E">
        <w:rPr>
          <w:rFonts w:ascii="Bookman Old Style" w:hAnsi="Bookman Old Style"/>
          <w:i/>
          <w:sz w:val="22"/>
          <w:szCs w:val="22"/>
        </w:rPr>
        <w:lastRenderedPageBreak/>
        <w:t xml:space="preserve">distribución que pueda ser remunerado a través de cargo de </w:t>
      </w:r>
      <w:r w:rsidR="00D03F29" w:rsidRPr="00523A7E">
        <w:rPr>
          <w:rFonts w:ascii="Bookman Old Style" w:hAnsi="Bookman Old Style"/>
          <w:i/>
          <w:sz w:val="22"/>
          <w:szCs w:val="22"/>
        </w:rPr>
        <w:t xml:space="preserve">distribución para </w:t>
      </w:r>
      <w:proofErr w:type="spellStart"/>
      <w:r w:rsidR="00D03F29" w:rsidRPr="00523A7E">
        <w:rPr>
          <w:rFonts w:ascii="Bookman Old Style" w:hAnsi="Bookman Old Style"/>
          <w:i/>
          <w:sz w:val="22"/>
          <w:szCs w:val="22"/>
        </w:rPr>
        <w:t>Electrovichada</w:t>
      </w:r>
      <w:proofErr w:type="spellEnd"/>
      <w:r w:rsidR="00D03F29" w:rsidRPr="00523A7E">
        <w:rPr>
          <w:rFonts w:ascii="Bookman Old Style" w:hAnsi="Bookman Old Style"/>
          <w:i/>
          <w:sz w:val="22"/>
          <w:szCs w:val="22"/>
        </w:rPr>
        <w:t xml:space="preserve">. Solo puede ser reconocido en el costo de inversión de la Planta Hibrida Diesel-Biomasa de propiedad de </w:t>
      </w:r>
      <w:proofErr w:type="spellStart"/>
      <w:r w:rsidR="00D03F29" w:rsidRPr="00523A7E">
        <w:rPr>
          <w:rFonts w:ascii="Bookman Old Style" w:hAnsi="Bookman Old Style"/>
          <w:i/>
          <w:sz w:val="22"/>
          <w:szCs w:val="22"/>
        </w:rPr>
        <w:t>Refoenergy</w:t>
      </w:r>
      <w:proofErr w:type="spellEnd"/>
      <w:r w:rsidR="00D03F29" w:rsidRPr="00523A7E">
        <w:rPr>
          <w:rFonts w:ascii="Bookman Old Style" w:hAnsi="Bookman Old Style"/>
          <w:i/>
          <w:sz w:val="22"/>
          <w:szCs w:val="22"/>
        </w:rPr>
        <w:t xml:space="preserve"> Bita.</w:t>
      </w:r>
    </w:p>
    <w:p w14:paraId="6F6B305B" w14:textId="77777777" w:rsidR="00523A7E" w:rsidRDefault="00523A7E" w:rsidP="00B60BFB">
      <w:pPr>
        <w:pStyle w:val="Textodebloque"/>
        <w:ind w:right="6"/>
        <w:contextualSpacing/>
        <w:rPr>
          <w:rFonts w:ascii="Bookman Old Style" w:hAnsi="Bookman Old Style"/>
          <w:i/>
          <w:sz w:val="22"/>
          <w:szCs w:val="22"/>
        </w:rPr>
      </w:pPr>
    </w:p>
    <w:p w14:paraId="792BF5A4" w14:textId="5924AF70" w:rsidR="00AE0AEB" w:rsidRPr="00523A7E" w:rsidRDefault="00D03F29"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En este sentido en la Hoja “Presupuesto CREG” del archivo Excel adjunto al documento</w:t>
      </w:r>
      <w:r w:rsidR="00EC159C" w:rsidRPr="00523A7E">
        <w:rPr>
          <w:rFonts w:ascii="Bookman Old Style" w:hAnsi="Bookman Old Style"/>
          <w:i/>
          <w:sz w:val="22"/>
          <w:szCs w:val="22"/>
        </w:rPr>
        <w:t xml:space="preserve"> </w:t>
      </w:r>
      <w:r w:rsidRPr="00523A7E">
        <w:rPr>
          <w:rFonts w:ascii="Bookman Old Style" w:hAnsi="Bookman Old Style"/>
          <w:i/>
          <w:sz w:val="22"/>
          <w:szCs w:val="22"/>
        </w:rPr>
        <w:t>técnico de soporte de la Resolución que se recurre, se han reactivado en VERDE las celdas</w:t>
      </w:r>
      <w:r w:rsidR="00EC159C" w:rsidRPr="00523A7E">
        <w:rPr>
          <w:rFonts w:ascii="Bookman Old Style" w:hAnsi="Bookman Old Style"/>
          <w:i/>
          <w:sz w:val="22"/>
          <w:szCs w:val="22"/>
        </w:rPr>
        <w:t xml:space="preserve"> </w:t>
      </w:r>
      <w:r w:rsidRPr="00523A7E">
        <w:rPr>
          <w:rFonts w:ascii="Bookman Old Style" w:hAnsi="Bookman Old Style"/>
          <w:i/>
          <w:sz w:val="22"/>
          <w:szCs w:val="22"/>
        </w:rPr>
        <w:t>correspondientes al componente “interconexión” en el entendido que son activos de</w:t>
      </w:r>
      <w:r w:rsidR="00EC159C" w:rsidRPr="00523A7E">
        <w:rPr>
          <w:rFonts w:ascii="Bookman Old Style" w:hAnsi="Bookman Old Style"/>
          <w:i/>
          <w:sz w:val="22"/>
          <w:szCs w:val="22"/>
        </w:rPr>
        <w:t xml:space="preserve"> </w:t>
      </w:r>
      <w:r w:rsidRPr="00523A7E">
        <w:rPr>
          <w:rFonts w:ascii="Bookman Old Style" w:hAnsi="Bookman Old Style"/>
          <w:i/>
          <w:sz w:val="22"/>
          <w:szCs w:val="22"/>
        </w:rPr>
        <w:t>conexión (</w:t>
      </w:r>
      <w:proofErr w:type="spellStart"/>
      <w:r w:rsidRPr="00523A7E">
        <w:rPr>
          <w:rFonts w:ascii="Bookman Old Style" w:hAnsi="Bookman Old Style"/>
          <w:i/>
          <w:sz w:val="22"/>
          <w:szCs w:val="22"/>
        </w:rPr>
        <w:t>lit.</w:t>
      </w:r>
      <w:proofErr w:type="spellEnd"/>
      <w:r w:rsidRPr="00523A7E">
        <w:rPr>
          <w:rFonts w:ascii="Bookman Old Style" w:hAnsi="Bookman Old Style"/>
          <w:i/>
          <w:sz w:val="22"/>
          <w:szCs w:val="22"/>
        </w:rPr>
        <w:t xml:space="preserve"> b-art 28 </w:t>
      </w:r>
      <w:proofErr w:type="spellStart"/>
      <w:r w:rsidRPr="00523A7E">
        <w:rPr>
          <w:rFonts w:ascii="Bookman Old Style" w:hAnsi="Bookman Old Style"/>
          <w:i/>
          <w:sz w:val="22"/>
          <w:szCs w:val="22"/>
        </w:rPr>
        <w:t>creg</w:t>
      </w:r>
      <w:proofErr w:type="spellEnd"/>
      <w:r w:rsidRPr="00523A7E">
        <w:rPr>
          <w:rFonts w:ascii="Bookman Old Style" w:hAnsi="Bookman Old Style"/>
          <w:i/>
          <w:sz w:val="22"/>
          <w:szCs w:val="22"/>
        </w:rPr>
        <w:t xml:space="preserve"> 91/07) los activos de conexión que se remuneran como inversión</w:t>
      </w:r>
      <w:r w:rsidR="00EC159C" w:rsidRPr="00523A7E">
        <w:rPr>
          <w:rFonts w:ascii="Bookman Old Style" w:hAnsi="Bookman Old Style"/>
          <w:i/>
          <w:sz w:val="22"/>
          <w:szCs w:val="22"/>
        </w:rPr>
        <w:t xml:space="preserve"> </w:t>
      </w:r>
      <w:r w:rsidRPr="00523A7E">
        <w:rPr>
          <w:rFonts w:ascii="Bookman Old Style" w:hAnsi="Bookman Old Style"/>
          <w:i/>
          <w:sz w:val="22"/>
          <w:szCs w:val="22"/>
        </w:rPr>
        <w:t>y NO activos de distribución o con activos de conexión al SDL, de cuyo nivel de tensión</w:t>
      </w:r>
      <w:r w:rsidR="00EC159C" w:rsidRPr="00523A7E">
        <w:rPr>
          <w:rFonts w:ascii="Bookman Old Style" w:hAnsi="Bookman Old Style"/>
          <w:i/>
          <w:sz w:val="22"/>
          <w:szCs w:val="22"/>
        </w:rPr>
        <w:t xml:space="preserve"> </w:t>
      </w:r>
      <w:r w:rsidRPr="00523A7E">
        <w:rPr>
          <w:rFonts w:ascii="Bookman Old Style" w:hAnsi="Bookman Old Style"/>
          <w:i/>
          <w:sz w:val="22"/>
          <w:szCs w:val="22"/>
        </w:rPr>
        <w:t>determina el esquema de cargo MAXIMO DE DISTRIBUCIÓN, que no es el caso en la</w:t>
      </w:r>
      <w:r w:rsidR="00EC159C" w:rsidRPr="00523A7E">
        <w:rPr>
          <w:rFonts w:ascii="Bookman Old Style" w:hAnsi="Bookman Old Style"/>
          <w:i/>
          <w:sz w:val="22"/>
          <w:szCs w:val="22"/>
        </w:rPr>
        <w:t xml:space="preserve"> </w:t>
      </w:r>
      <w:r w:rsidRPr="00523A7E">
        <w:rPr>
          <w:rFonts w:ascii="Bookman Old Style" w:hAnsi="Bookman Old Style"/>
          <w:i/>
          <w:sz w:val="22"/>
          <w:szCs w:val="22"/>
        </w:rPr>
        <w:t>propuesta presentada en esta solicitud.</w:t>
      </w:r>
    </w:p>
    <w:p w14:paraId="6D55566B" w14:textId="77777777" w:rsidR="00AE0AEB" w:rsidRPr="00523A7E" w:rsidRDefault="00AE0AEB" w:rsidP="00B60BFB">
      <w:pPr>
        <w:pStyle w:val="Textodebloque"/>
        <w:ind w:right="6"/>
        <w:contextualSpacing/>
        <w:rPr>
          <w:rFonts w:ascii="Bookman Old Style" w:hAnsi="Bookman Old Style"/>
          <w:i/>
          <w:sz w:val="22"/>
          <w:szCs w:val="22"/>
        </w:rPr>
      </w:pPr>
    </w:p>
    <w:p w14:paraId="2E43C4A5" w14:textId="68D13043" w:rsidR="00AE0AEB" w:rsidRPr="00523A7E" w:rsidRDefault="0016125C"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w:t>
      </w:r>
    </w:p>
    <w:p w14:paraId="7001D07D" w14:textId="553B25C4" w:rsidR="00A236DD" w:rsidRPr="00523A7E" w:rsidRDefault="00A236DD"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Por lo tanto, en aplicación del art. 23 de la Ley 143 de 1994, se solicita a la CREG calcular el</w:t>
      </w:r>
      <w:r w:rsidR="00523A7E">
        <w:rPr>
          <w:rFonts w:ascii="Bookman Old Style" w:hAnsi="Bookman Old Style"/>
          <w:i/>
          <w:sz w:val="22"/>
          <w:szCs w:val="22"/>
        </w:rPr>
        <w:t xml:space="preserve"> </w:t>
      </w:r>
      <w:r w:rsidRPr="00523A7E">
        <w:rPr>
          <w:rFonts w:ascii="Bookman Old Style" w:hAnsi="Bookman Old Style"/>
          <w:i/>
          <w:sz w:val="22"/>
          <w:szCs w:val="22"/>
        </w:rPr>
        <w:t xml:space="preserve">CERE a incluir como componente de RESPALDO (continuidad – firmeza), en la fórmula de determinación del cargo máximo de generación de la Planta Hibrida Diesel Biomasa de </w:t>
      </w:r>
      <w:proofErr w:type="spellStart"/>
      <w:r w:rsidRPr="00523A7E">
        <w:rPr>
          <w:rFonts w:ascii="Bookman Old Style" w:hAnsi="Bookman Old Style"/>
          <w:i/>
          <w:sz w:val="22"/>
          <w:szCs w:val="22"/>
        </w:rPr>
        <w:t>Refoenergy</w:t>
      </w:r>
      <w:proofErr w:type="spellEnd"/>
      <w:r w:rsidRPr="00523A7E">
        <w:rPr>
          <w:rFonts w:ascii="Bookman Old Style" w:hAnsi="Bookman Old Style"/>
          <w:i/>
          <w:sz w:val="22"/>
          <w:szCs w:val="22"/>
        </w:rPr>
        <w:t xml:space="preserve"> en Puerto Carreño de conformidad con los parámetros que incorporó la UPME en el Plan de Expansión con energías renovables para las Zonas NO INTERCONECTADAS desde 2002. El componente de respaldo DIESEL (máximo 10% de USD 17.88/</w:t>
      </w:r>
      <w:proofErr w:type="spellStart"/>
      <w:r w:rsidRPr="00523A7E">
        <w:rPr>
          <w:rFonts w:ascii="Bookman Old Style" w:hAnsi="Bookman Old Style"/>
          <w:i/>
          <w:sz w:val="22"/>
          <w:szCs w:val="22"/>
        </w:rPr>
        <w:t>MWh</w:t>
      </w:r>
      <w:proofErr w:type="spellEnd"/>
      <w:r w:rsidRPr="00523A7E">
        <w:rPr>
          <w:rFonts w:ascii="Bookman Old Style" w:hAnsi="Bookman Old Style"/>
          <w:i/>
          <w:sz w:val="22"/>
          <w:szCs w:val="22"/>
        </w:rPr>
        <w:t xml:space="preserve">.) fue claramente identificado en la solicitud de cargo máximo de generación para la Planta Hibrida Diesel – Biomasa de </w:t>
      </w:r>
      <w:proofErr w:type="spellStart"/>
      <w:r w:rsidRPr="00523A7E">
        <w:rPr>
          <w:rFonts w:ascii="Bookman Old Style" w:hAnsi="Bookman Old Style"/>
          <w:i/>
          <w:sz w:val="22"/>
          <w:szCs w:val="22"/>
        </w:rPr>
        <w:t>Refoenergy</w:t>
      </w:r>
      <w:proofErr w:type="spellEnd"/>
      <w:r w:rsidRPr="00523A7E">
        <w:rPr>
          <w:rFonts w:ascii="Bookman Old Style" w:hAnsi="Bookman Old Style"/>
          <w:i/>
          <w:sz w:val="22"/>
          <w:szCs w:val="22"/>
        </w:rPr>
        <w:t xml:space="preserve"> en Puerto Carreño.</w:t>
      </w:r>
    </w:p>
    <w:p w14:paraId="068CC3C5" w14:textId="77777777" w:rsidR="00A236DD" w:rsidRPr="00523A7E" w:rsidRDefault="00A236DD" w:rsidP="00B60BFB">
      <w:pPr>
        <w:pStyle w:val="Textodebloque"/>
        <w:ind w:right="6"/>
        <w:contextualSpacing/>
        <w:rPr>
          <w:rFonts w:ascii="Bookman Old Style" w:hAnsi="Bookman Old Style"/>
          <w:i/>
          <w:sz w:val="22"/>
          <w:szCs w:val="22"/>
        </w:rPr>
      </w:pPr>
    </w:p>
    <w:p w14:paraId="75F65F16" w14:textId="049BF773" w:rsidR="00A236DD" w:rsidRDefault="00A236DD"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IMPUESTOS y TAXES:</w:t>
      </w:r>
    </w:p>
    <w:p w14:paraId="6E70AC6C" w14:textId="77777777" w:rsidR="00CD0083" w:rsidRPr="00523A7E" w:rsidRDefault="00CD0083" w:rsidP="00B60BFB">
      <w:pPr>
        <w:pStyle w:val="Textodebloque"/>
        <w:ind w:right="6"/>
        <w:contextualSpacing/>
        <w:rPr>
          <w:rFonts w:ascii="Bookman Old Style" w:hAnsi="Bookman Old Style"/>
          <w:i/>
          <w:sz w:val="22"/>
          <w:szCs w:val="22"/>
        </w:rPr>
      </w:pPr>
    </w:p>
    <w:p w14:paraId="7CE8ACE7" w14:textId="4ABF82AC" w:rsidR="00A236DD" w:rsidRPr="00523A7E" w:rsidRDefault="00A236DD"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Los soportes normativos que soportan los valores contenidos en este acápite de la Solicitud</w:t>
      </w:r>
      <w:r w:rsidR="00523A7E">
        <w:rPr>
          <w:rFonts w:ascii="Bookman Old Style" w:hAnsi="Bookman Old Style"/>
          <w:i/>
          <w:sz w:val="22"/>
          <w:szCs w:val="22"/>
        </w:rPr>
        <w:t xml:space="preserve"> </w:t>
      </w:r>
      <w:r w:rsidRPr="00523A7E">
        <w:rPr>
          <w:rFonts w:ascii="Bookman Old Style" w:hAnsi="Bookman Old Style"/>
          <w:i/>
          <w:sz w:val="22"/>
          <w:szCs w:val="22"/>
        </w:rPr>
        <w:t>y que fueron reactivados en las celdas del archivo Excel adjunto al documento técnico que</w:t>
      </w:r>
      <w:r w:rsidR="00F33BB0">
        <w:rPr>
          <w:rFonts w:ascii="Bookman Old Style" w:hAnsi="Bookman Old Style"/>
          <w:i/>
          <w:sz w:val="22"/>
          <w:szCs w:val="22"/>
        </w:rPr>
        <w:t xml:space="preserve"> </w:t>
      </w:r>
      <w:r w:rsidRPr="00523A7E">
        <w:rPr>
          <w:rFonts w:ascii="Bookman Old Style" w:hAnsi="Bookman Old Style"/>
          <w:i/>
          <w:sz w:val="22"/>
          <w:szCs w:val="22"/>
        </w:rPr>
        <w:t xml:space="preserve">soporta la Resolución recurrida para que sean reconocidos como corresponde, son: </w:t>
      </w:r>
    </w:p>
    <w:p w14:paraId="4D40F379" w14:textId="77777777" w:rsidR="00F33BB0" w:rsidRDefault="00F33BB0" w:rsidP="00B60BFB">
      <w:pPr>
        <w:pStyle w:val="Textodebloque"/>
        <w:ind w:right="6"/>
        <w:contextualSpacing/>
        <w:rPr>
          <w:rFonts w:ascii="Bookman Old Style" w:hAnsi="Bookman Old Style"/>
          <w:i/>
          <w:sz w:val="22"/>
          <w:szCs w:val="22"/>
        </w:rPr>
      </w:pPr>
    </w:p>
    <w:p w14:paraId="3C35755F" w14:textId="06B79E4F" w:rsidR="00A236DD" w:rsidRPr="00523A7E" w:rsidRDefault="00A236DD"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 xml:space="preserve">- Contribución CREG: Aplicable tanto a </w:t>
      </w:r>
      <w:proofErr w:type="spellStart"/>
      <w:r w:rsidRPr="00523A7E">
        <w:rPr>
          <w:rFonts w:ascii="Bookman Old Style" w:hAnsi="Bookman Old Style"/>
          <w:i/>
          <w:sz w:val="22"/>
          <w:szCs w:val="22"/>
        </w:rPr>
        <w:t>Electrovichada</w:t>
      </w:r>
      <w:proofErr w:type="spellEnd"/>
      <w:r w:rsidRPr="00523A7E">
        <w:rPr>
          <w:rFonts w:ascii="Bookman Old Style" w:hAnsi="Bookman Old Style"/>
          <w:i/>
          <w:sz w:val="22"/>
          <w:szCs w:val="22"/>
        </w:rPr>
        <w:t xml:space="preserve"> como a </w:t>
      </w:r>
      <w:proofErr w:type="spellStart"/>
      <w:r w:rsidRPr="00523A7E">
        <w:rPr>
          <w:rFonts w:ascii="Bookman Old Style" w:hAnsi="Bookman Old Style"/>
          <w:i/>
          <w:sz w:val="22"/>
          <w:szCs w:val="22"/>
        </w:rPr>
        <w:t>Refoenergy</w:t>
      </w:r>
      <w:proofErr w:type="spellEnd"/>
      <w:r w:rsidRPr="00523A7E">
        <w:rPr>
          <w:rFonts w:ascii="Bookman Old Style" w:hAnsi="Bookman Old Style"/>
          <w:i/>
          <w:sz w:val="22"/>
          <w:szCs w:val="22"/>
        </w:rPr>
        <w:t>: Ley 143 de 1994</w:t>
      </w:r>
    </w:p>
    <w:p w14:paraId="247DC18B" w14:textId="0776C199" w:rsidR="00A236DD" w:rsidRPr="00523A7E" w:rsidRDefault="00A236DD" w:rsidP="00B60BFB">
      <w:pPr>
        <w:pStyle w:val="Textodebloque"/>
        <w:ind w:right="6"/>
        <w:contextualSpacing/>
        <w:rPr>
          <w:rFonts w:ascii="Bookman Old Style" w:hAnsi="Bookman Old Style"/>
          <w:i/>
          <w:sz w:val="22"/>
          <w:szCs w:val="22"/>
        </w:rPr>
      </w:pPr>
    </w:p>
    <w:p w14:paraId="3BE3244B" w14:textId="40F417FD" w:rsidR="00A236DD" w:rsidRPr="00523A7E" w:rsidRDefault="00A236DD"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ARTÍCULO 20. En relación con el sector energético la función de regulación por parte del Estado tendrá como objetivo básico asegurar una adecuada prestación del servicio mediante el aprovechamiento eficiente de los diferentes recursos energéticos, en beneficio del usuario en términos de calidad, oportunidad y costo del servicio. Para el logro de este objetivo, promoverá la competencia, creará y preservará las condiciones que la hagan posible.</w:t>
      </w:r>
    </w:p>
    <w:p w14:paraId="13F428D7" w14:textId="77777777" w:rsidR="00A236DD" w:rsidRPr="00523A7E" w:rsidRDefault="00A236DD"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w:t>
      </w:r>
    </w:p>
    <w:p w14:paraId="71EDC4B9" w14:textId="367F1915" w:rsidR="00A236DD" w:rsidRPr="00523A7E" w:rsidRDefault="00A236DD"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ARTÍCULO 22. Los costos del servicio de regulación serán cubiertos por todas las entidades sometidas a su regulación y el monto total de la contribución no podrá ser superior al 1% del valor de los gastos de funcionamiento excluyendo los gastos operativos, compras de electricidad, compras de combustibles y peajes, cuando hubiere lugar a ello, de la entidad regulada, incurrido el año anterior a aquel en que se haga el cobro, de acuerdo con los estados financieros puestos a disposición de la Superintendencia de Servicios Públicos y de la Comisión de Regulación de Energía y Gas.</w:t>
      </w:r>
    </w:p>
    <w:p w14:paraId="44F2057B" w14:textId="13C92B22" w:rsidR="00A236DD" w:rsidRPr="00523A7E" w:rsidRDefault="00A236DD" w:rsidP="00B60BFB">
      <w:pPr>
        <w:pStyle w:val="Textodebloque"/>
        <w:ind w:right="6"/>
        <w:contextualSpacing/>
        <w:rPr>
          <w:rFonts w:ascii="Bookman Old Style" w:hAnsi="Bookman Old Style"/>
          <w:i/>
          <w:sz w:val="22"/>
          <w:szCs w:val="22"/>
        </w:rPr>
      </w:pPr>
    </w:p>
    <w:p w14:paraId="35398A07" w14:textId="2F4DC568" w:rsidR="00A236DD" w:rsidRPr="00523A7E" w:rsidRDefault="00A236DD"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 xml:space="preserve">El monto de la contribución que le corresponde pagar a cada entidad será </w:t>
      </w:r>
      <w:proofErr w:type="gramStart"/>
      <w:r w:rsidRPr="00523A7E">
        <w:rPr>
          <w:rFonts w:ascii="Bookman Old Style" w:hAnsi="Bookman Old Style"/>
          <w:i/>
          <w:sz w:val="22"/>
          <w:szCs w:val="22"/>
        </w:rPr>
        <w:t>liquidada</w:t>
      </w:r>
      <w:proofErr w:type="gramEnd"/>
      <w:r w:rsidRPr="00523A7E">
        <w:rPr>
          <w:rFonts w:ascii="Bookman Old Style" w:hAnsi="Bookman Old Style"/>
          <w:i/>
          <w:sz w:val="22"/>
          <w:szCs w:val="22"/>
        </w:rPr>
        <w:t xml:space="preserve"> por la Comisión de Regulación de Energía y Gas. Las contribuciones deberán ser pagadas dentro de los primeros treinta (30) días calendario siguientes al respectivo recaudo, en la entidad o entidades financieras señaladas para recibir este recaudo.</w:t>
      </w:r>
    </w:p>
    <w:p w14:paraId="3ADFA353" w14:textId="0F57A7A0" w:rsidR="00A236DD" w:rsidRPr="00523A7E" w:rsidRDefault="00A236DD"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PARÁGRAFO. La Comisión de Regulación de Energía y Gas fijará anualmente su presupuesto, el cual deberá ser aprobado por el Gobierno Nacional.</w:t>
      </w:r>
    </w:p>
    <w:p w14:paraId="6CCCD333" w14:textId="77777777" w:rsidR="00A236DD" w:rsidRPr="00523A7E" w:rsidRDefault="00A236DD" w:rsidP="00B60BFB">
      <w:pPr>
        <w:pStyle w:val="Textodebloque"/>
        <w:ind w:right="6"/>
        <w:contextualSpacing/>
        <w:rPr>
          <w:rFonts w:ascii="Bookman Old Style" w:hAnsi="Bookman Old Style"/>
          <w:i/>
          <w:sz w:val="22"/>
          <w:szCs w:val="22"/>
        </w:rPr>
      </w:pPr>
    </w:p>
    <w:p w14:paraId="27887CF6" w14:textId="39916275" w:rsidR="00A236DD" w:rsidRPr="00523A7E" w:rsidRDefault="00A236DD"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Superintendencia de Servicios Públicos Domiciliarios (SSPD).</w:t>
      </w:r>
    </w:p>
    <w:p w14:paraId="730F1EB3" w14:textId="2619B449" w:rsidR="00A236DD" w:rsidRPr="00523A7E" w:rsidRDefault="00A236DD" w:rsidP="00A32DD9">
      <w:pPr>
        <w:pStyle w:val="Textodebloque"/>
        <w:ind w:left="0" w:right="6"/>
        <w:contextualSpacing/>
        <w:rPr>
          <w:rFonts w:ascii="Bookman Old Style" w:hAnsi="Bookman Old Style"/>
          <w:i/>
          <w:sz w:val="22"/>
          <w:szCs w:val="22"/>
        </w:rPr>
      </w:pPr>
    </w:p>
    <w:p w14:paraId="432626B7" w14:textId="712447D4" w:rsidR="00A236DD" w:rsidRPr="00523A7E" w:rsidRDefault="00A236DD"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 En este sentido la disponibilidad y entrega de información en el SUI de la SSPD, implica un</w:t>
      </w:r>
      <w:r w:rsidR="00F33BB0">
        <w:rPr>
          <w:rFonts w:ascii="Bookman Old Style" w:hAnsi="Bookman Old Style"/>
          <w:i/>
          <w:sz w:val="22"/>
          <w:szCs w:val="22"/>
        </w:rPr>
        <w:t xml:space="preserve"> </w:t>
      </w:r>
      <w:r w:rsidRPr="00523A7E">
        <w:rPr>
          <w:rFonts w:ascii="Bookman Old Style" w:hAnsi="Bookman Old Style"/>
          <w:i/>
          <w:sz w:val="22"/>
          <w:szCs w:val="22"/>
        </w:rPr>
        <w:t xml:space="preserve">costo de “monitoreo” VIGILANCIA Y CONTROL, que debe ser cancelado por </w:t>
      </w:r>
      <w:proofErr w:type="spellStart"/>
      <w:r w:rsidRPr="00523A7E">
        <w:rPr>
          <w:rFonts w:ascii="Bookman Old Style" w:hAnsi="Bookman Old Style"/>
          <w:i/>
          <w:sz w:val="22"/>
          <w:szCs w:val="22"/>
        </w:rPr>
        <w:t>Electrovichada</w:t>
      </w:r>
      <w:proofErr w:type="spellEnd"/>
      <w:r w:rsidRPr="00523A7E">
        <w:rPr>
          <w:rFonts w:ascii="Bookman Old Style" w:hAnsi="Bookman Old Style"/>
          <w:i/>
          <w:sz w:val="22"/>
          <w:szCs w:val="22"/>
        </w:rPr>
        <w:t xml:space="preserve"> y por </w:t>
      </w:r>
      <w:proofErr w:type="spellStart"/>
      <w:r w:rsidRPr="00523A7E">
        <w:rPr>
          <w:rFonts w:ascii="Bookman Old Style" w:hAnsi="Bookman Old Style"/>
          <w:i/>
          <w:sz w:val="22"/>
          <w:szCs w:val="22"/>
        </w:rPr>
        <w:t>Refoenergy</w:t>
      </w:r>
      <w:proofErr w:type="spellEnd"/>
      <w:r w:rsidRPr="00523A7E">
        <w:rPr>
          <w:rFonts w:ascii="Bookman Old Style" w:hAnsi="Bookman Old Style"/>
          <w:i/>
          <w:sz w:val="22"/>
          <w:szCs w:val="22"/>
        </w:rPr>
        <w:t xml:space="preserve"> a la SSPD. Así Mediante comunicación de agosto 30 la SSPD informo a </w:t>
      </w:r>
      <w:proofErr w:type="spellStart"/>
      <w:r w:rsidRPr="00523A7E">
        <w:rPr>
          <w:rFonts w:ascii="Bookman Old Style" w:hAnsi="Bookman Old Style"/>
          <w:i/>
          <w:sz w:val="22"/>
          <w:szCs w:val="22"/>
        </w:rPr>
        <w:t>Refoenergy</w:t>
      </w:r>
      <w:proofErr w:type="spellEnd"/>
      <w:r w:rsidRPr="00523A7E">
        <w:rPr>
          <w:rFonts w:ascii="Bookman Old Style" w:hAnsi="Bookman Old Style"/>
          <w:i/>
          <w:sz w:val="22"/>
          <w:szCs w:val="22"/>
        </w:rPr>
        <w:t xml:space="preserve"> la asignación de Código de localidad para efectos del cargue de información al SUI en condición de generador de la ZNI de puerto Carreño con el correspondiente ejercicio de control y vigilancia, que obligara al pago de los costos que defina la SSPD.</w:t>
      </w:r>
    </w:p>
    <w:p w14:paraId="2D154535" w14:textId="240CD0DB" w:rsidR="00B32D18" w:rsidRPr="00523A7E" w:rsidRDefault="00B32D18" w:rsidP="00B60BFB">
      <w:pPr>
        <w:pStyle w:val="Textodebloque"/>
        <w:ind w:right="6"/>
        <w:contextualSpacing/>
        <w:rPr>
          <w:rFonts w:ascii="Bookman Old Style" w:hAnsi="Bookman Old Style"/>
          <w:i/>
          <w:sz w:val="22"/>
          <w:szCs w:val="22"/>
        </w:rPr>
      </w:pPr>
    </w:p>
    <w:p w14:paraId="7BED4FCF" w14:textId="7393AD88" w:rsidR="00B32D18" w:rsidRDefault="00B32D18"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FORMULA DE ACTUALIZACION</w:t>
      </w:r>
    </w:p>
    <w:p w14:paraId="037535D1" w14:textId="77777777" w:rsidR="00CD0083" w:rsidRPr="00523A7E" w:rsidRDefault="00CD0083" w:rsidP="00B60BFB">
      <w:pPr>
        <w:pStyle w:val="Textodebloque"/>
        <w:ind w:right="6"/>
        <w:contextualSpacing/>
        <w:rPr>
          <w:rFonts w:ascii="Bookman Old Style" w:hAnsi="Bookman Old Style"/>
          <w:i/>
          <w:sz w:val="22"/>
          <w:szCs w:val="22"/>
        </w:rPr>
      </w:pPr>
    </w:p>
    <w:p w14:paraId="71285FA6" w14:textId="10F77415" w:rsidR="00B32D18" w:rsidRPr="00523A7E" w:rsidRDefault="00B32D18"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Se solicita que se aplique la definida en la Resolución CREG 135 de 2019, circular 020 de</w:t>
      </w:r>
      <w:r w:rsidR="00F33BB0">
        <w:rPr>
          <w:rFonts w:ascii="Bookman Old Style" w:hAnsi="Bookman Old Style"/>
          <w:i/>
          <w:sz w:val="22"/>
          <w:szCs w:val="22"/>
        </w:rPr>
        <w:t xml:space="preserve"> </w:t>
      </w:r>
      <w:r w:rsidRPr="00523A7E">
        <w:rPr>
          <w:rFonts w:ascii="Bookman Old Style" w:hAnsi="Bookman Old Style"/>
          <w:i/>
          <w:sz w:val="22"/>
          <w:szCs w:val="22"/>
        </w:rPr>
        <w:t>2015 y circular 014 del 2021: IPP oferta interna.</w:t>
      </w:r>
    </w:p>
    <w:p w14:paraId="5789B6E7" w14:textId="77777777" w:rsidR="00F33BB0" w:rsidRDefault="00F33BB0" w:rsidP="00B60BFB">
      <w:pPr>
        <w:pStyle w:val="Textodebloque"/>
        <w:ind w:right="6"/>
        <w:contextualSpacing/>
        <w:jc w:val="center"/>
        <w:rPr>
          <w:rFonts w:ascii="Bookman Old Style" w:hAnsi="Bookman Old Style"/>
          <w:i/>
          <w:sz w:val="22"/>
          <w:szCs w:val="22"/>
        </w:rPr>
      </w:pPr>
    </w:p>
    <w:p w14:paraId="1AB529CB" w14:textId="002CF398" w:rsidR="00B32D18" w:rsidRPr="00523A7E" w:rsidRDefault="00B32D18" w:rsidP="00B60BFB">
      <w:pPr>
        <w:pStyle w:val="Textodebloque"/>
        <w:ind w:right="6"/>
        <w:contextualSpacing/>
        <w:jc w:val="center"/>
        <w:rPr>
          <w:rFonts w:ascii="Bookman Old Style" w:hAnsi="Bookman Old Style"/>
          <w:i/>
          <w:sz w:val="22"/>
          <w:szCs w:val="22"/>
        </w:rPr>
      </w:pPr>
      <w:r w:rsidRPr="00523A7E">
        <w:rPr>
          <w:rFonts w:ascii="Bookman Old Style" w:hAnsi="Bookman Old Style"/>
          <w:i/>
          <w:sz w:val="22"/>
          <w:szCs w:val="22"/>
        </w:rPr>
        <w:t>SOLICITUD</w:t>
      </w:r>
    </w:p>
    <w:p w14:paraId="168BCF58" w14:textId="0C9E33AC" w:rsidR="00B32D18" w:rsidRPr="00523A7E" w:rsidRDefault="00B32D18" w:rsidP="00B60BFB">
      <w:pPr>
        <w:pStyle w:val="Textodebloque"/>
        <w:ind w:right="6"/>
        <w:contextualSpacing/>
        <w:jc w:val="center"/>
        <w:rPr>
          <w:rFonts w:ascii="Bookman Old Style" w:hAnsi="Bookman Old Style"/>
          <w:i/>
          <w:sz w:val="22"/>
          <w:szCs w:val="22"/>
        </w:rPr>
      </w:pPr>
    </w:p>
    <w:p w14:paraId="2C30F2A6" w14:textId="0D820BF4" w:rsidR="00B32D18" w:rsidRPr="00523A7E" w:rsidRDefault="00B32D18" w:rsidP="00B60BFB">
      <w:pPr>
        <w:pStyle w:val="Textodebloque"/>
        <w:ind w:right="6"/>
        <w:contextualSpacing/>
        <w:rPr>
          <w:rFonts w:ascii="Bookman Old Style" w:hAnsi="Bookman Old Style"/>
          <w:i/>
          <w:sz w:val="22"/>
          <w:szCs w:val="22"/>
        </w:rPr>
      </w:pPr>
      <w:r w:rsidRPr="00523A7E">
        <w:rPr>
          <w:rFonts w:ascii="Bookman Old Style" w:hAnsi="Bookman Old Style"/>
          <w:i/>
          <w:sz w:val="22"/>
          <w:szCs w:val="22"/>
        </w:rPr>
        <w:t xml:space="preserve">En concordancia con todo lo expuesto en el presente escrito se solicita a la CREG que: 1. incorpore dentro del cargo máximo de generación de la solución hibrida Diésel- Biomasa de propiedad de </w:t>
      </w:r>
      <w:proofErr w:type="spellStart"/>
      <w:r w:rsidRPr="00523A7E">
        <w:rPr>
          <w:rFonts w:ascii="Bookman Old Style" w:hAnsi="Bookman Old Style"/>
          <w:i/>
          <w:sz w:val="22"/>
          <w:szCs w:val="22"/>
        </w:rPr>
        <w:t>Refoenergy</w:t>
      </w:r>
      <w:proofErr w:type="spellEnd"/>
      <w:r w:rsidRPr="00523A7E">
        <w:rPr>
          <w:rFonts w:ascii="Bookman Old Style" w:hAnsi="Bookman Old Style"/>
          <w:i/>
          <w:sz w:val="22"/>
          <w:szCs w:val="22"/>
        </w:rPr>
        <w:t xml:space="preserve"> Bita ubicada en Puerto Carreño que entrega a </w:t>
      </w:r>
      <w:proofErr w:type="spellStart"/>
      <w:r w:rsidRPr="00523A7E">
        <w:rPr>
          <w:rFonts w:ascii="Bookman Old Style" w:hAnsi="Bookman Old Style"/>
          <w:i/>
          <w:sz w:val="22"/>
          <w:szCs w:val="22"/>
        </w:rPr>
        <w:t>Electrovichada</w:t>
      </w:r>
      <w:proofErr w:type="spellEnd"/>
      <w:r w:rsidRPr="00523A7E">
        <w:rPr>
          <w:rFonts w:ascii="Bookman Old Style" w:hAnsi="Bookman Old Style"/>
          <w:i/>
          <w:sz w:val="22"/>
          <w:szCs w:val="22"/>
        </w:rPr>
        <w:t xml:space="preserve"> la energía comprada en un plazo de 20 años, TODOS LOS COMPONENTES y variables que han sido objeto de ESTE RECURSO DE REPOSICION </w:t>
      </w:r>
    </w:p>
    <w:p w14:paraId="065A25C6" w14:textId="4B67D354" w:rsidR="00B32D18" w:rsidRPr="00523A7E" w:rsidRDefault="00B32D18" w:rsidP="00B60BFB">
      <w:pPr>
        <w:pStyle w:val="Textodebloque"/>
        <w:ind w:right="6"/>
        <w:contextualSpacing/>
        <w:rPr>
          <w:rFonts w:ascii="Bookman Old Style" w:hAnsi="Bookman Old Style"/>
          <w:i/>
          <w:sz w:val="22"/>
          <w:szCs w:val="22"/>
        </w:rPr>
      </w:pPr>
    </w:p>
    <w:p w14:paraId="7FB517CD" w14:textId="32D51515" w:rsidR="00B32D18" w:rsidRPr="00523A7E" w:rsidRDefault="00B32D18" w:rsidP="00B60BFB">
      <w:pPr>
        <w:pStyle w:val="Textodebloque"/>
        <w:numPr>
          <w:ilvl w:val="0"/>
          <w:numId w:val="1"/>
        </w:numPr>
        <w:ind w:left="993" w:right="6"/>
        <w:contextualSpacing/>
        <w:rPr>
          <w:rFonts w:ascii="Bookman Old Style" w:hAnsi="Bookman Old Style"/>
          <w:i/>
          <w:sz w:val="22"/>
          <w:szCs w:val="22"/>
        </w:rPr>
      </w:pPr>
      <w:r w:rsidRPr="00523A7E">
        <w:rPr>
          <w:rFonts w:ascii="Bookman Old Style" w:hAnsi="Bookman Old Style"/>
          <w:i/>
          <w:sz w:val="22"/>
          <w:szCs w:val="22"/>
        </w:rPr>
        <w:t>Como consecuencia de lo anterior, modifique el contenido el contenido y las fórmulas del documento técnico y el archivo Excel, que sirvieron de soporte de la Resolución CREG 501 059 proferida dentro del presente expediente el 15 de julio de 2022, conforme al contenido en Anexo 2 de este escrito.</w:t>
      </w:r>
    </w:p>
    <w:p w14:paraId="67FEBE3D" w14:textId="77777777" w:rsidR="00B32D18" w:rsidRPr="00523A7E" w:rsidRDefault="00B32D18" w:rsidP="00B60BFB">
      <w:pPr>
        <w:pStyle w:val="Textodebloque"/>
        <w:ind w:left="993" w:right="6"/>
        <w:contextualSpacing/>
        <w:rPr>
          <w:rFonts w:ascii="Bookman Old Style" w:hAnsi="Bookman Old Style"/>
          <w:i/>
          <w:sz w:val="22"/>
          <w:szCs w:val="22"/>
        </w:rPr>
      </w:pPr>
    </w:p>
    <w:p w14:paraId="69231268" w14:textId="32AAEFCE" w:rsidR="00B32D18" w:rsidRPr="00523A7E" w:rsidRDefault="00B32D18" w:rsidP="00B60BFB">
      <w:pPr>
        <w:pStyle w:val="Textodebloque"/>
        <w:numPr>
          <w:ilvl w:val="0"/>
          <w:numId w:val="1"/>
        </w:numPr>
        <w:ind w:left="993" w:right="6"/>
        <w:contextualSpacing/>
        <w:rPr>
          <w:rFonts w:ascii="Bookman Old Style" w:hAnsi="Bookman Old Style"/>
          <w:i/>
          <w:sz w:val="22"/>
          <w:szCs w:val="22"/>
        </w:rPr>
      </w:pPr>
      <w:r w:rsidRPr="00523A7E">
        <w:rPr>
          <w:rFonts w:ascii="Bookman Old Style" w:hAnsi="Bookman Old Style"/>
          <w:i/>
          <w:sz w:val="22"/>
          <w:szCs w:val="22"/>
        </w:rPr>
        <w:t xml:space="preserve">Que, como consecuencia de lo anterior, y una vez realizados los ajustes correspondientes a los cálculos de la CREG en el Archivo Excel, se aprueben el siguiente cargo máximo de generación para la solución hibrida Diesel Biomasa de propiedad de </w:t>
      </w:r>
      <w:proofErr w:type="spellStart"/>
      <w:r w:rsidRPr="00523A7E">
        <w:rPr>
          <w:rFonts w:ascii="Bookman Old Style" w:hAnsi="Bookman Old Style"/>
          <w:i/>
          <w:sz w:val="22"/>
          <w:szCs w:val="22"/>
        </w:rPr>
        <w:t>Refoenergy</w:t>
      </w:r>
      <w:proofErr w:type="spellEnd"/>
      <w:r w:rsidRPr="00523A7E">
        <w:rPr>
          <w:rFonts w:ascii="Bookman Old Style" w:hAnsi="Bookman Old Style"/>
          <w:i/>
          <w:sz w:val="22"/>
          <w:szCs w:val="22"/>
        </w:rPr>
        <w:t xml:space="preserve"> en el Municipio de Puerto Carreño, conforme al siguiente resumen:</w:t>
      </w:r>
    </w:p>
    <w:p w14:paraId="62BE744C" w14:textId="77777777" w:rsidR="00B32D18" w:rsidRPr="00523A7E" w:rsidRDefault="00B32D18" w:rsidP="00B60BFB">
      <w:pPr>
        <w:pStyle w:val="Textodebloque"/>
        <w:ind w:left="993" w:right="6"/>
        <w:contextualSpacing/>
        <w:rPr>
          <w:rFonts w:ascii="Bookman Old Style" w:hAnsi="Bookman Old Style"/>
          <w:i/>
          <w:sz w:val="22"/>
          <w:szCs w:val="22"/>
        </w:rPr>
      </w:pPr>
    </w:p>
    <w:p w14:paraId="7504EAE7" w14:textId="0DF0B0A8" w:rsidR="00B32D18" w:rsidRDefault="00B32D18" w:rsidP="00B32D18">
      <w:pPr>
        <w:pStyle w:val="Textodebloque"/>
        <w:ind w:right="6"/>
        <w:contextualSpacing/>
        <w:jc w:val="center"/>
        <w:rPr>
          <w:rFonts w:ascii="Bookman Old Style" w:hAnsi="Bookman Old Style"/>
          <w:i/>
          <w:sz w:val="20"/>
        </w:rPr>
      </w:pPr>
    </w:p>
    <w:tbl>
      <w:tblPr>
        <w:tblStyle w:val="Tablaconcuadrcula"/>
        <w:tblW w:w="7938" w:type="dxa"/>
        <w:tblInd w:w="129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46"/>
        <w:gridCol w:w="1646"/>
        <w:gridCol w:w="1386"/>
        <w:gridCol w:w="1370"/>
        <w:gridCol w:w="1790"/>
      </w:tblGrid>
      <w:tr w:rsidR="001E2439" w:rsidRPr="009C4585" w14:paraId="2DBFC579" w14:textId="77777777" w:rsidTr="00D3771C">
        <w:trPr>
          <w:trHeight w:hRule="exact" w:val="454"/>
        </w:trPr>
        <w:tc>
          <w:tcPr>
            <w:tcW w:w="1686" w:type="dxa"/>
            <w:noWrap/>
            <w:vAlign w:val="center"/>
            <w:hideMark/>
          </w:tcPr>
          <w:p w14:paraId="63D42C0B" w14:textId="29AB117D" w:rsidR="001E2439" w:rsidRPr="009C4585" w:rsidRDefault="001E2439" w:rsidP="001E2439">
            <w:pPr>
              <w:pStyle w:val="Textodebloque"/>
              <w:ind w:left="172" w:right="6"/>
              <w:contextualSpacing/>
              <w:jc w:val="center"/>
              <w:rPr>
                <w:rFonts w:ascii="Bookman Old Style" w:hAnsi="Bookman Old Style"/>
                <w:b/>
                <w:bCs/>
                <w:i/>
                <w:sz w:val="20"/>
                <w:lang w:val="es-419"/>
              </w:rPr>
            </w:pPr>
            <w:r w:rsidRPr="009C4585">
              <w:rPr>
                <w:rFonts w:ascii="Bookman Old Style" w:hAnsi="Bookman Old Style"/>
                <w:b/>
                <w:bCs/>
                <w:i/>
                <w:sz w:val="20"/>
                <w:lang w:val="es-ES"/>
              </w:rPr>
              <w:t>Componente</w:t>
            </w:r>
          </w:p>
        </w:tc>
        <w:tc>
          <w:tcPr>
            <w:tcW w:w="1589" w:type="dxa"/>
            <w:noWrap/>
            <w:vAlign w:val="center"/>
            <w:hideMark/>
          </w:tcPr>
          <w:p w14:paraId="5DAA9BC1" w14:textId="525ADEAB" w:rsidR="001E2439" w:rsidRPr="009C4585" w:rsidRDefault="001E2439" w:rsidP="001E2439">
            <w:pPr>
              <w:pStyle w:val="Textodebloque"/>
              <w:ind w:left="172" w:right="6"/>
              <w:contextualSpacing/>
              <w:jc w:val="center"/>
              <w:rPr>
                <w:rFonts w:ascii="Bookman Old Style" w:hAnsi="Bookman Old Style"/>
                <w:b/>
                <w:bCs/>
                <w:i/>
                <w:sz w:val="20"/>
                <w:lang w:val="es-ES"/>
              </w:rPr>
            </w:pPr>
            <w:r w:rsidRPr="009C4585">
              <w:rPr>
                <w:rFonts w:ascii="Bookman Old Style" w:hAnsi="Bookman Old Style"/>
                <w:b/>
                <w:bCs/>
                <w:i/>
                <w:sz w:val="20"/>
                <w:lang w:val="es-ES"/>
              </w:rPr>
              <w:t xml:space="preserve">Diésel G </w:t>
            </w:r>
            <w:proofErr w:type="spellStart"/>
            <w:r w:rsidRPr="009C4585">
              <w:rPr>
                <w:rFonts w:ascii="Bookman Old Style" w:hAnsi="Bookman Old Style"/>
                <w:b/>
                <w:bCs/>
                <w:i/>
                <w:sz w:val="20"/>
                <w:lang w:val="es-ES"/>
              </w:rPr>
              <w:t>Carrreño</w:t>
            </w:r>
            <w:proofErr w:type="spellEnd"/>
          </w:p>
        </w:tc>
        <w:tc>
          <w:tcPr>
            <w:tcW w:w="1338" w:type="dxa"/>
            <w:noWrap/>
            <w:vAlign w:val="center"/>
            <w:hideMark/>
          </w:tcPr>
          <w:p w14:paraId="75261B51" w14:textId="12EC492D" w:rsidR="001E2439" w:rsidRPr="009C4585" w:rsidRDefault="001E2439" w:rsidP="001E2439">
            <w:pPr>
              <w:pStyle w:val="Textodebloque"/>
              <w:ind w:left="172" w:right="6"/>
              <w:contextualSpacing/>
              <w:jc w:val="center"/>
              <w:rPr>
                <w:rFonts w:ascii="Bookman Old Style" w:hAnsi="Bookman Old Style"/>
                <w:b/>
                <w:bCs/>
                <w:i/>
                <w:sz w:val="20"/>
                <w:lang w:val="es-ES"/>
              </w:rPr>
            </w:pPr>
            <w:r w:rsidRPr="009C4585">
              <w:rPr>
                <w:rFonts w:ascii="Bookman Old Style" w:hAnsi="Bookman Old Style"/>
                <w:b/>
                <w:bCs/>
                <w:i/>
                <w:sz w:val="20"/>
                <w:lang w:val="es-ES"/>
              </w:rPr>
              <w:t>Biomasa</w:t>
            </w:r>
          </w:p>
        </w:tc>
        <w:tc>
          <w:tcPr>
            <w:tcW w:w="1323" w:type="dxa"/>
            <w:noWrap/>
            <w:vAlign w:val="center"/>
            <w:hideMark/>
          </w:tcPr>
          <w:p w14:paraId="51F2FB52" w14:textId="18AC227C" w:rsidR="001E2439" w:rsidRPr="009C4585" w:rsidRDefault="001E2439" w:rsidP="001E2439">
            <w:pPr>
              <w:pStyle w:val="Textodebloque"/>
              <w:ind w:left="172" w:right="6"/>
              <w:contextualSpacing/>
              <w:jc w:val="center"/>
              <w:rPr>
                <w:rFonts w:ascii="Bookman Old Style" w:hAnsi="Bookman Old Style"/>
                <w:b/>
                <w:bCs/>
                <w:i/>
                <w:sz w:val="20"/>
                <w:lang w:val="es-ES"/>
              </w:rPr>
            </w:pPr>
            <w:r w:rsidRPr="009C4585">
              <w:rPr>
                <w:rFonts w:ascii="Bookman Old Style" w:hAnsi="Bookman Old Style"/>
                <w:b/>
                <w:bCs/>
                <w:i/>
                <w:sz w:val="20"/>
                <w:lang w:val="es-ES"/>
              </w:rPr>
              <w:t>Total</w:t>
            </w:r>
          </w:p>
        </w:tc>
        <w:tc>
          <w:tcPr>
            <w:tcW w:w="1728" w:type="dxa"/>
            <w:vAlign w:val="center"/>
          </w:tcPr>
          <w:p w14:paraId="4D9D1FBC" w14:textId="46223211" w:rsidR="001E2439" w:rsidRDefault="001E2439" w:rsidP="00397ABE">
            <w:pPr>
              <w:pStyle w:val="Textodebloque"/>
              <w:ind w:left="0" w:right="6"/>
              <w:contextualSpacing/>
              <w:jc w:val="center"/>
              <w:rPr>
                <w:rFonts w:ascii="Bookman Old Style" w:hAnsi="Bookman Old Style"/>
                <w:b/>
                <w:bCs/>
                <w:i/>
                <w:sz w:val="20"/>
                <w:lang w:val="es-ES"/>
              </w:rPr>
            </w:pPr>
            <w:r>
              <w:rPr>
                <w:rFonts w:ascii="Bookman Old Style" w:hAnsi="Bookman Old Style"/>
                <w:b/>
                <w:bCs/>
                <w:i/>
                <w:sz w:val="20"/>
                <w:lang w:val="es-ES"/>
              </w:rPr>
              <w:t>Participación</w:t>
            </w:r>
          </w:p>
        </w:tc>
      </w:tr>
      <w:tr w:rsidR="001E2439" w:rsidRPr="009C4585" w14:paraId="337A870A" w14:textId="77777777" w:rsidTr="00D3771C">
        <w:trPr>
          <w:trHeight w:hRule="exact" w:val="397"/>
        </w:trPr>
        <w:tc>
          <w:tcPr>
            <w:tcW w:w="1686" w:type="dxa"/>
            <w:noWrap/>
            <w:vAlign w:val="center"/>
            <w:hideMark/>
          </w:tcPr>
          <w:p w14:paraId="3107824F" w14:textId="77777777" w:rsidR="001E2439" w:rsidRPr="009C4585" w:rsidRDefault="001E2439" w:rsidP="001E2439">
            <w:pPr>
              <w:pStyle w:val="Textodebloque"/>
              <w:ind w:left="172" w:right="6"/>
              <w:contextualSpacing/>
              <w:rPr>
                <w:rFonts w:ascii="Bookman Old Style" w:hAnsi="Bookman Old Style"/>
                <w:i/>
                <w:sz w:val="20"/>
                <w:lang w:val="es-ES"/>
              </w:rPr>
            </w:pPr>
            <w:r w:rsidRPr="009C4585">
              <w:rPr>
                <w:rFonts w:ascii="Bookman Old Style" w:hAnsi="Bookman Old Style"/>
                <w:i/>
                <w:sz w:val="20"/>
                <w:lang w:val="es-ES"/>
              </w:rPr>
              <w:t>Inversión</w:t>
            </w:r>
          </w:p>
        </w:tc>
        <w:tc>
          <w:tcPr>
            <w:tcW w:w="1589" w:type="dxa"/>
            <w:noWrap/>
            <w:vAlign w:val="center"/>
            <w:hideMark/>
          </w:tcPr>
          <w:p w14:paraId="081ED1E4" w14:textId="376A4B87" w:rsidR="001E2439" w:rsidRPr="009C4585" w:rsidRDefault="001E2439" w:rsidP="001E2439">
            <w:pPr>
              <w:pStyle w:val="Textodebloque"/>
              <w:ind w:left="172" w:right="6"/>
              <w:contextualSpacing/>
              <w:jc w:val="center"/>
              <w:rPr>
                <w:rFonts w:ascii="Bookman Old Style" w:hAnsi="Bookman Old Style"/>
                <w:i/>
                <w:sz w:val="20"/>
                <w:lang w:val="es-ES"/>
              </w:rPr>
            </w:pPr>
            <w:r w:rsidRPr="009C4585">
              <w:rPr>
                <w:rFonts w:ascii="Bookman Old Style" w:hAnsi="Bookman Old Style"/>
                <w:i/>
                <w:sz w:val="20"/>
                <w:lang w:val="es-ES"/>
              </w:rPr>
              <w:t>212.24</w:t>
            </w:r>
          </w:p>
        </w:tc>
        <w:tc>
          <w:tcPr>
            <w:tcW w:w="1338" w:type="dxa"/>
            <w:noWrap/>
            <w:vAlign w:val="center"/>
            <w:hideMark/>
          </w:tcPr>
          <w:p w14:paraId="2166CC5B" w14:textId="5157C741" w:rsidR="001E2439" w:rsidRPr="009C4585" w:rsidRDefault="001E2439" w:rsidP="001E2439">
            <w:pPr>
              <w:pStyle w:val="Textodebloque"/>
              <w:ind w:left="172" w:right="6"/>
              <w:contextualSpacing/>
              <w:jc w:val="center"/>
              <w:rPr>
                <w:rFonts w:ascii="Bookman Old Style" w:hAnsi="Bookman Old Style"/>
                <w:i/>
                <w:sz w:val="20"/>
                <w:lang w:val="es-ES"/>
              </w:rPr>
            </w:pPr>
            <w:r w:rsidRPr="009C4585">
              <w:rPr>
                <w:rFonts w:ascii="Bookman Old Style" w:hAnsi="Bookman Old Style"/>
                <w:i/>
                <w:sz w:val="20"/>
                <w:lang w:val="es-ES"/>
              </w:rPr>
              <w:t>536.02</w:t>
            </w:r>
          </w:p>
        </w:tc>
        <w:tc>
          <w:tcPr>
            <w:tcW w:w="1323" w:type="dxa"/>
            <w:noWrap/>
            <w:vAlign w:val="center"/>
            <w:hideMark/>
          </w:tcPr>
          <w:p w14:paraId="7FBA7F32" w14:textId="6FFCF64B" w:rsidR="001E2439" w:rsidRPr="009C4585" w:rsidRDefault="001E2439" w:rsidP="001E2439">
            <w:pPr>
              <w:pStyle w:val="Textodebloque"/>
              <w:ind w:left="172" w:right="6"/>
              <w:contextualSpacing/>
              <w:jc w:val="center"/>
              <w:rPr>
                <w:rFonts w:ascii="Bookman Old Style" w:hAnsi="Bookman Old Style"/>
                <w:i/>
                <w:sz w:val="20"/>
                <w:lang w:val="es-ES"/>
              </w:rPr>
            </w:pPr>
            <w:r w:rsidRPr="009C4585">
              <w:rPr>
                <w:rFonts w:ascii="Bookman Old Style" w:hAnsi="Bookman Old Style"/>
                <w:i/>
                <w:sz w:val="20"/>
                <w:lang w:val="es-ES"/>
              </w:rPr>
              <w:t>503.64</w:t>
            </w:r>
          </w:p>
        </w:tc>
        <w:tc>
          <w:tcPr>
            <w:tcW w:w="1728" w:type="dxa"/>
            <w:vAlign w:val="center"/>
          </w:tcPr>
          <w:p w14:paraId="19C21243" w14:textId="4C580BDD" w:rsidR="001E2439" w:rsidRDefault="001E2439" w:rsidP="001E2439">
            <w:pPr>
              <w:pStyle w:val="Textodebloque"/>
              <w:ind w:left="0" w:right="6"/>
              <w:contextualSpacing/>
              <w:jc w:val="center"/>
              <w:rPr>
                <w:rFonts w:ascii="Bookman Old Style" w:hAnsi="Bookman Old Style"/>
                <w:i/>
                <w:sz w:val="20"/>
                <w:lang w:val="es-ES"/>
              </w:rPr>
            </w:pPr>
            <w:r>
              <w:rPr>
                <w:rFonts w:ascii="Bookman Old Style" w:hAnsi="Bookman Old Style"/>
                <w:i/>
                <w:sz w:val="20"/>
                <w:lang w:val="es-ES"/>
              </w:rPr>
              <w:t>43.67%</w:t>
            </w:r>
          </w:p>
        </w:tc>
      </w:tr>
      <w:tr w:rsidR="001E2439" w:rsidRPr="009C4585" w14:paraId="0F4628C7" w14:textId="77777777" w:rsidTr="00D3771C">
        <w:trPr>
          <w:trHeight w:hRule="exact" w:val="397"/>
        </w:trPr>
        <w:tc>
          <w:tcPr>
            <w:tcW w:w="1686" w:type="dxa"/>
            <w:noWrap/>
            <w:vAlign w:val="center"/>
            <w:hideMark/>
          </w:tcPr>
          <w:p w14:paraId="7E9B5269" w14:textId="77777777" w:rsidR="001E2439" w:rsidRPr="009C4585" w:rsidRDefault="001E2439" w:rsidP="001E2439">
            <w:pPr>
              <w:pStyle w:val="Textodebloque"/>
              <w:ind w:left="172" w:right="6"/>
              <w:contextualSpacing/>
              <w:rPr>
                <w:rFonts w:ascii="Bookman Old Style" w:hAnsi="Bookman Old Style"/>
                <w:i/>
                <w:sz w:val="20"/>
                <w:lang w:val="es-ES"/>
              </w:rPr>
            </w:pPr>
            <w:r w:rsidRPr="009C4585">
              <w:rPr>
                <w:rFonts w:ascii="Bookman Old Style" w:hAnsi="Bookman Old Style"/>
                <w:i/>
                <w:sz w:val="20"/>
                <w:lang w:val="es-ES"/>
              </w:rPr>
              <w:t>AOM</w:t>
            </w:r>
          </w:p>
        </w:tc>
        <w:tc>
          <w:tcPr>
            <w:tcW w:w="1589" w:type="dxa"/>
            <w:noWrap/>
            <w:vAlign w:val="center"/>
            <w:hideMark/>
          </w:tcPr>
          <w:p w14:paraId="27B586CC" w14:textId="56819694" w:rsidR="001E2439" w:rsidRPr="009C4585" w:rsidRDefault="001E2439" w:rsidP="001E2439">
            <w:pPr>
              <w:pStyle w:val="Textodebloque"/>
              <w:ind w:left="172" w:right="6"/>
              <w:contextualSpacing/>
              <w:jc w:val="center"/>
              <w:rPr>
                <w:rFonts w:ascii="Bookman Old Style" w:hAnsi="Bookman Old Style"/>
                <w:i/>
                <w:sz w:val="20"/>
                <w:lang w:val="es-ES"/>
              </w:rPr>
            </w:pPr>
            <w:r w:rsidRPr="009C4585">
              <w:rPr>
                <w:rFonts w:ascii="Bookman Old Style" w:hAnsi="Bookman Old Style"/>
                <w:i/>
                <w:sz w:val="20"/>
                <w:lang w:val="es-ES"/>
              </w:rPr>
              <w:t>160.59</w:t>
            </w:r>
          </w:p>
        </w:tc>
        <w:tc>
          <w:tcPr>
            <w:tcW w:w="1338" w:type="dxa"/>
            <w:noWrap/>
            <w:vAlign w:val="center"/>
            <w:hideMark/>
          </w:tcPr>
          <w:p w14:paraId="7A01154D" w14:textId="447A8501" w:rsidR="001E2439" w:rsidRPr="009C4585" w:rsidRDefault="001E2439" w:rsidP="001E2439">
            <w:pPr>
              <w:pStyle w:val="Textodebloque"/>
              <w:ind w:left="172" w:right="6"/>
              <w:contextualSpacing/>
              <w:jc w:val="center"/>
              <w:rPr>
                <w:rFonts w:ascii="Bookman Old Style" w:hAnsi="Bookman Old Style"/>
                <w:i/>
                <w:sz w:val="20"/>
                <w:lang w:val="es-ES"/>
              </w:rPr>
            </w:pPr>
            <w:r w:rsidRPr="009C4585">
              <w:rPr>
                <w:rFonts w:ascii="Bookman Old Style" w:hAnsi="Bookman Old Style"/>
                <w:i/>
                <w:sz w:val="20"/>
                <w:lang w:val="es-ES"/>
              </w:rPr>
              <w:t>319.22</w:t>
            </w:r>
          </w:p>
        </w:tc>
        <w:tc>
          <w:tcPr>
            <w:tcW w:w="1323" w:type="dxa"/>
            <w:noWrap/>
            <w:vAlign w:val="center"/>
            <w:hideMark/>
          </w:tcPr>
          <w:p w14:paraId="169B18F8" w14:textId="2B4D5E04" w:rsidR="001E2439" w:rsidRPr="009C4585" w:rsidRDefault="001E2439" w:rsidP="001E2439">
            <w:pPr>
              <w:pStyle w:val="Textodebloque"/>
              <w:ind w:left="172" w:right="6"/>
              <w:contextualSpacing/>
              <w:jc w:val="center"/>
              <w:rPr>
                <w:rFonts w:ascii="Bookman Old Style" w:hAnsi="Bookman Old Style"/>
                <w:i/>
                <w:sz w:val="20"/>
                <w:lang w:val="es-ES"/>
              </w:rPr>
            </w:pPr>
            <w:r w:rsidRPr="009C4585">
              <w:rPr>
                <w:rFonts w:ascii="Bookman Old Style" w:hAnsi="Bookman Old Style"/>
                <w:i/>
                <w:sz w:val="20"/>
                <w:lang w:val="es-ES"/>
              </w:rPr>
              <w:t>303.36</w:t>
            </w:r>
          </w:p>
        </w:tc>
        <w:tc>
          <w:tcPr>
            <w:tcW w:w="1728" w:type="dxa"/>
            <w:vAlign w:val="center"/>
          </w:tcPr>
          <w:p w14:paraId="364CA10B" w14:textId="38897503" w:rsidR="001E2439" w:rsidRDefault="001E2439" w:rsidP="001E2439">
            <w:pPr>
              <w:pStyle w:val="Textodebloque"/>
              <w:ind w:left="0" w:right="6"/>
              <w:contextualSpacing/>
              <w:jc w:val="center"/>
              <w:rPr>
                <w:rFonts w:ascii="Bookman Old Style" w:hAnsi="Bookman Old Style"/>
                <w:i/>
                <w:sz w:val="20"/>
                <w:lang w:val="es-ES"/>
              </w:rPr>
            </w:pPr>
            <w:r>
              <w:rPr>
                <w:rFonts w:ascii="Bookman Old Style" w:hAnsi="Bookman Old Style"/>
                <w:i/>
                <w:sz w:val="20"/>
                <w:lang w:val="es-ES"/>
              </w:rPr>
              <w:t>26.31%</w:t>
            </w:r>
          </w:p>
        </w:tc>
      </w:tr>
      <w:tr w:rsidR="001E2439" w:rsidRPr="009C4585" w14:paraId="55CC2CBE" w14:textId="77777777" w:rsidTr="00D3771C">
        <w:trPr>
          <w:trHeight w:hRule="exact" w:val="397"/>
        </w:trPr>
        <w:tc>
          <w:tcPr>
            <w:tcW w:w="1686" w:type="dxa"/>
            <w:noWrap/>
            <w:vAlign w:val="center"/>
            <w:hideMark/>
          </w:tcPr>
          <w:p w14:paraId="11971A36" w14:textId="77777777" w:rsidR="001E2439" w:rsidRPr="009C4585" w:rsidRDefault="001E2439" w:rsidP="001E2439">
            <w:pPr>
              <w:pStyle w:val="Textodebloque"/>
              <w:ind w:left="172" w:right="6"/>
              <w:contextualSpacing/>
              <w:rPr>
                <w:rFonts w:ascii="Bookman Old Style" w:hAnsi="Bookman Old Style"/>
                <w:i/>
                <w:sz w:val="20"/>
                <w:lang w:val="es-ES"/>
              </w:rPr>
            </w:pPr>
            <w:r w:rsidRPr="009C4585">
              <w:rPr>
                <w:rFonts w:ascii="Bookman Old Style" w:hAnsi="Bookman Old Style"/>
                <w:i/>
                <w:sz w:val="20"/>
                <w:lang w:val="es-ES"/>
              </w:rPr>
              <w:t>CC+CL</w:t>
            </w:r>
          </w:p>
        </w:tc>
        <w:tc>
          <w:tcPr>
            <w:tcW w:w="1589" w:type="dxa"/>
            <w:noWrap/>
            <w:vAlign w:val="center"/>
            <w:hideMark/>
          </w:tcPr>
          <w:p w14:paraId="6CD53AC5" w14:textId="24455F16" w:rsidR="001E2439" w:rsidRPr="009C4585" w:rsidRDefault="001E2439" w:rsidP="001E2439">
            <w:pPr>
              <w:pStyle w:val="Textodebloque"/>
              <w:ind w:left="172" w:right="6"/>
              <w:contextualSpacing/>
              <w:jc w:val="center"/>
              <w:rPr>
                <w:rFonts w:ascii="Bookman Old Style" w:hAnsi="Bookman Old Style"/>
                <w:i/>
                <w:sz w:val="20"/>
                <w:lang w:val="es-ES"/>
              </w:rPr>
            </w:pPr>
            <w:r w:rsidRPr="009C4585">
              <w:rPr>
                <w:rFonts w:ascii="Bookman Old Style" w:hAnsi="Bookman Old Style"/>
                <w:i/>
                <w:sz w:val="20"/>
                <w:lang w:val="es-ES"/>
              </w:rPr>
              <w:t>728.18</w:t>
            </w:r>
          </w:p>
        </w:tc>
        <w:tc>
          <w:tcPr>
            <w:tcW w:w="1338" w:type="dxa"/>
            <w:noWrap/>
            <w:vAlign w:val="center"/>
            <w:hideMark/>
          </w:tcPr>
          <w:p w14:paraId="4B3C7766" w14:textId="5F532444" w:rsidR="001E2439" w:rsidRPr="009C4585" w:rsidRDefault="001E2439" w:rsidP="001E2439">
            <w:pPr>
              <w:pStyle w:val="Textodebloque"/>
              <w:ind w:left="172" w:right="6"/>
              <w:contextualSpacing/>
              <w:jc w:val="center"/>
              <w:rPr>
                <w:rFonts w:ascii="Bookman Old Style" w:hAnsi="Bookman Old Style"/>
                <w:i/>
                <w:sz w:val="20"/>
                <w:lang w:val="es-ES"/>
              </w:rPr>
            </w:pPr>
            <w:r w:rsidRPr="009C4585">
              <w:rPr>
                <w:rFonts w:ascii="Bookman Old Style" w:hAnsi="Bookman Old Style"/>
                <w:i/>
                <w:sz w:val="20"/>
                <w:lang w:val="es-ES"/>
              </w:rPr>
              <w:t>303.74</w:t>
            </w:r>
          </w:p>
        </w:tc>
        <w:tc>
          <w:tcPr>
            <w:tcW w:w="1323" w:type="dxa"/>
            <w:noWrap/>
            <w:vAlign w:val="center"/>
            <w:hideMark/>
          </w:tcPr>
          <w:p w14:paraId="69BD6A2E" w14:textId="521C9372" w:rsidR="001E2439" w:rsidRPr="009C4585" w:rsidRDefault="001E2439" w:rsidP="001E2439">
            <w:pPr>
              <w:pStyle w:val="Textodebloque"/>
              <w:ind w:left="172" w:right="6"/>
              <w:contextualSpacing/>
              <w:jc w:val="center"/>
              <w:rPr>
                <w:rFonts w:ascii="Bookman Old Style" w:hAnsi="Bookman Old Style"/>
                <w:i/>
                <w:sz w:val="20"/>
                <w:lang w:val="es-ES"/>
              </w:rPr>
            </w:pPr>
            <w:r w:rsidRPr="009C4585">
              <w:rPr>
                <w:rFonts w:ascii="Bookman Old Style" w:hAnsi="Bookman Old Style"/>
                <w:i/>
                <w:sz w:val="20"/>
                <w:lang w:val="es-ES"/>
              </w:rPr>
              <w:t>346.19</w:t>
            </w:r>
          </w:p>
        </w:tc>
        <w:tc>
          <w:tcPr>
            <w:tcW w:w="1728" w:type="dxa"/>
            <w:vAlign w:val="center"/>
          </w:tcPr>
          <w:p w14:paraId="6B5DF4DD" w14:textId="2BB9C1D3" w:rsidR="001E2439" w:rsidRDefault="001E2439" w:rsidP="001E2439">
            <w:pPr>
              <w:pStyle w:val="Textodebloque"/>
              <w:ind w:left="172" w:right="6"/>
              <w:contextualSpacing/>
              <w:jc w:val="center"/>
              <w:rPr>
                <w:rFonts w:ascii="Bookman Old Style" w:hAnsi="Bookman Old Style"/>
                <w:i/>
                <w:sz w:val="20"/>
                <w:lang w:val="es-ES"/>
              </w:rPr>
            </w:pPr>
            <w:r>
              <w:rPr>
                <w:rFonts w:ascii="Bookman Old Style" w:hAnsi="Bookman Old Style"/>
                <w:i/>
                <w:sz w:val="20"/>
                <w:lang w:val="es-ES"/>
              </w:rPr>
              <w:t>30.02%</w:t>
            </w:r>
          </w:p>
        </w:tc>
      </w:tr>
      <w:tr w:rsidR="001E2439" w:rsidRPr="009C4585" w14:paraId="307C404A" w14:textId="77777777" w:rsidTr="00D3771C">
        <w:trPr>
          <w:trHeight w:hRule="exact" w:val="397"/>
        </w:trPr>
        <w:tc>
          <w:tcPr>
            <w:tcW w:w="1686" w:type="dxa"/>
            <w:noWrap/>
            <w:vAlign w:val="center"/>
            <w:hideMark/>
          </w:tcPr>
          <w:p w14:paraId="14DD5A54" w14:textId="77777777" w:rsidR="001E2439" w:rsidRPr="009C4585" w:rsidRDefault="001E2439" w:rsidP="001E2439">
            <w:pPr>
              <w:pStyle w:val="Textodebloque"/>
              <w:ind w:left="0" w:right="6"/>
              <w:contextualSpacing/>
              <w:jc w:val="center"/>
              <w:rPr>
                <w:rFonts w:ascii="Bookman Old Style" w:hAnsi="Bookman Old Style"/>
                <w:b/>
                <w:bCs/>
                <w:i/>
                <w:sz w:val="20"/>
                <w:lang w:val="es-ES"/>
              </w:rPr>
            </w:pPr>
            <w:r w:rsidRPr="009C4585">
              <w:rPr>
                <w:rFonts w:ascii="Bookman Old Style" w:hAnsi="Bookman Old Style"/>
                <w:b/>
                <w:bCs/>
                <w:i/>
                <w:sz w:val="20"/>
                <w:lang w:val="es-ES"/>
              </w:rPr>
              <w:t>Total</w:t>
            </w:r>
          </w:p>
        </w:tc>
        <w:tc>
          <w:tcPr>
            <w:tcW w:w="1589" w:type="dxa"/>
            <w:noWrap/>
            <w:vAlign w:val="center"/>
            <w:hideMark/>
          </w:tcPr>
          <w:p w14:paraId="0ADF122C" w14:textId="2D516E02" w:rsidR="001E2439" w:rsidRPr="009C4585" w:rsidRDefault="001E2439" w:rsidP="001E2439">
            <w:pPr>
              <w:pStyle w:val="Textodebloque"/>
              <w:ind w:left="172" w:right="6"/>
              <w:contextualSpacing/>
              <w:jc w:val="center"/>
              <w:rPr>
                <w:rFonts w:ascii="Bookman Old Style" w:hAnsi="Bookman Old Style"/>
                <w:b/>
                <w:bCs/>
                <w:i/>
                <w:sz w:val="20"/>
                <w:lang w:val="es-ES"/>
              </w:rPr>
            </w:pPr>
            <w:r w:rsidRPr="009C4585">
              <w:rPr>
                <w:rFonts w:ascii="Bookman Old Style" w:hAnsi="Bookman Old Style"/>
                <w:b/>
                <w:bCs/>
                <w:i/>
                <w:sz w:val="20"/>
                <w:lang w:val="es-ES"/>
              </w:rPr>
              <w:t>1,101.01</w:t>
            </w:r>
          </w:p>
        </w:tc>
        <w:tc>
          <w:tcPr>
            <w:tcW w:w="1338" w:type="dxa"/>
            <w:noWrap/>
            <w:vAlign w:val="center"/>
            <w:hideMark/>
          </w:tcPr>
          <w:p w14:paraId="2AC8EAAB" w14:textId="27F6044A" w:rsidR="001E2439" w:rsidRPr="009C4585" w:rsidRDefault="001E2439" w:rsidP="001E2439">
            <w:pPr>
              <w:pStyle w:val="Textodebloque"/>
              <w:ind w:left="172" w:right="6"/>
              <w:contextualSpacing/>
              <w:jc w:val="center"/>
              <w:rPr>
                <w:rFonts w:ascii="Bookman Old Style" w:hAnsi="Bookman Old Style"/>
                <w:b/>
                <w:bCs/>
                <w:i/>
                <w:sz w:val="20"/>
                <w:lang w:val="es-ES"/>
              </w:rPr>
            </w:pPr>
            <w:r w:rsidRPr="009C4585">
              <w:rPr>
                <w:rFonts w:ascii="Bookman Old Style" w:hAnsi="Bookman Old Style"/>
                <w:b/>
                <w:bCs/>
                <w:i/>
                <w:sz w:val="20"/>
                <w:lang w:val="es-ES"/>
              </w:rPr>
              <w:t>1,158.98</w:t>
            </w:r>
          </w:p>
        </w:tc>
        <w:tc>
          <w:tcPr>
            <w:tcW w:w="1323" w:type="dxa"/>
            <w:noWrap/>
            <w:vAlign w:val="center"/>
            <w:hideMark/>
          </w:tcPr>
          <w:p w14:paraId="78DF5CF0" w14:textId="240F6240" w:rsidR="001E2439" w:rsidRPr="009C4585" w:rsidRDefault="001E2439" w:rsidP="001E2439">
            <w:pPr>
              <w:pStyle w:val="Textodebloque"/>
              <w:ind w:left="172" w:right="6"/>
              <w:contextualSpacing/>
              <w:jc w:val="center"/>
              <w:rPr>
                <w:rFonts w:ascii="Bookman Old Style" w:hAnsi="Bookman Old Style"/>
                <w:b/>
                <w:bCs/>
                <w:i/>
                <w:sz w:val="20"/>
                <w:lang w:val="es-ES"/>
              </w:rPr>
            </w:pPr>
            <w:r w:rsidRPr="009C4585">
              <w:rPr>
                <w:rFonts w:ascii="Bookman Old Style" w:hAnsi="Bookman Old Style"/>
                <w:b/>
                <w:bCs/>
                <w:i/>
                <w:sz w:val="20"/>
                <w:lang w:val="es-ES"/>
              </w:rPr>
              <w:t>1,153.18</w:t>
            </w:r>
          </w:p>
        </w:tc>
        <w:tc>
          <w:tcPr>
            <w:tcW w:w="1728" w:type="dxa"/>
            <w:vAlign w:val="center"/>
          </w:tcPr>
          <w:p w14:paraId="3E3E746E" w14:textId="13F6F03A" w:rsidR="001E2439" w:rsidRDefault="001E2439" w:rsidP="001E2439">
            <w:pPr>
              <w:pStyle w:val="Textodebloque"/>
              <w:ind w:left="0" w:right="6"/>
              <w:contextualSpacing/>
              <w:jc w:val="center"/>
              <w:rPr>
                <w:rFonts w:ascii="Bookman Old Style" w:hAnsi="Bookman Old Style"/>
                <w:b/>
                <w:bCs/>
                <w:i/>
                <w:sz w:val="20"/>
                <w:lang w:val="es-ES"/>
              </w:rPr>
            </w:pPr>
            <w:r>
              <w:rPr>
                <w:rFonts w:ascii="Bookman Old Style" w:hAnsi="Bookman Old Style"/>
                <w:b/>
                <w:bCs/>
                <w:i/>
                <w:sz w:val="20"/>
                <w:lang w:val="es-ES"/>
              </w:rPr>
              <w:t>100%</w:t>
            </w:r>
          </w:p>
        </w:tc>
      </w:tr>
    </w:tbl>
    <w:p w14:paraId="09815C4D" w14:textId="5EFBCE4A" w:rsidR="26A7944B" w:rsidRDefault="26A7944B"/>
    <w:p w14:paraId="1E1CF821" w14:textId="5867CC4C" w:rsidR="009C4585" w:rsidRDefault="009C4585" w:rsidP="00B60BFB">
      <w:pPr>
        <w:pStyle w:val="Textodebloque"/>
        <w:ind w:left="0" w:right="6"/>
        <w:contextualSpacing/>
        <w:rPr>
          <w:rFonts w:ascii="Bookman Old Style" w:hAnsi="Bookman Old Style"/>
          <w:i/>
          <w:sz w:val="20"/>
        </w:rPr>
      </w:pPr>
    </w:p>
    <w:tbl>
      <w:tblPr>
        <w:tblStyle w:val="Tablaconcuadrcula"/>
        <w:tblW w:w="7938" w:type="dxa"/>
        <w:tblInd w:w="129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15"/>
        <w:gridCol w:w="1710"/>
        <w:gridCol w:w="1439"/>
        <w:gridCol w:w="1293"/>
        <w:gridCol w:w="1681"/>
      </w:tblGrid>
      <w:tr w:rsidR="00397ABE" w:rsidRPr="00FB1D05" w14:paraId="33091E34" w14:textId="77777777" w:rsidTr="00D3771C">
        <w:trPr>
          <w:trHeight w:hRule="exact" w:val="454"/>
        </w:trPr>
        <w:tc>
          <w:tcPr>
            <w:tcW w:w="1740" w:type="dxa"/>
            <w:noWrap/>
            <w:vAlign w:val="center"/>
            <w:hideMark/>
          </w:tcPr>
          <w:p w14:paraId="7D615733" w14:textId="0BA1AD1E" w:rsidR="00397ABE" w:rsidRPr="00FB1D05" w:rsidRDefault="00397ABE" w:rsidP="00E84936">
            <w:pPr>
              <w:pStyle w:val="Textodebloque"/>
              <w:ind w:left="0" w:right="6"/>
              <w:contextualSpacing/>
              <w:jc w:val="center"/>
              <w:rPr>
                <w:rFonts w:ascii="Bookman Old Style" w:hAnsi="Bookman Old Style"/>
                <w:b/>
                <w:bCs/>
                <w:i/>
                <w:sz w:val="20"/>
                <w:lang w:val="es-419"/>
              </w:rPr>
            </w:pPr>
            <w:r w:rsidRPr="00FB1D05">
              <w:rPr>
                <w:rFonts w:ascii="Bookman Old Style" w:hAnsi="Bookman Old Style"/>
                <w:b/>
                <w:bCs/>
                <w:i/>
                <w:sz w:val="20"/>
                <w:lang w:val="es-ES"/>
              </w:rPr>
              <w:t>Componente</w:t>
            </w:r>
          </w:p>
        </w:tc>
        <w:tc>
          <w:tcPr>
            <w:tcW w:w="1640" w:type="dxa"/>
            <w:noWrap/>
            <w:vAlign w:val="center"/>
            <w:hideMark/>
          </w:tcPr>
          <w:p w14:paraId="1A5B4CB2" w14:textId="547AFCE9" w:rsidR="00397ABE" w:rsidRPr="00FB1D05" w:rsidRDefault="00397ABE" w:rsidP="00E84936">
            <w:pPr>
              <w:pStyle w:val="Textodebloque"/>
              <w:ind w:left="0" w:right="6"/>
              <w:contextualSpacing/>
              <w:jc w:val="center"/>
              <w:rPr>
                <w:rFonts w:ascii="Bookman Old Style" w:hAnsi="Bookman Old Style"/>
                <w:b/>
                <w:bCs/>
                <w:i/>
                <w:sz w:val="20"/>
                <w:lang w:val="es-ES"/>
              </w:rPr>
            </w:pPr>
            <w:r w:rsidRPr="00FB1D05">
              <w:rPr>
                <w:rFonts w:ascii="Bookman Old Style" w:hAnsi="Bookman Old Style"/>
                <w:b/>
                <w:bCs/>
                <w:i/>
                <w:sz w:val="20"/>
                <w:lang w:val="es-ES"/>
              </w:rPr>
              <w:t xml:space="preserve">Diésel G </w:t>
            </w:r>
            <w:proofErr w:type="spellStart"/>
            <w:r w:rsidRPr="00FB1D05">
              <w:rPr>
                <w:rFonts w:ascii="Bookman Old Style" w:hAnsi="Bookman Old Style"/>
                <w:b/>
                <w:bCs/>
                <w:i/>
                <w:sz w:val="20"/>
                <w:lang w:val="es-ES"/>
              </w:rPr>
              <w:t>Carrreño</w:t>
            </w:r>
            <w:proofErr w:type="spellEnd"/>
          </w:p>
        </w:tc>
        <w:tc>
          <w:tcPr>
            <w:tcW w:w="1380" w:type="dxa"/>
            <w:noWrap/>
            <w:vAlign w:val="center"/>
            <w:hideMark/>
          </w:tcPr>
          <w:p w14:paraId="3B9A043C" w14:textId="0D456C83" w:rsidR="00397ABE" w:rsidRPr="00FB1D05" w:rsidRDefault="00397ABE" w:rsidP="00E84936">
            <w:pPr>
              <w:pStyle w:val="Textodebloque"/>
              <w:ind w:left="0" w:right="6"/>
              <w:contextualSpacing/>
              <w:jc w:val="center"/>
              <w:rPr>
                <w:rFonts w:ascii="Bookman Old Style" w:hAnsi="Bookman Old Style"/>
                <w:b/>
                <w:bCs/>
                <w:i/>
                <w:sz w:val="20"/>
                <w:lang w:val="es-ES"/>
              </w:rPr>
            </w:pPr>
            <w:r w:rsidRPr="00FB1D05">
              <w:rPr>
                <w:rFonts w:ascii="Bookman Old Style" w:hAnsi="Bookman Old Style"/>
                <w:b/>
                <w:bCs/>
                <w:i/>
                <w:sz w:val="20"/>
                <w:lang w:val="es-ES"/>
              </w:rPr>
              <w:t>Biomasa</w:t>
            </w:r>
          </w:p>
        </w:tc>
        <w:tc>
          <w:tcPr>
            <w:tcW w:w="1240" w:type="dxa"/>
            <w:noWrap/>
            <w:vAlign w:val="center"/>
            <w:hideMark/>
          </w:tcPr>
          <w:p w14:paraId="1EA134C9" w14:textId="3B60865A" w:rsidR="00397ABE" w:rsidRPr="00FB1D05" w:rsidRDefault="00397ABE" w:rsidP="00E84936">
            <w:pPr>
              <w:pStyle w:val="Textodebloque"/>
              <w:ind w:left="0" w:right="6"/>
              <w:contextualSpacing/>
              <w:jc w:val="center"/>
              <w:rPr>
                <w:rFonts w:ascii="Bookman Old Style" w:hAnsi="Bookman Old Style"/>
                <w:b/>
                <w:bCs/>
                <w:i/>
                <w:sz w:val="20"/>
                <w:lang w:val="es-ES"/>
              </w:rPr>
            </w:pPr>
            <w:r w:rsidRPr="00FB1D05">
              <w:rPr>
                <w:rFonts w:ascii="Bookman Old Style" w:hAnsi="Bookman Old Style"/>
                <w:b/>
                <w:bCs/>
                <w:i/>
                <w:sz w:val="20"/>
                <w:lang w:val="es-ES"/>
              </w:rPr>
              <w:t>Total</w:t>
            </w:r>
          </w:p>
        </w:tc>
        <w:tc>
          <w:tcPr>
            <w:tcW w:w="1612" w:type="dxa"/>
            <w:vAlign w:val="center"/>
          </w:tcPr>
          <w:p w14:paraId="1CB0C531" w14:textId="73AB40E4" w:rsidR="00397ABE" w:rsidRDefault="00397ABE" w:rsidP="00397ABE">
            <w:pPr>
              <w:pStyle w:val="Textodebloque"/>
              <w:ind w:left="0" w:right="6"/>
              <w:contextualSpacing/>
              <w:jc w:val="center"/>
              <w:rPr>
                <w:rFonts w:ascii="Bookman Old Style" w:hAnsi="Bookman Old Style"/>
                <w:b/>
                <w:bCs/>
                <w:i/>
                <w:sz w:val="20"/>
                <w:lang w:val="es-ES"/>
              </w:rPr>
            </w:pPr>
            <w:r>
              <w:rPr>
                <w:rFonts w:ascii="Bookman Old Style" w:hAnsi="Bookman Old Style"/>
                <w:b/>
                <w:bCs/>
                <w:i/>
                <w:sz w:val="20"/>
                <w:lang w:val="es-ES"/>
              </w:rPr>
              <w:t>Participación</w:t>
            </w:r>
          </w:p>
        </w:tc>
      </w:tr>
      <w:tr w:rsidR="00397ABE" w:rsidRPr="00FB1D05" w14:paraId="51E2B601" w14:textId="77777777" w:rsidTr="00D3771C">
        <w:trPr>
          <w:trHeight w:hRule="exact" w:val="397"/>
        </w:trPr>
        <w:tc>
          <w:tcPr>
            <w:tcW w:w="1740" w:type="dxa"/>
            <w:noWrap/>
            <w:vAlign w:val="center"/>
            <w:hideMark/>
          </w:tcPr>
          <w:p w14:paraId="7FD87FF0" w14:textId="77777777" w:rsidR="00397ABE" w:rsidRPr="00FB1D05" w:rsidRDefault="00397ABE" w:rsidP="00E84936">
            <w:pPr>
              <w:pStyle w:val="Textodebloque"/>
              <w:ind w:left="172" w:right="6"/>
              <w:contextualSpacing/>
              <w:rPr>
                <w:rFonts w:ascii="Bookman Old Style" w:hAnsi="Bookman Old Style"/>
                <w:i/>
                <w:sz w:val="20"/>
                <w:lang w:val="es-ES"/>
              </w:rPr>
            </w:pPr>
            <w:r w:rsidRPr="00FB1D05">
              <w:rPr>
                <w:rFonts w:ascii="Bookman Old Style" w:hAnsi="Bookman Old Style"/>
                <w:i/>
                <w:sz w:val="20"/>
                <w:lang w:val="es-ES"/>
              </w:rPr>
              <w:t>Inversión</w:t>
            </w:r>
          </w:p>
        </w:tc>
        <w:tc>
          <w:tcPr>
            <w:tcW w:w="1640" w:type="dxa"/>
            <w:noWrap/>
            <w:vAlign w:val="center"/>
            <w:hideMark/>
          </w:tcPr>
          <w:p w14:paraId="2FB10C3B" w14:textId="03505247" w:rsidR="00397ABE" w:rsidRPr="00FB1D05" w:rsidRDefault="00397ABE" w:rsidP="00E84936">
            <w:pPr>
              <w:pStyle w:val="Textodebloque"/>
              <w:ind w:left="0" w:right="6"/>
              <w:contextualSpacing/>
              <w:jc w:val="center"/>
              <w:rPr>
                <w:rFonts w:ascii="Bookman Old Style" w:hAnsi="Bookman Old Style"/>
                <w:i/>
                <w:sz w:val="20"/>
                <w:lang w:val="es-ES"/>
              </w:rPr>
            </w:pPr>
            <w:r w:rsidRPr="00FB1D05">
              <w:rPr>
                <w:rFonts w:ascii="Bookman Old Style" w:hAnsi="Bookman Old Style"/>
                <w:i/>
                <w:sz w:val="20"/>
                <w:lang w:val="es-ES"/>
              </w:rPr>
              <w:t>117.82</w:t>
            </w:r>
          </w:p>
        </w:tc>
        <w:tc>
          <w:tcPr>
            <w:tcW w:w="1380" w:type="dxa"/>
            <w:noWrap/>
            <w:vAlign w:val="center"/>
            <w:hideMark/>
          </w:tcPr>
          <w:p w14:paraId="362EF898" w14:textId="3B712A69" w:rsidR="00397ABE" w:rsidRPr="00FB1D05" w:rsidRDefault="00397ABE" w:rsidP="00E84936">
            <w:pPr>
              <w:pStyle w:val="Textodebloque"/>
              <w:ind w:left="0" w:right="6"/>
              <w:contextualSpacing/>
              <w:jc w:val="center"/>
              <w:rPr>
                <w:rFonts w:ascii="Bookman Old Style" w:hAnsi="Bookman Old Style"/>
                <w:i/>
                <w:sz w:val="20"/>
                <w:lang w:val="es-ES"/>
              </w:rPr>
            </w:pPr>
            <w:r w:rsidRPr="00FB1D05">
              <w:rPr>
                <w:rFonts w:ascii="Bookman Old Style" w:hAnsi="Bookman Old Style"/>
                <w:i/>
                <w:sz w:val="20"/>
                <w:lang w:val="es-ES"/>
              </w:rPr>
              <w:t>297.56</w:t>
            </w:r>
          </w:p>
        </w:tc>
        <w:tc>
          <w:tcPr>
            <w:tcW w:w="1240" w:type="dxa"/>
            <w:noWrap/>
            <w:vAlign w:val="center"/>
            <w:hideMark/>
          </w:tcPr>
          <w:p w14:paraId="4303ABCC" w14:textId="7F74D5F6" w:rsidR="00397ABE" w:rsidRPr="00FB1D05" w:rsidRDefault="00397ABE" w:rsidP="00E84936">
            <w:pPr>
              <w:pStyle w:val="Textodebloque"/>
              <w:ind w:left="0" w:right="6"/>
              <w:contextualSpacing/>
              <w:jc w:val="center"/>
              <w:rPr>
                <w:rFonts w:ascii="Bookman Old Style" w:hAnsi="Bookman Old Style"/>
                <w:i/>
                <w:sz w:val="20"/>
                <w:lang w:val="es-ES"/>
              </w:rPr>
            </w:pPr>
            <w:r w:rsidRPr="00FB1D05">
              <w:rPr>
                <w:rFonts w:ascii="Bookman Old Style" w:hAnsi="Bookman Old Style"/>
                <w:i/>
                <w:sz w:val="20"/>
                <w:lang w:val="es-ES"/>
              </w:rPr>
              <w:t>279.59</w:t>
            </w:r>
          </w:p>
        </w:tc>
        <w:tc>
          <w:tcPr>
            <w:tcW w:w="1612" w:type="dxa"/>
            <w:vAlign w:val="center"/>
          </w:tcPr>
          <w:p w14:paraId="7249AA6C" w14:textId="7F3FACA1" w:rsidR="00397ABE" w:rsidRPr="00FB1D05" w:rsidRDefault="00397ABE" w:rsidP="00E84936">
            <w:pPr>
              <w:pStyle w:val="Textodebloque"/>
              <w:ind w:right="6"/>
              <w:contextualSpacing/>
              <w:jc w:val="center"/>
              <w:rPr>
                <w:rFonts w:ascii="Bookman Old Style" w:hAnsi="Bookman Old Style"/>
                <w:i/>
                <w:sz w:val="20"/>
                <w:lang w:val="es-ES"/>
              </w:rPr>
            </w:pPr>
            <w:r>
              <w:rPr>
                <w:rFonts w:ascii="Bookman Old Style" w:hAnsi="Bookman Old Style"/>
                <w:i/>
                <w:sz w:val="20"/>
                <w:lang w:val="es-ES"/>
              </w:rPr>
              <w:t>24.24%</w:t>
            </w:r>
          </w:p>
        </w:tc>
      </w:tr>
      <w:tr w:rsidR="00397ABE" w:rsidRPr="00FB1D05" w14:paraId="6E9835E9" w14:textId="77777777" w:rsidTr="00D3771C">
        <w:trPr>
          <w:trHeight w:hRule="exact" w:val="397"/>
        </w:trPr>
        <w:tc>
          <w:tcPr>
            <w:tcW w:w="1740" w:type="dxa"/>
            <w:noWrap/>
            <w:vAlign w:val="center"/>
            <w:hideMark/>
          </w:tcPr>
          <w:p w14:paraId="016D1D02" w14:textId="77777777" w:rsidR="00397ABE" w:rsidRPr="00FB1D05" w:rsidRDefault="00397ABE" w:rsidP="00E84936">
            <w:pPr>
              <w:pStyle w:val="Textodebloque"/>
              <w:ind w:left="172" w:right="6"/>
              <w:contextualSpacing/>
              <w:rPr>
                <w:rFonts w:ascii="Bookman Old Style" w:hAnsi="Bookman Old Style"/>
                <w:i/>
                <w:sz w:val="20"/>
                <w:lang w:val="es-ES"/>
              </w:rPr>
            </w:pPr>
            <w:r w:rsidRPr="00FB1D05">
              <w:rPr>
                <w:rFonts w:ascii="Bookman Old Style" w:hAnsi="Bookman Old Style"/>
                <w:i/>
                <w:sz w:val="20"/>
                <w:lang w:val="es-ES"/>
              </w:rPr>
              <w:t>AOM</w:t>
            </w:r>
          </w:p>
        </w:tc>
        <w:tc>
          <w:tcPr>
            <w:tcW w:w="1640" w:type="dxa"/>
            <w:noWrap/>
            <w:vAlign w:val="center"/>
            <w:hideMark/>
          </w:tcPr>
          <w:p w14:paraId="51FE84A2" w14:textId="40412AB7" w:rsidR="00397ABE" w:rsidRPr="00FB1D05" w:rsidRDefault="00397ABE" w:rsidP="00E84936">
            <w:pPr>
              <w:pStyle w:val="Textodebloque"/>
              <w:ind w:left="0" w:right="6"/>
              <w:contextualSpacing/>
              <w:jc w:val="center"/>
              <w:rPr>
                <w:rFonts w:ascii="Bookman Old Style" w:hAnsi="Bookman Old Style"/>
                <w:i/>
                <w:sz w:val="20"/>
                <w:lang w:val="es-ES"/>
              </w:rPr>
            </w:pPr>
            <w:r w:rsidRPr="00FB1D05">
              <w:rPr>
                <w:rFonts w:ascii="Bookman Old Style" w:hAnsi="Bookman Old Style"/>
                <w:i/>
                <w:sz w:val="20"/>
                <w:lang w:val="es-ES"/>
              </w:rPr>
              <w:t>89.15</w:t>
            </w:r>
          </w:p>
        </w:tc>
        <w:tc>
          <w:tcPr>
            <w:tcW w:w="1380" w:type="dxa"/>
            <w:noWrap/>
            <w:vAlign w:val="center"/>
            <w:hideMark/>
          </w:tcPr>
          <w:p w14:paraId="2C330974" w14:textId="1F107B22" w:rsidR="00397ABE" w:rsidRPr="00FB1D05" w:rsidRDefault="00397ABE" w:rsidP="00E84936">
            <w:pPr>
              <w:pStyle w:val="Textodebloque"/>
              <w:ind w:left="0" w:right="6"/>
              <w:contextualSpacing/>
              <w:jc w:val="center"/>
              <w:rPr>
                <w:rFonts w:ascii="Bookman Old Style" w:hAnsi="Bookman Old Style"/>
                <w:i/>
                <w:sz w:val="20"/>
                <w:lang w:val="es-ES"/>
              </w:rPr>
            </w:pPr>
            <w:r w:rsidRPr="00FB1D05">
              <w:rPr>
                <w:rFonts w:ascii="Bookman Old Style" w:hAnsi="Bookman Old Style"/>
                <w:i/>
                <w:sz w:val="20"/>
                <w:lang w:val="es-ES"/>
              </w:rPr>
              <w:t>177.21</w:t>
            </w:r>
          </w:p>
        </w:tc>
        <w:tc>
          <w:tcPr>
            <w:tcW w:w="1240" w:type="dxa"/>
            <w:noWrap/>
            <w:vAlign w:val="center"/>
            <w:hideMark/>
          </w:tcPr>
          <w:p w14:paraId="3CFE7AD6" w14:textId="56509A39" w:rsidR="00397ABE" w:rsidRPr="00FB1D05" w:rsidRDefault="00397ABE" w:rsidP="00E84936">
            <w:pPr>
              <w:pStyle w:val="Textodebloque"/>
              <w:ind w:left="0" w:right="6"/>
              <w:contextualSpacing/>
              <w:jc w:val="center"/>
              <w:rPr>
                <w:rFonts w:ascii="Bookman Old Style" w:hAnsi="Bookman Old Style"/>
                <w:i/>
                <w:sz w:val="20"/>
                <w:lang w:val="es-ES"/>
              </w:rPr>
            </w:pPr>
            <w:r w:rsidRPr="00FB1D05">
              <w:rPr>
                <w:rFonts w:ascii="Bookman Old Style" w:hAnsi="Bookman Old Style"/>
                <w:i/>
                <w:sz w:val="20"/>
                <w:lang w:val="es-ES"/>
              </w:rPr>
              <w:t>168.40</w:t>
            </w:r>
          </w:p>
        </w:tc>
        <w:tc>
          <w:tcPr>
            <w:tcW w:w="1612" w:type="dxa"/>
            <w:vAlign w:val="center"/>
          </w:tcPr>
          <w:p w14:paraId="4A128BE9" w14:textId="31A48999" w:rsidR="00397ABE" w:rsidRPr="00FB1D05" w:rsidRDefault="00397ABE" w:rsidP="00E84936">
            <w:pPr>
              <w:pStyle w:val="Textodebloque"/>
              <w:ind w:right="6"/>
              <w:contextualSpacing/>
              <w:jc w:val="center"/>
              <w:rPr>
                <w:rFonts w:ascii="Bookman Old Style" w:hAnsi="Bookman Old Style"/>
                <w:i/>
                <w:sz w:val="20"/>
                <w:lang w:val="es-ES"/>
              </w:rPr>
            </w:pPr>
            <w:r>
              <w:rPr>
                <w:rFonts w:ascii="Bookman Old Style" w:hAnsi="Bookman Old Style"/>
                <w:i/>
                <w:sz w:val="20"/>
                <w:lang w:val="es-ES"/>
              </w:rPr>
              <w:t>14.60%</w:t>
            </w:r>
          </w:p>
        </w:tc>
      </w:tr>
      <w:tr w:rsidR="00397ABE" w:rsidRPr="00FB1D05" w14:paraId="02B39D78" w14:textId="77777777" w:rsidTr="00D3771C">
        <w:trPr>
          <w:trHeight w:hRule="exact" w:val="397"/>
        </w:trPr>
        <w:tc>
          <w:tcPr>
            <w:tcW w:w="1740" w:type="dxa"/>
            <w:noWrap/>
            <w:vAlign w:val="center"/>
            <w:hideMark/>
          </w:tcPr>
          <w:p w14:paraId="605927E0" w14:textId="77777777" w:rsidR="00397ABE" w:rsidRPr="00FB1D05" w:rsidRDefault="00397ABE" w:rsidP="00E84936">
            <w:pPr>
              <w:pStyle w:val="Textodebloque"/>
              <w:ind w:left="172" w:right="6"/>
              <w:contextualSpacing/>
              <w:rPr>
                <w:rFonts w:ascii="Bookman Old Style" w:hAnsi="Bookman Old Style"/>
                <w:i/>
                <w:sz w:val="20"/>
                <w:lang w:val="es-ES"/>
              </w:rPr>
            </w:pPr>
            <w:r w:rsidRPr="00FB1D05">
              <w:rPr>
                <w:rFonts w:ascii="Bookman Old Style" w:hAnsi="Bookman Old Style"/>
                <w:i/>
                <w:sz w:val="20"/>
                <w:lang w:val="es-ES"/>
              </w:rPr>
              <w:t>CC+CL</w:t>
            </w:r>
          </w:p>
        </w:tc>
        <w:tc>
          <w:tcPr>
            <w:tcW w:w="1640" w:type="dxa"/>
            <w:noWrap/>
            <w:vAlign w:val="center"/>
            <w:hideMark/>
          </w:tcPr>
          <w:p w14:paraId="575B9C82" w14:textId="6D39527F" w:rsidR="00397ABE" w:rsidRPr="00FB1D05" w:rsidRDefault="00397ABE" w:rsidP="00E84936">
            <w:pPr>
              <w:pStyle w:val="Textodebloque"/>
              <w:ind w:left="0" w:right="6"/>
              <w:contextualSpacing/>
              <w:jc w:val="center"/>
              <w:rPr>
                <w:rFonts w:ascii="Bookman Old Style" w:hAnsi="Bookman Old Style"/>
                <w:i/>
                <w:sz w:val="20"/>
                <w:lang w:val="es-ES"/>
              </w:rPr>
            </w:pPr>
            <w:r w:rsidRPr="00FB1D05">
              <w:rPr>
                <w:rFonts w:ascii="Bookman Old Style" w:hAnsi="Bookman Old Style"/>
                <w:i/>
                <w:sz w:val="20"/>
                <w:lang w:val="es-ES"/>
              </w:rPr>
              <w:t>404.24</w:t>
            </w:r>
          </w:p>
        </w:tc>
        <w:tc>
          <w:tcPr>
            <w:tcW w:w="1380" w:type="dxa"/>
            <w:noWrap/>
            <w:vAlign w:val="center"/>
            <w:hideMark/>
          </w:tcPr>
          <w:p w14:paraId="709002C9" w14:textId="785886B2" w:rsidR="00397ABE" w:rsidRPr="00FB1D05" w:rsidRDefault="00397ABE" w:rsidP="00E84936">
            <w:pPr>
              <w:pStyle w:val="Textodebloque"/>
              <w:ind w:left="0" w:right="6"/>
              <w:contextualSpacing/>
              <w:jc w:val="center"/>
              <w:rPr>
                <w:rFonts w:ascii="Bookman Old Style" w:hAnsi="Bookman Old Style"/>
                <w:i/>
                <w:sz w:val="20"/>
                <w:lang w:val="es-ES"/>
              </w:rPr>
            </w:pPr>
            <w:r w:rsidRPr="00FB1D05">
              <w:rPr>
                <w:rFonts w:ascii="Bookman Old Style" w:hAnsi="Bookman Old Style"/>
                <w:i/>
                <w:sz w:val="20"/>
                <w:lang w:val="es-ES"/>
              </w:rPr>
              <w:t>168.62</w:t>
            </w:r>
          </w:p>
        </w:tc>
        <w:tc>
          <w:tcPr>
            <w:tcW w:w="1240" w:type="dxa"/>
            <w:noWrap/>
            <w:vAlign w:val="center"/>
            <w:hideMark/>
          </w:tcPr>
          <w:p w14:paraId="5FC7D7DF" w14:textId="77346162" w:rsidR="00397ABE" w:rsidRPr="00FB1D05" w:rsidRDefault="00397ABE" w:rsidP="00E84936">
            <w:pPr>
              <w:pStyle w:val="Textodebloque"/>
              <w:ind w:left="0" w:right="6"/>
              <w:contextualSpacing/>
              <w:jc w:val="center"/>
              <w:rPr>
                <w:rFonts w:ascii="Bookman Old Style" w:hAnsi="Bookman Old Style"/>
                <w:i/>
                <w:sz w:val="20"/>
                <w:lang w:val="es-ES"/>
              </w:rPr>
            </w:pPr>
            <w:r w:rsidRPr="00FB1D05">
              <w:rPr>
                <w:rFonts w:ascii="Bookman Old Style" w:hAnsi="Bookman Old Style"/>
                <w:i/>
                <w:sz w:val="20"/>
                <w:lang w:val="es-ES"/>
              </w:rPr>
              <w:t>192.18</w:t>
            </w:r>
          </w:p>
        </w:tc>
        <w:tc>
          <w:tcPr>
            <w:tcW w:w="1612" w:type="dxa"/>
            <w:vAlign w:val="center"/>
          </w:tcPr>
          <w:p w14:paraId="107DF123" w14:textId="1205ADA3" w:rsidR="00397ABE" w:rsidRPr="00FB1D05" w:rsidRDefault="00397ABE" w:rsidP="00E84936">
            <w:pPr>
              <w:pStyle w:val="Textodebloque"/>
              <w:ind w:right="6"/>
              <w:contextualSpacing/>
              <w:jc w:val="center"/>
              <w:rPr>
                <w:rFonts w:ascii="Bookman Old Style" w:hAnsi="Bookman Old Style"/>
                <w:i/>
                <w:sz w:val="20"/>
                <w:lang w:val="es-ES"/>
              </w:rPr>
            </w:pPr>
            <w:r>
              <w:rPr>
                <w:rFonts w:ascii="Bookman Old Style" w:hAnsi="Bookman Old Style"/>
                <w:i/>
                <w:sz w:val="20"/>
                <w:lang w:val="es-ES"/>
              </w:rPr>
              <w:t>16.67%</w:t>
            </w:r>
          </w:p>
        </w:tc>
      </w:tr>
      <w:tr w:rsidR="00397ABE" w:rsidRPr="00FB1D05" w14:paraId="3EDF2C15" w14:textId="77777777" w:rsidTr="00D3771C">
        <w:trPr>
          <w:trHeight w:hRule="exact" w:val="397"/>
        </w:trPr>
        <w:tc>
          <w:tcPr>
            <w:tcW w:w="1740" w:type="dxa"/>
            <w:noWrap/>
            <w:vAlign w:val="center"/>
            <w:hideMark/>
          </w:tcPr>
          <w:p w14:paraId="3FACC7F4" w14:textId="77777777" w:rsidR="00397ABE" w:rsidRPr="00FB1D05" w:rsidRDefault="00397ABE" w:rsidP="00E84936">
            <w:pPr>
              <w:pStyle w:val="Textodebloque"/>
              <w:ind w:left="172" w:right="6"/>
              <w:contextualSpacing/>
              <w:rPr>
                <w:rFonts w:ascii="Bookman Old Style" w:hAnsi="Bookman Old Style"/>
                <w:b/>
                <w:bCs/>
                <w:i/>
                <w:sz w:val="20"/>
                <w:lang w:val="es-ES"/>
              </w:rPr>
            </w:pPr>
            <w:r w:rsidRPr="00FB1D05">
              <w:rPr>
                <w:rFonts w:ascii="Bookman Old Style" w:hAnsi="Bookman Old Style"/>
                <w:b/>
                <w:bCs/>
                <w:i/>
                <w:sz w:val="20"/>
                <w:lang w:val="es-ES"/>
              </w:rPr>
              <w:t>Total</w:t>
            </w:r>
          </w:p>
        </w:tc>
        <w:tc>
          <w:tcPr>
            <w:tcW w:w="1640" w:type="dxa"/>
            <w:noWrap/>
            <w:vAlign w:val="center"/>
            <w:hideMark/>
          </w:tcPr>
          <w:p w14:paraId="627FC0CB" w14:textId="2F88DD38" w:rsidR="00397ABE" w:rsidRPr="00FB1D05" w:rsidRDefault="00397ABE" w:rsidP="00E84936">
            <w:pPr>
              <w:pStyle w:val="Textodebloque"/>
              <w:ind w:left="0" w:right="6"/>
              <w:contextualSpacing/>
              <w:jc w:val="center"/>
              <w:rPr>
                <w:rFonts w:ascii="Bookman Old Style" w:hAnsi="Bookman Old Style"/>
                <w:b/>
                <w:bCs/>
                <w:i/>
                <w:sz w:val="20"/>
                <w:lang w:val="es-ES"/>
              </w:rPr>
            </w:pPr>
            <w:r w:rsidRPr="00FB1D05">
              <w:rPr>
                <w:rFonts w:ascii="Bookman Old Style" w:hAnsi="Bookman Old Style"/>
                <w:b/>
                <w:bCs/>
                <w:i/>
                <w:sz w:val="20"/>
                <w:lang w:val="es-ES"/>
              </w:rPr>
              <w:t>611.21</w:t>
            </w:r>
          </w:p>
        </w:tc>
        <w:tc>
          <w:tcPr>
            <w:tcW w:w="1380" w:type="dxa"/>
            <w:noWrap/>
            <w:vAlign w:val="center"/>
            <w:hideMark/>
          </w:tcPr>
          <w:p w14:paraId="5A1424D4" w14:textId="309B877C" w:rsidR="00397ABE" w:rsidRPr="00FB1D05" w:rsidRDefault="00397ABE" w:rsidP="00E84936">
            <w:pPr>
              <w:pStyle w:val="Textodebloque"/>
              <w:ind w:left="0" w:right="6"/>
              <w:contextualSpacing/>
              <w:jc w:val="center"/>
              <w:rPr>
                <w:rFonts w:ascii="Bookman Old Style" w:hAnsi="Bookman Old Style"/>
                <w:b/>
                <w:bCs/>
                <w:i/>
                <w:sz w:val="20"/>
                <w:lang w:val="es-ES"/>
              </w:rPr>
            </w:pPr>
            <w:r w:rsidRPr="00FB1D05">
              <w:rPr>
                <w:rFonts w:ascii="Bookman Old Style" w:hAnsi="Bookman Old Style"/>
                <w:b/>
                <w:bCs/>
                <w:i/>
                <w:sz w:val="20"/>
                <w:lang w:val="es-ES"/>
              </w:rPr>
              <w:t>643.39</w:t>
            </w:r>
          </w:p>
        </w:tc>
        <w:tc>
          <w:tcPr>
            <w:tcW w:w="1240" w:type="dxa"/>
            <w:noWrap/>
            <w:vAlign w:val="center"/>
            <w:hideMark/>
          </w:tcPr>
          <w:p w14:paraId="51D5C73C" w14:textId="59A9673A" w:rsidR="00397ABE" w:rsidRPr="00FB1D05" w:rsidRDefault="00397ABE" w:rsidP="00E84936">
            <w:pPr>
              <w:pStyle w:val="Textodebloque"/>
              <w:ind w:left="0" w:right="6"/>
              <w:contextualSpacing/>
              <w:jc w:val="center"/>
              <w:rPr>
                <w:rFonts w:ascii="Bookman Old Style" w:hAnsi="Bookman Old Style"/>
                <w:b/>
                <w:bCs/>
                <w:i/>
                <w:sz w:val="20"/>
                <w:lang w:val="es-ES"/>
              </w:rPr>
            </w:pPr>
            <w:r w:rsidRPr="00FB1D05">
              <w:rPr>
                <w:rFonts w:ascii="Bookman Old Style" w:hAnsi="Bookman Old Style"/>
                <w:b/>
                <w:bCs/>
                <w:i/>
                <w:sz w:val="20"/>
                <w:lang w:val="es-ES"/>
              </w:rPr>
              <w:t>640.17</w:t>
            </w:r>
          </w:p>
        </w:tc>
        <w:tc>
          <w:tcPr>
            <w:tcW w:w="1612" w:type="dxa"/>
            <w:vAlign w:val="center"/>
          </w:tcPr>
          <w:p w14:paraId="552B93D0" w14:textId="2DA75BED" w:rsidR="00397ABE" w:rsidRPr="00FB1D05" w:rsidRDefault="00397ABE" w:rsidP="00E84936">
            <w:pPr>
              <w:pStyle w:val="Textodebloque"/>
              <w:ind w:right="6"/>
              <w:contextualSpacing/>
              <w:jc w:val="center"/>
              <w:rPr>
                <w:rFonts w:ascii="Bookman Old Style" w:hAnsi="Bookman Old Style"/>
                <w:b/>
                <w:bCs/>
                <w:i/>
                <w:sz w:val="20"/>
                <w:lang w:val="es-ES"/>
              </w:rPr>
            </w:pPr>
            <w:r>
              <w:rPr>
                <w:rFonts w:ascii="Bookman Old Style" w:hAnsi="Bookman Old Style"/>
                <w:b/>
                <w:bCs/>
                <w:i/>
                <w:sz w:val="20"/>
                <w:lang w:val="es-ES"/>
              </w:rPr>
              <w:t>56%</w:t>
            </w:r>
          </w:p>
        </w:tc>
      </w:tr>
    </w:tbl>
    <w:p w14:paraId="0CB4C19A" w14:textId="0C061724" w:rsidR="26A7944B" w:rsidRDefault="26A7944B"/>
    <w:p w14:paraId="2115764C" w14:textId="75495A1E" w:rsidR="009C4585" w:rsidRDefault="009C4585" w:rsidP="00A236DD">
      <w:pPr>
        <w:pStyle w:val="Textodebloque"/>
        <w:ind w:right="6"/>
        <w:contextualSpacing/>
        <w:rPr>
          <w:rFonts w:ascii="Bookman Old Style" w:hAnsi="Bookman Old Style"/>
          <w:i/>
          <w:sz w:val="20"/>
        </w:rPr>
      </w:pPr>
    </w:p>
    <w:tbl>
      <w:tblPr>
        <w:tblStyle w:val="Tablaconcuadrcula"/>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40"/>
        <w:gridCol w:w="1640"/>
        <w:gridCol w:w="1380"/>
      </w:tblGrid>
      <w:tr w:rsidR="00B60BFB" w:rsidRPr="00FB1D05" w14:paraId="7DAEC0AF" w14:textId="77777777" w:rsidTr="00397ABE">
        <w:trPr>
          <w:trHeight w:hRule="exact" w:val="454"/>
          <w:jc w:val="center"/>
        </w:trPr>
        <w:tc>
          <w:tcPr>
            <w:tcW w:w="1740" w:type="dxa"/>
            <w:noWrap/>
            <w:vAlign w:val="center"/>
            <w:hideMark/>
          </w:tcPr>
          <w:p w14:paraId="736F4242" w14:textId="7CEE7610" w:rsidR="00B60BFB" w:rsidRPr="00FB1D05" w:rsidRDefault="00B60BFB" w:rsidP="00B60BFB">
            <w:pPr>
              <w:pStyle w:val="Textodebloque"/>
              <w:ind w:left="30" w:right="6"/>
              <w:contextualSpacing/>
              <w:jc w:val="center"/>
              <w:rPr>
                <w:rFonts w:ascii="Bookman Old Style" w:hAnsi="Bookman Old Style"/>
                <w:b/>
                <w:bCs/>
                <w:i/>
                <w:sz w:val="20"/>
                <w:lang w:val="es-419"/>
              </w:rPr>
            </w:pPr>
            <w:r w:rsidRPr="00FB1D05">
              <w:rPr>
                <w:rFonts w:ascii="Bookman Old Style" w:hAnsi="Bookman Old Style"/>
                <w:b/>
                <w:bCs/>
                <w:i/>
                <w:sz w:val="20"/>
                <w:lang w:val="es-ES"/>
              </w:rPr>
              <w:lastRenderedPageBreak/>
              <w:t>Componente</w:t>
            </w:r>
          </w:p>
        </w:tc>
        <w:tc>
          <w:tcPr>
            <w:tcW w:w="1640" w:type="dxa"/>
            <w:noWrap/>
            <w:vAlign w:val="center"/>
            <w:hideMark/>
          </w:tcPr>
          <w:p w14:paraId="0E4DCC93" w14:textId="67030CFA" w:rsidR="00B60BFB" w:rsidRPr="00FB1D05" w:rsidRDefault="00B60BFB" w:rsidP="00B60BFB">
            <w:pPr>
              <w:pStyle w:val="Textodebloque"/>
              <w:ind w:left="0" w:right="6"/>
              <w:contextualSpacing/>
              <w:jc w:val="center"/>
              <w:rPr>
                <w:rFonts w:ascii="Bookman Old Style" w:hAnsi="Bookman Old Style"/>
                <w:b/>
                <w:bCs/>
                <w:i/>
                <w:sz w:val="20"/>
                <w:lang w:val="es-ES"/>
              </w:rPr>
            </w:pPr>
            <w:r w:rsidRPr="00FB1D05">
              <w:rPr>
                <w:rFonts w:ascii="Bookman Old Style" w:hAnsi="Bookman Old Style"/>
                <w:b/>
                <w:bCs/>
                <w:i/>
                <w:sz w:val="20"/>
                <w:lang w:val="es-ES"/>
              </w:rPr>
              <w:t>Biomasa 200</w:t>
            </w:r>
            <w:r>
              <w:rPr>
                <w:rFonts w:ascii="Bookman Old Style" w:hAnsi="Bookman Old Style"/>
                <w:b/>
                <w:bCs/>
                <w:i/>
                <w:sz w:val="20"/>
                <w:lang w:val="es-ES"/>
              </w:rPr>
              <w:t>6</w:t>
            </w:r>
          </w:p>
        </w:tc>
        <w:tc>
          <w:tcPr>
            <w:tcW w:w="1380" w:type="dxa"/>
            <w:vAlign w:val="center"/>
          </w:tcPr>
          <w:p w14:paraId="5F51AC47" w14:textId="069155F7" w:rsidR="00B60BFB" w:rsidRDefault="00B60BFB" w:rsidP="00397ABE">
            <w:pPr>
              <w:pStyle w:val="Textodebloque"/>
              <w:ind w:left="0" w:right="6"/>
              <w:contextualSpacing/>
              <w:jc w:val="center"/>
              <w:rPr>
                <w:rFonts w:ascii="Bookman Old Style" w:hAnsi="Bookman Old Style"/>
                <w:b/>
                <w:bCs/>
                <w:i/>
                <w:sz w:val="20"/>
                <w:lang w:val="es-ES"/>
              </w:rPr>
            </w:pPr>
            <w:r w:rsidRPr="00FB1D05">
              <w:rPr>
                <w:rFonts w:ascii="Bookman Old Style" w:hAnsi="Bookman Old Style"/>
                <w:b/>
                <w:bCs/>
                <w:i/>
                <w:sz w:val="20"/>
                <w:lang w:val="es-ES"/>
              </w:rPr>
              <w:t>Biomasa 20</w:t>
            </w:r>
            <w:r>
              <w:rPr>
                <w:rFonts w:ascii="Bookman Old Style" w:hAnsi="Bookman Old Style"/>
                <w:b/>
                <w:bCs/>
                <w:i/>
                <w:sz w:val="20"/>
                <w:lang w:val="es-ES"/>
              </w:rPr>
              <w:t>21</w:t>
            </w:r>
          </w:p>
        </w:tc>
      </w:tr>
      <w:tr w:rsidR="00B60BFB" w:rsidRPr="00FB1D05" w14:paraId="5E132054" w14:textId="77777777" w:rsidTr="00A32DD9">
        <w:trPr>
          <w:trHeight w:hRule="exact" w:val="454"/>
          <w:jc w:val="center"/>
        </w:trPr>
        <w:tc>
          <w:tcPr>
            <w:tcW w:w="1740" w:type="dxa"/>
            <w:noWrap/>
            <w:vAlign w:val="center"/>
            <w:hideMark/>
          </w:tcPr>
          <w:p w14:paraId="3422E2D9" w14:textId="77777777" w:rsidR="00B60BFB" w:rsidRPr="00FB1D05" w:rsidRDefault="00B60BFB" w:rsidP="00D3771C">
            <w:pPr>
              <w:pStyle w:val="Textodebloque"/>
              <w:ind w:left="0" w:right="6"/>
              <w:contextualSpacing/>
              <w:jc w:val="center"/>
              <w:rPr>
                <w:rFonts w:ascii="Bookman Old Style" w:hAnsi="Bookman Old Style"/>
                <w:i/>
                <w:sz w:val="20"/>
                <w:lang w:val="es-ES"/>
              </w:rPr>
            </w:pPr>
            <w:r w:rsidRPr="00FB1D05">
              <w:rPr>
                <w:rFonts w:ascii="Bookman Old Style" w:hAnsi="Bookman Old Style"/>
                <w:i/>
                <w:sz w:val="20"/>
                <w:lang w:val="es-ES"/>
              </w:rPr>
              <w:t>Inversión</w:t>
            </w:r>
          </w:p>
        </w:tc>
        <w:tc>
          <w:tcPr>
            <w:tcW w:w="1640" w:type="dxa"/>
            <w:noWrap/>
            <w:vAlign w:val="center"/>
            <w:hideMark/>
          </w:tcPr>
          <w:p w14:paraId="3965809D" w14:textId="33E23342" w:rsidR="00B60BFB" w:rsidRPr="00FB1D05" w:rsidRDefault="00B60BFB" w:rsidP="00B60BFB">
            <w:pPr>
              <w:pStyle w:val="Textodebloque"/>
              <w:ind w:left="0" w:right="6"/>
              <w:contextualSpacing/>
              <w:jc w:val="center"/>
              <w:rPr>
                <w:rFonts w:ascii="Bookman Old Style" w:hAnsi="Bookman Old Style"/>
                <w:i/>
                <w:sz w:val="20"/>
                <w:lang w:val="es-ES"/>
              </w:rPr>
            </w:pPr>
            <w:r w:rsidRPr="00FB1D05">
              <w:rPr>
                <w:rFonts w:ascii="Bookman Old Style" w:hAnsi="Bookman Old Style"/>
                <w:i/>
                <w:sz w:val="20"/>
                <w:lang w:val="es-ES"/>
              </w:rPr>
              <w:t>297.56</w:t>
            </w:r>
          </w:p>
        </w:tc>
        <w:tc>
          <w:tcPr>
            <w:tcW w:w="1380" w:type="dxa"/>
            <w:vAlign w:val="center"/>
          </w:tcPr>
          <w:p w14:paraId="131EF324" w14:textId="3F051A14" w:rsidR="00B60BFB" w:rsidRPr="00FB1D05" w:rsidRDefault="00B60BFB" w:rsidP="00D3771C">
            <w:pPr>
              <w:pStyle w:val="Textodebloque"/>
              <w:ind w:left="0" w:right="6"/>
              <w:contextualSpacing/>
              <w:jc w:val="center"/>
              <w:rPr>
                <w:rFonts w:ascii="Bookman Old Style" w:hAnsi="Bookman Old Style"/>
                <w:i/>
                <w:sz w:val="20"/>
                <w:lang w:val="es-ES"/>
              </w:rPr>
            </w:pPr>
            <w:r>
              <w:rPr>
                <w:rFonts w:ascii="Bookman Old Style" w:hAnsi="Bookman Old Style"/>
                <w:i/>
                <w:sz w:val="20"/>
                <w:lang w:val="es-ES"/>
              </w:rPr>
              <w:t>536.02</w:t>
            </w:r>
          </w:p>
        </w:tc>
      </w:tr>
      <w:tr w:rsidR="00B60BFB" w:rsidRPr="00FB1D05" w14:paraId="70BB216A" w14:textId="77777777" w:rsidTr="00A32DD9">
        <w:trPr>
          <w:trHeight w:hRule="exact" w:val="454"/>
          <w:jc w:val="center"/>
        </w:trPr>
        <w:tc>
          <w:tcPr>
            <w:tcW w:w="1740" w:type="dxa"/>
            <w:noWrap/>
            <w:vAlign w:val="center"/>
            <w:hideMark/>
          </w:tcPr>
          <w:p w14:paraId="1ECC2C75" w14:textId="77777777" w:rsidR="00B60BFB" w:rsidRPr="00FB1D05" w:rsidRDefault="00B60BFB" w:rsidP="00D3771C">
            <w:pPr>
              <w:pStyle w:val="Textodebloque"/>
              <w:ind w:left="0" w:right="6"/>
              <w:contextualSpacing/>
              <w:jc w:val="center"/>
              <w:rPr>
                <w:rFonts w:ascii="Bookman Old Style" w:hAnsi="Bookman Old Style"/>
                <w:i/>
                <w:sz w:val="20"/>
                <w:lang w:val="es-ES"/>
              </w:rPr>
            </w:pPr>
            <w:r w:rsidRPr="00FB1D05">
              <w:rPr>
                <w:rFonts w:ascii="Bookman Old Style" w:hAnsi="Bookman Old Style"/>
                <w:i/>
                <w:sz w:val="20"/>
                <w:lang w:val="es-ES"/>
              </w:rPr>
              <w:t>AOM</w:t>
            </w:r>
          </w:p>
        </w:tc>
        <w:tc>
          <w:tcPr>
            <w:tcW w:w="1640" w:type="dxa"/>
            <w:noWrap/>
            <w:vAlign w:val="center"/>
            <w:hideMark/>
          </w:tcPr>
          <w:p w14:paraId="19D2343C" w14:textId="1A45488B" w:rsidR="00B60BFB" w:rsidRPr="00FB1D05" w:rsidRDefault="00B60BFB" w:rsidP="00B60BFB">
            <w:pPr>
              <w:pStyle w:val="Textodebloque"/>
              <w:ind w:left="0" w:right="6"/>
              <w:contextualSpacing/>
              <w:jc w:val="center"/>
              <w:rPr>
                <w:rFonts w:ascii="Bookman Old Style" w:hAnsi="Bookman Old Style"/>
                <w:i/>
                <w:sz w:val="20"/>
                <w:lang w:val="es-ES"/>
              </w:rPr>
            </w:pPr>
            <w:r w:rsidRPr="00FB1D05">
              <w:rPr>
                <w:rFonts w:ascii="Bookman Old Style" w:hAnsi="Bookman Old Style"/>
                <w:i/>
                <w:sz w:val="20"/>
                <w:lang w:val="es-ES"/>
              </w:rPr>
              <w:t>177.21</w:t>
            </w:r>
          </w:p>
        </w:tc>
        <w:tc>
          <w:tcPr>
            <w:tcW w:w="1380" w:type="dxa"/>
            <w:vAlign w:val="center"/>
          </w:tcPr>
          <w:p w14:paraId="72AD6AA0" w14:textId="6D873023" w:rsidR="00B60BFB" w:rsidRPr="00FB1D05" w:rsidRDefault="00B60BFB" w:rsidP="00D3771C">
            <w:pPr>
              <w:pStyle w:val="Textodebloque"/>
              <w:ind w:left="0" w:right="6"/>
              <w:contextualSpacing/>
              <w:jc w:val="center"/>
              <w:rPr>
                <w:rFonts w:ascii="Bookman Old Style" w:hAnsi="Bookman Old Style"/>
                <w:i/>
                <w:sz w:val="20"/>
                <w:lang w:val="es-ES"/>
              </w:rPr>
            </w:pPr>
            <w:r>
              <w:rPr>
                <w:rFonts w:ascii="Bookman Old Style" w:hAnsi="Bookman Old Style"/>
                <w:i/>
                <w:sz w:val="20"/>
                <w:lang w:val="es-ES"/>
              </w:rPr>
              <w:t>319.22</w:t>
            </w:r>
          </w:p>
        </w:tc>
      </w:tr>
    </w:tbl>
    <w:p w14:paraId="2F9BD3AC" w14:textId="77777777" w:rsidR="00397ABE" w:rsidRDefault="00397ABE" w:rsidP="00A32DD9">
      <w:pPr>
        <w:pStyle w:val="Textodebloque"/>
        <w:ind w:left="0" w:right="6"/>
        <w:contextualSpacing/>
        <w:rPr>
          <w:rFonts w:ascii="Bookman Old Style" w:hAnsi="Bookman Old Style"/>
          <w:i/>
          <w:sz w:val="20"/>
        </w:rPr>
      </w:pPr>
    </w:p>
    <w:p w14:paraId="0BFE5878" w14:textId="2759B5A7" w:rsidR="00397ABE" w:rsidRDefault="00397ABE" w:rsidP="00214B1D">
      <w:pPr>
        <w:pStyle w:val="Textodebloque"/>
        <w:tabs>
          <w:tab w:val="left" w:pos="2474"/>
        </w:tabs>
        <w:ind w:left="284" w:right="6"/>
        <w:contextualSpacing/>
        <w:rPr>
          <w:rFonts w:ascii="Bookman Old Style" w:hAnsi="Bookman Old Style"/>
          <w:b/>
          <w:szCs w:val="24"/>
        </w:rPr>
      </w:pPr>
    </w:p>
    <w:p w14:paraId="24A5BEEF" w14:textId="08144095" w:rsidR="00E21C91" w:rsidRPr="00583ED4" w:rsidRDefault="00E21C91" w:rsidP="00E21C91">
      <w:pPr>
        <w:pStyle w:val="Textodebloque"/>
        <w:ind w:left="284" w:right="6"/>
        <w:contextualSpacing/>
        <w:rPr>
          <w:rFonts w:ascii="Bookman Old Style" w:hAnsi="Bookman Old Style"/>
          <w:b/>
          <w:szCs w:val="24"/>
        </w:rPr>
      </w:pPr>
      <w:r w:rsidRPr="00583ED4">
        <w:rPr>
          <w:rFonts w:ascii="Bookman Old Style" w:hAnsi="Bookman Old Style"/>
          <w:b/>
          <w:szCs w:val="24"/>
        </w:rPr>
        <w:t>III. CONSIDERACIONES DE LA CREG</w:t>
      </w:r>
    </w:p>
    <w:p w14:paraId="059AA74D" w14:textId="77777777" w:rsidR="00E21C91" w:rsidRPr="00E21C91" w:rsidRDefault="00E21C91" w:rsidP="00E21C91">
      <w:pPr>
        <w:pStyle w:val="Textodebloque"/>
        <w:ind w:left="284" w:right="6"/>
        <w:contextualSpacing/>
        <w:rPr>
          <w:rFonts w:ascii="Bookman Old Style" w:hAnsi="Bookman Old Style"/>
          <w:szCs w:val="24"/>
        </w:rPr>
      </w:pPr>
    </w:p>
    <w:p w14:paraId="4ABBE44E" w14:textId="6FBCBC53" w:rsidR="00E75716" w:rsidRDefault="00E21C91" w:rsidP="00E21C91">
      <w:pPr>
        <w:pStyle w:val="Textodebloque"/>
        <w:ind w:left="284" w:right="6"/>
        <w:contextualSpacing/>
        <w:rPr>
          <w:rFonts w:ascii="Bookman Old Style" w:hAnsi="Bookman Old Style"/>
          <w:szCs w:val="24"/>
        </w:rPr>
      </w:pPr>
      <w:r w:rsidRPr="00E21C91">
        <w:rPr>
          <w:rFonts w:ascii="Bookman Old Style" w:hAnsi="Bookman Old Style"/>
          <w:szCs w:val="24"/>
        </w:rPr>
        <w:t xml:space="preserve">Frente a los argumentos expuestos por el recurrente en el recurso de reposición, se advierte por parte de esta Comisión que los mismos tienen como objeto solicitar </w:t>
      </w:r>
      <w:r w:rsidR="00F60C1B">
        <w:rPr>
          <w:rFonts w:ascii="Bookman Old Style" w:hAnsi="Bookman Old Style"/>
          <w:szCs w:val="24"/>
        </w:rPr>
        <w:t xml:space="preserve">que </w:t>
      </w:r>
      <w:r w:rsidRPr="00E21C91">
        <w:rPr>
          <w:rFonts w:ascii="Bookman Old Style" w:hAnsi="Bookman Old Style"/>
          <w:szCs w:val="24"/>
        </w:rPr>
        <w:t>se modifique la Resolución CREG 501 0</w:t>
      </w:r>
      <w:r w:rsidR="00583ED4">
        <w:rPr>
          <w:rFonts w:ascii="Bookman Old Style" w:hAnsi="Bookman Old Style"/>
          <w:szCs w:val="24"/>
        </w:rPr>
        <w:t>59</w:t>
      </w:r>
      <w:r w:rsidRPr="00E21C91">
        <w:rPr>
          <w:rFonts w:ascii="Bookman Old Style" w:hAnsi="Bookman Old Style"/>
          <w:szCs w:val="24"/>
        </w:rPr>
        <w:t xml:space="preserve"> de 2022 expedida por la CREG. En relación con lo anterior, se debe tener en cuenta en cada caso lo siguiente:</w:t>
      </w:r>
    </w:p>
    <w:p w14:paraId="34899346" w14:textId="7D32F310" w:rsidR="002221EE" w:rsidRDefault="002221EE" w:rsidP="00E21C91">
      <w:pPr>
        <w:pStyle w:val="Textodebloque"/>
        <w:ind w:left="284" w:right="6"/>
        <w:contextualSpacing/>
        <w:rPr>
          <w:rFonts w:ascii="Bookman Old Style" w:hAnsi="Bookman Old Style"/>
          <w:szCs w:val="24"/>
        </w:rPr>
      </w:pPr>
    </w:p>
    <w:p w14:paraId="26A3BA21" w14:textId="08478F0E" w:rsidR="002221EE" w:rsidRPr="00E44F4F" w:rsidRDefault="00AC7433" w:rsidP="008532C7">
      <w:pPr>
        <w:pStyle w:val="Textodebloque"/>
        <w:numPr>
          <w:ilvl w:val="0"/>
          <w:numId w:val="2"/>
        </w:numPr>
        <w:ind w:left="284" w:right="6" w:firstLine="0"/>
        <w:contextualSpacing/>
        <w:rPr>
          <w:rFonts w:ascii="Bookman Old Style" w:hAnsi="Bookman Old Style"/>
          <w:b/>
          <w:szCs w:val="24"/>
        </w:rPr>
      </w:pPr>
      <w:r w:rsidRPr="00E44F4F">
        <w:rPr>
          <w:rFonts w:ascii="Bookman Old Style" w:hAnsi="Bookman Old Style"/>
          <w:b/>
          <w:szCs w:val="24"/>
        </w:rPr>
        <w:t xml:space="preserve">LA DETERMINACION DEL CARGO MÁXIMO DE GENERACION DIFIERE DE LA DETERMINACION DEL COMPONENTE G DENTRO DEL CALCULO DEL COSTO UNITARIO </w:t>
      </w:r>
      <w:proofErr w:type="spellStart"/>
      <w:r w:rsidRPr="00E44F4F">
        <w:rPr>
          <w:rFonts w:ascii="Bookman Old Style" w:hAnsi="Bookman Old Style"/>
          <w:b/>
          <w:szCs w:val="24"/>
        </w:rPr>
        <w:t>kw</w:t>
      </w:r>
      <w:proofErr w:type="spellEnd"/>
      <w:r w:rsidRPr="00E44F4F">
        <w:rPr>
          <w:rFonts w:ascii="Bookman Old Style" w:hAnsi="Bookman Old Style"/>
          <w:b/>
          <w:szCs w:val="24"/>
        </w:rPr>
        <w:t>/h PARA EFECTOS DE LA FIJACION DE TARIFA AL USUARIO.</w:t>
      </w:r>
    </w:p>
    <w:p w14:paraId="3C47B55F" w14:textId="77777777" w:rsidR="00AC7433" w:rsidRPr="00AC7433" w:rsidRDefault="00AC7433" w:rsidP="00AC7433">
      <w:pPr>
        <w:pStyle w:val="Textodebloque"/>
        <w:ind w:right="6"/>
        <w:contextualSpacing/>
        <w:rPr>
          <w:rFonts w:ascii="Bookman Old Style" w:hAnsi="Bookman Old Style"/>
          <w:szCs w:val="24"/>
        </w:rPr>
      </w:pPr>
    </w:p>
    <w:p w14:paraId="7DA70279" w14:textId="668C71EC" w:rsidR="00AC7433" w:rsidRPr="00AC7433" w:rsidRDefault="0060618C" w:rsidP="0026731C">
      <w:pPr>
        <w:pStyle w:val="Textodebloque"/>
        <w:ind w:left="284" w:right="6"/>
        <w:contextualSpacing/>
        <w:rPr>
          <w:rFonts w:ascii="Bookman Old Style" w:hAnsi="Bookman Old Style"/>
          <w:szCs w:val="24"/>
        </w:rPr>
      </w:pPr>
      <w:r>
        <w:rPr>
          <w:rFonts w:ascii="Bookman Old Style" w:hAnsi="Bookman Old Style"/>
          <w:szCs w:val="24"/>
        </w:rPr>
        <w:t>Frente a este punto</w:t>
      </w:r>
      <w:r w:rsidR="00F60C1B">
        <w:rPr>
          <w:rFonts w:ascii="Bookman Old Style" w:hAnsi="Bookman Old Style"/>
          <w:szCs w:val="24"/>
        </w:rPr>
        <w:t>,</w:t>
      </w:r>
      <w:r>
        <w:rPr>
          <w:rFonts w:ascii="Bookman Old Style" w:hAnsi="Bookman Old Style"/>
          <w:szCs w:val="24"/>
        </w:rPr>
        <w:t xml:space="preserve"> </w:t>
      </w:r>
      <w:r w:rsidR="0026731C">
        <w:rPr>
          <w:rFonts w:ascii="Bookman Old Style" w:hAnsi="Bookman Old Style"/>
          <w:szCs w:val="24"/>
        </w:rPr>
        <w:t>e</w:t>
      </w:r>
      <w:r w:rsidR="00AC7433" w:rsidRPr="00AC7433">
        <w:rPr>
          <w:rFonts w:ascii="Bookman Old Style" w:hAnsi="Bookman Old Style"/>
          <w:szCs w:val="24"/>
        </w:rPr>
        <w:t>n primer lugar, se debe aclarar que los cargos máximos para la prestación del servicio de energía eléctrica en Zonas No Interconectadas, ZNI, se determinan por mercado relevante de comercialización, según lo previsto en la metodología tarifaria vigente,</w:t>
      </w:r>
      <w:r w:rsidR="00592399">
        <w:rPr>
          <w:rFonts w:ascii="Bookman Old Style" w:hAnsi="Bookman Old Style"/>
          <w:szCs w:val="24"/>
        </w:rPr>
        <w:t xml:space="preserve"> fijada en la</w:t>
      </w:r>
      <w:r w:rsidR="00AC7433" w:rsidRPr="00AC7433">
        <w:rPr>
          <w:rFonts w:ascii="Bookman Old Style" w:hAnsi="Bookman Old Style"/>
          <w:szCs w:val="24"/>
        </w:rPr>
        <w:t xml:space="preserve"> Resolución CREG 091 de 2007, y no por proyecto o empresa. Estos cargos máximos son, como su nombre lo indica, los valores máximos que el comercializador podrá trasladar a los usuarios del mercado relevante de comercialización que atienda.</w:t>
      </w:r>
    </w:p>
    <w:p w14:paraId="0B16DE69" w14:textId="77777777" w:rsidR="00AC7433" w:rsidRPr="00AC7433" w:rsidRDefault="00AC7433" w:rsidP="00AC7433">
      <w:pPr>
        <w:pStyle w:val="Textodebloque"/>
        <w:ind w:left="284" w:right="6"/>
        <w:contextualSpacing/>
        <w:rPr>
          <w:rFonts w:ascii="Bookman Old Style" w:hAnsi="Bookman Old Style"/>
          <w:szCs w:val="24"/>
        </w:rPr>
      </w:pPr>
    </w:p>
    <w:p w14:paraId="075F1EC4" w14:textId="77777777" w:rsidR="00AC7433" w:rsidRPr="00AC7433" w:rsidRDefault="00AC7433" w:rsidP="00AC7433">
      <w:pPr>
        <w:pStyle w:val="Textodebloque"/>
        <w:ind w:left="284" w:right="6"/>
        <w:contextualSpacing/>
        <w:rPr>
          <w:rFonts w:ascii="Bookman Old Style" w:hAnsi="Bookman Old Style"/>
          <w:szCs w:val="24"/>
        </w:rPr>
      </w:pPr>
      <w:r w:rsidRPr="00AC7433">
        <w:rPr>
          <w:rFonts w:ascii="Bookman Old Style" w:hAnsi="Bookman Old Style"/>
          <w:szCs w:val="24"/>
        </w:rPr>
        <w:t>En el caso particular de los cargos máximos de generación, la Resolución CREG 091 de 2007 indica:</w:t>
      </w:r>
    </w:p>
    <w:p w14:paraId="672BF6A7" w14:textId="77777777" w:rsidR="00AC7433" w:rsidRPr="00AC7433" w:rsidRDefault="00AC7433" w:rsidP="00AC7433">
      <w:pPr>
        <w:pStyle w:val="Textodebloque"/>
        <w:ind w:left="284" w:right="6"/>
        <w:contextualSpacing/>
        <w:rPr>
          <w:rFonts w:ascii="Bookman Old Style" w:hAnsi="Bookman Old Style"/>
          <w:szCs w:val="24"/>
        </w:rPr>
      </w:pPr>
    </w:p>
    <w:p w14:paraId="1CA26061" w14:textId="77777777" w:rsidR="00AC7433" w:rsidRPr="004E6234" w:rsidRDefault="00AC7433" w:rsidP="00E453D6">
      <w:pPr>
        <w:pStyle w:val="Textodebloque"/>
        <w:ind w:right="6"/>
        <w:contextualSpacing/>
        <w:rPr>
          <w:rFonts w:ascii="Bookman Old Style" w:hAnsi="Bookman Old Style"/>
          <w:i/>
          <w:sz w:val="22"/>
          <w:szCs w:val="22"/>
        </w:rPr>
      </w:pPr>
      <w:r w:rsidRPr="004E6234">
        <w:rPr>
          <w:rFonts w:ascii="Bookman Old Style" w:hAnsi="Bookman Old Style"/>
          <w:i/>
          <w:sz w:val="22"/>
          <w:szCs w:val="22"/>
        </w:rPr>
        <w:t>“</w:t>
      </w:r>
      <w:r w:rsidRPr="004E6234">
        <w:rPr>
          <w:rFonts w:ascii="Bookman Old Style" w:hAnsi="Bookman Old Style"/>
          <w:b/>
          <w:bCs/>
          <w:i/>
          <w:sz w:val="22"/>
          <w:szCs w:val="22"/>
        </w:rPr>
        <w:t>Artículo 20.</w:t>
      </w:r>
      <w:r w:rsidRPr="004E6234">
        <w:rPr>
          <w:rFonts w:ascii="Bookman Old Style" w:hAnsi="Bookman Old Style"/>
          <w:i/>
          <w:sz w:val="22"/>
          <w:szCs w:val="22"/>
        </w:rPr>
        <w:t xml:space="preserve"> </w:t>
      </w:r>
      <w:r w:rsidRPr="004E6234">
        <w:rPr>
          <w:rFonts w:ascii="Bookman Old Style" w:hAnsi="Bookman Old Style"/>
          <w:b/>
          <w:i/>
          <w:sz w:val="22"/>
          <w:szCs w:val="22"/>
        </w:rPr>
        <w:t>Determinación de Cargos Máximos de Generación por Costos Medios</w:t>
      </w:r>
      <w:r w:rsidRPr="004E6234">
        <w:rPr>
          <w:rFonts w:ascii="Bookman Old Style" w:hAnsi="Bookman Old Style"/>
          <w:i/>
          <w:sz w:val="22"/>
          <w:szCs w:val="22"/>
        </w:rPr>
        <w:t xml:space="preserve">. </w:t>
      </w:r>
      <w:r w:rsidRPr="004E6234">
        <w:rPr>
          <w:rFonts w:ascii="Bookman Old Style" w:hAnsi="Bookman Old Style"/>
          <w:i/>
          <w:sz w:val="22"/>
          <w:szCs w:val="22"/>
          <w:u w:val="single"/>
        </w:rPr>
        <w:t>Los Cargos Máximos de Generación, se calcularán a partir de la Inversión de cada tecnología</w:t>
      </w:r>
      <w:r w:rsidRPr="004E6234">
        <w:rPr>
          <w:rFonts w:ascii="Bookman Old Style" w:hAnsi="Bookman Old Style"/>
          <w:i/>
          <w:sz w:val="22"/>
          <w:szCs w:val="22"/>
        </w:rPr>
        <w:t xml:space="preserve">, el Costo de Capital Invertido, los gastos de Administración, Operación y Mantenimiento, y las horas de prestación del servicio.” </w:t>
      </w:r>
      <w:r w:rsidRPr="004E6234">
        <w:rPr>
          <w:rFonts w:ascii="Bookman Old Style" w:hAnsi="Bookman Old Style"/>
          <w:iCs/>
          <w:sz w:val="22"/>
          <w:szCs w:val="22"/>
        </w:rPr>
        <w:t>Subrayado fuera de texto</w:t>
      </w:r>
    </w:p>
    <w:p w14:paraId="1C581872" w14:textId="77777777" w:rsidR="00AC7433" w:rsidRPr="00AC7433" w:rsidRDefault="00AC7433" w:rsidP="00AC7433">
      <w:pPr>
        <w:pStyle w:val="Textodebloque"/>
        <w:ind w:left="284" w:right="6"/>
        <w:contextualSpacing/>
        <w:rPr>
          <w:rFonts w:ascii="Bookman Old Style" w:hAnsi="Bookman Old Style"/>
          <w:szCs w:val="24"/>
        </w:rPr>
      </w:pPr>
    </w:p>
    <w:p w14:paraId="7AAE9185" w14:textId="77777777" w:rsidR="00AC7433" w:rsidRPr="00AC7433" w:rsidRDefault="00AC7433" w:rsidP="00AC7433">
      <w:pPr>
        <w:pStyle w:val="Textodebloque"/>
        <w:ind w:left="284" w:right="6"/>
        <w:contextualSpacing/>
        <w:rPr>
          <w:rFonts w:ascii="Bookman Old Style" w:hAnsi="Bookman Old Style"/>
          <w:szCs w:val="24"/>
        </w:rPr>
      </w:pPr>
      <w:r w:rsidRPr="00AC7433">
        <w:rPr>
          <w:rFonts w:ascii="Bookman Old Style" w:hAnsi="Bookman Old Style"/>
          <w:szCs w:val="24"/>
        </w:rPr>
        <w:t>De lo anterior se tiene que los cargos máximos definidos por esta Comisión se determinan por tecnología.</w:t>
      </w:r>
    </w:p>
    <w:p w14:paraId="16119FCB" w14:textId="77777777" w:rsidR="00AC7433" w:rsidRPr="00AC7433" w:rsidRDefault="00AC7433" w:rsidP="00AC7433">
      <w:pPr>
        <w:pStyle w:val="Textodebloque"/>
        <w:ind w:left="284" w:right="6"/>
        <w:contextualSpacing/>
        <w:rPr>
          <w:rFonts w:ascii="Bookman Old Style" w:hAnsi="Bookman Old Style"/>
          <w:szCs w:val="24"/>
        </w:rPr>
      </w:pPr>
    </w:p>
    <w:p w14:paraId="3D2BE79E" w14:textId="77777777" w:rsidR="00AC7433" w:rsidRPr="00AC7433" w:rsidRDefault="00AC7433" w:rsidP="00AC7433">
      <w:pPr>
        <w:pStyle w:val="Textodebloque"/>
        <w:ind w:left="284" w:right="6"/>
        <w:contextualSpacing/>
        <w:rPr>
          <w:rFonts w:ascii="Bookman Old Style" w:hAnsi="Bookman Old Style"/>
          <w:szCs w:val="24"/>
        </w:rPr>
      </w:pPr>
      <w:r w:rsidRPr="00AC7433">
        <w:rPr>
          <w:rFonts w:ascii="Bookman Old Style" w:hAnsi="Bookman Old Style"/>
          <w:szCs w:val="24"/>
        </w:rPr>
        <w:t>Segundo, en consonancia con lo argumentado por REFOENERGY, el artículo 21 de la Resolución CREG 091 de 2007 establece:</w:t>
      </w:r>
    </w:p>
    <w:p w14:paraId="58616D11" w14:textId="77777777" w:rsidR="00AC7433" w:rsidRPr="00AC7433" w:rsidRDefault="00AC7433" w:rsidP="00AC7433">
      <w:pPr>
        <w:pStyle w:val="Textodebloque"/>
        <w:ind w:left="284" w:right="6"/>
        <w:contextualSpacing/>
        <w:rPr>
          <w:rFonts w:ascii="Bookman Old Style" w:hAnsi="Bookman Old Style"/>
          <w:szCs w:val="24"/>
        </w:rPr>
      </w:pPr>
    </w:p>
    <w:p w14:paraId="2CA208C2" w14:textId="77777777" w:rsidR="00AC7433" w:rsidRPr="004E6234" w:rsidRDefault="00AC7433" w:rsidP="004E6234">
      <w:pPr>
        <w:pStyle w:val="Textodebloque"/>
        <w:ind w:right="6"/>
        <w:contextualSpacing/>
        <w:rPr>
          <w:rFonts w:ascii="Bookman Old Style" w:hAnsi="Bookman Old Style"/>
          <w:iCs/>
          <w:sz w:val="22"/>
          <w:szCs w:val="22"/>
        </w:rPr>
      </w:pPr>
      <w:r w:rsidRPr="004E6234">
        <w:rPr>
          <w:rFonts w:ascii="Bookman Old Style" w:hAnsi="Bookman Old Style"/>
          <w:i/>
          <w:sz w:val="22"/>
          <w:szCs w:val="22"/>
        </w:rPr>
        <w:t>“</w:t>
      </w:r>
      <w:r w:rsidRPr="004E6234">
        <w:rPr>
          <w:rFonts w:ascii="Bookman Old Style" w:hAnsi="Bookman Old Style"/>
          <w:b/>
          <w:bCs/>
          <w:i/>
          <w:sz w:val="22"/>
          <w:szCs w:val="22"/>
        </w:rPr>
        <w:t>Artículo 21. Cálculo del Cargo Máximo de Generación.</w:t>
      </w:r>
      <w:r w:rsidRPr="004E6234">
        <w:rPr>
          <w:rFonts w:ascii="Bookman Old Style" w:hAnsi="Bookman Old Style"/>
          <w:i/>
          <w:sz w:val="22"/>
          <w:szCs w:val="22"/>
        </w:rPr>
        <w:t xml:space="preserve"> El prestador del servicio determinará </w:t>
      </w:r>
      <w:r w:rsidRPr="004E6234">
        <w:rPr>
          <w:rFonts w:ascii="Bookman Old Style" w:hAnsi="Bookman Old Style"/>
          <w:i/>
          <w:sz w:val="22"/>
          <w:szCs w:val="22"/>
          <w:u w:val="single"/>
        </w:rPr>
        <w:t>para cada tecnología de generación</w:t>
      </w:r>
      <w:r w:rsidRPr="004E6234">
        <w:rPr>
          <w:rFonts w:ascii="Bookman Old Style" w:hAnsi="Bookman Old Style"/>
          <w:i/>
          <w:sz w:val="22"/>
          <w:szCs w:val="22"/>
        </w:rPr>
        <w:t xml:space="preserve">, los cargos máximos por energía generada o por capacidad disponible, como la suma de los costos de inversión y los costos de Administración, Operación y Mantenimiento.” </w:t>
      </w:r>
      <w:r w:rsidRPr="004E6234">
        <w:rPr>
          <w:rFonts w:ascii="Bookman Old Style" w:hAnsi="Bookman Old Style"/>
          <w:iCs/>
          <w:sz w:val="22"/>
          <w:szCs w:val="22"/>
        </w:rPr>
        <w:t>Subrayado fuera de texto</w:t>
      </w:r>
    </w:p>
    <w:p w14:paraId="5F36BD50" w14:textId="77777777" w:rsidR="00AC7433" w:rsidRPr="004E6234" w:rsidRDefault="00AC7433" w:rsidP="004E6234">
      <w:pPr>
        <w:pStyle w:val="Textodebloque"/>
        <w:ind w:right="6"/>
        <w:contextualSpacing/>
        <w:rPr>
          <w:rFonts w:ascii="Bookman Old Style" w:hAnsi="Bookman Old Style"/>
          <w:i/>
          <w:sz w:val="22"/>
          <w:szCs w:val="22"/>
        </w:rPr>
      </w:pPr>
    </w:p>
    <w:p w14:paraId="520980CD" w14:textId="280C5B5C" w:rsidR="00AC7433" w:rsidRPr="00AC7433" w:rsidRDefault="00AC7433" w:rsidP="00AC7433">
      <w:pPr>
        <w:pStyle w:val="Textodebloque"/>
        <w:ind w:left="284" w:right="6"/>
        <w:contextualSpacing/>
        <w:rPr>
          <w:rFonts w:ascii="Bookman Old Style" w:hAnsi="Bookman Old Style"/>
          <w:szCs w:val="24"/>
        </w:rPr>
      </w:pPr>
      <w:r w:rsidRPr="00AC7433">
        <w:rPr>
          <w:rFonts w:ascii="Bookman Old Style" w:hAnsi="Bookman Old Style"/>
          <w:szCs w:val="24"/>
        </w:rPr>
        <w:t>De lo anterior</w:t>
      </w:r>
      <w:r w:rsidR="00F60C1B">
        <w:rPr>
          <w:rFonts w:ascii="Bookman Old Style" w:hAnsi="Bookman Old Style"/>
          <w:szCs w:val="24"/>
        </w:rPr>
        <w:t>,</w:t>
      </w:r>
      <w:r w:rsidRPr="00AC7433">
        <w:rPr>
          <w:rFonts w:ascii="Bookman Old Style" w:hAnsi="Bookman Old Style"/>
          <w:szCs w:val="24"/>
        </w:rPr>
        <w:t xml:space="preserve"> esta Comisión está de acuerdo en que</w:t>
      </w:r>
      <w:r w:rsidR="00F60C1B">
        <w:rPr>
          <w:rFonts w:ascii="Bookman Old Style" w:hAnsi="Bookman Old Style"/>
          <w:szCs w:val="24"/>
        </w:rPr>
        <w:t>,</w:t>
      </w:r>
      <w:r w:rsidRPr="00AC7433">
        <w:rPr>
          <w:rFonts w:ascii="Bookman Old Style" w:hAnsi="Bookman Old Style"/>
          <w:szCs w:val="24"/>
        </w:rPr>
        <w:t xml:space="preserve"> tal y como lo expone REFOENERGY, cada unidad que conforma el parque generador se calcula de manera </w:t>
      </w:r>
      <w:r w:rsidR="00557029" w:rsidRPr="00AC7433">
        <w:rPr>
          <w:rFonts w:ascii="Bookman Old Style" w:hAnsi="Bookman Old Style"/>
          <w:szCs w:val="24"/>
        </w:rPr>
        <w:t>independiente,</w:t>
      </w:r>
      <w:r w:rsidRPr="00AC7433">
        <w:rPr>
          <w:rFonts w:ascii="Bookman Old Style" w:hAnsi="Bookman Old Style"/>
          <w:szCs w:val="24"/>
        </w:rPr>
        <w:t xml:space="preserve"> pero </w:t>
      </w:r>
      <w:r w:rsidR="0026731C">
        <w:rPr>
          <w:rFonts w:ascii="Bookman Old Style" w:hAnsi="Bookman Old Style"/>
          <w:szCs w:val="24"/>
        </w:rPr>
        <w:t>debe</w:t>
      </w:r>
      <w:r w:rsidR="008533B1">
        <w:rPr>
          <w:rFonts w:ascii="Bookman Old Style" w:hAnsi="Bookman Old Style"/>
          <w:szCs w:val="24"/>
        </w:rPr>
        <w:t xml:space="preserve"> </w:t>
      </w:r>
      <w:r w:rsidR="0026731C">
        <w:rPr>
          <w:rFonts w:ascii="Bookman Old Style" w:hAnsi="Bookman Old Style"/>
          <w:szCs w:val="24"/>
        </w:rPr>
        <w:t xml:space="preserve">establecerse </w:t>
      </w:r>
      <w:r w:rsidRPr="00AC7433">
        <w:rPr>
          <w:rFonts w:ascii="Bookman Old Style" w:hAnsi="Bookman Old Style"/>
          <w:szCs w:val="24"/>
        </w:rPr>
        <w:t xml:space="preserve">para cada tecnología de conformidad con </w:t>
      </w:r>
      <w:r w:rsidR="0026731C">
        <w:rPr>
          <w:rFonts w:ascii="Bookman Old Style" w:hAnsi="Bookman Old Style"/>
          <w:szCs w:val="24"/>
        </w:rPr>
        <w:t>lo definido en</w:t>
      </w:r>
      <w:r w:rsidRPr="00AC7433">
        <w:rPr>
          <w:rFonts w:ascii="Bookman Old Style" w:hAnsi="Bookman Old Style"/>
          <w:szCs w:val="24"/>
        </w:rPr>
        <w:t xml:space="preserve"> la metodología tarifaria vigente</w:t>
      </w:r>
      <w:r w:rsidR="0026731C">
        <w:rPr>
          <w:rFonts w:ascii="Bookman Old Style" w:hAnsi="Bookman Old Style"/>
          <w:szCs w:val="24"/>
        </w:rPr>
        <w:t>,</w:t>
      </w:r>
      <w:r w:rsidR="00F60C1B">
        <w:rPr>
          <w:rFonts w:ascii="Bookman Old Style" w:hAnsi="Bookman Old Style"/>
          <w:szCs w:val="24"/>
        </w:rPr>
        <w:t xml:space="preserve"> </w:t>
      </w:r>
      <w:r w:rsidRPr="00AC7433">
        <w:rPr>
          <w:rFonts w:ascii="Bookman Old Style" w:hAnsi="Bookman Old Style"/>
          <w:szCs w:val="24"/>
        </w:rPr>
        <w:t>Resolución CREG 091 de 2007.</w:t>
      </w:r>
    </w:p>
    <w:p w14:paraId="519F110A" w14:textId="77777777" w:rsidR="00AC7433" w:rsidRPr="00AC7433" w:rsidRDefault="00AC7433" w:rsidP="00AC7433">
      <w:pPr>
        <w:pStyle w:val="Textodebloque"/>
        <w:ind w:left="284" w:right="6"/>
        <w:contextualSpacing/>
        <w:rPr>
          <w:rFonts w:ascii="Bookman Old Style" w:hAnsi="Bookman Old Style"/>
          <w:szCs w:val="24"/>
        </w:rPr>
      </w:pPr>
    </w:p>
    <w:p w14:paraId="5E5D7AEE" w14:textId="523722F2" w:rsidR="00AC7433" w:rsidRPr="00AC7433" w:rsidRDefault="00AC7433" w:rsidP="00AC7433">
      <w:pPr>
        <w:pStyle w:val="Textodebloque"/>
        <w:ind w:left="284" w:right="6"/>
        <w:contextualSpacing/>
        <w:rPr>
          <w:rFonts w:ascii="Bookman Old Style" w:hAnsi="Bookman Old Style"/>
          <w:szCs w:val="24"/>
        </w:rPr>
      </w:pPr>
      <w:r w:rsidRPr="00AC7433">
        <w:rPr>
          <w:rFonts w:ascii="Bookman Old Style" w:hAnsi="Bookman Old Style"/>
          <w:szCs w:val="24"/>
        </w:rPr>
        <w:t xml:space="preserve">Para los casos en los que se establecen cargos para parques de generación que cuentan con diferentes tecnologías (solar, </w:t>
      </w:r>
      <w:r w:rsidR="00D3771C">
        <w:rPr>
          <w:rFonts w:ascii="Bookman Old Style" w:hAnsi="Bookman Old Style"/>
          <w:szCs w:val="24"/>
        </w:rPr>
        <w:t xml:space="preserve">eólica, </w:t>
      </w:r>
      <w:r w:rsidRPr="00AC7433">
        <w:rPr>
          <w:rFonts w:ascii="Bookman Old Style" w:hAnsi="Bookman Old Style"/>
          <w:szCs w:val="24"/>
        </w:rPr>
        <w:t xml:space="preserve">biomasa, diésel, </w:t>
      </w:r>
      <w:r w:rsidR="00F60C1B">
        <w:rPr>
          <w:rFonts w:ascii="Bookman Old Style" w:hAnsi="Bookman Old Style"/>
          <w:szCs w:val="24"/>
        </w:rPr>
        <w:t xml:space="preserve">entre </w:t>
      </w:r>
      <w:r w:rsidR="00D3771C">
        <w:rPr>
          <w:rFonts w:ascii="Bookman Old Style" w:hAnsi="Bookman Old Style"/>
          <w:szCs w:val="24"/>
        </w:rPr>
        <w:t>otras</w:t>
      </w:r>
      <w:r w:rsidRPr="00AC7433">
        <w:rPr>
          <w:rFonts w:ascii="Bookman Old Style" w:hAnsi="Bookman Old Style"/>
          <w:szCs w:val="24"/>
        </w:rPr>
        <w:t xml:space="preserve">), el costo de generación que se le puede trasladar al usuario </w:t>
      </w:r>
      <w:r w:rsidR="00D3771C">
        <w:rPr>
          <w:rFonts w:ascii="Bookman Old Style" w:hAnsi="Bookman Old Style"/>
          <w:szCs w:val="24"/>
        </w:rPr>
        <w:t xml:space="preserve">regulado </w:t>
      </w:r>
      <w:r w:rsidRPr="00AC7433">
        <w:rPr>
          <w:rFonts w:ascii="Bookman Old Style" w:hAnsi="Bookman Old Style"/>
          <w:szCs w:val="24"/>
        </w:rPr>
        <w:t>también debe ser calculado con base en el costo ponderado por tecnología. Dicho lo anterior, el sistema de generación debe tener la medición que se requiera para calcular la energía que se entregue al sistema de distribución con cada tecnología.</w:t>
      </w:r>
    </w:p>
    <w:p w14:paraId="4341F58C" w14:textId="77777777" w:rsidR="00AC7433" w:rsidRPr="00AC7433" w:rsidRDefault="00AC7433" w:rsidP="00AC7433">
      <w:pPr>
        <w:pStyle w:val="Textodebloque"/>
        <w:ind w:left="284" w:right="6"/>
        <w:contextualSpacing/>
        <w:rPr>
          <w:rFonts w:ascii="Bookman Old Style" w:hAnsi="Bookman Old Style"/>
          <w:szCs w:val="24"/>
        </w:rPr>
      </w:pPr>
    </w:p>
    <w:p w14:paraId="5475C3B7" w14:textId="0C2C3B38" w:rsidR="00AC7433" w:rsidRPr="00AC7433" w:rsidRDefault="00AC7433" w:rsidP="00AC7433">
      <w:pPr>
        <w:pStyle w:val="Textodebloque"/>
        <w:ind w:left="284" w:right="6"/>
        <w:contextualSpacing/>
        <w:rPr>
          <w:rFonts w:ascii="Bookman Old Style" w:hAnsi="Bookman Old Style"/>
          <w:szCs w:val="24"/>
        </w:rPr>
      </w:pPr>
      <w:r w:rsidRPr="00AC7433">
        <w:rPr>
          <w:rFonts w:ascii="Bookman Old Style" w:hAnsi="Bookman Old Style"/>
          <w:szCs w:val="24"/>
        </w:rPr>
        <w:t xml:space="preserve">La </w:t>
      </w:r>
      <w:r w:rsidR="00F60C1B">
        <w:rPr>
          <w:rFonts w:ascii="Bookman Old Style" w:hAnsi="Bookman Old Style"/>
          <w:szCs w:val="24"/>
        </w:rPr>
        <w:t xml:space="preserve">combinación </w:t>
      </w:r>
      <w:r w:rsidRPr="00AC7433">
        <w:rPr>
          <w:rFonts w:ascii="Bookman Old Style" w:hAnsi="Bookman Old Style"/>
          <w:szCs w:val="24"/>
        </w:rPr>
        <w:t>de tecnologías o su configuración será competencia del generador</w:t>
      </w:r>
      <w:r w:rsidR="00F60C1B">
        <w:rPr>
          <w:rFonts w:ascii="Bookman Old Style" w:hAnsi="Bookman Old Style"/>
          <w:szCs w:val="24"/>
        </w:rPr>
        <w:t>,</w:t>
      </w:r>
      <w:r w:rsidRPr="00AC7433">
        <w:rPr>
          <w:rFonts w:ascii="Bookman Old Style" w:hAnsi="Bookman Old Style"/>
          <w:szCs w:val="24"/>
        </w:rPr>
        <w:t xml:space="preserve"> y deberá ser aquella que permita establecer la energía entregada por cada tecnología al mercado relevante de comercialización, toda vez que el cargo máximo de generación que pueda trasladar el comercializador a los usuarios que atiende será el promedio ponderado, por energía entregada al mercado de comercialización, de las distintas tecnologías de generación con las que se atienden esos usuarios.</w:t>
      </w:r>
    </w:p>
    <w:p w14:paraId="44E224BD" w14:textId="77777777" w:rsidR="00AC7433" w:rsidRPr="00AC7433" w:rsidRDefault="00AC7433" w:rsidP="00AC7433">
      <w:pPr>
        <w:pStyle w:val="Textodebloque"/>
        <w:ind w:left="284" w:right="6"/>
        <w:contextualSpacing/>
        <w:rPr>
          <w:rFonts w:ascii="Bookman Old Style" w:hAnsi="Bookman Old Style"/>
          <w:szCs w:val="24"/>
        </w:rPr>
      </w:pPr>
    </w:p>
    <w:p w14:paraId="32A837A9" w14:textId="59A85640" w:rsidR="00AC7433" w:rsidRDefault="00AC7433" w:rsidP="00AC7433">
      <w:pPr>
        <w:pStyle w:val="Textodebloque"/>
        <w:ind w:left="284" w:right="6"/>
        <w:contextualSpacing/>
        <w:rPr>
          <w:rFonts w:ascii="Bookman Old Style" w:hAnsi="Bookman Old Style"/>
          <w:szCs w:val="24"/>
        </w:rPr>
      </w:pPr>
      <w:r w:rsidRPr="00AC7433">
        <w:rPr>
          <w:rFonts w:ascii="Bookman Old Style" w:hAnsi="Bookman Old Style"/>
          <w:szCs w:val="24"/>
        </w:rPr>
        <w:t xml:space="preserve">En consecuencia, esta Comisión ha atendido la solicitud de cargo de generación en los términos previstos en la metodología tarifaria vigente, definiendo el cargo de generación para la tecnología de Biomasa en el mercado relevante de Puerto Carreño. </w:t>
      </w:r>
      <w:r w:rsidR="008533B1">
        <w:rPr>
          <w:rFonts w:ascii="Bookman Old Style" w:hAnsi="Bookman Old Style"/>
          <w:szCs w:val="24"/>
        </w:rPr>
        <w:t>Debe resaltarse que p</w:t>
      </w:r>
      <w:r w:rsidRPr="00AC7433">
        <w:rPr>
          <w:rFonts w:ascii="Bookman Old Style" w:hAnsi="Bookman Old Style"/>
          <w:szCs w:val="24"/>
        </w:rPr>
        <w:t xml:space="preserve">ara la tecnología de generación Diésel, el cargo se encuentra definido en el literal a) del artículo 22 y </w:t>
      </w:r>
      <w:r w:rsidR="00F60C1B">
        <w:rPr>
          <w:rFonts w:ascii="Bookman Old Style" w:hAnsi="Bookman Old Style"/>
          <w:szCs w:val="24"/>
        </w:rPr>
        <w:t xml:space="preserve">en el </w:t>
      </w:r>
      <w:r w:rsidRPr="00AC7433">
        <w:rPr>
          <w:rFonts w:ascii="Bookman Old Style" w:hAnsi="Bookman Old Style"/>
          <w:szCs w:val="24"/>
        </w:rPr>
        <w:t>artículo 24.1 de la Resolución CREG 091 de 2007</w:t>
      </w:r>
      <w:r w:rsidR="00F60C1B">
        <w:rPr>
          <w:rFonts w:ascii="Bookman Old Style" w:hAnsi="Bookman Old Style"/>
          <w:szCs w:val="24"/>
        </w:rPr>
        <w:t>. E</w:t>
      </w:r>
      <w:r w:rsidR="008533B1">
        <w:rPr>
          <w:rFonts w:ascii="Bookman Old Style" w:hAnsi="Bookman Old Style"/>
          <w:szCs w:val="24"/>
        </w:rPr>
        <w:t>n ese sentido</w:t>
      </w:r>
      <w:r w:rsidR="00F60C1B">
        <w:rPr>
          <w:rFonts w:ascii="Bookman Old Style" w:hAnsi="Bookman Old Style"/>
          <w:szCs w:val="24"/>
        </w:rPr>
        <w:t>,</w:t>
      </w:r>
      <w:r w:rsidR="008533B1">
        <w:rPr>
          <w:rFonts w:ascii="Bookman Old Style" w:hAnsi="Bookman Old Style"/>
          <w:szCs w:val="24"/>
        </w:rPr>
        <w:t xml:space="preserve"> en el</w:t>
      </w:r>
      <w:r w:rsidR="005E5AA4">
        <w:rPr>
          <w:rFonts w:ascii="Bookman Old Style" w:hAnsi="Bookman Old Style"/>
          <w:szCs w:val="24"/>
        </w:rPr>
        <w:t xml:space="preserve"> acto administrativo recurrido</w:t>
      </w:r>
      <w:r w:rsidR="008533B1">
        <w:rPr>
          <w:rFonts w:ascii="Bookman Old Style" w:hAnsi="Bookman Old Style"/>
          <w:szCs w:val="24"/>
        </w:rPr>
        <w:t xml:space="preserve"> solo se hace referencia a lo allí previsto</w:t>
      </w:r>
      <w:r w:rsidR="00F60C1B">
        <w:rPr>
          <w:rFonts w:ascii="Bookman Old Style" w:hAnsi="Bookman Old Style"/>
          <w:szCs w:val="24"/>
        </w:rPr>
        <w:t>,</w:t>
      </w:r>
      <w:r w:rsidR="008533B1">
        <w:rPr>
          <w:rFonts w:ascii="Bookman Old Style" w:hAnsi="Bookman Old Style"/>
          <w:szCs w:val="24"/>
        </w:rPr>
        <w:t xml:space="preserve"> sin entrar a definirse un ajuste o cambio al cargo que se encuentra vigente</w:t>
      </w:r>
      <w:r w:rsidR="00F60C1B">
        <w:rPr>
          <w:rFonts w:ascii="Bookman Old Style" w:hAnsi="Bookman Old Style"/>
          <w:szCs w:val="24"/>
        </w:rPr>
        <w:t>.</w:t>
      </w:r>
    </w:p>
    <w:p w14:paraId="7A6C0F6E" w14:textId="77777777" w:rsidR="00AC7433" w:rsidRPr="00AC7433" w:rsidRDefault="00AC7433" w:rsidP="00AC7433">
      <w:pPr>
        <w:pStyle w:val="Textodebloque"/>
        <w:ind w:left="284" w:right="6"/>
        <w:contextualSpacing/>
        <w:rPr>
          <w:rFonts w:ascii="Bookman Old Style" w:hAnsi="Bookman Old Style"/>
          <w:szCs w:val="24"/>
        </w:rPr>
      </w:pPr>
    </w:p>
    <w:p w14:paraId="1E98E247" w14:textId="77777777" w:rsidR="00AC7433" w:rsidRPr="00AC7433" w:rsidRDefault="00AC7433" w:rsidP="00AC7433">
      <w:pPr>
        <w:pStyle w:val="Textodebloque"/>
        <w:ind w:left="284" w:right="6"/>
        <w:contextualSpacing/>
        <w:rPr>
          <w:rFonts w:ascii="Bookman Old Style" w:hAnsi="Bookman Old Style"/>
          <w:szCs w:val="24"/>
        </w:rPr>
      </w:pPr>
      <w:r w:rsidRPr="008533B1">
        <w:rPr>
          <w:rFonts w:ascii="Bookman Old Style" w:hAnsi="Bookman Old Style"/>
          <w:szCs w:val="24"/>
        </w:rPr>
        <w:t>Expuesto lo anterior, en lo que tiene que ver con la definición de cargo de generación por tecnología, no procede lo solicitado por REFOENERGY.</w:t>
      </w:r>
    </w:p>
    <w:p w14:paraId="662CE413" w14:textId="6336A217" w:rsidR="002221EE" w:rsidRDefault="002221EE" w:rsidP="00E21C91">
      <w:pPr>
        <w:pStyle w:val="Textodebloque"/>
        <w:ind w:left="284" w:right="6"/>
        <w:contextualSpacing/>
        <w:rPr>
          <w:rFonts w:ascii="Bookman Old Style" w:hAnsi="Bookman Old Style"/>
          <w:szCs w:val="24"/>
        </w:rPr>
      </w:pPr>
    </w:p>
    <w:p w14:paraId="5A1FCD5A" w14:textId="7EA8AA69" w:rsidR="00B61A30" w:rsidRDefault="00B61A30" w:rsidP="00B61A30">
      <w:pPr>
        <w:pStyle w:val="Textodebloque"/>
        <w:ind w:left="284" w:right="6"/>
        <w:contextualSpacing/>
        <w:rPr>
          <w:rFonts w:ascii="Bookman Old Style" w:hAnsi="Bookman Old Style"/>
          <w:szCs w:val="24"/>
        </w:rPr>
      </w:pPr>
      <w:r>
        <w:rPr>
          <w:rFonts w:ascii="Bookman Old Style" w:hAnsi="Bookman Old Style"/>
          <w:szCs w:val="24"/>
        </w:rPr>
        <w:t xml:space="preserve">Frente a la afirmación de REFOENERGY, relacionada con  </w:t>
      </w:r>
    </w:p>
    <w:p w14:paraId="3A348AF5" w14:textId="3AE503BD" w:rsidR="00B61A30" w:rsidRPr="0056108C" w:rsidRDefault="00B61A30" w:rsidP="00E9299F">
      <w:pPr>
        <w:pStyle w:val="Textodebloque"/>
        <w:ind w:left="0" w:right="6"/>
        <w:contextualSpacing/>
        <w:rPr>
          <w:rFonts w:ascii="Bookman Old Style" w:hAnsi="Bookman Old Style"/>
          <w:sz w:val="22"/>
          <w:szCs w:val="22"/>
        </w:rPr>
      </w:pPr>
    </w:p>
    <w:p w14:paraId="75F85158" w14:textId="641A0FE3" w:rsidR="00B61A30" w:rsidRPr="0056108C" w:rsidRDefault="00B61A30" w:rsidP="0056108C">
      <w:pPr>
        <w:pStyle w:val="Textodebloque"/>
        <w:ind w:right="6"/>
        <w:contextualSpacing/>
        <w:rPr>
          <w:rFonts w:ascii="Bookman Old Style" w:hAnsi="Bookman Old Style"/>
          <w:i/>
          <w:sz w:val="22"/>
          <w:szCs w:val="22"/>
        </w:rPr>
      </w:pPr>
      <w:r w:rsidRPr="0056108C">
        <w:rPr>
          <w:rFonts w:ascii="Bookman Old Style" w:hAnsi="Bookman Old Style"/>
          <w:sz w:val="22"/>
          <w:szCs w:val="22"/>
        </w:rPr>
        <w:t>“</w:t>
      </w:r>
      <w:r w:rsidRPr="0056108C">
        <w:rPr>
          <w:rFonts w:ascii="Bookman Old Style" w:hAnsi="Bookman Old Style"/>
          <w:i/>
          <w:sz w:val="22"/>
          <w:szCs w:val="22"/>
        </w:rPr>
        <w:t>INCONFORMIDAD CONCRETA RESPECTO DE LAS CONSIDERACIONES JURIDICAS y RESOLUCION”</w:t>
      </w:r>
    </w:p>
    <w:p w14:paraId="3736CCDB" w14:textId="77777777" w:rsidR="00B61A30" w:rsidRPr="0056108C" w:rsidRDefault="00B61A30" w:rsidP="0056108C">
      <w:pPr>
        <w:pStyle w:val="Textodebloque"/>
        <w:ind w:right="6"/>
        <w:contextualSpacing/>
        <w:rPr>
          <w:rFonts w:ascii="Bookman Old Style" w:hAnsi="Bookman Old Style"/>
          <w:i/>
          <w:sz w:val="22"/>
          <w:szCs w:val="22"/>
        </w:rPr>
      </w:pPr>
    </w:p>
    <w:p w14:paraId="11EA0343" w14:textId="77777777" w:rsidR="00B61A30" w:rsidRPr="0056108C" w:rsidRDefault="00B61A30" w:rsidP="0056108C">
      <w:pPr>
        <w:pStyle w:val="Textodebloque"/>
        <w:ind w:right="6"/>
        <w:contextualSpacing/>
        <w:rPr>
          <w:rFonts w:ascii="Bookman Old Style" w:hAnsi="Bookman Old Style"/>
          <w:i/>
          <w:sz w:val="22"/>
          <w:szCs w:val="22"/>
        </w:rPr>
      </w:pPr>
      <w:r w:rsidRPr="0056108C">
        <w:rPr>
          <w:rFonts w:ascii="Bookman Old Style" w:hAnsi="Bookman Old Style"/>
          <w:i/>
          <w:sz w:val="22"/>
          <w:szCs w:val="22"/>
        </w:rPr>
        <w:t xml:space="preserve">… La planta de generación DIESEL-BIOMASA de REFOENERGY en Puerto Carreño requiere que se le fije el cargo máximo para ESA TECNOLOGIA HIBRIDA con respaldo (diésel); no se está pidiendo que remuneren dos plantas independientes, ni la generación de cada una de ellas en ponderación de su participación en la energía entregada para determinar el valor del </w:t>
      </w:r>
      <w:proofErr w:type="spellStart"/>
      <w:r w:rsidRPr="0056108C">
        <w:rPr>
          <w:rFonts w:ascii="Bookman Old Style" w:hAnsi="Bookman Old Style"/>
          <w:i/>
          <w:sz w:val="22"/>
          <w:szCs w:val="22"/>
        </w:rPr>
        <w:t>Kw</w:t>
      </w:r>
      <w:proofErr w:type="spellEnd"/>
      <w:r w:rsidRPr="0056108C">
        <w:rPr>
          <w:rFonts w:ascii="Bookman Old Style" w:hAnsi="Bookman Old Style"/>
          <w:i/>
          <w:sz w:val="22"/>
          <w:szCs w:val="22"/>
        </w:rPr>
        <w:t>/h vendido a ELECTROVICHADA.</w:t>
      </w:r>
    </w:p>
    <w:p w14:paraId="598BEAEB" w14:textId="77777777" w:rsidR="00B61A30" w:rsidRPr="0056108C" w:rsidRDefault="00B61A30" w:rsidP="0056108C">
      <w:pPr>
        <w:pStyle w:val="Textodebloque"/>
        <w:ind w:right="6"/>
        <w:contextualSpacing/>
        <w:rPr>
          <w:rFonts w:ascii="Bookman Old Style" w:hAnsi="Bookman Old Style"/>
          <w:i/>
          <w:sz w:val="22"/>
          <w:szCs w:val="22"/>
        </w:rPr>
      </w:pPr>
    </w:p>
    <w:p w14:paraId="67C02172" w14:textId="77777777" w:rsidR="00B61A30" w:rsidRPr="0056108C" w:rsidRDefault="00B61A30" w:rsidP="0056108C">
      <w:pPr>
        <w:pStyle w:val="Textodebloque"/>
        <w:ind w:right="6"/>
        <w:contextualSpacing/>
        <w:rPr>
          <w:rFonts w:ascii="Bookman Old Style" w:hAnsi="Bookman Old Style"/>
          <w:i/>
          <w:sz w:val="22"/>
          <w:szCs w:val="22"/>
        </w:rPr>
      </w:pPr>
      <w:r w:rsidRPr="0056108C">
        <w:rPr>
          <w:rFonts w:ascii="Bookman Old Style" w:hAnsi="Bookman Old Style"/>
          <w:i/>
          <w:sz w:val="22"/>
          <w:szCs w:val="22"/>
        </w:rPr>
        <w:t xml:space="preserve">Como se verá más adelante; la fórmula utilizada por el documento técnico de soporte de la resolución recurrida es COSTO-INEFICIENTE (dado que el factor de ponderación de Diesel es de 52% </w:t>
      </w:r>
      <w:proofErr w:type="spellStart"/>
      <w:r w:rsidRPr="0056108C">
        <w:rPr>
          <w:rFonts w:ascii="Bookman Old Style" w:hAnsi="Bookman Old Style"/>
          <w:i/>
          <w:sz w:val="22"/>
          <w:szCs w:val="22"/>
        </w:rPr>
        <w:t>aprox</w:t>
      </w:r>
      <w:proofErr w:type="spellEnd"/>
      <w:r w:rsidRPr="0056108C">
        <w:rPr>
          <w:rFonts w:ascii="Bookman Old Style" w:hAnsi="Bookman Old Style"/>
          <w:i/>
          <w:sz w:val="22"/>
          <w:szCs w:val="22"/>
        </w:rPr>
        <w:t xml:space="preserve"> (-el más ineficiente en Vichada por rendimiento y vetustez del parque eléctrico de puerto Carreño y porque el diésel está sometido en este momento al estrés del mercado internacional) y la ponderación del componente de Biomasa que es el más eficiente (no </w:t>
      </w:r>
      <w:proofErr w:type="spellStart"/>
      <w:r w:rsidRPr="0056108C">
        <w:rPr>
          <w:rFonts w:ascii="Bookman Old Style" w:hAnsi="Bookman Old Style"/>
          <w:i/>
          <w:sz w:val="22"/>
          <w:szCs w:val="22"/>
        </w:rPr>
        <w:t>mas</w:t>
      </w:r>
      <w:proofErr w:type="spellEnd"/>
      <w:r w:rsidRPr="0056108C">
        <w:rPr>
          <w:rFonts w:ascii="Bookman Old Style" w:hAnsi="Bookman Old Style"/>
          <w:i/>
          <w:sz w:val="22"/>
          <w:szCs w:val="22"/>
        </w:rPr>
        <w:t xml:space="preserve"> barata lo que es muy diferente según sentencia C-150 2003 de la Corte Constitucional) es del 48% </w:t>
      </w:r>
      <w:proofErr w:type="spellStart"/>
      <w:r w:rsidRPr="0056108C">
        <w:rPr>
          <w:rFonts w:ascii="Bookman Old Style" w:hAnsi="Bookman Old Style"/>
          <w:i/>
          <w:sz w:val="22"/>
          <w:szCs w:val="22"/>
        </w:rPr>
        <w:t>aprox</w:t>
      </w:r>
      <w:proofErr w:type="spellEnd"/>
      <w:r w:rsidRPr="0056108C">
        <w:rPr>
          <w:rFonts w:ascii="Bookman Old Style" w:hAnsi="Bookman Old Style"/>
          <w:i/>
          <w:sz w:val="22"/>
          <w:szCs w:val="22"/>
        </w:rPr>
        <w:t>, dejando de lado la fórmula propuesta en la solicitud donde los costos de inversión operación y mantenimiento del componente Biomasa de la Planta hibrida subsumen y disminuyen los costos de operación y mantenimiento del componente diésel usado al mínimo 10%, para generar, con su nivel de eficiencia máximo, por unidades independientes; y menores requerimientos de reposición o mantenimiento).</w:t>
      </w:r>
    </w:p>
    <w:p w14:paraId="50CFF7B7" w14:textId="77777777" w:rsidR="00B61A30" w:rsidRPr="0056108C" w:rsidRDefault="00B61A30" w:rsidP="0056108C">
      <w:pPr>
        <w:pStyle w:val="Textodebloque"/>
        <w:ind w:right="6"/>
        <w:contextualSpacing/>
        <w:rPr>
          <w:rFonts w:ascii="Bookman Old Style" w:hAnsi="Bookman Old Style"/>
          <w:i/>
          <w:sz w:val="22"/>
          <w:szCs w:val="22"/>
        </w:rPr>
      </w:pPr>
    </w:p>
    <w:p w14:paraId="555F177F" w14:textId="77777777" w:rsidR="00B61A30" w:rsidRPr="0056108C" w:rsidRDefault="00B61A30" w:rsidP="0056108C">
      <w:pPr>
        <w:pStyle w:val="Textodebloque"/>
        <w:ind w:right="6"/>
        <w:contextualSpacing/>
        <w:rPr>
          <w:rFonts w:ascii="Bookman Old Style" w:hAnsi="Bookman Old Style"/>
          <w:i/>
          <w:sz w:val="22"/>
          <w:szCs w:val="22"/>
        </w:rPr>
      </w:pPr>
      <w:r w:rsidRPr="0056108C">
        <w:rPr>
          <w:rFonts w:ascii="Bookman Old Style" w:hAnsi="Bookman Old Style"/>
          <w:i/>
          <w:sz w:val="22"/>
          <w:szCs w:val="22"/>
        </w:rPr>
        <w:lastRenderedPageBreak/>
        <w:t xml:space="preserve">De tal manera que el valor </w:t>
      </w:r>
      <w:proofErr w:type="spellStart"/>
      <w:r w:rsidRPr="0056108C">
        <w:rPr>
          <w:rFonts w:ascii="Bookman Old Style" w:hAnsi="Bookman Old Style"/>
          <w:i/>
          <w:sz w:val="22"/>
          <w:szCs w:val="22"/>
        </w:rPr>
        <w:t>Kw</w:t>
      </w:r>
      <w:proofErr w:type="spellEnd"/>
      <w:r w:rsidRPr="0056108C">
        <w:rPr>
          <w:rFonts w:ascii="Bookman Old Style" w:hAnsi="Bookman Old Style"/>
          <w:i/>
          <w:sz w:val="22"/>
          <w:szCs w:val="22"/>
        </w:rPr>
        <w:t>/h que se define en el art. 1 de la resolución recurrida, utilizando con exclusividad la generación FNCER (BIOMASA) excluyendo costos de inversión de la tecnología debidamente reconocidos por la UPME en ejercicio de sus competencias, no responde al requerimiento de los artículos 22 literal d) (costos de inversión sistema hibrido); 24.5 (remuneración AOM para otras tecnologías de conversión); y 25, de la CREG 091/07, en tanto además se asume de manera “inadecuada4” una ponderación de los costos de generación Diesel y los de Biomasa; donde la tecnología ineficiente pesa más que la eficiente para efectos de la determinación del cargo.</w:t>
      </w:r>
    </w:p>
    <w:p w14:paraId="3C15522E" w14:textId="77777777" w:rsidR="00B61A30" w:rsidRPr="0056108C" w:rsidRDefault="00B61A30" w:rsidP="0056108C">
      <w:pPr>
        <w:pStyle w:val="Textodebloque"/>
        <w:ind w:right="6"/>
        <w:contextualSpacing/>
        <w:rPr>
          <w:rFonts w:ascii="Bookman Old Style" w:hAnsi="Bookman Old Style"/>
          <w:i/>
          <w:sz w:val="22"/>
          <w:szCs w:val="22"/>
        </w:rPr>
      </w:pPr>
    </w:p>
    <w:p w14:paraId="18FE8FE5" w14:textId="77777777" w:rsidR="00B61A30" w:rsidRPr="0056108C" w:rsidRDefault="00B61A30" w:rsidP="0056108C">
      <w:pPr>
        <w:pStyle w:val="Textodebloque"/>
        <w:ind w:right="6"/>
        <w:contextualSpacing/>
        <w:rPr>
          <w:rFonts w:ascii="Bookman Old Style" w:hAnsi="Bookman Old Style"/>
          <w:i/>
          <w:sz w:val="22"/>
          <w:szCs w:val="22"/>
        </w:rPr>
      </w:pPr>
      <w:r w:rsidRPr="0056108C">
        <w:rPr>
          <w:rFonts w:ascii="Bookman Old Style" w:hAnsi="Bookman Old Style"/>
          <w:i/>
          <w:sz w:val="22"/>
          <w:szCs w:val="22"/>
        </w:rPr>
        <w:t xml:space="preserve">Así, la resolución que se recurre NO DETERMINA EL CARGO MÁXIMO DE GENERACIÓN PARA LA SOLUCIÓN HIBRIDA EN PARTICULAR, PARA INCENTIVAR LA INVERSION EN ENERGIAS LIMPIAS FNCER (con entrega en firme, continua 24/7 y de calidad)5 tal cual se regula y permite en los </w:t>
      </w:r>
      <w:proofErr w:type="spellStart"/>
      <w:r w:rsidRPr="0056108C">
        <w:rPr>
          <w:rFonts w:ascii="Bookman Old Style" w:hAnsi="Bookman Old Style"/>
          <w:i/>
          <w:sz w:val="22"/>
          <w:szCs w:val="22"/>
        </w:rPr>
        <w:t>arts</w:t>
      </w:r>
      <w:proofErr w:type="spellEnd"/>
      <w:r w:rsidRPr="0056108C">
        <w:rPr>
          <w:rFonts w:ascii="Bookman Old Style" w:hAnsi="Bookman Old Style"/>
          <w:i/>
          <w:sz w:val="22"/>
          <w:szCs w:val="22"/>
        </w:rPr>
        <w:t xml:space="preserve"> 20, 21, literal d) del artículo art 22. CREG O91/007, sino que INCENTIVA EL USO DEL DIESEL PARA GENERAR EN LA ZNI de Puerto Carreño (tal como se venía realizando hasta diciembre 2020, con plantas cuya inversión es mínima o que ni siquiera puede ser remunerada porque las entrego el IPSE para su uso, pero cuyo costo se sobrevalora al pagar la energía al valor del punto del mercado SIN más cercano), pues está mejor remunerado, a costa incluso de la ineficiencia de sus plantas.</w:t>
      </w:r>
    </w:p>
    <w:p w14:paraId="78E30E38" w14:textId="77777777" w:rsidR="00B61A30" w:rsidRPr="0056108C" w:rsidRDefault="00B61A30" w:rsidP="0056108C">
      <w:pPr>
        <w:pStyle w:val="Textodebloque"/>
        <w:ind w:right="6"/>
        <w:contextualSpacing/>
        <w:rPr>
          <w:rFonts w:ascii="Bookman Old Style" w:hAnsi="Bookman Old Style"/>
          <w:i/>
          <w:sz w:val="22"/>
          <w:szCs w:val="22"/>
        </w:rPr>
      </w:pPr>
    </w:p>
    <w:p w14:paraId="39A565DE" w14:textId="77777777" w:rsidR="00B61A30" w:rsidRPr="0056108C" w:rsidRDefault="00B61A30" w:rsidP="0056108C">
      <w:pPr>
        <w:pStyle w:val="Textodebloque"/>
        <w:ind w:right="6"/>
        <w:contextualSpacing/>
        <w:rPr>
          <w:rFonts w:ascii="Bookman Old Style" w:hAnsi="Bookman Old Style"/>
          <w:i/>
          <w:sz w:val="22"/>
          <w:szCs w:val="22"/>
        </w:rPr>
      </w:pPr>
      <w:r w:rsidRPr="0056108C">
        <w:rPr>
          <w:rFonts w:ascii="Bookman Old Style" w:hAnsi="Bookman Old Style"/>
          <w:i/>
          <w:sz w:val="22"/>
          <w:szCs w:val="22"/>
        </w:rPr>
        <w:t>La resolución y desincentiva la transición HACIA LAS TECNOLOGIAS LIMPIAS, mediante la IMPLEMENTACION DE SOLUCIONES HIBRIDAS, Contrariando los objetivos de transición energética y los compromisos de “Carbono 0” que suscribió Colombia en Acuerdos Internacionales cuyo cumplimiento se incorporó a través de las Leyes 1715/13, 1753/15 (art 153), 142/94 (art. 89,3 y 99,10), 855/03 (art.</w:t>
      </w:r>
      <w:proofErr w:type="gramStart"/>
      <w:r w:rsidRPr="0056108C">
        <w:rPr>
          <w:rFonts w:ascii="Bookman Old Style" w:hAnsi="Bookman Old Style"/>
          <w:i/>
          <w:sz w:val="22"/>
          <w:szCs w:val="22"/>
        </w:rPr>
        <w:t>1)y</w:t>
      </w:r>
      <w:proofErr w:type="gramEnd"/>
      <w:r w:rsidRPr="0056108C">
        <w:rPr>
          <w:rFonts w:ascii="Bookman Old Style" w:hAnsi="Bookman Old Style"/>
          <w:i/>
          <w:sz w:val="22"/>
          <w:szCs w:val="22"/>
        </w:rPr>
        <w:t xml:space="preserve"> con el Decreto 1073/15 (arts. 2.2.3.2.6.1.1, 2.2.3.2.6.1.2 y 2.2.3.2.6.1.8,)</w:t>
      </w:r>
    </w:p>
    <w:p w14:paraId="1941C24E" w14:textId="77777777" w:rsidR="00B61A30" w:rsidRPr="0056108C" w:rsidRDefault="00B61A30" w:rsidP="0056108C">
      <w:pPr>
        <w:pStyle w:val="Textodebloque"/>
        <w:ind w:right="6"/>
        <w:contextualSpacing/>
        <w:rPr>
          <w:rFonts w:ascii="Bookman Old Style" w:hAnsi="Bookman Old Style"/>
          <w:i/>
          <w:sz w:val="22"/>
          <w:szCs w:val="22"/>
        </w:rPr>
      </w:pPr>
    </w:p>
    <w:p w14:paraId="41F5297E" w14:textId="56E0672F" w:rsidR="002221EE" w:rsidRPr="0056108C" w:rsidRDefault="00B61A30" w:rsidP="0056108C">
      <w:pPr>
        <w:pStyle w:val="Textodebloque"/>
        <w:ind w:right="6"/>
        <w:contextualSpacing/>
        <w:rPr>
          <w:rFonts w:ascii="Bookman Old Style" w:hAnsi="Bookman Old Style"/>
          <w:i/>
          <w:sz w:val="22"/>
          <w:szCs w:val="22"/>
        </w:rPr>
      </w:pPr>
      <w:r w:rsidRPr="0056108C">
        <w:rPr>
          <w:rFonts w:ascii="Bookman Old Style" w:hAnsi="Bookman Old Style"/>
          <w:i/>
          <w:sz w:val="22"/>
          <w:szCs w:val="22"/>
        </w:rPr>
        <w:t xml:space="preserve">Por tanto, para determinar un cargo máximo de generación con “costo-eficiente” en el archivo Excel adjunto al documento técnico Anexo a la Resolución que se recurre Hoja “Cargo CREG” en VERDE se han identificado ponderadores de generación asociados a la propuesta de máxima eficiencia de la planta HIBRIDA EN BIOMASA 90%-DIESEL 10% y con esta ponderación se han calculado los gastos de AOM).” </w:t>
      </w:r>
    </w:p>
    <w:p w14:paraId="79E3493E" w14:textId="1F7DC131" w:rsidR="00B61A30" w:rsidRDefault="00B61A30" w:rsidP="00B61A30">
      <w:pPr>
        <w:pStyle w:val="Textodebloque"/>
        <w:ind w:left="284" w:right="6"/>
        <w:contextualSpacing/>
        <w:rPr>
          <w:rFonts w:ascii="Bookman Old Style" w:hAnsi="Bookman Old Style"/>
          <w:i/>
          <w:szCs w:val="24"/>
        </w:rPr>
      </w:pPr>
    </w:p>
    <w:p w14:paraId="320FCB7A" w14:textId="28F607E8" w:rsidR="00B61A30" w:rsidRPr="00B61A30" w:rsidRDefault="00B61A30" w:rsidP="00B61A30">
      <w:pPr>
        <w:pStyle w:val="Textodebloque"/>
        <w:ind w:left="284" w:right="6"/>
        <w:contextualSpacing/>
        <w:rPr>
          <w:rFonts w:ascii="Bookman Old Style" w:hAnsi="Bookman Old Style"/>
          <w:b/>
        </w:rPr>
      </w:pPr>
      <w:r w:rsidRPr="26A7944B">
        <w:rPr>
          <w:rFonts w:ascii="Bookman Old Style" w:hAnsi="Bookman Old Style"/>
        </w:rPr>
        <w:t>Esta Comisión se permite reiterar lo expuesto en la metodología tarifaria vigente fijada en la Resolución CREG 091 de 2007</w:t>
      </w:r>
      <w:r w:rsidR="00F60C1B">
        <w:rPr>
          <w:rFonts w:ascii="Bookman Old Style" w:hAnsi="Bookman Old Style"/>
        </w:rPr>
        <w:t>,</w:t>
      </w:r>
      <w:r w:rsidRPr="26A7944B">
        <w:rPr>
          <w:rFonts w:ascii="Bookman Old Style" w:hAnsi="Bookman Old Style"/>
        </w:rPr>
        <w:t xml:space="preserve"> en la que se establece que los </w:t>
      </w:r>
      <w:r w:rsidRPr="004773A7">
        <w:rPr>
          <w:rFonts w:ascii="Bookman Old Style" w:hAnsi="Bookman Old Style"/>
          <w:bCs/>
        </w:rPr>
        <w:t>cargos máximos</w:t>
      </w:r>
      <w:r w:rsidR="00860360">
        <w:rPr>
          <w:rFonts w:ascii="Bookman Old Style" w:hAnsi="Bookman Old Style"/>
          <w:bCs/>
        </w:rPr>
        <w:t xml:space="preserve"> de generación</w:t>
      </w:r>
      <w:r w:rsidRPr="004773A7">
        <w:rPr>
          <w:rFonts w:ascii="Bookman Old Style" w:hAnsi="Bookman Old Style"/>
          <w:bCs/>
        </w:rPr>
        <w:t xml:space="preserve"> definidos por esta Comisión se determinan por tecnología.</w:t>
      </w:r>
    </w:p>
    <w:p w14:paraId="22FDDE64" w14:textId="77777777" w:rsidR="00B61A30" w:rsidRPr="00B61A30" w:rsidRDefault="00B61A30" w:rsidP="00B61A30">
      <w:pPr>
        <w:pStyle w:val="Textodebloque"/>
        <w:ind w:left="284" w:right="6"/>
        <w:contextualSpacing/>
        <w:rPr>
          <w:rFonts w:ascii="Bookman Old Style" w:hAnsi="Bookman Old Style"/>
          <w:szCs w:val="24"/>
        </w:rPr>
      </w:pPr>
    </w:p>
    <w:p w14:paraId="5EE51282" w14:textId="47B737D3" w:rsidR="00663099" w:rsidRDefault="00B61A30" w:rsidP="00B61A30">
      <w:pPr>
        <w:pStyle w:val="Textodebloque"/>
        <w:ind w:left="284" w:right="6"/>
        <w:contextualSpacing/>
        <w:rPr>
          <w:rFonts w:ascii="Bookman Old Style" w:hAnsi="Bookman Old Style"/>
          <w:szCs w:val="24"/>
        </w:rPr>
      </w:pPr>
      <w:r w:rsidRPr="00B61A30">
        <w:rPr>
          <w:rFonts w:ascii="Bookman Old Style" w:hAnsi="Bookman Old Style"/>
          <w:szCs w:val="24"/>
        </w:rPr>
        <w:t xml:space="preserve">Según lo anterior, </w:t>
      </w:r>
      <w:r w:rsidR="008533B1">
        <w:rPr>
          <w:rFonts w:ascii="Bookman Old Style" w:hAnsi="Bookman Old Style"/>
          <w:szCs w:val="24"/>
        </w:rPr>
        <w:t xml:space="preserve">el </w:t>
      </w:r>
      <w:r w:rsidRPr="00B61A30">
        <w:rPr>
          <w:rFonts w:ascii="Bookman Old Style" w:hAnsi="Bookman Old Style"/>
          <w:szCs w:val="24"/>
        </w:rPr>
        <w:t xml:space="preserve">cargo de generación con tecnología Diésel ya se encuentra </w:t>
      </w:r>
      <w:r w:rsidR="008533B1" w:rsidRPr="00B61A30">
        <w:rPr>
          <w:rFonts w:ascii="Bookman Old Style" w:hAnsi="Bookman Old Style"/>
          <w:szCs w:val="24"/>
        </w:rPr>
        <w:t>definid</w:t>
      </w:r>
      <w:r w:rsidR="008533B1">
        <w:rPr>
          <w:rFonts w:ascii="Bookman Old Style" w:hAnsi="Bookman Old Style"/>
          <w:szCs w:val="24"/>
        </w:rPr>
        <w:t>o</w:t>
      </w:r>
      <w:r w:rsidR="008533B1" w:rsidRPr="00B61A30">
        <w:rPr>
          <w:rFonts w:ascii="Bookman Old Style" w:hAnsi="Bookman Old Style"/>
          <w:szCs w:val="24"/>
        </w:rPr>
        <w:t xml:space="preserve"> </w:t>
      </w:r>
      <w:r w:rsidRPr="00B61A30">
        <w:rPr>
          <w:rFonts w:ascii="Bookman Old Style" w:hAnsi="Bookman Old Style"/>
          <w:szCs w:val="24"/>
        </w:rPr>
        <w:t xml:space="preserve">en el literal a) del artículo 22 y </w:t>
      </w:r>
      <w:r w:rsidR="00F60C1B">
        <w:rPr>
          <w:rFonts w:ascii="Bookman Old Style" w:hAnsi="Bookman Old Style"/>
          <w:szCs w:val="24"/>
        </w:rPr>
        <w:t xml:space="preserve">en el </w:t>
      </w:r>
      <w:r w:rsidRPr="00B61A30">
        <w:rPr>
          <w:rFonts w:ascii="Bookman Old Style" w:hAnsi="Bookman Old Style"/>
          <w:szCs w:val="24"/>
        </w:rPr>
        <w:t>artículo 24.1 de la Resolución CREG 091 de 2007 y</w:t>
      </w:r>
      <w:r w:rsidR="00F60C1B">
        <w:rPr>
          <w:rFonts w:ascii="Bookman Old Style" w:hAnsi="Bookman Old Style"/>
          <w:szCs w:val="24"/>
        </w:rPr>
        <w:t>,</w:t>
      </w:r>
      <w:r w:rsidRPr="00B61A30">
        <w:rPr>
          <w:rFonts w:ascii="Bookman Old Style" w:hAnsi="Bookman Old Style"/>
          <w:szCs w:val="24"/>
        </w:rPr>
        <w:t xml:space="preserve"> </w:t>
      </w:r>
      <w:r w:rsidR="008533B1">
        <w:rPr>
          <w:rFonts w:ascii="Bookman Old Style" w:hAnsi="Bookman Old Style"/>
          <w:szCs w:val="24"/>
        </w:rPr>
        <w:t>en ese sentido</w:t>
      </w:r>
      <w:r w:rsidR="00F60C1B">
        <w:rPr>
          <w:rFonts w:ascii="Bookman Old Style" w:hAnsi="Bookman Old Style"/>
          <w:szCs w:val="24"/>
        </w:rPr>
        <w:t>,</w:t>
      </w:r>
      <w:r w:rsidR="008533B1">
        <w:rPr>
          <w:rFonts w:ascii="Bookman Old Style" w:hAnsi="Bookman Old Style"/>
          <w:szCs w:val="24"/>
        </w:rPr>
        <w:t xml:space="preserve"> este</w:t>
      </w:r>
      <w:r w:rsidR="008533B1" w:rsidRPr="00B61A30">
        <w:rPr>
          <w:rFonts w:ascii="Bookman Old Style" w:hAnsi="Bookman Old Style"/>
          <w:szCs w:val="24"/>
        </w:rPr>
        <w:t xml:space="preserve"> </w:t>
      </w:r>
      <w:r w:rsidRPr="00B61A30">
        <w:rPr>
          <w:rFonts w:ascii="Bookman Old Style" w:hAnsi="Bookman Old Style"/>
          <w:szCs w:val="24"/>
        </w:rPr>
        <w:t xml:space="preserve">deberá ser </w:t>
      </w:r>
      <w:r w:rsidR="008533B1" w:rsidRPr="00B61A30">
        <w:rPr>
          <w:rFonts w:ascii="Bookman Old Style" w:hAnsi="Bookman Old Style"/>
          <w:szCs w:val="24"/>
        </w:rPr>
        <w:t>aplicad</w:t>
      </w:r>
      <w:r w:rsidR="008533B1">
        <w:rPr>
          <w:rFonts w:ascii="Bookman Old Style" w:hAnsi="Bookman Old Style"/>
          <w:szCs w:val="24"/>
        </w:rPr>
        <w:t>o</w:t>
      </w:r>
      <w:r w:rsidR="008533B1" w:rsidRPr="00B61A30">
        <w:rPr>
          <w:rFonts w:ascii="Bookman Old Style" w:hAnsi="Bookman Old Style"/>
          <w:szCs w:val="24"/>
        </w:rPr>
        <w:t xml:space="preserve"> </w:t>
      </w:r>
      <w:r w:rsidRPr="00B61A30">
        <w:rPr>
          <w:rFonts w:ascii="Bookman Old Style" w:hAnsi="Bookman Old Style"/>
          <w:szCs w:val="24"/>
        </w:rPr>
        <w:t>al mercado relevante de Puerto Carreño, sin importar qu</w:t>
      </w:r>
      <w:r w:rsidR="002A6D85">
        <w:rPr>
          <w:rFonts w:ascii="Bookman Old Style" w:hAnsi="Bookman Old Style"/>
          <w:szCs w:val="24"/>
        </w:rPr>
        <w:t>é</w:t>
      </w:r>
      <w:r w:rsidRPr="00B61A30">
        <w:rPr>
          <w:rFonts w:ascii="Bookman Old Style" w:hAnsi="Bookman Old Style"/>
          <w:szCs w:val="24"/>
        </w:rPr>
        <w:t xml:space="preserve"> prestador o </w:t>
      </w:r>
      <w:r w:rsidR="002A6D85">
        <w:rPr>
          <w:rFonts w:ascii="Bookman Old Style" w:hAnsi="Bookman Old Style"/>
          <w:szCs w:val="24"/>
        </w:rPr>
        <w:t xml:space="preserve">qué </w:t>
      </w:r>
      <w:r w:rsidRPr="00B61A30">
        <w:rPr>
          <w:rFonts w:ascii="Bookman Old Style" w:hAnsi="Bookman Old Style"/>
          <w:szCs w:val="24"/>
        </w:rPr>
        <w:t>generador ingrese a dicho mercado.</w:t>
      </w:r>
    </w:p>
    <w:p w14:paraId="388B4606" w14:textId="77777777" w:rsidR="00663099" w:rsidRDefault="00663099" w:rsidP="00B61A30">
      <w:pPr>
        <w:pStyle w:val="Textodebloque"/>
        <w:ind w:left="284" w:right="6"/>
        <w:contextualSpacing/>
        <w:rPr>
          <w:rFonts w:ascii="Bookman Old Style" w:hAnsi="Bookman Old Style"/>
          <w:szCs w:val="24"/>
        </w:rPr>
      </w:pPr>
    </w:p>
    <w:p w14:paraId="0049585B" w14:textId="7380981F" w:rsidR="00B61A30" w:rsidRPr="00B61A30" w:rsidRDefault="00663099" w:rsidP="00B61A30">
      <w:pPr>
        <w:pStyle w:val="Textodebloque"/>
        <w:ind w:left="284" w:right="6"/>
        <w:contextualSpacing/>
        <w:rPr>
          <w:rFonts w:ascii="Bookman Old Style" w:hAnsi="Bookman Old Style"/>
          <w:szCs w:val="24"/>
        </w:rPr>
      </w:pPr>
      <w:r>
        <w:rPr>
          <w:rFonts w:ascii="Bookman Old Style" w:hAnsi="Bookman Old Style"/>
          <w:szCs w:val="24"/>
        </w:rPr>
        <w:t>Teniendo en cuenta lo definido en la Resolución CREG 091 del 2007</w:t>
      </w:r>
      <w:r w:rsidR="00F60C1B">
        <w:rPr>
          <w:rFonts w:ascii="Bookman Old Style" w:hAnsi="Bookman Old Style"/>
          <w:szCs w:val="24"/>
        </w:rPr>
        <w:t>,</w:t>
      </w:r>
      <w:r>
        <w:rPr>
          <w:rFonts w:ascii="Bookman Old Style" w:hAnsi="Bookman Old Style"/>
          <w:szCs w:val="24"/>
        </w:rPr>
        <w:t xml:space="preserve"> esta Comisión cuenta con la competencia para  definir el cargo máximo de generación aplicable a </w:t>
      </w:r>
      <w:r w:rsidR="00B61A30" w:rsidRPr="00B61A30">
        <w:rPr>
          <w:rFonts w:ascii="Bookman Old Style" w:hAnsi="Bookman Old Style"/>
          <w:szCs w:val="24"/>
        </w:rPr>
        <w:t>tecnología</w:t>
      </w:r>
      <w:r>
        <w:rPr>
          <w:rFonts w:ascii="Bookman Old Style" w:hAnsi="Bookman Old Style"/>
          <w:szCs w:val="24"/>
        </w:rPr>
        <w:t>s</w:t>
      </w:r>
      <w:r w:rsidR="00B61A30" w:rsidRPr="00B61A30">
        <w:rPr>
          <w:rFonts w:ascii="Bookman Old Style" w:hAnsi="Bookman Old Style"/>
          <w:szCs w:val="24"/>
        </w:rPr>
        <w:t xml:space="preserve"> de generación</w:t>
      </w:r>
      <w:r>
        <w:rPr>
          <w:rFonts w:ascii="Bookman Old Style" w:hAnsi="Bookman Old Style"/>
          <w:szCs w:val="24"/>
        </w:rPr>
        <w:t xml:space="preserve"> que no se encuentren allí definidas</w:t>
      </w:r>
      <w:r w:rsidR="00F60C1B">
        <w:rPr>
          <w:rFonts w:ascii="Bookman Old Style" w:hAnsi="Bookman Old Style"/>
          <w:szCs w:val="24"/>
        </w:rPr>
        <w:t>,</w:t>
      </w:r>
      <w:r w:rsidR="00B61A30" w:rsidRPr="00B61A30">
        <w:rPr>
          <w:rFonts w:ascii="Bookman Old Style" w:hAnsi="Bookman Old Style"/>
          <w:szCs w:val="24"/>
        </w:rPr>
        <w:t xml:space="preserve"> </w:t>
      </w:r>
      <w:r>
        <w:rPr>
          <w:rFonts w:ascii="Bookman Old Style" w:hAnsi="Bookman Old Style"/>
          <w:szCs w:val="24"/>
        </w:rPr>
        <w:t>y en ese sentido</w:t>
      </w:r>
      <w:r w:rsidR="00F60C1B">
        <w:rPr>
          <w:rFonts w:ascii="Bookman Old Style" w:hAnsi="Bookman Old Style"/>
          <w:szCs w:val="24"/>
        </w:rPr>
        <w:t>,</w:t>
      </w:r>
      <w:r>
        <w:rPr>
          <w:rFonts w:ascii="Bookman Old Style" w:hAnsi="Bookman Old Style"/>
          <w:szCs w:val="24"/>
        </w:rPr>
        <w:t xml:space="preserve"> atendiendo a la solicitud presentada por la empresa</w:t>
      </w:r>
      <w:r w:rsidR="00F60C1B">
        <w:rPr>
          <w:rFonts w:ascii="Bookman Old Style" w:hAnsi="Bookman Old Style"/>
          <w:szCs w:val="24"/>
        </w:rPr>
        <w:t>,</w:t>
      </w:r>
      <w:r>
        <w:rPr>
          <w:rFonts w:ascii="Bookman Old Style" w:hAnsi="Bookman Old Style"/>
          <w:szCs w:val="24"/>
        </w:rPr>
        <w:t xml:space="preserve"> </w:t>
      </w:r>
      <w:r w:rsidR="00B61A30" w:rsidRPr="00B61A30">
        <w:rPr>
          <w:rFonts w:ascii="Bookman Old Style" w:hAnsi="Bookman Old Style"/>
          <w:szCs w:val="24"/>
        </w:rPr>
        <w:t xml:space="preserve">esta Comisión procedió a determinar el cargo </w:t>
      </w:r>
      <w:r>
        <w:rPr>
          <w:rFonts w:ascii="Bookman Old Style" w:hAnsi="Bookman Old Style"/>
          <w:szCs w:val="24"/>
        </w:rPr>
        <w:t xml:space="preserve">máximo de generación </w:t>
      </w:r>
      <w:r w:rsidR="00B61A30" w:rsidRPr="00B61A30">
        <w:rPr>
          <w:rFonts w:ascii="Bookman Old Style" w:hAnsi="Bookman Old Style"/>
          <w:szCs w:val="24"/>
        </w:rPr>
        <w:t>para la tecnología de Biomasa</w:t>
      </w:r>
      <w:r>
        <w:rPr>
          <w:rFonts w:ascii="Bookman Old Style" w:hAnsi="Bookman Old Style"/>
          <w:szCs w:val="24"/>
        </w:rPr>
        <w:t xml:space="preserve"> aplicable en el mercado relevante de Puerto Carreño</w:t>
      </w:r>
      <w:r w:rsidR="00B61A30" w:rsidRPr="00B61A30">
        <w:rPr>
          <w:rFonts w:ascii="Bookman Old Style" w:hAnsi="Bookman Old Style"/>
          <w:szCs w:val="24"/>
        </w:rPr>
        <w:t>,</w:t>
      </w:r>
      <w:r>
        <w:rPr>
          <w:rFonts w:ascii="Bookman Old Style" w:hAnsi="Bookman Old Style"/>
          <w:szCs w:val="24"/>
        </w:rPr>
        <w:t xml:space="preserve"> cargo </w:t>
      </w:r>
      <w:r w:rsidR="002A6D85">
        <w:rPr>
          <w:rFonts w:ascii="Bookman Old Style" w:hAnsi="Bookman Old Style"/>
          <w:szCs w:val="24"/>
        </w:rPr>
        <w:t xml:space="preserve">máximo </w:t>
      </w:r>
      <w:r>
        <w:rPr>
          <w:rFonts w:ascii="Bookman Old Style" w:hAnsi="Bookman Old Style"/>
          <w:szCs w:val="24"/>
        </w:rPr>
        <w:t xml:space="preserve">que puede ser aplicado </w:t>
      </w:r>
      <w:r w:rsidR="00B61A30" w:rsidRPr="00B61A30">
        <w:rPr>
          <w:rFonts w:ascii="Bookman Old Style" w:hAnsi="Bookman Old Style"/>
          <w:szCs w:val="24"/>
        </w:rPr>
        <w:t xml:space="preserve">por cualquier </w:t>
      </w:r>
      <w:r w:rsidR="002A6D85">
        <w:rPr>
          <w:rFonts w:ascii="Bookman Old Style" w:hAnsi="Bookman Old Style"/>
          <w:szCs w:val="24"/>
        </w:rPr>
        <w:t xml:space="preserve">prestador </w:t>
      </w:r>
      <w:r w:rsidR="00B61A30" w:rsidRPr="00B61A30">
        <w:rPr>
          <w:rFonts w:ascii="Bookman Old Style" w:hAnsi="Bookman Old Style"/>
          <w:szCs w:val="24"/>
        </w:rPr>
        <w:t>que entre a operar con dicha tecnología en el</w:t>
      </w:r>
      <w:r>
        <w:rPr>
          <w:rFonts w:ascii="Bookman Old Style" w:hAnsi="Bookman Old Style"/>
          <w:szCs w:val="24"/>
        </w:rPr>
        <w:t xml:space="preserve"> precitado mercado</w:t>
      </w:r>
      <w:r w:rsidR="00B61A30" w:rsidRPr="00B61A30">
        <w:rPr>
          <w:rFonts w:ascii="Bookman Old Style" w:hAnsi="Bookman Old Style"/>
          <w:szCs w:val="24"/>
        </w:rPr>
        <w:t>.</w:t>
      </w:r>
    </w:p>
    <w:p w14:paraId="73918DE2" w14:textId="77777777" w:rsidR="00B61A30" w:rsidRPr="00B61A30" w:rsidRDefault="00B61A30" w:rsidP="00B61A30">
      <w:pPr>
        <w:pStyle w:val="Textodebloque"/>
        <w:ind w:left="284" w:right="6"/>
        <w:contextualSpacing/>
        <w:rPr>
          <w:rFonts w:ascii="Bookman Old Style" w:hAnsi="Bookman Old Style"/>
          <w:szCs w:val="24"/>
        </w:rPr>
      </w:pPr>
    </w:p>
    <w:p w14:paraId="31FD07A5" w14:textId="07591FD3" w:rsidR="00B61A30" w:rsidRPr="00B61A30" w:rsidRDefault="00B61A30" w:rsidP="00B61A30">
      <w:pPr>
        <w:pStyle w:val="Textodebloque"/>
        <w:ind w:left="284" w:right="6"/>
        <w:contextualSpacing/>
        <w:rPr>
          <w:rFonts w:ascii="Bookman Old Style" w:hAnsi="Bookman Old Style"/>
          <w:szCs w:val="24"/>
        </w:rPr>
      </w:pPr>
      <w:r w:rsidRPr="00B61A30">
        <w:rPr>
          <w:rFonts w:ascii="Bookman Old Style" w:hAnsi="Bookman Old Style"/>
          <w:szCs w:val="24"/>
        </w:rPr>
        <w:t xml:space="preserve">Con relación a los factores de ponderación </w:t>
      </w:r>
      <w:r w:rsidR="00663099">
        <w:rPr>
          <w:rFonts w:ascii="Bookman Old Style" w:hAnsi="Bookman Old Style"/>
          <w:szCs w:val="24"/>
        </w:rPr>
        <w:t>utilizados</w:t>
      </w:r>
      <w:r w:rsidR="00663099" w:rsidRPr="00B61A30">
        <w:rPr>
          <w:rFonts w:ascii="Bookman Old Style" w:hAnsi="Bookman Old Style"/>
          <w:szCs w:val="24"/>
        </w:rPr>
        <w:t xml:space="preserve"> </w:t>
      </w:r>
      <w:r w:rsidRPr="00B61A30">
        <w:rPr>
          <w:rFonts w:ascii="Bookman Old Style" w:hAnsi="Bookman Old Style"/>
          <w:szCs w:val="24"/>
        </w:rPr>
        <w:t>por esta Comisión en la determinación del cargo solicitado, lo primero que debe señalarse es que</w:t>
      </w:r>
      <w:r w:rsidR="00F60C1B">
        <w:rPr>
          <w:rFonts w:ascii="Bookman Old Style" w:hAnsi="Bookman Old Style"/>
          <w:szCs w:val="24"/>
        </w:rPr>
        <w:t>,</w:t>
      </w:r>
      <w:r w:rsidRPr="00B61A30">
        <w:rPr>
          <w:rFonts w:ascii="Bookman Old Style" w:hAnsi="Bookman Old Style"/>
          <w:szCs w:val="24"/>
        </w:rPr>
        <w:t xml:space="preserve"> en reiteradas comunicaciones (Radicados CREG S-2021-00969, CREG S-2021- 002641, S-2021-002878, autos de pruebas I-2021-003180, I-2021-004254),</w:t>
      </w:r>
      <w:r w:rsidR="00663099">
        <w:rPr>
          <w:rFonts w:ascii="Bookman Old Style" w:hAnsi="Bookman Old Style"/>
          <w:szCs w:val="24"/>
        </w:rPr>
        <w:t xml:space="preserve"> esta Comisión</w:t>
      </w:r>
      <w:r w:rsidRPr="00B61A30">
        <w:rPr>
          <w:rFonts w:ascii="Bookman Old Style" w:hAnsi="Bookman Old Style"/>
          <w:szCs w:val="24"/>
        </w:rPr>
        <w:t xml:space="preserve"> solicitó a REFOENERGY</w:t>
      </w:r>
      <w:r w:rsidR="008D0EB6">
        <w:rPr>
          <w:rFonts w:ascii="Bookman Old Style" w:hAnsi="Bookman Old Style"/>
          <w:szCs w:val="24"/>
        </w:rPr>
        <w:t>,</w:t>
      </w:r>
      <w:r w:rsidRPr="00B61A30">
        <w:rPr>
          <w:rFonts w:ascii="Bookman Old Style" w:hAnsi="Bookman Old Style"/>
          <w:szCs w:val="24"/>
        </w:rPr>
        <w:t xml:space="preserve"> </w:t>
      </w:r>
      <w:r w:rsidR="008D0EB6">
        <w:rPr>
          <w:rFonts w:ascii="Bookman Old Style" w:hAnsi="Bookman Old Style"/>
          <w:szCs w:val="24"/>
        </w:rPr>
        <w:t>sin obtener respuesta por parte de la empresa,</w:t>
      </w:r>
      <w:r w:rsidR="008D0EB6" w:rsidRPr="00B61A30">
        <w:rPr>
          <w:rFonts w:ascii="Bookman Old Style" w:hAnsi="Bookman Old Style"/>
          <w:szCs w:val="24"/>
        </w:rPr>
        <w:t xml:space="preserve"> </w:t>
      </w:r>
      <w:r w:rsidRPr="00B61A30">
        <w:rPr>
          <w:rFonts w:ascii="Bookman Old Style" w:hAnsi="Bookman Old Style"/>
          <w:szCs w:val="24"/>
        </w:rPr>
        <w:t>la distribución de costos por tecnología</w:t>
      </w:r>
      <w:r w:rsidR="00F60C1B">
        <w:rPr>
          <w:rFonts w:ascii="Bookman Old Style" w:hAnsi="Bookman Old Style"/>
          <w:szCs w:val="24"/>
        </w:rPr>
        <w:t>,</w:t>
      </w:r>
      <w:r w:rsidRPr="00B61A30">
        <w:rPr>
          <w:rFonts w:ascii="Bookman Old Style" w:hAnsi="Bookman Old Style"/>
          <w:szCs w:val="24"/>
        </w:rPr>
        <w:t xml:space="preserve"> de tal</w:t>
      </w:r>
      <w:r w:rsidR="008533B1">
        <w:rPr>
          <w:rFonts w:ascii="Bookman Old Style" w:hAnsi="Bookman Old Style"/>
          <w:szCs w:val="24"/>
        </w:rPr>
        <w:t xml:space="preserve"> modo</w:t>
      </w:r>
      <w:r w:rsidR="00747890">
        <w:rPr>
          <w:rFonts w:ascii="Bookman Old Style" w:hAnsi="Bookman Old Style"/>
          <w:szCs w:val="24"/>
        </w:rPr>
        <w:t xml:space="preserve"> </w:t>
      </w:r>
      <w:r w:rsidRPr="00B61A30">
        <w:rPr>
          <w:rFonts w:ascii="Bookman Old Style" w:hAnsi="Bookman Old Style"/>
          <w:szCs w:val="24"/>
        </w:rPr>
        <w:t>que se</w:t>
      </w:r>
      <w:r w:rsidR="008533B1">
        <w:rPr>
          <w:rFonts w:ascii="Bookman Old Style" w:hAnsi="Bookman Old Style"/>
          <w:szCs w:val="24"/>
        </w:rPr>
        <w:t xml:space="preserve"> pudieran</w:t>
      </w:r>
      <w:r w:rsidRPr="00B61A30">
        <w:rPr>
          <w:rFonts w:ascii="Bookman Old Style" w:hAnsi="Bookman Old Style"/>
          <w:szCs w:val="24"/>
        </w:rPr>
        <w:t xml:space="preserve"> determinar </w:t>
      </w:r>
      <w:r w:rsidR="008533B1" w:rsidRPr="00043EA4">
        <w:rPr>
          <w:rFonts w:ascii="Bookman Old Style" w:hAnsi="Bookman Old Style"/>
          <w:szCs w:val="24"/>
        </w:rPr>
        <w:t xml:space="preserve">los </w:t>
      </w:r>
      <w:r w:rsidRPr="00043EA4">
        <w:rPr>
          <w:rFonts w:ascii="Bookman Old Style" w:hAnsi="Bookman Old Style"/>
          <w:szCs w:val="24"/>
        </w:rPr>
        <w:t>costos eficientes de administración, operación y mantenimiento de la tecnología de Biomasa.</w:t>
      </w:r>
    </w:p>
    <w:p w14:paraId="531B1830" w14:textId="77777777" w:rsidR="00B61A30" w:rsidRPr="00B61A30" w:rsidRDefault="00B61A30" w:rsidP="00B61A30">
      <w:pPr>
        <w:pStyle w:val="Textodebloque"/>
        <w:ind w:left="284" w:right="6"/>
        <w:contextualSpacing/>
        <w:rPr>
          <w:rFonts w:ascii="Bookman Old Style" w:hAnsi="Bookman Old Style"/>
          <w:szCs w:val="24"/>
        </w:rPr>
      </w:pPr>
    </w:p>
    <w:p w14:paraId="517BBBB5" w14:textId="5A036D48" w:rsidR="00B61A30" w:rsidRPr="00B61A30" w:rsidRDefault="00B61A30" w:rsidP="00B61A30">
      <w:pPr>
        <w:pStyle w:val="Textodebloque"/>
        <w:ind w:left="284" w:right="6"/>
        <w:contextualSpacing/>
        <w:rPr>
          <w:rFonts w:ascii="Bookman Old Style" w:hAnsi="Bookman Old Style"/>
          <w:szCs w:val="24"/>
        </w:rPr>
      </w:pPr>
      <w:r w:rsidRPr="00B61A30">
        <w:rPr>
          <w:rFonts w:ascii="Bookman Old Style" w:hAnsi="Bookman Old Style"/>
          <w:szCs w:val="24"/>
        </w:rPr>
        <w:t xml:space="preserve">En este contexto cabe señalar </w:t>
      </w:r>
      <w:r w:rsidR="00F9260D" w:rsidRPr="00B61A30">
        <w:rPr>
          <w:rFonts w:ascii="Bookman Old Style" w:hAnsi="Bookman Old Style"/>
          <w:szCs w:val="24"/>
        </w:rPr>
        <w:t>que,</w:t>
      </w:r>
      <w:r w:rsidRPr="00B61A30">
        <w:rPr>
          <w:rFonts w:ascii="Bookman Old Style" w:hAnsi="Bookman Old Style"/>
          <w:szCs w:val="24"/>
        </w:rPr>
        <w:t xml:space="preserve"> aunado a lo anterior, en audiencia aclaratoria realizada el 15 de febrero de 2022, REFOENERGY no solicitó ampliación de este requerimiento o aclaraciones, con lo cual esta Comisión</w:t>
      </w:r>
      <w:r w:rsidR="002343E3">
        <w:rPr>
          <w:rFonts w:ascii="Bookman Old Style" w:hAnsi="Bookman Old Style"/>
          <w:szCs w:val="24"/>
        </w:rPr>
        <w:t>,</w:t>
      </w:r>
      <w:r w:rsidRPr="00B61A30">
        <w:rPr>
          <w:rFonts w:ascii="Bookman Old Style" w:hAnsi="Bookman Old Style"/>
          <w:szCs w:val="24"/>
        </w:rPr>
        <w:t xml:space="preserve"> en el proceso de determinación de cargo y sobre la base de no contar con la información requerida, procedió a determinar cuál es</w:t>
      </w:r>
      <w:r w:rsidR="008D0EB6">
        <w:rPr>
          <w:rFonts w:ascii="Bookman Old Style" w:hAnsi="Bookman Old Style"/>
          <w:szCs w:val="24"/>
        </w:rPr>
        <w:t xml:space="preserve"> el potencial </w:t>
      </w:r>
      <w:r w:rsidRPr="00B61A30">
        <w:rPr>
          <w:rFonts w:ascii="Bookman Old Style" w:hAnsi="Bookman Old Style"/>
          <w:szCs w:val="24"/>
        </w:rPr>
        <w:t>de generación de cada tecnología</w:t>
      </w:r>
      <w:r w:rsidR="00F60C1B">
        <w:rPr>
          <w:rFonts w:ascii="Bookman Old Style" w:hAnsi="Bookman Old Style"/>
          <w:szCs w:val="24"/>
        </w:rPr>
        <w:t>,</w:t>
      </w:r>
      <w:r w:rsidRPr="00B61A30">
        <w:rPr>
          <w:rFonts w:ascii="Bookman Old Style" w:hAnsi="Bookman Old Style"/>
          <w:szCs w:val="24"/>
        </w:rPr>
        <w:t xml:space="preserve"> para obtener ponderadores que permitiesen a su vez calcular costos eficientes de AOM para cada tecnología</w:t>
      </w:r>
      <w:r w:rsidR="008D0EB6">
        <w:rPr>
          <w:rFonts w:ascii="Bookman Old Style" w:hAnsi="Bookman Old Style"/>
          <w:szCs w:val="24"/>
        </w:rPr>
        <w:t>, a la luz del sistema de generación diésel</w:t>
      </w:r>
      <w:r w:rsidR="00F60C1B">
        <w:rPr>
          <w:rFonts w:ascii="Bookman Old Style" w:hAnsi="Bookman Old Style"/>
          <w:szCs w:val="24"/>
        </w:rPr>
        <w:t>-</w:t>
      </w:r>
      <w:r w:rsidR="008D0EB6">
        <w:rPr>
          <w:rFonts w:ascii="Bookman Old Style" w:hAnsi="Bookman Old Style"/>
          <w:szCs w:val="24"/>
        </w:rPr>
        <w:t>biomasa presentado como referencia para determinar el cargo de generación con biomasa</w:t>
      </w:r>
      <w:r w:rsidRPr="00B61A30">
        <w:rPr>
          <w:rFonts w:ascii="Bookman Old Style" w:hAnsi="Bookman Old Style"/>
          <w:szCs w:val="24"/>
        </w:rPr>
        <w:t>.</w:t>
      </w:r>
    </w:p>
    <w:p w14:paraId="12DCF988" w14:textId="77777777" w:rsidR="00B61A30" w:rsidRPr="00B61A30" w:rsidRDefault="00B61A30" w:rsidP="00B61A30">
      <w:pPr>
        <w:pStyle w:val="Textodebloque"/>
        <w:ind w:left="284" w:right="6"/>
        <w:contextualSpacing/>
        <w:rPr>
          <w:rFonts w:ascii="Bookman Old Style" w:hAnsi="Bookman Old Style"/>
          <w:szCs w:val="24"/>
        </w:rPr>
      </w:pPr>
    </w:p>
    <w:p w14:paraId="425D83AA" w14:textId="4B9434ED" w:rsidR="00B61A30" w:rsidRPr="00B61A30" w:rsidRDefault="00B61A30" w:rsidP="00B61A30">
      <w:pPr>
        <w:pStyle w:val="Textodebloque"/>
        <w:ind w:left="284" w:right="6"/>
        <w:contextualSpacing/>
        <w:rPr>
          <w:rFonts w:ascii="Bookman Old Style" w:hAnsi="Bookman Old Style"/>
          <w:szCs w:val="24"/>
        </w:rPr>
      </w:pPr>
      <w:r w:rsidRPr="00B61A30">
        <w:rPr>
          <w:rFonts w:ascii="Bookman Old Style" w:hAnsi="Bookman Old Style"/>
          <w:szCs w:val="24"/>
        </w:rPr>
        <w:t>Ahora bien, esta Comisión considera que la interpretación de los factores de ponderación es errónea por parte de REFOENERGY, pues no son valores con los cuales deba operar o configurar la operación del parque de generación</w:t>
      </w:r>
      <w:r w:rsidR="008D0EB6">
        <w:rPr>
          <w:rFonts w:ascii="Bookman Old Style" w:hAnsi="Bookman Old Style"/>
          <w:szCs w:val="24"/>
        </w:rPr>
        <w:t>, ni de cómo hacer el despacho de energía al mercado</w:t>
      </w:r>
      <w:r w:rsidRPr="00B61A30">
        <w:rPr>
          <w:rFonts w:ascii="Bookman Old Style" w:hAnsi="Bookman Old Style"/>
          <w:szCs w:val="24"/>
        </w:rPr>
        <w:t>, pues</w:t>
      </w:r>
      <w:r w:rsidR="00F60C1B">
        <w:rPr>
          <w:rFonts w:ascii="Bookman Old Style" w:hAnsi="Bookman Old Style"/>
          <w:szCs w:val="24"/>
        </w:rPr>
        <w:t>,</w:t>
      </w:r>
      <w:r w:rsidRPr="00B61A30">
        <w:rPr>
          <w:rFonts w:ascii="Bookman Old Style" w:hAnsi="Bookman Old Style"/>
          <w:szCs w:val="24"/>
        </w:rPr>
        <w:t xml:space="preserve"> como se ha señalado anteriormente</w:t>
      </w:r>
      <w:r w:rsidR="00F60C1B">
        <w:rPr>
          <w:rFonts w:ascii="Bookman Old Style" w:hAnsi="Bookman Old Style"/>
          <w:szCs w:val="24"/>
        </w:rPr>
        <w:t>,</w:t>
      </w:r>
      <w:r w:rsidRPr="00B61A30">
        <w:rPr>
          <w:rFonts w:ascii="Bookman Old Style" w:hAnsi="Bookman Old Style"/>
          <w:szCs w:val="24"/>
        </w:rPr>
        <w:t xml:space="preserve"> el generador es autónomo en </w:t>
      </w:r>
      <w:r w:rsidR="00F60C1B">
        <w:rPr>
          <w:rFonts w:ascii="Bookman Old Style" w:hAnsi="Bookman Old Style"/>
          <w:szCs w:val="24"/>
        </w:rPr>
        <w:t xml:space="preserve">la configuración </w:t>
      </w:r>
      <w:r w:rsidRPr="00B61A30">
        <w:rPr>
          <w:rFonts w:ascii="Bookman Old Style" w:hAnsi="Bookman Old Style"/>
          <w:szCs w:val="24"/>
        </w:rPr>
        <w:t>de entrega de energía del parque de generación y</w:t>
      </w:r>
      <w:r w:rsidR="008D0EB6">
        <w:rPr>
          <w:rFonts w:ascii="Bookman Old Style" w:hAnsi="Bookman Old Style"/>
          <w:szCs w:val="24"/>
        </w:rPr>
        <w:t>,</w:t>
      </w:r>
      <w:r w:rsidRPr="00B61A30">
        <w:rPr>
          <w:rFonts w:ascii="Bookman Old Style" w:hAnsi="Bookman Old Style"/>
          <w:szCs w:val="24"/>
        </w:rPr>
        <w:t xml:space="preserve"> en ningún momento</w:t>
      </w:r>
      <w:r w:rsidR="008D0EB6">
        <w:rPr>
          <w:rFonts w:ascii="Bookman Old Style" w:hAnsi="Bookman Old Style"/>
          <w:szCs w:val="24"/>
        </w:rPr>
        <w:t>,</w:t>
      </w:r>
      <w:r w:rsidRPr="00B61A30">
        <w:rPr>
          <w:rFonts w:ascii="Bookman Old Style" w:hAnsi="Bookman Old Style"/>
          <w:szCs w:val="24"/>
        </w:rPr>
        <w:t xml:space="preserve"> constituyen una restricción para la forma en que opere un generador de dicho mercado.</w:t>
      </w:r>
    </w:p>
    <w:p w14:paraId="1890DF83" w14:textId="77777777" w:rsidR="00B61A30" w:rsidRPr="00B61A30" w:rsidRDefault="00B61A30" w:rsidP="00B61A30">
      <w:pPr>
        <w:pStyle w:val="Textodebloque"/>
        <w:ind w:left="284" w:right="6"/>
        <w:contextualSpacing/>
        <w:rPr>
          <w:rFonts w:ascii="Bookman Old Style" w:hAnsi="Bookman Old Style"/>
          <w:szCs w:val="24"/>
        </w:rPr>
      </w:pPr>
    </w:p>
    <w:p w14:paraId="08DB5466" w14:textId="0FBF3BA5" w:rsidR="00B61A30" w:rsidRPr="00B61A30" w:rsidRDefault="00B61A30" w:rsidP="00B61A30">
      <w:pPr>
        <w:pStyle w:val="Textodebloque"/>
        <w:ind w:left="284" w:right="6"/>
        <w:contextualSpacing/>
        <w:rPr>
          <w:rFonts w:ascii="Bookman Old Style" w:hAnsi="Bookman Old Style"/>
          <w:szCs w:val="24"/>
        </w:rPr>
      </w:pPr>
      <w:r w:rsidRPr="00B61A30">
        <w:rPr>
          <w:rFonts w:ascii="Bookman Old Style" w:hAnsi="Bookman Old Style"/>
          <w:szCs w:val="24"/>
        </w:rPr>
        <w:t>En el contexto expuesto, la propuesta de REFOENERGY con respecto</w:t>
      </w:r>
      <w:r w:rsidR="008D0EB6">
        <w:rPr>
          <w:rFonts w:ascii="Bookman Old Style" w:hAnsi="Bookman Old Style"/>
          <w:szCs w:val="24"/>
        </w:rPr>
        <w:t xml:space="preserve"> a</w:t>
      </w:r>
      <w:r w:rsidRPr="00B61A30">
        <w:rPr>
          <w:rFonts w:ascii="Bookman Old Style" w:hAnsi="Bookman Old Style"/>
          <w:szCs w:val="24"/>
        </w:rPr>
        <w:t xml:space="preserve"> ponderadores Biomasa 90%-Diésel 10%</w:t>
      </w:r>
      <w:r w:rsidR="008D0EB6">
        <w:rPr>
          <w:rFonts w:ascii="Bookman Old Style" w:hAnsi="Bookman Old Style"/>
          <w:szCs w:val="24"/>
        </w:rPr>
        <w:t xml:space="preserve"> para distribuir los costos de AOM que presenta para el sistema híbrido de referencia</w:t>
      </w:r>
      <w:r w:rsidRPr="00B61A30">
        <w:rPr>
          <w:rFonts w:ascii="Bookman Old Style" w:hAnsi="Bookman Old Style"/>
          <w:szCs w:val="24"/>
        </w:rPr>
        <w:t>, se desestima por cuanto</w:t>
      </w:r>
      <w:r w:rsidR="00F60C1B">
        <w:rPr>
          <w:rFonts w:ascii="Bookman Old Style" w:hAnsi="Bookman Old Style"/>
          <w:szCs w:val="24"/>
        </w:rPr>
        <w:t>,</w:t>
      </w:r>
      <w:r w:rsidRPr="00B61A30">
        <w:rPr>
          <w:rFonts w:ascii="Bookman Old Style" w:hAnsi="Bookman Old Style"/>
          <w:szCs w:val="24"/>
        </w:rPr>
        <w:t xml:space="preserve"> </w:t>
      </w:r>
      <w:r w:rsidR="008D0EB6">
        <w:rPr>
          <w:rFonts w:ascii="Bookman Old Style" w:hAnsi="Bookman Old Style"/>
          <w:szCs w:val="24"/>
        </w:rPr>
        <w:t xml:space="preserve">al hacerlo con la operación de una </w:t>
      </w:r>
      <w:r w:rsidRPr="00B61A30">
        <w:rPr>
          <w:rFonts w:ascii="Bookman Old Style" w:hAnsi="Bookman Old Style"/>
          <w:szCs w:val="24"/>
        </w:rPr>
        <w:t>tecnología</w:t>
      </w:r>
      <w:r w:rsidR="008D0EB6">
        <w:rPr>
          <w:rFonts w:ascii="Bookman Old Style" w:hAnsi="Bookman Old Style"/>
          <w:szCs w:val="24"/>
        </w:rPr>
        <w:t>, en este caso biomasa, se</w:t>
      </w:r>
      <w:r w:rsidRPr="00B61A30">
        <w:rPr>
          <w:rFonts w:ascii="Bookman Old Style" w:hAnsi="Bookman Old Style"/>
          <w:szCs w:val="24"/>
        </w:rPr>
        <w:t xml:space="preserve"> termina </w:t>
      </w:r>
      <w:r w:rsidR="00AB6C3D">
        <w:rPr>
          <w:rFonts w:ascii="Bookman Old Style" w:hAnsi="Bookman Old Style"/>
          <w:szCs w:val="24"/>
        </w:rPr>
        <w:t>cubriendo</w:t>
      </w:r>
      <w:r w:rsidRPr="00B61A30">
        <w:rPr>
          <w:rFonts w:ascii="Bookman Old Style" w:hAnsi="Bookman Old Style"/>
          <w:szCs w:val="24"/>
        </w:rPr>
        <w:t xml:space="preserve"> </w:t>
      </w:r>
      <w:r w:rsidR="008D0EB6">
        <w:rPr>
          <w:rFonts w:ascii="Bookman Old Style" w:hAnsi="Bookman Old Style"/>
          <w:szCs w:val="24"/>
        </w:rPr>
        <w:t xml:space="preserve">casi la totalidad de </w:t>
      </w:r>
      <w:r w:rsidR="00896378">
        <w:rPr>
          <w:rFonts w:ascii="Bookman Old Style" w:hAnsi="Bookman Old Style"/>
          <w:szCs w:val="24"/>
        </w:rPr>
        <w:t>los costos de AOM</w:t>
      </w:r>
      <w:r w:rsidRPr="00B61A30">
        <w:rPr>
          <w:rFonts w:ascii="Bookman Old Style" w:hAnsi="Bookman Old Style"/>
          <w:szCs w:val="24"/>
        </w:rPr>
        <w:t xml:space="preserve"> </w:t>
      </w:r>
      <w:r w:rsidR="008D0EB6">
        <w:rPr>
          <w:rFonts w:ascii="Bookman Old Style" w:hAnsi="Bookman Old Style"/>
          <w:szCs w:val="24"/>
        </w:rPr>
        <w:t xml:space="preserve">que deberían asociarse a </w:t>
      </w:r>
      <w:r w:rsidRPr="00B61A30">
        <w:rPr>
          <w:rFonts w:ascii="Bookman Old Style" w:hAnsi="Bookman Old Style"/>
          <w:szCs w:val="24"/>
        </w:rPr>
        <w:t>la otra</w:t>
      </w:r>
      <w:r w:rsidR="00AB6C3D">
        <w:rPr>
          <w:rFonts w:ascii="Bookman Old Style" w:hAnsi="Bookman Old Style"/>
          <w:szCs w:val="24"/>
        </w:rPr>
        <w:t xml:space="preserve">, lo cual resulta </w:t>
      </w:r>
      <w:r w:rsidR="008D0EB6">
        <w:rPr>
          <w:rFonts w:ascii="Bookman Old Style" w:hAnsi="Bookman Old Style"/>
          <w:szCs w:val="24"/>
        </w:rPr>
        <w:t xml:space="preserve">en una asignación </w:t>
      </w:r>
      <w:r w:rsidR="00AB6C3D">
        <w:rPr>
          <w:rFonts w:ascii="Bookman Old Style" w:hAnsi="Bookman Old Style"/>
          <w:szCs w:val="24"/>
        </w:rPr>
        <w:t>ineficiente</w:t>
      </w:r>
      <w:r w:rsidRPr="00B61A30">
        <w:rPr>
          <w:rFonts w:ascii="Bookman Old Style" w:hAnsi="Bookman Old Style"/>
          <w:szCs w:val="24"/>
        </w:rPr>
        <w:t>.</w:t>
      </w:r>
    </w:p>
    <w:p w14:paraId="61417C2F" w14:textId="77777777" w:rsidR="00B61A30" w:rsidRPr="00B61A30" w:rsidRDefault="00B61A30" w:rsidP="00B61A30">
      <w:pPr>
        <w:pStyle w:val="Textodebloque"/>
        <w:ind w:left="284" w:right="6"/>
        <w:contextualSpacing/>
        <w:rPr>
          <w:rFonts w:ascii="Bookman Old Style" w:hAnsi="Bookman Old Style"/>
          <w:szCs w:val="24"/>
        </w:rPr>
      </w:pPr>
    </w:p>
    <w:p w14:paraId="2845FA95" w14:textId="6CC7B86D" w:rsidR="00B61A30" w:rsidRPr="00B61A30" w:rsidRDefault="00B61A30" w:rsidP="00B61A30">
      <w:pPr>
        <w:pStyle w:val="Textodebloque"/>
        <w:ind w:left="284" w:right="6"/>
        <w:contextualSpacing/>
        <w:rPr>
          <w:rFonts w:ascii="Bookman Old Style" w:hAnsi="Bookman Old Style"/>
          <w:szCs w:val="24"/>
        </w:rPr>
      </w:pPr>
      <w:r w:rsidRPr="00B61A30">
        <w:rPr>
          <w:rFonts w:ascii="Bookman Old Style" w:hAnsi="Bookman Old Style"/>
          <w:szCs w:val="24"/>
        </w:rPr>
        <w:t xml:space="preserve">Lo anterior no </w:t>
      </w:r>
      <w:r w:rsidR="008D0EB6">
        <w:rPr>
          <w:rFonts w:ascii="Bookman Old Style" w:hAnsi="Bookman Old Style"/>
          <w:szCs w:val="24"/>
        </w:rPr>
        <w:t xml:space="preserve">limita la posibilidad </w:t>
      </w:r>
      <w:r w:rsidRPr="00B61A30">
        <w:rPr>
          <w:rFonts w:ascii="Bookman Old Style" w:hAnsi="Bookman Old Style"/>
          <w:szCs w:val="24"/>
        </w:rPr>
        <w:t xml:space="preserve">que </w:t>
      </w:r>
      <w:r w:rsidR="008D0EB6">
        <w:rPr>
          <w:rFonts w:ascii="Bookman Old Style" w:hAnsi="Bookman Old Style"/>
          <w:szCs w:val="24"/>
        </w:rPr>
        <w:t xml:space="preserve">tiene </w:t>
      </w:r>
      <w:r w:rsidRPr="00B61A30">
        <w:rPr>
          <w:rFonts w:ascii="Bookman Old Style" w:hAnsi="Bookman Old Style"/>
          <w:szCs w:val="24"/>
        </w:rPr>
        <w:t xml:space="preserve">el generador de entregar energía </w:t>
      </w:r>
      <w:r w:rsidR="008D0EB6">
        <w:rPr>
          <w:rFonts w:ascii="Bookman Old Style" w:hAnsi="Bookman Old Style"/>
          <w:szCs w:val="24"/>
        </w:rPr>
        <w:t>con generación diésel, la cual ya tiende cargo de generación definido en el marco tarifario vigente, Resolución CREG 091 de 2007.</w:t>
      </w:r>
    </w:p>
    <w:p w14:paraId="1FAAE200" w14:textId="77777777" w:rsidR="00B61A30" w:rsidRPr="00B61A30" w:rsidRDefault="00B61A30" w:rsidP="00B61A30">
      <w:pPr>
        <w:pStyle w:val="Textodebloque"/>
        <w:ind w:left="284" w:right="6"/>
        <w:contextualSpacing/>
        <w:rPr>
          <w:rFonts w:ascii="Bookman Old Style" w:hAnsi="Bookman Old Style"/>
          <w:szCs w:val="24"/>
        </w:rPr>
      </w:pPr>
    </w:p>
    <w:p w14:paraId="36693D68" w14:textId="03B5CCDD" w:rsidR="00B61A30" w:rsidRDefault="00B61A30" w:rsidP="00B61A30">
      <w:pPr>
        <w:pStyle w:val="Textodebloque"/>
        <w:ind w:left="284" w:right="6"/>
        <w:contextualSpacing/>
        <w:rPr>
          <w:rFonts w:ascii="Bookman Old Style" w:hAnsi="Bookman Old Style"/>
          <w:szCs w:val="24"/>
        </w:rPr>
      </w:pPr>
      <w:r w:rsidRPr="00B61A30">
        <w:rPr>
          <w:rFonts w:ascii="Bookman Old Style" w:hAnsi="Bookman Old Style"/>
          <w:szCs w:val="24"/>
        </w:rPr>
        <w:t>En conclusión, en lo que tiene que ver con los factores de ponderación para los costos AOM del cargo de generación con BIOMASA, no procede lo solicitado.</w:t>
      </w:r>
    </w:p>
    <w:p w14:paraId="7080E3A5" w14:textId="1BAA14F9" w:rsidR="00B61A30" w:rsidRDefault="00B61A30" w:rsidP="00B61A30">
      <w:pPr>
        <w:pStyle w:val="Textodebloque"/>
        <w:ind w:left="284" w:right="6"/>
        <w:contextualSpacing/>
        <w:rPr>
          <w:rFonts w:ascii="Bookman Old Style" w:hAnsi="Bookman Old Style"/>
          <w:szCs w:val="24"/>
        </w:rPr>
      </w:pPr>
    </w:p>
    <w:p w14:paraId="66F35AD0" w14:textId="2F8B7F8C" w:rsidR="00B61A30" w:rsidRPr="001B2746" w:rsidRDefault="001767C6" w:rsidP="00B61A30">
      <w:pPr>
        <w:pStyle w:val="Textodebloque"/>
        <w:ind w:left="284" w:right="6"/>
        <w:contextualSpacing/>
        <w:rPr>
          <w:rFonts w:ascii="Bookman Old Style" w:hAnsi="Bookman Old Style"/>
          <w:b/>
          <w:i/>
          <w:szCs w:val="24"/>
        </w:rPr>
      </w:pPr>
      <w:r w:rsidRPr="001B2746">
        <w:rPr>
          <w:rFonts w:ascii="Bookman Old Style" w:hAnsi="Bookman Old Style"/>
          <w:b/>
          <w:szCs w:val="24"/>
        </w:rPr>
        <w:t xml:space="preserve">De otra parte, en lo que respecta al </w:t>
      </w:r>
      <w:r w:rsidRPr="001B2746">
        <w:rPr>
          <w:rFonts w:ascii="Bookman Old Style" w:hAnsi="Bookman Old Style"/>
          <w:b/>
          <w:i/>
          <w:szCs w:val="24"/>
        </w:rPr>
        <w:t>PRINCIPIO DE COMPETENCIA LEAL QUE REGULA EL MERCADO ENERGÉTICO CONFORME A LA CONSTITUCIÓN POLÍTICA.</w:t>
      </w:r>
    </w:p>
    <w:p w14:paraId="57734D96" w14:textId="2593C970" w:rsidR="001767C6" w:rsidRDefault="002343E3" w:rsidP="00B61A30">
      <w:pPr>
        <w:pStyle w:val="Textodebloque"/>
        <w:ind w:left="284" w:right="6"/>
        <w:contextualSpacing/>
        <w:rPr>
          <w:rFonts w:ascii="Bookman Old Style" w:hAnsi="Bookman Old Style"/>
          <w:i/>
          <w:szCs w:val="24"/>
        </w:rPr>
      </w:pPr>
      <w:r>
        <w:rPr>
          <w:rFonts w:ascii="Bookman Old Style" w:hAnsi="Bookman Old Style"/>
          <w:i/>
          <w:szCs w:val="24"/>
        </w:rPr>
        <w:t>(…)</w:t>
      </w:r>
    </w:p>
    <w:p w14:paraId="15A8DE27" w14:textId="6C5F0DB5" w:rsidR="001767C6" w:rsidRDefault="002343E3" w:rsidP="006D692B">
      <w:pPr>
        <w:pStyle w:val="Textodebloque"/>
        <w:ind w:right="6"/>
        <w:contextualSpacing/>
        <w:rPr>
          <w:rFonts w:ascii="Bookman Old Style" w:hAnsi="Bookman Old Style"/>
          <w:i/>
          <w:szCs w:val="24"/>
        </w:rPr>
      </w:pPr>
      <w:r w:rsidRPr="006D692B">
        <w:rPr>
          <w:rFonts w:ascii="Bookman Old Style" w:hAnsi="Bookman Old Style"/>
          <w:i/>
          <w:sz w:val="22"/>
          <w:szCs w:val="22"/>
        </w:rPr>
        <w:t>“</w:t>
      </w:r>
      <w:r w:rsidR="001767C6" w:rsidRPr="006D692B">
        <w:rPr>
          <w:rFonts w:ascii="Bookman Old Style" w:hAnsi="Bookman Old Style"/>
          <w:i/>
          <w:sz w:val="22"/>
          <w:szCs w:val="22"/>
        </w:rPr>
        <w:t xml:space="preserve">Tal como lo ha considerado la misma CREG en la resolución recurrida Puerto Carreño no es una </w:t>
      </w:r>
      <w:proofErr w:type="spellStart"/>
      <w:r w:rsidR="001767C6" w:rsidRPr="006D692B">
        <w:rPr>
          <w:rFonts w:ascii="Bookman Old Style" w:hAnsi="Bookman Old Style"/>
          <w:i/>
          <w:sz w:val="22"/>
          <w:szCs w:val="22"/>
        </w:rPr>
        <w:t>Area</w:t>
      </w:r>
      <w:proofErr w:type="spellEnd"/>
      <w:r w:rsidR="001767C6" w:rsidRPr="006D692B">
        <w:rPr>
          <w:rFonts w:ascii="Bookman Old Style" w:hAnsi="Bookman Old Style"/>
          <w:i/>
          <w:sz w:val="22"/>
          <w:szCs w:val="22"/>
        </w:rPr>
        <w:t xml:space="preserve"> de Servicio Exclusivo y por tanto </w:t>
      </w:r>
      <w:proofErr w:type="spellStart"/>
      <w:r w:rsidR="001767C6" w:rsidRPr="006D692B">
        <w:rPr>
          <w:rFonts w:ascii="Bookman Old Style" w:hAnsi="Bookman Old Style"/>
          <w:i/>
          <w:sz w:val="22"/>
          <w:szCs w:val="22"/>
        </w:rPr>
        <w:t>Electrovichada</w:t>
      </w:r>
      <w:proofErr w:type="spellEnd"/>
      <w:r w:rsidR="001767C6" w:rsidRPr="006D692B">
        <w:rPr>
          <w:rFonts w:ascii="Bookman Old Style" w:hAnsi="Bookman Old Style"/>
          <w:i/>
          <w:sz w:val="22"/>
          <w:szCs w:val="22"/>
        </w:rPr>
        <w:t xml:space="preserve"> y </w:t>
      </w:r>
      <w:proofErr w:type="spellStart"/>
      <w:r w:rsidR="001767C6" w:rsidRPr="006D692B">
        <w:rPr>
          <w:rFonts w:ascii="Bookman Old Style" w:hAnsi="Bookman Old Style"/>
          <w:i/>
          <w:sz w:val="22"/>
          <w:szCs w:val="22"/>
        </w:rPr>
        <w:t>Refoenergy</w:t>
      </w:r>
      <w:proofErr w:type="spellEnd"/>
      <w:r w:rsidR="001767C6" w:rsidRPr="006D692B">
        <w:rPr>
          <w:rFonts w:ascii="Bookman Old Style" w:hAnsi="Bookman Old Style"/>
          <w:i/>
          <w:sz w:val="22"/>
          <w:szCs w:val="22"/>
        </w:rPr>
        <w:t xml:space="preserve"> están sometidas a la determinación de cargos máximos de generación para cada una de las UNIDADES TECNOLOGICAS DE GENERACIÓN DE MANERA INDEPENDIENTE y en este caso la Planta hibrida DIESEL BIOMASA es UNA UNIDAD DE GENERACION cuyo </w:t>
      </w:r>
      <w:r w:rsidR="001767C6" w:rsidRPr="006D692B">
        <w:rPr>
          <w:rFonts w:ascii="Bookman Old Style" w:hAnsi="Bookman Old Style"/>
          <w:i/>
          <w:sz w:val="22"/>
          <w:szCs w:val="22"/>
        </w:rPr>
        <w:lastRenderedPageBreak/>
        <w:t xml:space="preserve">valor de </w:t>
      </w:r>
      <w:proofErr w:type="spellStart"/>
      <w:r w:rsidR="001767C6" w:rsidRPr="006D692B">
        <w:rPr>
          <w:rFonts w:ascii="Bookman Old Style" w:hAnsi="Bookman Old Style"/>
          <w:i/>
          <w:sz w:val="22"/>
          <w:szCs w:val="22"/>
        </w:rPr>
        <w:t>kw</w:t>
      </w:r>
      <w:proofErr w:type="spellEnd"/>
      <w:r w:rsidR="001767C6" w:rsidRPr="006D692B">
        <w:rPr>
          <w:rFonts w:ascii="Bookman Old Style" w:hAnsi="Bookman Old Style"/>
          <w:i/>
          <w:sz w:val="22"/>
          <w:szCs w:val="22"/>
        </w:rPr>
        <w:t>/h DEBE SER DETERMINADO por la CREG, teniendo como soporte las condiciones PARTICULARES Y CONCRETAS DE ESA PLANTA HIBRIDA, para que posteriormente, si llega otro agente generador  al  mercado  que  se  incorpore  con  una  solución  HIBRIDA  DIESEL-BIOMASA,  su cargo particular sea también determinado y ASI INCENTIVAR LA COMPETENCIA, en el entendido de que TODOS LOS ACTORES DEL MERCADO pueden presentar sus fórmulas, diseños inversiones plazos de remuneración de la inversión, costos financieros y demás que le permitan competir en el mercado de Puerto Carreño.”</w:t>
      </w:r>
    </w:p>
    <w:p w14:paraId="2D40FFCC" w14:textId="64D7859A" w:rsidR="001767C6" w:rsidRDefault="001767C6" w:rsidP="00B61A30">
      <w:pPr>
        <w:pStyle w:val="Textodebloque"/>
        <w:ind w:left="284" w:right="6"/>
        <w:contextualSpacing/>
        <w:rPr>
          <w:rFonts w:ascii="Bookman Old Style" w:hAnsi="Bookman Old Style"/>
          <w:szCs w:val="24"/>
        </w:rPr>
      </w:pPr>
    </w:p>
    <w:p w14:paraId="127610CD" w14:textId="783A08A3" w:rsidR="001767C6" w:rsidRDefault="001767C6" w:rsidP="001767C6">
      <w:pPr>
        <w:pStyle w:val="Textodebloque"/>
        <w:ind w:left="284" w:right="6"/>
        <w:contextualSpacing/>
        <w:rPr>
          <w:rFonts w:ascii="Bookman Old Style" w:hAnsi="Bookman Old Style"/>
          <w:szCs w:val="24"/>
          <w:lang w:val="es-ES"/>
        </w:rPr>
      </w:pPr>
      <w:r w:rsidRPr="001767C6">
        <w:rPr>
          <w:rFonts w:ascii="Bookman Old Style" w:hAnsi="Bookman Old Style"/>
          <w:szCs w:val="24"/>
        </w:rPr>
        <w:t>Se reitera lo expuesto anteriormente</w:t>
      </w:r>
      <w:r w:rsidR="00F60C1B">
        <w:rPr>
          <w:rFonts w:ascii="Bookman Old Style" w:hAnsi="Bookman Old Style"/>
          <w:szCs w:val="24"/>
        </w:rPr>
        <w:t>,</w:t>
      </w:r>
      <w:r w:rsidRPr="001767C6">
        <w:rPr>
          <w:rFonts w:ascii="Bookman Old Style" w:hAnsi="Bookman Old Style"/>
          <w:szCs w:val="24"/>
        </w:rPr>
        <w:t xml:space="preserve"> estableciendo que los cargos máximos de generación se calcularon a partir de </w:t>
      </w:r>
      <w:r w:rsidR="009F41ED">
        <w:rPr>
          <w:rFonts w:ascii="Bookman Old Style" w:hAnsi="Bookman Old Style"/>
          <w:szCs w:val="24"/>
        </w:rPr>
        <w:t xml:space="preserve">los costos de </w:t>
      </w:r>
      <w:r w:rsidRPr="001767C6">
        <w:rPr>
          <w:rFonts w:ascii="Bookman Old Style" w:hAnsi="Bookman Old Style"/>
          <w:szCs w:val="24"/>
        </w:rPr>
        <w:t xml:space="preserve">inversión de </w:t>
      </w:r>
      <w:r w:rsidR="009F41ED">
        <w:rPr>
          <w:rFonts w:ascii="Bookman Old Style" w:hAnsi="Bookman Old Style"/>
          <w:szCs w:val="24"/>
        </w:rPr>
        <w:t xml:space="preserve">referencia para </w:t>
      </w:r>
      <w:r w:rsidRPr="001767C6">
        <w:rPr>
          <w:rFonts w:ascii="Bookman Old Style" w:hAnsi="Bookman Old Style"/>
          <w:szCs w:val="24"/>
        </w:rPr>
        <w:t>cada tecnología</w:t>
      </w:r>
      <w:r w:rsidR="00F60C1B">
        <w:rPr>
          <w:rFonts w:ascii="Bookman Old Style" w:hAnsi="Bookman Old Style"/>
          <w:szCs w:val="24"/>
        </w:rPr>
        <w:t>,</w:t>
      </w:r>
      <w:r w:rsidRPr="001767C6">
        <w:rPr>
          <w:rFonts w:ascii="Bookman Old Style" w:hAnsi="Bookman Old Style"/>
          <w:szCs w:val="24"/>
        </w:rPr>
        <w:t xml:space="preserve"> y es precisamente este mandato el que garantiza que cualquier prestador interesado en operar en un determinado mercado pueda ingresar</w:t>
      </w:r>
      <w:r w:rsidR="00F60C1B">
        <w:rPr>
          <w:rFonts w:ascii="Bookman Old Style" w:hAnsi="Bookman Old Style"/>
          <w:szCs w:val="24"/>
        </w:rPr>
        <w:t>,</w:t>
      </w:r>
      <w:r w:rsidRPr="001767C6">
        <w:rPr>
          <w:rFonts w:ascii="Bookman Old Style" w:hAnsi="Bookman Old Style"/>
          <w:szCs w:val="24"/>
        </w:rPr>
        <w:t xml:space="preserve"> independiente</w:t>
      </w:r>
      <w:r w:rsidR="009F41ED">
        <w:rPr>
          <w:rFonts w:ascii="Bookman Old Style" w:hAnsi="Bookman Old Style"/>
          <w:szCs w:val="24"/>
        </w:rPr>
        <w:t>mente</w:t>
      </w:r>
      <w:r w:rsidRPr="001767C6">
        <w:rPr>
          <w:rFonts w:ascii="Bookman Old Style" w:hAnsi="Bookman Old Style"/>
          <w:szCs w:val="24"/>
        </w:rPr>
        <w:t xml:space="preserve"> de cuántos generadores operen o </w:t>
      </w:r>
      <w:r w:rsidR="006D692B">
        <w:rPr>
          <w:rFonts w:ascii="Bookman Old Style" w:hAnsi="Bookman Old Style"/>
          <w:szCs w:val="24"/>
        </w:rPr>
        <w:t>ingresen</w:t>
      </w:r>
      <w:r w:rsidRPr="001767C6">
        <w:rPr>
          <w:rFonts w:ascii="Bookman Old Style" w:hAnsi="Bookman Old Style"/>
          <w:szCs w:val="24"/>
        </w:rPr>
        <w:t xml:space="preserve"> a dicho mercado relevante, siendo el cargo aprobado por tecnología, el valor máximo que se puede trasladar al usuario.</w:t>
      </w:r>
      <w:r w:rsidR="00E37E6E" w:rsidRPr="00E37E6E">
        <w:rPr>
          <w:rFonts w:ascii="Bookman Old Style" w:hAnsi="Bookman Old Style"/>
          <w:szCs w:val="24"/>
        </w:rPr>
        <w:t xml:space="preserve"> La fórmula tarifaria vigente define los cargos como valores máximos que el comercializador puede traslada</w:t>
      </w:r>
      <w:r w:rsidR="00E37E6E">
        <w:rPr>
          <w:rFonts w:ascii="Bookman Old Style" w:hAnsi="Bookman Old Style"/>
          <w:szCs w:val="24"/>
        </w:rPr>
        <w:t>r</w:t>
      </w:r>
      <w:r w:rsidR="00E37E6E" w:rsidRPr="00E37E6E">
        <w:rPr>
          <w:rFonts w:ascii="Bookman Old Style" w:hAnsi="Bookman Old Style"/>
          <w:szCs w:val="24"/>
        </w:rPr>
        <w:t xml:space="preserve"> al usuario regulado</w:t>
      </w:r>
      <w:r w:rsidR="00E37E6E">
        <w:rPr>
          <w:rFonts w:ascii="Bookman Old Style" w:hAnsi="Bookman Old Style"/>
          <w:szCs w:val="24"/>
        </w:rPr>
        <w:t>;</w:t>
      </w:r>
      <w:r w:rsidR="00E37E6E" w:rsidRPr="00E37E6E">
        <w:rPr>
          <w:rFonts w:ascii="Bookman Old Style" w:hAnsi="Bookman Old Style"/>
          <w:szCs w:val="24"/>
        </w:rPr>
        <w:t xml:space="preserve"> en este escenario</w:t>
      </w:r>
      <w:r w:rsidR="00F60C1B">
        <w:rPr>
          <w:rFonts w:ascii="Bookman Old Style" w:hAnsi="Bookman Old Style"/>
          <w:szCs w:val="24"/>
        </w:rPr>
        <w:t>,</w:t>
      </w:r>
      <w:r w:rsidR="00E37E6E">
        <w:rPr>
          <w:rFonts w:ascii="Bookman Old Style" w:hAnsi="Bookman Old Style"/>
          <w:szCs w:val="24"/>
          <w:lang w:val="es-ES"/>
        </w:rPr>
        <w:t xml:space="preserve"> los</w:t>
      </w:r>
      <w:r w:rsidR="00E37E6E" w:rsidRPr="00E37E6E">
        <w:rPr>
          <w:rFonts w:ascii="Bookman Old Style" w:hAnsi="Bookman Old Style"/>
          <w:szCs w:val="24"/>
          <w:lang w:val="es-ES"/>
        </w:rPr>
        <w:t xml:space="preserve"> generadores pueden competir por precio al celebrar los contratos de energía</w:t>
      </w:r>
      <w:r w:rsidR="00E37E6E">
        <w:rPr>
          <w:rFonts w:ascii="Bookman Old Style" w:hAnsi="Bookman Old Style"/>
          <w:szCs w:val="24"/>
          <w:lang w:val="es-ES"/>
        </w:rPr>
        <w:t>.</w:t>
      </w:r>
    </w:p>
    <w:p w14:paraId="62F7EA81" w14:textId="77777777" w:rsidR="00C237C4" w:rsidRDefault="00C237C4" w:rsidP="001767C6">
      <w:pPr>
        <w:pStyle w:val="Textodebloque"/>
        <w:ind w:left="284" w:right="6"/>
        <w:contextualSpacing/>
        <w:rPr>
          <w:rFonts w:ascii="Bookman Old Style" w:hAnsi="Bookman Old Style"/>
          <w:szCs w:val="24"/>
          <w:lang w:val="es-ES"/>
        </w:rPr>
      </w:pPr>
    </w:p>
    <w:p w14:paraId="63764FD8" w14:textId="0F772921" w:rsidR="008B618A" w:rsidRDefault="008B618A" w:rsidP="00663FEE">
      <w:pPr>
        <w:pStyle w:val="Textodebloque"/>
        <w:ind w:left="284" w:right="6"/>
        <w:contextualSpacing/>
        <w:rPr>
          <w:rFonts w:ascii="Bookman Old Style" w:hAnsi="Bookman Old Style"/>
          <w:szCs w:val="24"/>
        </w:rPr>
      </w:pPr>
      <w:r>
        <w:rPr>
          <w:rFonts w:ascii="Bookman Old Style" w:hAnsi="Bookman Old Style"/>
          <w:szCs w:val="24"/>
          <w:lang w:val="es-ES"/>
        </w:rPr>
        <w:t xml:space="preserve">Debe resaltarse </w:t>
      </w:r>
      <w:r w:rsidR="003A519A">
        <w:rPr>
          <w:rFonts w:ascii="Bookman Old Style" w:hAnsi="Bookman Old Style"/>
          <w:szCs w:val="24"/>
          <w:lang w:val="es-ES"/>
        </w:rPr>
        <w:t>que,</w:t>
      </w:r>
      <w:r>
        <w:rPr>
          <w:rFonts w:ascii="Bookman Old Style" w:hAnsi="Bookman Old Style"/>
          <w:szCs w:val="24"/>
          <w:lang w:val="es-ES"/>
        </w:rPr>
        <w:t xml:space="preserve"> en aplicación de la metodología vigente</w:t>
      </w:r>
      <w:r w:rsidR="00F60C1B">
        <w:rPr>
          <w:rFonts w:ascii="Bookman Old Style" w:hAnsi="Bookman Old Style"/>
          <w:szCs w:val="24"/>
          <w:lang w:val="es-ES"/>
        </w:rPr>
        <w:t>,</w:t>
      </w:r>
      <w:r>
        <w:rPr>
          <w:rFonts w:ascii="Bookman Old Style" w:hAnsi="Bookman Old Style"/>
          <w:szCs w:val="24"/>
          <w:lang w:val="es-ES"/>
        </w:rPr>
        <w:t xml:space="preserve"> esta Comisión no define un cargo máximo de generación por proyecto</w:t>
      </w:r>
      <w:r w:rsidR="009F41ED">
        <w:rPr>
          <w:rFonts w:ascii="Bookman Old Style" w:hAnsi="Bookman Old Style"/>
          <w:szCs w:val="24"/>
          <w:lang w:val="es-ES"/>
        </w:rPr>
        <w:t>,</w:t>
      </w:r>
      <w:r>
        <w:rPr>
          <w:rFonts w:ascii="Bookman Old Style" w:hAnsi="Bookman Old Style"/>
          <w:szCs w:val="24"/>
          <w:lang w:val="es-ES"/>
        </w:rPr>
        <w:t xml:space="preserve"> si</w:t>
      </w:r>
      <w:r w:rsidR="00F60C1B">
        <w:rPr>
          <w:rFonts w:ascii="Bookman Old Style" w:hAnsi="Bookman Old Style"/>
          <w:szCs w:val="24"/>
          <w:lang w:val="es-ES"/>
        </w:rPr>
        <w:t xml:space="preserve"> </w:t>
      </w:r>
      <w:r>
        <w:rPr>
          <w:rFonts w:ascii="Bookman Old Style" w:hAnsi="Bookman Old Style"/>
          <w:szCs w:val="24"/>
          <w:lang w:val="es-ES"/>
        </w:rPr>
        <w:t xml:space="preserve">no que su definición </w:t>
      </w:r>
      <w:r w:rsidR="003A519A">
        <w:rPr>
          <w:rFonts w:ascii="Bookman Old Style" w:hAnsi="Bookman Old Style"/>
          <w:szCs w:val="24"/>
          <w:lang w:val="es-ES"/>
        </w:rPr>
        <w:t>está</w:t>
      </w:r>
      <w:r>
        <w:rPr>
          <w:rFonts w:ascii="Bookman Old Style" w:hAnsi="Bookman Old Style"/>
          <w:szCs w:val="24"/>
          <w:lang w:val="es-ES"/>
        </w:rPr>
        <w:t xml:space="preserve"> dada para el mercado relevante y</w:t>
      </w:r>
      <w:r w:rsidR="009F41ED">
        <w:rPr>
          <w:rFonts w:ascii="Bookman Old Style" w:hAnsi="Bookman Old Style"/>
          <w:szCs w:val="24"/>
          <w:lang w:val="es-ES"/>
        </w:rPr>
        <w:t>,</w:t>
      </w:r>
      <w:r>
        <w:rPr>
          <w:rFonts w:ascii="Bookman Old Style" w:hAnsi="Bookman Old Style"/>
          <w:szCs w:val="24"/>
          <w:lang w:val="es-ES"/>
        </w:rPr>
        <w:t xml:space="preserve"> en ese sentido</w:t>
      </w:r>
      <w:r w:rsidR="009F41ED">
        <w:rPr>
          <w:rFonts w:ascii="Bookman Old Style" w:hAnsi="Bookman Old Style"/>
          <w:szCs w:val="24"/>
          <w:lang w:val="es-ES"/>
        </w:rPr>
        <w:t>,</w:t>
      </w:r>
      <w:r>
        <w:rPr>
          <w:rFonts w:ascii="Bookman Old Style" w:hAnsi="Bookman Old Style"/>
          <w:szCs w:val="24"/>
          <w:lang w:val="es-ES"/>
        </w:rPr>
        <w:t xml:space="preserve"> se busca garantizar que a los usuarios se les trasladen costos eficientes y promover la libre competencia en los mercados </w:t>
      </w:r>
      <w:r w:rsidR="00C237C4">
        <w:rPr>
          <w:rFonts w:ascii="Bookman Old Style" w:hAnsi="Bookman Old Style"/>
          <w:szCs w:val="24"/>
          <w:lang w:val="es-ES"/>
        </w:rPr>
        <w:t>en que esta sea posible</w:t>
      </w:r>
      <w:r w:rsidR="00F60C1B">
        <w:rPr>
          <w:rFonts w:ascii="Bookman Old Style" w:hAnsi="Bookman Old Style"/>
          <w:szCs w:val="24"/>
          <w:lang w:val="es-ES"/>
        </w:rPr>
        <w:t>,</w:t>
      </w:r>
      <w:r w:rsidR="00C237C4">
        <w:rPr>
          <w:rFonts w:ascii="Bookman Old Style" w:hAnsi="Bookman Old Style"/>
          <w:szCs w:val="24"/>
          <w:lang w:val="es-ES"/>
        </w:rPr>
        <w:t xml:space="preserve"> y no</w:t>
      </w:r>
      <w:r>
        <w:rPr>
          <w:rFonts w:ascii="Bookman Old Style" w:hAnsi="Bookman Old Style"/>
          <w:szCs w:val="24"/>
          <w:lang w:val="es-ES"/>
        </w:rPr>
        <w:t xml:space="preserve"> se encuentren constituidos como áreas de servicio exclusivo</w:t>
      </w:r>
      <w:r w:rsidR="009F41ED">
        <w:rPr>
          <w:rFonts w:ascii="Bookman Old Style" w:hAnsi="Bookman Old Style"/>
          <w:szCs w:val="24"/>
          <w:lang w:val="es-ES"/>
        </w:rPr>
        <w:t>,</w:t>
      </w:r>
      <w:r w:rsidR="00EC444E">
        <w:rPr>
          <w:rFonts w:ascii="Bookman Old Style" w:hAnsi="Bookman Old Style"/>
          <w:szCs w:val="24"/>
          <w:lang w:val="es-ES"/>
        </w:rPr>
        <w:t xml:space="preserve"> </w:t>
      </w:r>
      <w:r w:rsidR="009F41ED">
        <w:rPr>
          <w:rFonts w:ascii="Bookman Old Style" w:hAnsi="Bookman Old Style"/>
          <w:szCs w:val="24"/>
          <w:lang w:val="es-ES"/>
        </w:rPr>
        <w:t>d</w:t>
      </w:r>
      <w:r w:rsidR="00EC444E">
        <w:rPr>
          <w:rFonts w:ascii="Bookman Old Style" w:hAnsi="Bookman Old Style"/>
          <w:szCs w:val="24"/>
          <w:lang w:val="es-ES"/>
        </w:rPr>
        <w:t xml:space="preserve">e tal forma que se tenga una </w:t>
      </w:r>
      <w:r w:rsidR="00EC444E" w:rsidRPr="001767C6">
        <w:rPr>
          <w:rFonts w:ascii="Bookman Old Style" w:hAnsi="Bookman Old Style"/>
          <w:szCs w:val="24"/>
        </w:rPr>
        <w:t>participación concurrente y transparente de los generadores que ingresen a dicho mercado, garantizando que la remuneración de los costos de generación en una tecnología determinada sea la misma para cualquier prestador interesado.</w:t>
      </w:r>
    </w:p>
    <w:p w14:paraId="69718F68" w14:textId="77777777" w:rsidR="00F60C1B" w:rsidRPr="00663FEE" w:rsidRDefault="00F60C1B" w:rsidP="00663FEE">
      <w:pPr>
        <w:pStyle w:val="Textodebloque"/>
        <w:ind w:left="284" w:right="6"/>
        <w:contextualSpacing/>
        <w:rPr>
          <w:rFonts w:ascii="Bookman Old Style" w:hAnsi="Bookman Old Style"/>
          <w:szCs w:val="24"/>
        </w:rPr>
      </w:pPr>
    </w:p>
    <w:p w14:paraId="035336DA" w14:textId="2B392920" w:rsidR="001767C6" w:rsidRPr="001767C6" w:rsidRDefault="001767C6" w:rsidP="001767C6">
      <w:pPr>
        <w:pStyle w:val="Textodebloque"/>
        <w:ind w:left="284" w:right="6"/>
        <w:contextualSpacing/>
        <w:rPr>
          <w:rFonts w:ascii="Bookman Old Style" w:hAnsi="Bookman Old Style"/>
          <w:szCs w:val="24"/>
        </w:rPr>
      </w:pPr>
      <w:r w:rsidRPr="001767C6">
        <w:rPr>
          <w:rFonts w:ascii="Bookman Old Style" w:hAnsi="Bookman Old Style"/>
          <w:szCs w:val="24"/>
        </w:rPr>
        <w:t xml:space="preserve">Con relación a la Resolución CREG </w:t>
      </w:r>
      <w:r w:rsidRPr="00F317D2">
        <w:rPr>
          <w:rFonts w:ascii="Bookman Old Style" w:hAnsi="Bookman Old Style"/>
          <w:szCs w:val="24"/>
        </w:rPr>
        <w:t>114 de 2018</w:t>
      </w:r>
      <w:r w:rsidRPr="001767C6">
        <w:rPr>
          <w:rFonts w:ascii="Bookman Old Style" w:hAnsi="Bookman Old Style"/>
          <w:szCs w:val="24"/>
        </w:rPr>
        <w:t xml:space="preserve"> citada por REFOENERFY</w:t>
      </w:r>
      <w:r w:rsidR="00F317D2">
        <w:rPr>
          <w:rFonts w:ascii="Bookman Old Style" w:hAnsi="Bookman Old Style"/>
          <w:szCs w:val="24"/>
        </w:rPr>
        <w:t xml:space="preserve"> en su comunicación</w:t>
      </w:r>
      <w:r w:rsidRPr="001767C6">
        <w:rPr>
          <w:rFonts w:ascii="Bookman Old Style" w:hAnsi="Bookman Old Style"/>
          <w:szCs w:val="24"/>
        </w:rPr>
        <w:t xml:space="preserve">, </w:t>
      </w:r>
      <w:r w:rsidR="00F317D2">
        <w:rPr>
          <w:rFonts w:ascii="Bookman Old Style" w:hAnsi="Bookman Old Style"/>
          <w:szCs w:val="24"/>
        </w:rPr>
        <w:t>se aclara que</w:t>
      </w:r>
      <w:r w:rsidR="00F60C1B">
        <w:rPr>
          <w:rFonts w:ascii="Bookman Old Style" w:hAnsi="Bookman Old Style"/>
          <w:szCs w:val="24"/>
        </w:rPr>
        <w:t>,</w:t>
      </w:r>
      <w:r w:rsidR="00F317D2">
        <w:rPr>
          <w:rFonts w:ascii="Bookman Old Style" w:hAnsi="Bookman Old Style"/>
          <w:szCs w:val="24"/>
        </w:rPr>
        <w:t xml:space="preserve"> </w:t>
      </w:r>
      <w:r w:rsidR="00F5696E">
        <w:rPr>
          <w:rFonts w:ascii="Bookman Old Style" w:hAnsi="Bookman Old Style"/>
          <w:szCs w:val="24"/>
        </w:rPr>
        <w:t>de manera general</w:t>
      </w:r>
      <w:r w:rsidR="00F60C1B">
        <w:rPr>
          <w:rFonts w:ascii="Bookman Old Style" w:hAnsi="Bookman Old Style"/>
          <w:szCs w:val="24"/>
        </w:rPr>
        <w:t>,</w:t>
      </w:r>
      <w:r w:rsidR="00F5696E">
        <w:rPr>
          <w:rFonts w:ascii="Bookman Old Style" w:hAnsi="Bookman Old Style"/>
          <w:szCs w:val="24"/>
        </w:rPr>
        <w:t xml:space="preserve"> </w:t>
      </w:r>
      <w:r w:rsidR="00F317D2" w:rsidRPr="001767C6">
        <w:rPr>
          <w:rFonts w:ascii="Bookman Old Style" w:hAnsi="Bookman Old Style"/>
          <w:szCs w:val="24"/>
        </w:rPr>
        <w:t>esta</w:t>
      </w:r>
      <w:r w:rsidRPr="001767C6">
        <w:rPr>
          <w:rFonts w:ascii="Bookman Old Style" w:hAnsi="Bookman Old Style"/>
          <w:szCs w:val="24"/>
        </w:rPr>
        <w:t xml:space="preserve"> </w:t>
      </w:r>
      <w:r w:rsidR="008001E0">
        <w:rPr>
          <w:rFonts w:ascii="Bookman Old Style" w:hAnsi="Bookman Old Style"/>
          <w:szCs w:val="24"/>
        </w:rPr>
        <w:t xml:space="preserve">resolución es </w:t>
      </w:r>
      <w:r w:rsidRPr="001767C6">
        <w:rPr>
          <w:rFonts w:ascii="Bookman Old Style" w:hAnsi="Bookman Old Style"/>
          <w:szCs w:val="24"/>
        </w:rPr>
        <w:t>aplica</w:t>
      </w:r>
      <w:r w:rsidR="008001E0">
        <w:rPr>
          <w:rFonts w:ascii="Bookman Old Style" w:hAnsi="Bookman Old Style"/>
          <w:szCs w:val="24"/>
        </w:rPr>
        <w:t>ble</w:t>
      </w:r>
      <w:r w:rsidRPr="001767C6">
        <w:rPr>
          <w:rFonts w:ascii="Bookman Old Style" w:hAnsi="Bookman Old Style"/>
          <w:szCs w:val="24"/>
        </w:rPr>
        <w:t xml:space="preserve"> para el Sistema Interconectado Nacional, SIN</w:t>
      </w:r>
      <w:r w:rsidR="00EC444E">
        <w:rPr>
          <w:rFonts w:ascii="Bookman Old Style" w:hAnsi="Bookman Old Style"/>
          <w:szCs w:val="24"/>
        </w:rPr>
        <w:t xml:space="preserve">. </w:t>
      </w:r>
      <w:r w:rsidRPr="001767C6">
        <w:rPr>
          <w:rFonts w:ascii="Bookman Old Style" w:hAnsi="Bookman Old Style"/>
          <w:szCs w:val="24"/>
        </w:rPr>
        <w:t xml:space="preserve"> </w:t>
      </w:r>
      <w:r w:rsidR="00EC444E">
        <w:rPr>
          <w:rFonts w:ascii="Bookman Old Style" w:hAnsi="Bookman Old Style"/>
          <w:szCs w:val="24"/>
        </w:rPr>
        <w:t>Para el caso de los contratos de energía eléctrica que celebren los comercializadores destinados a atender usuarios en Zonas No Interconectadas</w:t>
      </w:r>
      <w:r w:rsidR="00F60C1B">
        <w:rPr>
          <w:rFonts w:ascii="Bookman Old Style" w:hAnsi="Bookman Old Style"/>
          <w:szCs w:val="24"/>
        </w:rPr>
        <w:t>,</w:t>
      </w:r>
      <w:r w:rsidR="00EC444E">
        <w:rPr>
          <w:rFonts w:ascii="Bookman Old Style" w:hAnsi="Bookman Old Style"/>
          <w:szCs w:val="24"/>
        </w:rPr>
        <w:t xml:space="preserve"> deben observarse los principios y procedimientos definidos en la Resolución CREG 101 021 de 2022</w:t>
      </w:r>
      <w:r w:rsidR="00F317D2">
        <w:rPr>
          <w:rFonts w:ascii="Bookman Old Style" w:hAnsi="Bookman Old Style"/>
          <w:szCs w:val="24"/>
        </w:rPr>
        <w:t xml:space="preserve">. </w:t>
      </w:r>
    </w:p>
    <w:p w14:paraId="5055B624" w14:textId="77777777" w:rsidR="001767C6" w:rsidRPr="001767C6" w:rsidRDefault="001767C6" w:rsidP="001767C6">
      <w:pPr>
        <w:pStyle w:val="Textodebloque"/>
        <w:ind w:left="284" w:right="6"/>
        <w:contextualSpacing/>
        <w:rPr>
          <w:rFonts w:ascii="Bookman Old Style" w:hAnsi="Bookman Old Style"/>
          <w:szCs w:val="24"/>
        </w:rPr>
      </w:pPr>
    </w:p>
    <w:p w14:paraId="134DEB7E" w14:textId="6D20D9CD" w:rsidR="00614324" w:rsidRDefault="00F5696E" w:rsidP="001767C6">
      <w:pPr>
        <w:pStyle w:val="Textodebloque"/>
        <w:ind w:left="284" w:right="6"/>
        <w:contextualSpacing/>
        <w:rPr>
          <w:rFonts w:ascii="Bookman Old Style" w:hAnsi="Bookman Old Style"/>
          <w:szCs w:val="24"/>
        </w:rPr>
      </w:pPr>
      <w:r>
        <w:rPr>
          <w:rFonts w:ascii="Bookman Old Style" w:hAnsi="Bookman Old Style"/>
          <w:szCs w:val="24"/>
        </w:rPr>
        <w:t>De otra parte, l</w:t>
      </w:r>
      <w:r w:rsidR="00614324" w:rsidRPr="00614324">
        <w:rPr>
          <w:rFonts w:ascii="Bookman Old Style" w:hAnsi="Bookman Old Style"/>
          <w:szCs w:val="24"/>
        </w:rPr>
        <w:t>a intervención de esta Comisión en el caso objeto de estudio se encuentra enmarcada en las competencias y facultades otorgadas en una norma especial, por lo que para la definición del cargo solicitado se tiene en cuenta lo previsto en la Ley 142 de 1994, el marco normativo y regulatorio vigente</w:t>
      </w:r>
      <w:r w:rsidR="00F60C1B">
        <w:rPr>
          <w:rFonts w:ascii="Bookman Old Style" w:hAnsi="Bookman Old Style"/>
          <w:szCs w:val="24"/>
        </w:rPr>
        <w:t>,</w:t>
      </w:r>
      <w:r w:rsidR="00614324" w:rsidRPr="00614324">
        <w:rPr>
          <w:rFonts w:ascii="Bookman Old Style" w:hAnsi="Bookman Old Style"/>
          <w:szCs w:val="24"/>
        </w:rPr>
        <w:t xml:space="preserve"> y el procedimiento administrativo señalado en el CPACA</w:t>
      </w:r>
      <w:r w:rsidR="008001E0">
        <w:rPr>
          <w:rFonts w:ascii="Bookman Old Style" w:hAnsi="Bookman Old Style"/>
          <w:szCs w:val="24"/>
        </w:rPr>
        <w:t>.</w:t>
      </w:r>
    </w:p>
    <w:p w14:paraId="29151007" w14:textId="77777777" w:rsidR="00614324" w:rsidRDefault="00614324" w:rsidP="001767C6">
      <w:pPr>
        <w:pStyle w:val="Textodebloque"/>
        <w:ind w:left="284" w:right="6"/>
        <w:contextualSpacing/>
        <w:rPr>
          <w:rFonts w:ascii="Bookman Old Style" w:hAnsi="Bookman Old Style"/>
          <w:szCs w:val="24"/>
        </w:rPr>
      </w:pPr>
    </w:p>
    <w:p w14:paraId="033955E1" w14:textId="60B33A8A" w:rsidR="001767C6" w:rsidRPr="001767C6" w:rsidRDefault="00290AD7" w:rsidP="001767C6">
      <w:pPr>
        <w:pStyle w:val="Textodebloque"/>
        <w:ind w:left="284" w:right="6"/>
        <w:contextualSpacing/>
        <w:rPr>
          <w:rFonts w:ascii="Bookman Old Style" w:hAnsi="Bookman Old Style"/>
        </w:rPr>
      </w:pPr>
      <w:r w:rsidRPr="26A7944B">
        <w:rPr>
          <w:rFonts w:ascii="Bookman Old Style" w:hAnsi="Bookman Old Style"/>
        </w:rPr>
        <w:t xml:space="preserve">Considerando </w:t>
      </w:r>
      <w:r w:rsidR="00F5696E">
        <w:rPr>
          <w:rFonts w:ascii="Bookman Old Style" w:hAnsi="Bookman Old Style"/>
        </w:rPr>
        <w:t xml:space="preserve">todo </w:t>
      </w:r>
      <w:r w:rsidRPr="26A7944B">
        <w:rPr>
          <w:rFonts w:ascii="Bookman Old Style" w:hAnsi="Bookman Old Style"/>
        </w:rPr>
        <w:t xml:space="preserve">lo anterior, en el trámite </w:t>
      </w:r>
      <w:r w:rsidR="00F5696E">
        <w:rPr>
          <w:rFonts w:ascii="Bookman Old Style" w:hAnsi="Bookman Old Style"/>
        </w:rPr>
        <w:t xml:space="preserve">y decisión </w:t>
      </w:r>
      <w:r w:rsidRPr="26A7944B">
        <w:rPr>
          <w:rFonts w:ascii="Bookman Old Style" w:hAnsi="Bookman Old Style"/>
        </w:rPr>
        <w:t xml:space="preserve">de la actuación administrativa, esta Comisión </w:t>
      </w:r>
      <w:r w:rsidR="00F5696E">
        <w:rPr>
          <w:rFonts w:ascii="Bookman Old Style" w:hAnsi="Bookman Old Style"/>
        </w:rPr>
        <w:t>no vulner</w:t>
      </w:r>
      <w:r w:rsidR="00DD393C">
        <w:rPr>
          <w:rFonts w:ascii="Bookman Old Style" w:hAnsi="Bookman Old Style"/>
        </w:rPr>
        <w:t>ó</w:t>
      </w:r>
      <w:r w:rsidR="00F5696E">
        <w:rPr>
          <w:rFonts w:ascii="Bookman Old Style" w:hAnsi="Bookman Old Style"/>
        </w:rPr>
        <w:t xml:space="preserve"> el</w:t>
      </w:r>
      <w:r w:rsidRPr="26A7944B">
        <w:rPr>
          <w:rFonts w:ascii="Bookman Old Style" w:hAnsi="Bookman Old Style"/>
        </w:rPr>
        <w:t xml:space="preserve"> principio de la </w:t>
      </w:r>
      <w:r w:rsidR="001767C6" w:rsidRPr="26A7944B">
        <w:rPr>
          <w:rFonts w:ascii="Bookman Old Style" w:hAnsi="Bookman Old Style"/>
        </w:rPr>
        <w:t xml:space="preserve">libre </w:t>
      </w:r>
      <w:r w:rsidRPr="26A7944B">
        <w:rPr>
          <w:rFonts w:ascii="Bookman Old Style" w:hAnsi="Bookman Old Style"/>
        </w:rPr>
        <w:t xml:space="preserve">competencia </w:t>
      </w:r>
      <w:proofErr w:type="gramStart"/>
      <w:r w:rsidRPr="26A7944B">
        <w:rPr>
          <w:rFonts w:ascii="Bookman Old Style" w:hAnsi="Bookman Old Style"/>
        </w:rPr>
        <w:t>y</w:t>
      </w:r>
      <w:r w:rsidR="00F60C1B">
        <w:rPr>
          <w:rFonts w:ascii="Bookman Old Style" w:hAnsi="Bookman Old Style"/>
        </w:rPr>
        <w:t>,</w:t>
      </w:r>
      <w:r w:rsidRPr="26A7944B">
        <w:rPr>
          <w:rFonts w:ascii="Bookman Old Style" w:hAnsi="Bookman Old Style"/>
        </w:rPr>
        <w:t xml:space="preserve"> </w:t>
      </w:r>
      <w:r w:rsidR="00F5696E">
        <w:rPr>
          <w:rFonts w:ascii="Bookman Old Style" w:hAnsi="Bookman Old Style"/>
        </w:rPr>
        <w:t xml:space="preserve"> por</w:t>
      </w:r>
      <w:proofErr w:type="gramEnd"/>
      <w:r w:rsidR="00F5696E">
        <w:rPr>
          <w:rFonts w:ascii="Bookman Old Style" w:hAnsi="Bookman Old Style"/>
        </w:rPr>
        <w:t xml:space="preserve"> el contrario</w:t>
      </w:r>
      <w:r w:rsidR="009F41ED">
        <w:rPr>
          <w:rFonts w:ascii="Bookman Old Style" w:hAnsi="Bookman Old Style"/>
        </w:rPr>
        <w:t>,</w:t>
      </w:r>
      <w:r w:rsidR="00F5696E">
        <w:rPr>
          <w:rFonts w:ascii="Bookman Old Style" w:hAnsi="Bookman Old Style"/>
        </w:rPr>
        <w:t xml:space="preserve"> al definirse un cargo máximo de generación aplicable al mercado relevante de comercialización</w:t>
      </w:r>
      <w:r w:rsidR="009F41ED">
        <w:rPr>
          <w:rFonts w:ascii="Bookman Old Style" w:hAnsi="Bookman Old Style"/>
        </w:rPr>
        <w:t>,</w:t>
      </w:r>
      <w:r w:rsidR="00F5696E">
        <w:rPr>
          <w:rFonts w:ascii="Bookman Old Style" w:hAnsi="Bookman Old Style"/>
        </w:rPr>
        <w:t xml:space="preserve"> </w:t>
      </w:r>
      <w:r w:rsidRPr="26A7944B">
        <w:rPr>
          <w:rFonts w:ascii="Bookman Old Style" w:hAnsi="Bookman Old Style"/>
        </w:rPr>
        <w:t xml:space="preserve"> </w:t>
      </w:r>
      <w:r w:rsidR="00F5696E">
        <w:rPr>
          <w:rFonts w:ascii="Bookman Old Style" w:hAnsi="Bookman Old Style"/>
        </w:rPr>
        <w:t>se promueve la competencia y eficiencia de los mercados</w:t>
      </w:r>
      <w:r w:rsidR="002B4D42">
        <w:rPr>
          <w:rFonts w:ascii="Bookman Old Style" w:hAnsi="Bookman Old Style"/>
        </w:rPr>
        <w:t>. P</w:t>
      </w:r>
      <w:r w:rsidR="002343E3" w:rsidRPr="26A7944B">
        <w:rPr>
          <w:rFonts w:ascii="Bookman Old Style" w:hAnsi="Bookman Old Style"/>
        </w:rPr>
        <w:t xml:space="preserve">or </w:t>
      </w:r>
      <w:r w:rsidR="6FF24143" w:rsidRPr="26A7944B">
        <w:rPr>
          <w:rFonts w:ascii="Bookman Old Style" w:hAnsi="Bookman Old Style"/>
        </w:rPr>
        <w:t>tanto</w:t>
      </w:r>
      <w:r w:rsidR="002B4D42">
        <w:rPr>
          <w:rFonts w:ascii="Bookman Old Style" w:hAnsi="Bookman Old Style"/>
        </w:rPr>
        <w:t>,</w:t>
      </w:r>
      <w:r w:rsidR="002343E3" w:rsidRPr="26A7944B">
        <w:rPr>
          <w:rFonts w:ascii="Bookman Old Style" w:hAnsi="Bookman Old Style"/>
        </w:rPr>
        <w:t xml:space="preserve"> no</w:t>
      </w:r>
      <w:r w:rsidR="00B665BD" w:rsidRPr="26A7944B">
        <w:rPr>
          <w:rFonts w:ascii="Bookman Old Style" w:hAnsi="Bookman Old Style"/>
        </w:rPr>
        <w:t xml:space="preserve"> procede la argumentación expuesta por el recurrente.</w:t>
      </w:r>
    </w:p>
    <w:p w14:paraId="49A04133" w14:textId="401D5CA9" w:rsidR="001767C6" w:rsidRPr="001767C6" w:rsidRDefault="001767C6" w:rsidP="001767C6">
      <w:pPr>
        <w:pStyle w:val="Textodebloque"/>
        <w:ind w:left="284" w:right="6"/>
        <w:contextualSpacing/>
        <w:rPr>
          <w:rFonts w:ascii="Bookman Old Style" w:hAnsi="Bookman Old Style"/>
          <w:szCs w:val="24"/>
        </w:rPr>
      </w:pPr>
    </w:p>
    <w:p w14:paraId="022A0A90" w14:textId="452509DB" w:rsidR="001B2746" w:rsidRPr="001B2746" w:rsidRDefault="001B2746" w:rsidP="001B2746">
      <w:pPr>
        <w:pStyle w:val="Textodebloque"/>
        <w:ind w:left="284" w:right="6"/>
        <w:contextualSpacing/>
        <w:rPr>
          <w:rFonts w:ascii="Bookman Old Style" w:hAnsi="Bookman Old Style"/>
          <w:b/>
          <w:szCs w:val="24"/>
        </w:rPr>
      </w:pPr>
      <w:r w:rsidRPr="001B2746">
        <w:rPr>
          <w:rFonts w:ascii="Bookman Old Style" w:hAnsi="Bookman Old Style"/>
          <w:b/>
          <w:szCs w:val="24"/>
        </w:rPr>
        <w:lastRenderedPageBreak/>
        <w:t>En relación con el análisis de “3. APLICACIÓN DE LAS FORMULAS DE CALCULO DE LA AGENCIA INTERNACIONAL DE ENERGÍAS RENOVABLES (IRENA)", PARA LA DETERMINACION DEL CARGO MAXIMO DE GENERACION (COSTO k</w:t>
      </w:r>
      <w:r w:rsidR="008327CD">
        <w:rPr>
          <w:rFonts w:ascii="Bookman Old Style" w:hAnsi="Bookman Old Style"/>
          <w:b/>
          <w:szCs w:val="24"/>
        </w:rPr>
        <w:t>W</w:t>
      </w:r>
      <w:r w:rsidRPr="001B2746">
        <w:rPr>
          <w:rFonts w:ascii="Bookman Old Style" w:hAnsi="Bookman Old Style"/>
          <w:b/>
          <w:szCs w:val="24"/>
        </w:rPr>
        <w:t>/h DE ENERGIA GENERADA POR FNCER BIOMASA</w:t>
      </w:r>
    </w:p>
    <w:p w14:paraId="21E3DE40" w14:textId="77777777" w:rsidR="001B2746" w:rsidRPr="001B2746" w:rsidRDefault="001B2746" w:rsidP="001B2746">
      <w:pPr>
        <w:pStyle w:val="Textodebloque"/>
        <w:ind w:left="284" w:right="6"/>
        <w:contextualSpacing/>
        <w:rPr>
          <w:rFonts w:ascii="Bookman Old Style" w:hAnsi="Bookman Old Style"/>
          <w:b/>
          <w:szCs w:val="24"/>
        </w:rPr>
      </w:pPr>
    </w:p>
    <w:p w14:paraId="3DD20FF9" w14:textId="1D40EE89" w:rsidR="001B2746" w:rsidRPr="001B2746" w:rsidRDefault="001B2746" w:rsidP="001B2746">
      <w:pPr>
        <w:pStyle w:val="Textodebloque"/>
        <w:ind w:left="284" w:right="6"/>
        <w:contextualSpacing/>
        <w:rPr>
          <w:rFonts w:ascii="Bookman Old Style" w:hAnsi="Bookman Old Style"/>
          <w:b/>
          <w:szCs w:val="24"/>
        </w:rPr>
      </w:pPr>
      <w:r w:rsidRPr="001B2746">
        <w:rPr>
          <w:rFonts w:ascii="Bookman Old Style" w:hAnsi="Bookman Old Style"/>
          <w:b/>
          <w:szCs w:val="24"/>
        </w:rPr>
        <w:t xml:space="preserve">3.1. EL COSTO EFICIENTE (LCOE) del valor del </w:t>
      </w:r>
      <w:r w:rsidR="008327CD">
        <w:rPr>
          <w:rFonts w:ascii="Bookman Old Style" w:hAnsi="Bookman Old Style"/>
          <w:b/>
          <w:szCs w:val="24"/>
        </w:rPr>
        <w:t>k</w:t>
      </w:r>
      <w:r w:rsidRPr="001B2746">
        <w:rPr>
          <w:rFonts w:ascii="Bookman Old Style" w:hAnsi="Bookman Old Style"/>
          <w:b/>
          <w:szCs w:val="24"/>
        </w:rPr>
        <w:t>W/h generado por la PLANTA HIBRIDA BIOMASA- DIESEL</w:t>
      </w:r>
    </w:p>
    <w:p w14:paraId="7A181769" w14:textId="77777777" w:rsidR="001B2746" w:rsidRDefault="001B2746" w:rsidP="001B2746">
      <w:pPr>
        <w:pStyle w:val="Textodebloque"/>
        <w:ind w:left="284" w:right="6"/>
        <w:contextualSpacing/>
        <w:rPr>
          <w:rFonts w:ascii="Bookman Old Style" w:hAnsi="Bookman Old Style"/>
          <w:szCs w:val="24"/>
        </w:rPr>
      </w:pPr>
    </w:p>
    <w:p w14:paraId="3EBBA251" w14:textId="15D07B55" w:rsidR="001B2746" w:rsidRPr="00D86ACD" w:rsidRDefault="001B2746" w:rsidP="00D86ACD">
      <w:pPr>
        <w:pStyle w:val="Textodebloque"/>
        <w:ind w:right="6"/>
        <w:contextualSpacing/>
        <w:rPr>
          <w:rFonts w:ascii="Bookman Old Style" w:hAnsi="Bookman Old Style"/>
          <w:sz w:val="22"/>
          <w:szCs w:val="22"/>
        </w:rPr>
      </w:pPr>
      <w:r w:rsidRPr="00D86ACD">
        <w:rPr>
          <w:rFonts w:ascii="Bookman Old Style" w:hAnsi="Bookman Old Style"/>
          <w:sz w:val="22"/>
          <w:szCs w:val="22"/>
        </w:rPr>
        <w:t>(…)</w:t>
      </w:r>
    </w:p>
    <w:p w14:paraId="3F4ED59E" w14:textId="54DB8336" w:rsidR="001B2746" w:rsidRPr="00D86ACD" w:rsidRDefault="001B2746" w:rsidP="00D86ACD">
      <w:pPr>
        <w:pStyle w:val="Textodebloque"/>
        <w:ind w:right="6"/>
        <w:contextualSpacing/>
        <w:rPr>
          <w:rFonts w:ascii="Bookman Old Style" w:hAnsi="Bookman Old Style"/>
          <w:i/>
          <w:sz w:val="22"/>
          <w:szCs w:val="22"/>
        </w:rPr>
      </w:pPr>
      <w:r w:rsidRPr="00D86ACD">
        <w:rPr>
          <w:rFonts w:ascii="Bookman Old Style" w:hAnsi="Bookman Old Style"/>
          <w:i/>
          <w:sz w:val="22"/>
          <w:szCs w:val="22"/>
        </w:rPr>
        <w:t xml:space="preserve">“Para determinar EL COSTO EFICIENTE (LCOE) del valor del KW/h generado por la PLANTA HIBRIDA BIOMASA- DIESEL, la solicitud que se presentó por REFOENERGY propone acoger los criterios señalados en los documentos técnicos emitidos por IRENA, en materia de energías renovables; a los cuales COLOMBIA les dio el nivel de ASESORIA TECNICA CALIFICADA cuando acepto y aprobó el "Estatuto de la Agencia Internacional de Energías Renovables (IRENA)" mediante la </w:t>
      </w:r>
      <w:proofErr w:type="gramStart"/>
      <w:r w:rsidRPr="00D86ACD">
        <w:rPr>
          <w:rFonts w:ascii="Bookman Old Style" w:hAnsi="Bookman Old Style"/>
          <w:i/>
          <w:sz w:val="22"/>
          <w:szCs w:val="22"/>
        </w:rPr>
        <w:t>Ley  1665</w:t>
      </w:r>
      <w:proofErr w:type="gramEnd"/>
      <w:r w:rsidRPr="00D86ACD">
        <w:rPr>
          <w:rFonts w:ascii="Bookman Old Style" w:hAnsi="Bookman Old Style"/>
          <w:i/>
          <w:sz w:val="22"/>
          <w:szCs w:val="22"/>
        </w:rPr>
        <w:t xml:space="preserve">  de  2013,  (art.  </w:t>
      </w:r>
      <w:proofErr w:type="gramStart"/>
      <w:r w:rsidRPr="00D86ACD">
        <w:rPr>
          <w:rFonts w:ascii="Bookman Old Style" w:hAnsi="Bookman Old Style"/>
          <w:i/>
          <w:sz w:val="22"/>
          <w:szCs w:val="22"/>
        </w:rPr>
        <w:t>IV  ,</w:t>
      </w:r>
      <w:proofErr w:type="gramEnd"/>
      <w:r w:rsidRPr="00D86ACD">
        <w:rPr>
          <w:rFonts w:ascii="Bookman Old Style" w:hAnsi="Bookman Old Style"/>
          <w:i/>
          <w:sz w:val="22"/>
          <w:szCs w:val="22"/>
        </w:rPr>
        <w:t xml:space="preserve"> literal  A,  numeral  1) comprometiéndose a NIVEL INTERNACIONAL Y MULTILATERAL a promover, a través IRENA"(...) la implantación generalizada y reforzada y el uso sostenible de todas las formas de energía renovable (...)"(</w:t>
      </w:r>
      <w:proofErr w:type="spellStart"/>
      <w:r w:rsidRPr="00D86ACD">
        <w:rPr>
          <w:rFonts w:ascii="Bookman Old Style" w:hAnsi="Bookman Old Style"/>
          <w:i/>
          <w:sz w:val="22"/>
          <w:szCs w:val="22"/>
        </w:rPr>
        <w:t>art.I</w:t>
      </w:r>
      <w:proofErr w:type="spellEnd"/>
      <w:r w:rsidRPr="00D86ACD">
        <w:rPr>
          <w:rFonts w:ascii="Bookman Old Style" w:hAnsi="Bookman Old Style"/>
          <w:i/>
          <w:sz w:val="22"/>
          <w:szCs w:val="22"/>
        </w:rPr>
        <w:t>);determinando que IRENA “h) proporcionará información sobre el desarrollo y aplicación de normas técnicas nacionales e internacionales relativas a las energías renovables, a partir de criterios solventes".(art. IV , literal A, numeral 1, literal h, L.1665/13)</w:t>
      </w:r>
    </w:p>
    <w:p w14:paraId="4E65E038" w14:textId="77777777" w:rsidR="001B2746" w:rsidRPr="00D86ACD" w:rsidRDefault="001B2746" w:rsidP="00D86ACD">
      <w:pPr>
        <w:pStyle w:val="Textodebloque"/>
        <w:ind w:right="6"/>
        <w:contextualSpacing/>
        <w:rPr>
          <w:rFonts w:ascii="Bookman Old Style" w:hAnsi="Bookman Old Style"/>
          <w:i/>
          <w:sz w:val="22"/>
          <w:szCs w:val="22"/>
        </w:rPr>
      </w:pPr>
    </w:p>
    <w:p w14:paraId="3557ABAC" w14:textId="7B9A3B05" w:rsidR="001B2746" w:rsidRPr="00D86ACD" w:rsidRDefault="001B2746" w:rsidP="00D86ACD">
      <w:pPr>
        <w:pStyle w:val="Textodebloque"/>
        <w:ind w:right="6"/>
        <w:contextualSpacing/>
        <w:rPr>
          <w:rFonts w:ascii="Bookman Old Style" w:hAnsi="Bookman Old Style"/>
          <w:sz w:val="22"/>
          <w:szCs w:val="22"/>
        </w:rPr>
      </w:pPr>
      <w:r w:rsidRPr="00D86ACD">
        <w:rPr>
          <w:rFonts w:ascii="Bookman Old Style" w:hAnsi="Bookman Old Style"/>
          <w:i/>
          <w:sz w:val="22"/>
          <w:szCs w:val="22"/>
        </w:rPr>
        <w:t>… Esta previsión de mínima generación posible con el componente DIESEL de la Planta Hibrida (para cálculo del LCOE –costo eficiente) está plenamente identificada en la fórmula de determinación del cargo máximo de generación presentada por REFOENERGY, sin embargo el documento técnico, la omite y desplaza, al incorporar el costo pleno de generación diésel en la fórmula de remuneración de costos de AOM, ponderando en el 52% la generación con este componente, lo que inmediatamente incrementa las emisiones de gases de efecto invernadero; sin que haya ninguna consideración al respecto.”</w:t>
      </w:r>
      <w:r w:rsidRPr="00D86ACD">
        <w:rPr>
          <w:rFonts w:ascii="Bookman Old Style" w:hAnsi="Bookman Old Style"/>
          <w:sz w:val="22"/>
          <w:szCs w:val="22"/>
        </w:rPr>
        <w:t>(…)</w:t>
      </w:r>
    </w:p>
    <w:p w14:paraId="7F61AB77" w14:textId="77777777" w:rsidR="001B2746" w:rsidRPr="001B2746" w:rsidRDefault="001B2746" w:rsidP="001B2746">
      <w:pPr>
        <w:pStyle w:val="Textodebloque"/>
        <w:ind w:left="284" w:right="6"/>
        <w:contextualSpacing/>
        <w:rPr>
          <w:rFonts w:ascii="Bookman Old Style" w:hAnsi="Bookman Old Style"/>
          <w:i/>
          <w:szCs w:val="24"/>
        </w:rPr>
      </w:pPr>
    </w:p>
    <w:p w14:paraId="5BFBAA5C" w14:textId="36BFDC3E" w:rsidR="001B2746" w:rsidRPr="001B2746" w:rsidRDefault="001B2746" w:rsidP="001B2746">
      <w:pPr>
        <w:pStyle w:val="Textodebloque"/>
        <w:ind w:left="284" w:right="6"/>
        <w:contextualSpacing/>
        <w:rPr>
          <w:rFonts w:ascii="Bookman Old Style" w:hAnsi="Bookman Old Style"/>
          <w:szCs w:val="24"/>
        </w:rPr>
      </w:pPr>
      <w:r w:rsidRPr="001B2746">
        <w:rPr>
          <w:rFonts w:ascii="Bookman Old Style" w:hAnsi="Bookman Old Style"/>
          <w:szCs w:val="24"/>
        </w:rPr>
        <w:t xml:space="preserve">Como se ha expuesto en </w:t>
      </w:r>
      <w:r w:rsidR="00E35542">
        <w:rPr>
          <w:rFonts w:ascii="Bookman Old Style" w:hAnsi="Bookman Old Style"/>
          <w:szCs w:val="24"/>
        </w:rPr>
        <w:t>apartes</w:t>
      </w:r>
      <w:r w:rsidRPr="001B2746">
        <w:rPr>
          <w:rFonts w:ascii="Bookman Old Style" w:hAnsi="Bookman Old Style"/>
          <w:szCs w:val="24"/>
        </w:rPr>
        <w:t xml:space="preserve"> precitados, los factores de ponderación se calcularon como variables a partir de la entrega de energía por tecnología, para la determinación de cargos de generación</w:t>
      </w:r>
      <w:r w:rsidR="002B4D42">
        <w:rPr>
          <w:rFonts w:ascii="Bookman Old Style" w:hAnsi="Bookman Old Style"/>
          <w:szCs w:val="24"/>
        </w:rPr>
        <w:t>,</w:t>
      </w:r>
      <w:r w:rsidRPr="001B2746">
        <w:rPr>
          <w:rFonts w:ascii="Bookman Old Style" w:hAnsi="Bookman Old Style"/>
          <w:szCs w:val="24"/>
        </w:rPr>
        <w:t xml:space="preserve"> y no deberían interpretarse como restricciones para la operación o configuración de cómo debe </w:t>
      </w:r>
      <w:r w:rsidR="00614DE8">
        <w:rPr>
          <w:rFonts w:ascii="Bookman Old Style" w:hAnsi="Bookman Old Style"/>
          <w:szCs w:val="24"/>
        </w:rPr>
        <w:t>funcionar</w:t>
      </w:r>
      <w:r w:rsidRPr="001B2746">
        <w:rPr>
          <w:rFonts w:ascii="Bookman Old Style" w:hAnsi="Bookman Old Style"/>
          <w:szCs w:val="24"/>
        </w:rPr>
        <w:t xml:space="preserve"> el parque de generación.</w:t>
      </w:r>
    </w:p>
    <w:p w14:paraId="60C35F91" w14:textId="77777777" w:rsidR="001B2746" w:rsidRPr="001B2746" w:rsidRDefault="001B2746" w:rsidP="001B2746">
      <w:pPr>
        <w:pStyle w:val="Textodebloque"/>
        <w:ind w:left="284" w:right="6"/>
        <w:contextualSpacing/>
        <w:rPr>
          <w:rFonts w:ascii="Bookman Old Style" w:hAnsi="Bookman Old Style"/>
          <w:szCs w:val="24"/>
        </w:rPr>
      </w:pPr>
    </w:p>
    <w:p w14:paraId="423616D7" w14:textId="7F152DE8" w:rsidR="001B2746" w:rsidRPr="001B2746" w:rsidRDefault="001B2746" w:rsidP="001B2746">
      <w:pPr>
        <w:pStyle w:val="Textodebloque"/>
        <w:ind w:left="284" w:right="6"/>
        <w:contextualSpacing/>
        <w:rPr>
          <w:rFonts w:ascii="Bookman Old Style" w:hAnsi="Bookman Old Style"/>
          <w:szCs w:val="24"/>
        </w:rPr>
      </w:pPr>
      <w:r w:rsidRPr="001B2746">
        <w:rPr>
          <w:rFonts w:ascii="Bookman Old Style" w:hAnsi="Bookman Old Style"/>
          <w:szCs w:val="24"/>
        </w:rPr>
        <w:t>En el ejercicio de determinación de cargo de generación, esta Comisión</w:t>
      </w:r>
      <w:r w:rsidR="002B4D42">
        <w:rPr>
          <w:rFonts w:ascii="Bookman Old Style" w:hAnsi="Bookman Old Style"/>
          <w:szCs w:val="24"/>
        </w:rPr>
        <w:t>,</w:t>
      </w:r>
      <w:r w:rsidRPr="001B2746">
        <w:rPr>
          <w:rFonts w:ascii="Bookman Old Style" w:hAnsi="Bookman Old Style"/>
          <w:szCs w:val="24"/>
        </w:rPr>
        <w:t xml:space="preserve"> en el marco de lo fijado por la metodología tarifaria vigente de la Resolución CREG 091 de 2007, calculó el cargo para la tecnología generación de energía eléctrica a partir de Biomasa</w:t>
      </w:r>
      <w:r w:rsidR="002B4D42">
        <w:rPr>
          <w:rFonts w:ascii="Bookman Old Style" w:hAnsi="Bookman Old Style"/>
          <w:szCs w:val="24"/>
        </w:rPr>
        <w:t>,</w:t>
      </w:r>
      <w:r w:rsidRPr="001B2746">
        <w:rPr>
          <w:rFonts w:ascii="Bookman Old Style" w:hAnsi="Bookman Old Style"/>
          <w:szCs w:val="24"/>
        </w:rPr>
        <w:t xml:space="preserve"> y los ponderadores calculados fueron la base de asignación de costos eficientes en AOM, </w:t>
      </w:r>
      <w:r w:rsidR="009F41ED">
        <w:rPr>
          <w:rFonts w:ascii="Bookman Old Style" w:hAnsi="Bookman Old Style"/>
          <w:szCs w:val="24"/>
        </w:rPr>
        <w:t xml:space="preserve">sin que esto guarde relación o </w:t>
      </w:r>
      <w:r w:rsidRPr="001B2746">
        <w:rPr>
          <w:rFonts w:ascii="Bookman Old Style" w:hAnsi="Bookman Old Style"/>
          <w:szCs w:val="24"/>
        </w:rPr>
        <w:t>determin</w:t>
      </w:r>
      <w:r w:rsidR="009F41ED">
        <w:rPr>
          <w:rFonts w:ascii="Bookman Old Style" w:hAnsi="Bookman Old Style"/>
          <w:szCs w:val="24"/>
        </w:rPr>
        <w:t>e</w:t>
      </w:r>
      <w:r w:rsidRPr="001B2746">
        <w:rPr>
          <w:rFonts w:ascii="Bookman Old Style" w:hAnsi="Bookman Old Style"/>
          <w:szCs w:val="24"/>
        </w:rPr>
        <w:t xml:space="preserve"> la operación del parque de generación.</w:t>
      </w:r>
    </w:p>
    <w:p w14:paraId="301715CA" w14:textId="77777777" w:rsidR="001B2746" w:rsidRPr="001B2746" w:rsidRDefault="001B2746" w:rsidP="001B2746">
      <w:pPr>
        <w:pStyle w:val="Textodebloque"/>
        <w:ind w:left="284" w:right="6"/>
        <w:contextualSpacing/>
        <w:rPr>
          <w:rFonts w:ascii="Bookman Old Style" w:hAnsi="Bookman Old Style"/>
          <w:szCs w:val="24"/>
        </w:rPr>
      </w:pPr>
    </w:p>
    <w:p w14:paraId="00ABBE81" w14:textId="2B64C2C6" w:rsidR="001B2746" w:rsidRPr="001B2746" w:rsidRDefault="001B2746" w:rsidP="001B2746">
      <w:pPr>
        <w:pStyle w:val="Textodebloque"/>
        <w:ind w:left="284" w:right="6"/>
        <w:contextualSpacing/>
        <w:rPr>
          <w:rFonts w:ascii="Bookman Old Style" w:hAnsi="Bookman Old Style"/>
          <w:szCs w:val="24"/>
        </w:rPr>
      </w:pPr>
      <w:r w:rsidRPr="001B2746">
        <w:rPr>
          <w:rFonts w:ascii="Bookman Old Style" w:hAnsi="Bookman Old Style"/>
          <w:szCs w:val="24"/>
        </w:rPr>
        <w:t xml:space="preserve">La asignación en costos de AOM propuesta por REFOENERGY Biomasa 90%-Diésel 10%, no fue justificada técnicamente en ningún momento dentro de la etapa probatoria </w:t>
      </w:r>
      <w:r w:rsidR="00DC7FA9">
        <w:rPr>
          <w:rFonts w:ascii="Bookman Old Style" w:hAnsi="Bookman Old Style"/>
          <w:szCs w:val="24"/>
        </w:rPr>
        <w:t>de la presente actuación administrativa</w:t>
      </w:r>
      <w:r w:rsidR="002B4D42">
        <w:rPr>
          <w:rFonts w:ascii="Bookman Old Style" w:hAnsi="Bookman Old Style"/>
          <w:szCs w:val="24"/>
        </w:rPr>
        <w:t>,</w:t>
      </w:r>
      <w:r w:rsidR="00DC7FA9">
        <w:rPr>
          <w:rFonts w:ascii="Bookman Old Style" w:hAnsi="Bookman Old Style"/>
          <w:szCs w:val="24"/>
        </w:rPr>
        <w:t xml:space="preserve"> </w:t>
      </w:r>
      <w:r w:rsidRPr="001B2746">
        <w:rPr>
          <w:rFonts w:ascii="Bookman Old Style" w:hAnsi="Bookman Old Style"/>
          <w:szCs w:val="24"/>
        </w:rPr>
        <w:t xml:space="preserve">ni fue aportada información como respuesta dentro de los varios requerimientos </w:t>
      </w:r>
      <w:r w:rsidR="009F41ED">
        <w:rPr>
          <w:rFonts w:ascii="Bookman Old Style" w:hAnsi="Bookman Old Style"/>
          <w:szCs w:val="24"/>
        </w:rPr>
        <w:t xml:space="preserve">de </w:t>
      </w:r>
      <w:r w:rsidRPr="001B2746">
        <w:rPr>
          <w:rFonts w:ascii="Bookman Old Style" w:hAnsi="Bookman Old Style"/>
          <w:szCs w:val="24"/>
        </w:rPr>
        <w:t xml:space="preserve">esta Comisión (Radicados CREG S-2021-00969, CREG S-2021- 002641, S-2021-002878, autos de pruebas I-2021-003180, I-2021-004254), y continúa </w:t>
      </w:r>
      <w:r w:rsidR="009F41ED">
        <w:rPr>
          <w:rFonts w:ascii="Bookman Old Style" w:hAnsi="Bookman Old Style"/>
          <w:szCs w:val="24"/>
        </w:rPr>
        <w:t xml:space="preserve">sin aclararse, desde la asignación eficiente de costos, </w:t>
      </w:r>
      <w:r w:rsidRPr="001B2746">
        <w:rPr>
          <w:rFonts w:ascii="Bookman Old Style" w:hAnsi="Bookman Old Style"/>
          <w:szCs w:val="24"/>
        </w:rPr>
        <w:t xml:space="preserve">cuál es la justificación técnica </w:t>
      </w:r>
      <w:r w:rsidRPr="001B2746">
        <w:rPr>
          <w:rFonts w:ascii="Bookman Old Style" w:hAnsi="Bookman Old Style"/>
          <w:szCs w:val="24"/>
        </w:rPr>
        <w:lastRenderedPageBreak/>
        <w:t>de dicha distribución, en el entendido en que los factores propuestos corresponden a la configuración de operación y</w:t>
      </w:r>
      <w:r w:rsidR="002B4D42">
        <w:rPr>
          <w:rFonts w:ascii="Bookman Old Style" w:hAnsi="Bookman Old Style"/>
          <w:szCs w:val="24"/>
        </w:rPr>
        <w:t>,</w:t>
      </w:r>
      <w:r w:rsidRPr="001B2746">
        <w:rPr>
          <w:rFonts w:ascii="Bookman Old Style" w:hAnsi="Bookman Old Style"/>
          <w:szCs w:val="24"/>
        </w:rPr>
        <w:t xml:space="preserve"> en ese sentido</w:t>
      </w:r>
      <w:r w:rsidR="002B4D42">
        <w:rPr>
          <w:rFonts w:ascii="Bookman Old Style" w:hAnsi="Bookman Old Style"/>
          <w:szCs w:val="24"/>
        </w:rPr>
        <w:t>,</w:t>
      </w:r>
      <w:r w:rsidRPr="001B2746">
        <w:rPr>
          <w:rFonts w:ascii="Bookman Old Style" w:hAnsi="Bookman Old Style"/>
          <w:szCs w:val="24"/>
        </w:rPr>
        <w:t xml:space="preserve"> como se ha mencionado </w:t>
      </w:r>
      <w:r w:rsidR="002B4D42">
        <w:rPr>
          <w:rFonts w:ascii="Bookman Old Style" w:hAnsi="Bookman Old Style"/>
          <w:szCs w:val="24"/>
        </w:rPr>
        <w:t xml:space="preserve">en </w:t>
      </w:r>
      <w:r w:rsidRPr="001B2746">
        <w:rPr>
          <w:rFonts w:ascii="Bookman Old Style" w:hAnsi="Bookman Old Style"/>
          <w:szCs w:val="24"/>
        </w:rPr>
        <w:t xml:space="preserve">reiteradas </w:t>
      </w:r>
      <w:r w:rsidR="002B4D42">
        <w:rPr>
          <w:rFonts w:ascii="Bookman Old Style" w:hAnsi="Bookman Old Style"/>
          <w:szCs w:val="24"/>
        </w:rPr>
        <w:t>oportunidades</w:t>
      </w:r>
      <w:r w:rsidR="00E37E6E">
        <w:rPr>
          <w:rFonts w:ascii="Bookman Old Style" w:hAnsi="Bookman Old Style"/>
          <w:szCs w:val="24"/>
        </w:rPr>
        <w:t>,</w:t>
      </w:r>
      <w:r w:rsidRPr="001B2746">
        <w:rPr>
          <w:rFonts w:ascii="Bookman Old Style" w:hAnsi="Bookman Old Style"/>
          <w:szCs w:val="24"/>
        </w:rPr>
        <w:t xml:space="preserve"> los factores de ponderación calculados por la CREG nada tienen que ver con la forma en que decida </w:t>
      </w:r>
      <w:r w:rsidR="00CE6CFD">
        <w:rPr>
          <w:rFonts w:ascii="Bookman Old Style" w:hAnsi="Bookman Old Style"/>
          <w:szCs w:val="24"/>
        </w:rPr>
        <w:t xml:space="preserve">el </w:t>
      </w:r>
      <w:r w:rsidR="009B5958">
        <w:rPr>
          <w:rFonts w:ascii="Bookman Old Style" w:hAnsi="Bookman Old Style"/>
          <w:szCs w:val="24"/>
        </w:rPr>
        <w:t>prestador generar</w:t>
      </w:r>
      <w:r w:rsidR="00CE6CFD">
        <w:rPr>
          <w:rFonts w:ascii="Bookman Old Style" w:hAnsi="Bookman Old Style"/>
          <w:szCs w:val="24"/>
        </w:rPr>
        <w:t xml:space="preserve"> energía eléctrica.</w:t>
      </w:r>
    </w:p>
    <w:p w14:paraId="57B7FF5A" w14:textId="77777777" w:rsidR="001B2746" w:rsidRPr="001B2746" w:rsidRDefault="001B2746" w:rsidP="001B2746">
      <w:pPr>
        <w:pStyle w:val="Textodebloque"/>
        <w:ind w:left="284" w:right="6"/>
        <w:contextualSpacing/>
        <w:rPr>
          <w:rFonts w:ascii="Bookman Old Style" w:hAnsi="Bookman Old Style"/>
          <w:szCs w:val="24"/>
        </w:rPr>
      </w:pPr>
    </w:p>
    <w:p w14:paraId="48CC0B25" w14:textId="5390F700" w:rsidR="001B2746" w:rsidRPr="001B2746" w:rsidRDefault="00480378" w:rsidP="001B2746">
      <w:pPr>
        <w:pStyle w:val="Textodebloque"/>
        <w:ind w:left="284" w:right="6"/>
        <w:contextualSpacing/>
        <w:rPr>
          <w:rFonts w:ascii="Bookman Old Style" w:hAnsi="Bookman Old Style"/>
          <w:szCs w:val="24"/>
        </w:rPr>
      </w:pPr>
      <w:r>
        <w:rPr>
          <w:rFonts w:ascii="Bookman Old Style" w:hAnsi="Bookman Old Style"/>
          <w:szCs w:val="24"/>
        </w:rPr>
        <w:t>Aunado</w:t>
      </w:r>
      <w:r w:rsidR="001B2746" w:rsidRPr="001B2746">
        <w:rPr>
          <w:rFonts w:ascii="Bookman Old Style" w:hAnsi="Bookman Old Style"/>
          <w:szCs w:val="24"/>
        </w:rPr>
        <w:t xml:space="preserve"> </w:t>
      </w:r>
      <w:r>
        <w:rPr>
          <w:rFonts w:ascii="Bookman Old Style" w:hAnsi="Bookman Old Style"/>
          <w:szCs w:val="24"/>
        </w:rPr>
        <w:t>a</w:t>
      </w:r>
      <w:r w:rsidR="001B2746" w:rsidRPr="001B2746">
        <w:rPr>
          <w:rFonts w:ascii="Bookman Old Style" w:hAnsi="Bookman Old Style"/>
          <w:szCs w:val="24"/>
        </w:rPr>
        <w:t xml:space="preserve"> lo anterior</w:t>
      </w:r>
      <w:r w:rsidR="009B5958">
        <w:rPr>
          <w:rFonts w:ascii="Bookman Old Style" w:hAnsi="Bookman Old Style"/>
          <w:szCs w:val="24"/>
        </w:rPr>
        <w:t>,</w:t>
      </w:r>
      <w:r w:rsidR="001B2746" w:rsidRPr="001B2746">
        <w:rPr>
          <w:rFonts w:ascii="Bookman Old Style" w:hAnsi="Bookman Old Style"/>
          <w:szCs w:val="24"/>
        </w:rPr>
        <w:t xml:space="preserve"> esta Comisión identificó errores iniciales en la formulación y en los cálculos del AOM propuesto por REFOENERGY, donde se duplicaron montos asignados en AOM, como el denominado “Gastos Administrativos”, que se incluyó</w:t>
      </w:r>
      <w:r w:rsidR="002B4D42">
        <w:rPr>
          <w:rFonts w:ascii="Bookman Old Style" w:hAnsi="Bookman Old Style"/>
          <w:szCs w:val="24"/>
        </w:rPr>
        <w:t>,</w:t>
      </w:r>
      <w:r w:rsidR="001B2746" w:rsidRPr="001B2746">
        <w:rPr>
          <w:rFonts w:ascii="Bookman Old Style" w:hAnsi="Bookman Old Style"/>
          <w:szCs w:val="24"/>
        </w:rPr>
        <w:t xml:space="preserve"> tanto en la componente de Administración, como en la componente de Operación y Mantenimiento.</w:t>
      </w:r>
    </w:p>
    <w:p w14:paraId="56D45B83" w14:textId="77777777" w:rsidR="001B2746" w:rsidRPr="001B2746" w:rsidRDefault="001B2746" w:rsidP="001B2746">
      <w:pPr>
        <w:pStyle w:val="Textodebloque"/>
        <w:ind w:left="284" w:right="6"/>
        <w:contextualSpacing/>
        <w:rPr>
          <w:rFonts w:ascii="Bookman Old Style" w:hAnsi="Bookman Old Style"/>
          <w:szCs w:val="24"/>
        </w:rPr>
      </w:pPr>
    </w:p>
    <w:p w14:paraId="2BC79EF6" w14:textId="464E6A58" w:rsidR="001B2746" w:rsidRPr="001B2746" w:rsidRDefault="001B2746" w:rsidP="001B2746">
      <w:pPr>
        <w:pStyle w:val="Textodebloque"/>
        <w:ind w:left="284" w:right="6"/>
        <w:contextualSpacing/>
        <w:rPr>
          <w:rFonts w:ascii="Bookman Old Style" w:hAnsi="Bookman Old Style"/>
          <w:szCs w:val="24"/>
        </w:rPr>
      </w:pPr>
      <w:r w:rsidRPr="001B2746">
        <w:rPr>
          <w:rFonts w:ascii="Bookman Old Style" w:hAnsi="Bookman Old Style"/>
          <w:szCs w:val="24"/>
        </w:rPr>
        <w:t xml:space="preserve">Por otra parte, tal y como se expuso en el </w:t>
      </w:r>
      <w:r w:rsidR="000539E0">
        <w:rPr>
          <w:rFonts w:ascii="Bookman Old Style" w:hAnsi="Bookman Old Style"/>
          <w:szCs w:val="24"/>
        </w:rPr>
        <w:t>D</w:t>
      </w:r>
      <w:r w:rsidRPr="001B2746">
        <w:rPr>
          <w:rFonts w:ascii="Bookman Old Style" w:hAnsi="Bookman Old Style"/>
          <w:szCs w:val="24"/>
        </w:rPr>
        <w:t xml:space="preserve">ocumento </w:t>
      </w:r>
      <w:r w:rsidR="00F3537F">
        <w:rPr>
          <w:rFonts w:ascii="Bookman Old Style" w:hAnsi="Bookman Old Style"/>
          <w:szCs w:val="24"/>
        </w:rPr>
        <w:t>CREG 501 015</w:t>
      </w:r>
      <w:r w:rsidR="002B4D42">
        <w:rPr>
          <w:rFonts w:ascii="Bookman Old Style" w:hAnsi="Bookman Old Style"/>
          <w:szCs w:val="24"/>
        </w:rPr>
        <w:t>,</w:t>
      </w:r>
      <w:r w:rsidRPr="001B2746">
        <w:rPr>
          <w:rFonts w:ascii="Bookman Old Style" w:hAnsi="Bookman Old Style"/>
          <w:szCs w:val="24"/>
        </w:rPr>
        <w:t xml:space="preserve"> </w:t>
      </w:r>
      <w:r w:rsidR="000539E0">
        <w:rPr>
          <w:rFonts w:ascii="Bookman Old Style" w:hAnsi="Bookman Old Style"/>
          <w:szCs w:val="24"/>
        </w:rPr>
        <w:t>soporte de</w:t>
      </w:r>
      <w:r w:rsidRPr="001B2746">
        <w:rPr>
          <w:rFonts w:ascii="Bookman Old Style" w:hAnsi="Bookman Old Style"/>
          <w:szCs w:val="24"/>
        </w:rPr>
        <w:t xml:space="preserve"> la Resolución CREG 501 059, la variable de energía promedio anual</w:t>
      </w:r>
      <w:r w:rsidR="009F41ED">
        <w:rPr>
          <w:rFonts w:ascii="Bookman Old Style" w:hAnsi="Bookman Old Style"/>
          <w:szCs w:val="24"/>
        </w:rPr>
        <w:t>,</w:t>
      </w:r>
      <w:r w:rsidRPr="001B2746">
        <w:rPr>
          <w:rFonts w:ascii="Bookman Old Style" w:hAnsi="Bookman Old Style"/>
          <w:szCs w:val="24"/>
        </w:rPr>
        <w:t xml:space="preserve"> </w:t>
      </w:r>
      <w:r w:rsidR="009F41ED">
        <w:rPr>
          <w:rFonts w:ascii="Bookman Old Style" w:hAnsi="Bookman Old Style"/>
          <w:szCs w:val="24"/>
        </w:rPr>
        <w:t xml:space="preserve">expresada </w:t>
      </w:r>
      <w:r w:rsidRPr="001B2746">
        <w:rPr>
          <w:rFonts w:ascii="Bookman Old Style" w:hAnsi="Bookman Old Style"/>
          <w:szCs w:val="24"/>
        </w:rPr>
        <w:t xml:space="preserve">en kWh, </w:t>
      </w:r>
      <w:r w:rsidR="009F41ED">
        <w:rPr>
          <w:rFonts w:ascii="Bookman Old Style" w:hAnsi="Bookman Old Style"/>
          <w:szCs w:val="24"/>
        </w:rPr>
        <w:t xml:space="preserve">adoptó distintos valores, </w:t>
      </w:r>
      <w:r w:rsidRPr="001B2746">
        <w:rPr>
          <w:rFonts w:ascii="Bookman Old Style" w:hAnsi="Bookman Old Style"/>
          <w:szCs w:val="24"/>
        </w:rPr>
        <w:t xml:space="preserve">fue </w:t>
      </w:r>
      <w:r w:rsidR="009F41ED">
        <w:rPr>
          <w:rFonts w:ascii="Bookman Old Style" w:hAnsi="Bookman Old Style"/>
          <w:szCs w:val="24"/>
        </w:rPr>
        <w:t xml:space="preserve">referida a distintas </w:t>
      </w:r>
      <w:r w:rsidRPr="001B2746">
        <w:rPr>
          <w:rFonts w:ascii="Bookman Old Style" w:hAnsi="Bookman Old Style"/>
          <w:szCs w:val="24"/>
        </w:rPr>
        <w:t xml:space="preserve">series </w:t>
      </w:r>
      <w:r w:rsidR="009F41ED">
        <w:rPr>
          <w:rFonts w:ascii="Bookman Old Style" w:hAnsi="Bookman Old Style"/>
          <w:szCs w:val="24"/>
        </w:rPr>
        <w:t xml:space="preserve">de datos, sin que de parte de </w:t>
      </w:r>
      <w:r w:rsidRPr="001B2746">
        <w:rPr>
          <w:rFonts w:ascii="Bookman Old Style" w:hAnsi="Bookman Old Style"/>
          <w:szCs w:val="24"/>
        </w:rPr>
        <w:t xml:space="preserve">REFOENERGY </w:t>
      </w:r>
      <w:r w:rsidR="009F41ED">
        <w:rPr>
          <w:rFonts w:ascii="Bookman Old Style" w:hAnsi="Bookman Old Style"/>
          <w:szCs w:val="24"/>
        </w:rPr>
        <w:t xml:space="preserve">mediara </w:t>
      </w:r>
      <w:r w:rsidRPr="001B2746">
        <w:rPr>
          <w:rFonts w:ascii="Bookman Old Style" w:hAnsi="Bookman Old Style"/>
          <w:szCs w:val="24"/>
        </w:rPr>
        <w:t xml:space="preserve">justificación técnica o evidencia objetiva </w:t>
      </w:r>
      <w:r w:rsidR="009F41ED">
        <w:rPr>
          <w:rFonts w:ascii="Bookman Old Style" w:hAnsi="Bookman Old Style"/>
          <w:szCs w:val="24"/>
        </w:rPr>
        <w:t xml:space="preserve">que soportara esta forma de </w:t>
      </w:r>
      <w:r w:rsidRPr="001B2746">
        <w:rPr>
          <w:rFonts w:ascii="Bookman Old Style" w:hAnsi="Bookman Old Style"/>
          <w:szCs w:val="24"/>
        </w:rPr>
        <w:t>selecci</w:t>
      </w:r>
      <w:r w:rsidR="009F41ED">
        <w:rPr>
          <w:rFonts w:ascii="Bookman Old Style" w:hAnsi="Bookman Old Style"/>
          <w:szCs w:val="24"/>
        </w:rPr>
        <w:t xml:space="preserve">onar </w:t>
      </w:r>
      <w:r w:rsidR="002B4D42">
        <w:rPr>
          <w:rFonts w:ascii="Bookman Old Style" w:hAnsi="Bookman Old Style"/>
          <w:szCs w:val="24"/>
        </w:rPr>
        <w:t>l</w:t>
      </w:r>
      <w:r w:rsidR="009F41ED">
        <w:rPr>
          <w:rFonts w:ascii="Bookman Old Style" w:hAnsi="Bookman Old Style"/>
          <w:szCs w:val="24"/>
        </w:rPr>
        <w:t>a información en los diversos cálculos que llevaron al cargo propuesto en su solicitud</w:t>
      </w:r>
      <w:r w:rsidRPr="001B2746">
        <w:rPr>
          <w:rFonts w:ascii="Bookman Old Style" w:hAnsi="Bookman Old Style"/>
          <w:szCs w:val="24"/>
        </w:rPr>
        <w:t xml:space="preserve">. Para ejemplificar lo descrito, en </w:t>
      </w:r>
      <w:r w:rsidR="009F41ED">
        <w:rPr>
          <w:rFonts w:ascii="Bookman Old Style" w:hAnsi="Bookman Old Style"/>
          <w:szCs w:val="24"/>
        </w:rPr>
        <w:t>el cálculo de l</w:t>
      </w:r>
      <w:r w:rsidRPr="001B2746">
        <w:rPr>
          <w:rFonts w:ascii="Bookman Old Style" w:hAnsi="Bookman Old Style"/>
          <w:szCs w:val="24"/>
        </w:rPr>
        <w:t xml:space="preserve">a componente de </w:t>
      </w:r>
      <w:r w:rsidR="009F41ED">
        <w:rPr>
          <w:rFonts w:ascii="Bookman Old Style" w:hAnsi="Bookman Old Style"/>
          <w:szCs w:val="24"/>
        </w:rPr>
        <w:t>i</w:t>
      </w:r>
      <w:r w:rsidRPr="001B2746">
        <w:rPr>
          <w:rFonts w:ascii="Bookman Old Style" w:hAnsi="Bookman Old Style"/>
          <w:szCs w:val="24"/>
        </w:rPr>
        <w:t>nversión se utiliza la energía pactada en el contrato</w:t>
      </w:r>
      <w:r w:rsidR="00972FF6">
        <w:rPr>
          <w:rFonts w:ascii="Bookman Old Style" w:hAnsi="Bookman Old Style"/>
          <w:szCs w:val="24"/>
        </w:rPr>
        <w:t xml:space="preserve"> de energía suscrito entre REFOENERGY y </w:t>
      </w:r>
      <w:proofErr w:type="spellStart"/>
      <w:r w:rsidR="00972FF6">
        <w:rPr>
          <w:rFonts w:ascii="Bookman Old Style" w:hAnsi="Bookman Old Style"/>
          <w:szCs w:val="24"/>
        </w:rPr>
        <w:t>Electrovichada</w:t>
      </w:r>
      <w:proofErr w:type="spellEnd"/>
      <w:r w:rsidRPr="001B2746">
        <w:rPr>
          <w:rFonts w:ascii="Bookman Old Style" w:hAnsi="Bookman Old Style"/>
          <w:szCs w:val="24"/>
        </w:rPr>
        <w:t xml:space="preserve">, mientras que para </w:t>
      </w:r>
      <w:r w:rsidR="00972FF6">
        <w:rPr>
          <w:rFonts w:ascii="Bookman Old Style" w:hAnsi="Bookman Old Style"/>
          <w:szCs w:val="24"/>
        </w:rPr>
        <w:t xml:space="preserve">el cálculo de </w:t>
      </w:r>
      <w:r w:rsidRPr="001B2746">
        <w:rPr>
          <w:rFonts w:ascii="Bookman Old Style" w:hAnsi="Bookman Old Style"/>
          <w:szCs w:val="24"/>
        </w:rPr>
        <w:t>la componente de AOM se utiliza la energía mínima de</w:t>
      </w:r>
      <w:r w:rsidR="00972FF6">
        <w:rPr>
          <w:rFonts w:ascii="Bookman Old Style" w:hAnsi="Bookman Old Style"/>
          <w:szCs w:val="24"/>
        </w:rPr>
        <w:t xml:space="preserve"> </w:t>
      </w:r>
      <w:r w:rsidRPr="001B2746">
        <w:rPr>
          <w:rFonts w:ascii="Bookman Old Style" w:hAnsi="Bookman Old Style"/>
          <w:szCs w:val="24"/>
        </w:rPr>
        <w:t>l</w:t>
      </w:r>
      <w:r w:rsidR="00972FF6">
        <w:rPr>
          <w:rFonts w:ascii="Bookman Old Style" w:hAnsi="Bookman Old Style"/>
          <w:szCs w:val="24"/>
        </w:rPr>
        <w:t>a condición de</w:t>
      </w:r>
      <w:r w:rsidRPr="001B2746">
        <w:rPr>
          <w:rFonts w:ascii="Bookman Old Style" w:hAnsi="Bookman Old Style"/>
          <w:szCs w:val="24"/>
        </w:rPr>
        <w:t xml:space="preserve"> </w:t>
      </w:r>
      <w:proofErr w:type="spellStart"/>
      <w:r w:rsidRPr="002B4D42">
        <w:rPr>
          <w:rFonts w:ascii="Bookman Old Style" w:hAnsi="Bookman Old Style"/>
          <w:i/>
          <w:iCs/>
          <w:szCs w:val="24"/>
        </w:rPr>
        <w:t>take</w:t>
      </w:r>
      <w:proofErr w:type="spellEnd"/>
      <w:r w:rsidRPr="002B4D42">
        <w:rPr>
          <w:rFonts w:ascii="Bookman Old Style" w:hAnsi="Bookman Old Style"/>
          <w:i/>
          <w:iCs/>
          <w:szCs w:val="24"/>
        </w:rPr>
        <w:t xml:space="preserve"> </w:t>
      </w:r>
      <w:proofErr w:type="spellStart"/>
      <w:r w:rsidRPr="002B4D42">
        <w:rPr>
          <w:rFonts w:ascii="Bookman Old Style" w:hAnsi="Bookman Old Style"/>
          <w:i/>
          <w:iCs/>
          <w:szCs w:val="24"/>
        </w:rPr>
        <w:t>or</w:t>
      </w:r>
      <w:proofErr w:type="spellEnd"/>
      <w:r w:rsidRPr="002B4D42">
        <w:rPr>
          <w:rFonts w:ascii="Bookman Old Style" w:hAnsi="Bookman Old Style"/>
          <w:i/>
          <w:iCs/>
          <w:szCs w:val="24"/>
        </w:rPr>
        <w:t xml:space="preserve"> </w:t>
      </w:r>
      <w:proofErr w:type="spellStart"/>
      <w:r w:rsidRPr="002B4D42">
        <w:rPr>
          <w:rFonts w:ascii="Bookman Old Style" w:hAnsi="Bookman Old Style"/>
          <w:i/>
          <w:iCs/>
          <w:szCs w:val="24"/>
        </w:rPr>
        <w:t>pay</w:t>
      </w:r>
      <w:proofErr w:type="spellEnd"/>
      <w:r w:rsidRPr="001B2746">
        <w:rPr>
          <w:rFonts w:ascii="Bookman Old Style" w:hAnsi="Bookman Old Style"/>
          <w:szCs w:val="24"/>
        </w:rPr>
        <w:t xml:space="preserve"> del contrato en mención.</w:t>
      </w:r>
    </w:p>
    <w:p w14:paraId="242A0C33" w14:textId="77777777" w:rsidR="001B2746" w:rsidRPr="001B2746" w:rsidRDefault="001B2746" w:rsidP="001B2746">
      <w:pPr>
        <w:pStyle w:val="Textodebloque"/>
        <w:ind w:left="284" w:right="6"/>
        <w:contextualSpacing/>
        <w:rPr>
          <w:rFonts w:ascii="Bookman Old Style" w:hAnsi="Bookman Old Style"/>
          <w:szCs w:val="24"/>
        </w:rPr>
      </w:pPr>
    </w:p>
    <w:p w14:paraId="4F5B2CCD" w14:textId="7786F983" w:rsidR="009B5958" w:rsidRPr="009B5958" w:rsidRDefault="001B2746" w:rsidP="009B5958">
      <w:pPr>
        <w:pStyle w:val="Textodebloque"/>
        <w:ind w:left="284" w:right="6"/>
        <w:contextualSpacing/>
        <w:rPr>
          <w:rFonts w:ascii="Bookman Old Style" w:hAnsi="Bookman Old Style"/>
          <w:szCs w:val="24"/>
          <w:lang w:val="es-ES"/>
        </w:rPr>
      </w:pPr>
      <w:r w:rsidRPr="001B2746">
        <w:rPr>
          <w:rFonts w:ascii="Bookman Old Style" w:hAnsi="Bookman Old Style"/>
          <w:szCs w:val="24"/>
        </w:rPr>
        <w:t>Cabe señalar que el objeto de esta Comisión al resolver la solicitud presentada por REFOENERGY no es la de establecer o validar que los costos y la estructuración de</w:t>
      </w:r>
      <w:r w:rsidR="00972FF6">
        <w:rPr>
          <w:rFonts w:ascii="Bookman Old Style" w:hAnsi="Bookman Old Style"/>
          <w:szCs w:val="24"/>
        </w:rPr>
        <w:t xml:space="preserve"> su</w:t>
      </w:r>
      <w:r w:rsidRPr="001B2746">
        <w:rPr>
          <w:rFonts w:ascii="Bookman Old Style" w:hAnsi="Bookman Old Style"/>
          <w:szCs w:val="24"/>
        </w:rPr>
        <w:t xml:space="preserve"> proyecto </w:t>
      </w:r>
      <w:r w:rsidR="00972FF6">
        <w:rPr>
          <w:rFonts w:ascii="Bookman Old Style" w:hAnsi="Bookman Old Style"/>
          <w:szCs w:val="24"/>
        </w:rPr>
        <w:t xml:space="preserve">particular </w:t>
      </w:r>
      <w:r w:rsidRPr="001B2746">
        <w:rPr>
          <w:rFonts w:ascii="Bookman Old Style" w:hAnsi="Bookman Old Style"/>
          <w:szCs w:val="24"/>
        </w:rPr>
        <w:t>son los correctos</w:t>
      </w:r>
      <w:r w:rsidR="00972FF6">
        <w:rPr>
          <w:rFonts w:ascii="Bookman Old Style" w:hAnsi="Bookman Old Style"/>
          <w:szCs w:val="24"/>
        </w:rPr>
        <w:t>. El objeto de esta Comisión, que toma como referencia los costos presentados por el peticionario</w:t>
      </w:r>
      <w:r w:rsidRPr="001B2746">
        <w:rPr>
          <w:rFonts w:ascii="Bookman Old Style" w:hAnsi="Bookman Old Style"/>
          <w:szCs w:val="24"/>
        </w:rPr>
        <w:t xml:space="preserve">, </w:t>
      </w:r>
      <w:r w:rsidR="00972FF6">
        <w:rPr>
          <w:rFonts w:ascii="Bookman Old Style" w:hAnsi="Bookman Old Style"/>
          <w:szCs w:val="24"/>
        </w:rPr>
        <w:t xml:space="preserve">es </w:t>
      </w:r>
      <w:r w:rsidRPr="001B2746">
        <w:rPr>
          <w:rFonts w:ascii="Bookman Old Style" w:hAnsi="Bookman Old Style"/>
          <w:szCs w:val="24"/>
        </w:rPr>
        <w:t xml:space="preserve">definir </w:t>
      </w:r>
      <w:r w:rsidR="00153F91">
        <w:rPr>
          <w:rFonts w:ascii="Bookman Old Style" w:hAnsi="Bookman Old Style"/>
          <w:szCs w:val="24"/>
        </w:rPr>
        <w:t>el cargo de generación eficiente</w:t>
      </w:r>
      <w:r w:rsidR="009B5958" w:rsidRPr="009B5958">
        <w:rPr>
          <w:rFonts w:ascii="Bookman Old Style" w:hAnsi="Bookman Old Style"/>
          <w:szCs w:val="24"/>
          <w:lang w:val="es-ES"/>
        </w:rPr>
        <w:t>, para traslado de costos a usuarios regulados, por tecnología, no por proyecto</w:t>
      </w:r>
      <w:r w:rsidR="002B4D42">
        <w:rPr>
          <w:rFonts w:ascii="Bookman Old Style" w:hAnsi="Bookman Old Style"/>
          <w:szCs w:val="24"/>
          <w:lang w:val="es-ES"/>
        </w:rPr>
        <w:t>,</w:t>
      </w:r>
      <w:r w:rsidR="009B5958" w:rsidRPr="009B5958">
        <w:rPr>
          <w:rFonts w:ascii="Bookman Old Style" w:hAnsi="Bookman Old Style"/>
          <w:szCs w:val="24"/>
          <w:lang w:val="es-ES"/>
        </w:rPr>
        <w:t xml:space="preserve"> </w:t>
      </w:r>
      <w:r w:rsidR="002B4D42">
        <w:rPr>
          <w:rFonts w:ascii="Bookman Old Style" w:hAnsi="Bookman Old Style"/>
          <w:szCs w:val="24"/>
          <w:lang w:val="es-ES"/>
        </w:rPr>
        <w:t>ni</w:t>
      </w:r>
      <w:r w:rsidR="009B5958" w:rsidRPr="009B5958">
        <w:rPr>
          <w:rFonts w:ascii="Bookman Old Style" w:hAnsi="Bookman Old Style"/>
          <w:szCs w:val="24"/>
          <w:lang w:val="es-ES"/>
        </w:rPr>
        <w:t xml:space="preserve"> para las condiciones particulares de un prestador, contrato de compraventa de energía o sistema de generación</w:t>
      </w:r>
      <w:r w:rsidR="00FD1D52">
        <w:rPr>
          <w:rFonts w:ascii="Bookman Old Style" w:hAnsi="Bookman Old Style"/>
          <w:szCs w:val="24"/>
          <w:lang w:val="es-ES"/>
        </w:rPr>
        <w:t>.</w:t>
      </w:r>
    </w:p>
    <w:p w14:paraId="70FD40F2" w14:textId="77777777" w:rsidR="001B2746" w:rsidRPr="00972FF6" w:rsidRDefault="001B2746" w:rsidP="001B2746">
      <w:pPr>
        <w:pStyle w:val="Textodebloque"/>
        <w:ind w:left="284" w:right="6"/>
        <w:contextualSpacing/>
        <w:rPr>
          <w:rFonts w:ascii="Bookman Old Style" w:hAnsi="Bookman Old Style"/>
          <w:szCs w:val="24"/>
          <w:lang w:val="es-ES"/>
        </w:rPr>
      </w:pPr>
    </w:p>
    <w:p w14:paraId="3EB16B17" w14:textId="770C3A1F" w:rsidR="001B2746" w:rsidRPr="001B2746" w:rsidRDefault="001B2746" w:rsidP="001B2746">
      <w:pPr>
        <w:pStyle w:val="Textodebloque"/>
        <w:ind w:left="284" w:right="6"/>
        <w:contextualSpacing/>
        <w:rPr>
          <w:rFonts w:ascii="Bookman Old Style" w:hAnsi="Bookman Old Style"/>
          <w:szCs w:val="24"/>
        </w:rPr>
      </w:pPr>
      <w:bookmarkStart w:id="2" w:name="_Hlk117678382"/>
      <w:r w:rsidRPr="001B2746">
        <w:rPr>
          <w:rFonts w:ascii="Bookman Old Style" w:hAnsi="Bookman Old Style"/>
          <w:szCs w:val="24"/>
        </w:rPr>
        <w:t>Con respecto a la metodología tarifaria para la remuneración de la prestación del servicio de energía eléctrica en ZNI, adoptada mediante Resolución CREG 091 de 2007, debe mencionarse que, para el caso de atención a usuarios mediante red de distribución, se adoptó una metodología de precio máximo. Esto significa que el costo de prestación del servicio se expresa por unidad de energía, en este caso pesos por kilovatio hora ($ / kWh)</w:t>
      </w:r>
      <w:r w:rsidR="00972FF6">
        <w:rPr>
          <w:rFonts w:ascii="Bookman Old Style" w:hAnsi="Bookman Old Style"/>
          <w:szCs w:val="24"/>
        </w:rPr>
        <w:t>,</w:t>
      </w:r>
      <w:r w:rsidRPr="001B2746">
        <w:rPr>
          <w:rFonts w:ascii="Bookman Old Style" w:hAnsi="Bookman Old Style"/>
          <w:szCs w:val="24"/>
        </w:rPr>
        <w:t xml:space="preserve"> y solo será trasladable al usuario lo equivalente al cargo máximo de las unidades de energía que el usuario consuma, independientemente de la capacidad de generación que haya decidido instalar </w:t>
      </w:r>
      <w:r w:rsidR="00972FF6">
        <w:rPr>
          <w:rFonts w:ascii="Bookman Old Style" w:hAnsi="Bookman Old Style"/>
          <w:szCs w:val="24"/>
        </w:rPr>
        <w:t xml:space="preserve">el generador </w:t>
      </w:r>
      <w:r w:rsidRPr="001B2746">
        <w:rPr>
          <w:rFonts w:ascii="Bookman Old Style" w:hAnsi="Bookman Old Style"/>
          <w:szCs w:val="24"/>
        </w:rPr>
        <w:t xml:space="preserve">o </w:t>
      </w:r>
      <w:r w:rsidR="00972FF6">
        <w:rPr>
          <w:rFonts w:ascii="Bookman Old Style" w:hAnsi="Bookman Old Style"/>
          <w:szCs w:val="24"/>
        </w:rPr>
        <w:t xml:space="preserve">las condiciones </w:t>
      </w:r>
      <w:r w:rsidRPr="001B2746">
        <w:rPr>
          <w:rFonts w:ascii="Bookman Old Style" w:hAnsi="Bookman Old Style"/>
          <w:szCs w:val="24"/>
        </w:rPr>
        <w:t>pactad</w:t>
      </w:r>
      <w:r w:rsidR="00972FF6">
        <w:rPr>
          <w:rFonts w:ascii="Bookman Old Style" w:hAnsi="Bookman Old Style"/>
          <w:szCs w:val="24"/>
        </w:rPr>
        <w:t>as con el comercializador</w:t>
      </w:r>
      <w:r w:rsidRPr="001B2746">
        <w:rPr>
          <w:rFonts w:ascii="Bookman Old Style" w:hAnsi="Bookman Old Style"/>
          <w:szCs w:val="24"/>
        </w:rPr>
        <w:t>.</w:t>
      </w:r>
    </w:p>
    <w:p w14:paraId="37662FD7" w14:textId="355E3E71" w:rsidR="001B2746" w:rsidRPr="001B2746" w:rsidRDefault="001B2746" w:rsidP="009A51A3">
      <w:pPr>
        <w:pStyle w:val="Textodebloque"/>
        <w:tabs>
          <w:tab w:val="left" w:pos="3420"/>
        </w:tabs>
        <w:ind w:left="284" w:right="6"/>
        <w:contextualSpacing/>
        <w:rPr>
          <w:rFonts w:ascii="Bookman Old Style" w:hAnsi="Bookman Old Style"/>
          <w:szCs w:val="24"/>
        </w:rPr>
      </w:pPr>
    </w:p>
    <w:p w14:paraId="664626D1" w14:textId="5B3B17F8" w:rsidR="001B2746" w:rsidRPr="001B2746" w:rsidRDefault="001B2746" w:rsidP="001B2746">
      <w:pPr>
        <w:pStyle w:val="Textodebloque"/>
        <w:ind w:left="284" w:right="6"/>
        <w:contextualSpacing/>
        <w:rPr>
          <w:rFonts w:ascii="Bookman Old Style" w:hAnsi="Bookman Old Style"/>
          <w:szCs w:val="24"/>
        </w:rPr>
      </w:pPr>
      <w:r w:rsidRPr="001B2746">
        <w:rPr>
          <w:rFonts w:ascii="Bookman Old Style" w:hAnsi="Bookman Old Style"/>
          <w:szCs w:val="24"/>
        </w:rPr>
        <w:t>Lo anterior implica que</w:t>
      </w:r>
      <w:r w:rsidR="00972FF6">
        <w:rPr>
          <w:rFonts w:ascii="Bookman Old Style" w:hAnsi="Bookman Old Style"/>
          <w:szCs w:val="24"/>
        </w:rPr>
        <w:t>,</w:t>
      </w:r>
      <w:r w:rsidRPr="001B2746">
        <w:rPr>
          <w:rFonts w:ascii="Bookman Old Style" w:hAnsi="Bookman Old Style"/>
          <w:szCs w:val="24"/>
        </w:rPr>
        <w:t xml:space="preserve"> en el marco tarifario vigente</w:t>
      </w:r>
      <w:r w:rsidR="007318CC">
        <w:rPr>
          <w:rFonts w:ascii="Bookman Old Style" w:hAnsi="Bookman Old Style"/>
          <w:szCs w:val="24"/>
        </w:rPr>
        <w:t>,</w:t>
      </w:r>
      <w:r w:rsidRPr="001B2746">
        <w:rPr>
          <w:rFonts w:ascii="Bookman Old Style" w:hAnsi="Bookman Old Style"/>
          <w:szCs w:val="24"/>
        </w:rPr>
        <w:t xml:space="preserve"> el riesgo de demanda fue asignado al prestador del servicio, en este caso en particular al generador de energía eléctrica y, en ese orden de ideas, las inversiones y capacidad del sistema con el que pretenda prestar el servicio son a cuenta y riesgo de este agente. </w:t>
      </w:r>
    </w:p>
    <w:p w14:paraId="2C4C065B" w14:textId="77777777" w:rsidR="001B2746" w:rsidRPr="001B2746" w:rsidRDefault="001B2746" w:rsidP="001B2746">
      <w:pPr>
        <w:pStyle w:val="Textodebloque"/>
        <w:ind w:left="284" w:right="6"/>
        <w:contextualSpacing/>
        <w:rPr>
          <w:rFonts w:ascii="Bookman Old Style" w:hAnsi="Bookman Old Style"/>
          <w:szCs w:val="24"/>
        </w:rPr>
      </w:pPr>
    </w:p>
    <w:p w14:paraId="06102986" w14:textId="665B1ABB" w:rsidR="001B2746" w:rsidRDefault="001B2746" w:rsidP="001B2746">
      <w:pPr>
        <w:pStyle w:val="Textodebloque"/>
        <w:ind w:left="284" w:right="6"/>
        <w:contextualSpacing/>
        <w:rPr>
          <w:rFonts w:ascii="Bookman Old Style" w:hAnsi="Bookman Old Style"/>
          <w:szCs w:val="24"/>
        </w:rPr>
      </w:pPr>
      <w:r w:rsidRPr="001B2746">
        <w:rPr>
          <w:rFonts w:ascii="Bookman Old Style" w:hAnsi="Bookman Old Style"/>
          <w:szCs w:val="24"/>
        </w:rPr>
        <w:t>En ese sentido, en la definición de los cargos máximos no se toma en cuenta la energía pactada en contratos o a partir de la demanda del mercado relevante de Puerto Carreño</w:t>
      </w:r>
      <w:r w:rsidR="002B4D42">
        <w:rPr>
          <w:rFonts w:ascii="Bookman Old Style" w:hAnsi="Bookman Old Style"/>
          <w:szCs w:val="24"/>
        </w:rPr>
        <w:t>,</w:t>
      </w:r>
      <w:r w:rsidRPr="001B2746">
        <w:rPr>
          <w:rFonts w:ascii="Bookman Old Style" w:hAnsi="Bookman Old Style"/>
          <w:szCs w:val="24"/>
        </w:rPr>
        <w:t xml:space="preserve"> si</w:t>
      </w:r>
      <w:r w:rsidR="002B4D42">
        <w:rPr>
          <w:rFonts w:ascii="Bookman Old Style" w:hAnsi="Bookman Old Style"/>
          <w:szCs w:val="24"/>
        </w:rPr>
        <w:t xml:space="preserve"> </w:t>
      </w:r>
      <w:r w:rsidRPr="001B2746">
        <w:rPr>
          <w:rFonts w:ascii="Bookman Old Style" w:hAnsi="Bookman Old Style"/>
          <w:szCs w:val="24"/>
        </w:rPr>
        <w:t xml:space="preserve">no que, con el fin de establecer el costo eficiente de la generación con la tecnología de Biomasa, se utiliza el potencial de generación de un sistema consistente con el dimensionamiento y el nivel de costos utilizado </w:t>
      </w:r>
      <w:r w:rsidRPr="001B2746">
        <w:rPr>
          <w:rFonts w:ascii="Bookman Old Style" w:hAnsi="Bookman Old Style"/>
          <w:szCs w:val="24"/>
        </w:rPr>
        <w:lastRenderedPageBreak/>
        <w:t>como referente por esta Comisión para desarrollar los cálculos. En ese orden de ideas, no es procedente la solicitud presentada por REFOENERGY en este punto.</w:t>
      </w:r>
    </w:p>
    <w:bookmarkEnd w:id="2"/>
    <w:p w14:paraId="1CC01C46" w14:textId="1D46DA22" w:rsidR="001B2746" w:rsidRDefault="001B2746" w:rsidP="001767C6">
      <w:pPr>
        <w:pStyle w:val="Textodebloque"/>
        <w:ind w:left="284" w:right="6"/>
        <w:contextualSpacing/>
        <w:rPr>
          <w:rFonts w:ascii="Bookman Old Style" w:hAnsi="Bookman Old Style"/>
          <w:szCs w:val="24"/>
        </w:rPr>
      </w:pPr>
    </w:p>
    <w:p w14:paraId="3B2D4B13" w14:textId="2CC50C5A" w:rsidR="001767C6" w:rsidRPr="001B2746" w:rsidRDefault="001B2746" w:rsidP="00B61A30">
      <w:pPr>
        <w:pStyle w:val="Textodebloque"/>
        <w:ind w:left="284" w:right="6"/>
        <w:contextualSpacing/>
        <w:rPr>
          <w:rFonts w:ascii="Bookman Old Style" w:hAnsi="Bookman Old Style"/>
          <w:b/>
          <w:szCs w:val="24"/>
        </w:rPr>
      </w:pPr>
      <w:r w:rsidRPr="001B2746">
        <w:rPr>
          <w:rFonts w:ascii="Bookman Old Style" w:hAnsi="Bookman Old Style"/>
          <w:b/>
          <w:szCs w:val="24"/>
        </w:rPr>
        <w:t>3.2. COSTOS INVERSIÓN</w:t>
      </w:r>
    </w:p>
    <w:p w14:paraId="678B37F9" w14:textId="62EF2871" w:rsidR="001B2746" w:rsidRDefault="001B2746" w:rsidP="000334BE">
      <w:pPr>
        <w:pStyle w:val="Textodebloque"/>
        <w:ind w:left="0" w:right="6"/>
        <w:contextualSpacing/>
        <w:rPr>
          <w:rFonts w:ascii="Bookman Old Style" w:hAnsi="Bookman Old Style"/>
          <w:szCs w:val="24"/>
        </w:rPr>
      </w:pPr>
    </w:p>
    <w:p w14:paraId="331E90C0" w14:textId="77777777" w:rsidR="001B2746" w:rsidRPr="00AB75CD" w:rsidRDefault="001B2746" w:rsidP="00AB75CD">
      <w:pPr>
        <w:pStyle w:val="Textodebloque"/>
        <w:ind w:right="6"/>
        <w:contextualSpacing/>
        <w:rPr>
          <w:rFonts w:ascii="Bookman Old Style" w:hAnsi="Bookman Old Style"/>
          <w:i/>
          <w:sz w:val="22"/>
          <w:szCs w:val="22"/>
        </w:rPr>
      </w:pPr>
      <w:r w:rsidRPr="00AB75CD">
        <w:rPr>
          <w:rFonts w:ascii="Bookman Old Style" w:hAnsi="Bookman Old Style"/>
          <w:i/>
          <w:sz w:val="22"/>
          <w:szCs w:val="22"/>
        </w:rPr>
        <w:t>“El documento técnico de soporte de la Resolución que se recurre excluye valores de inversión que efectivamente fueron realizados y pagados por REFOENERGY para el diseño, implementación, construcción, pruebas, conexión al punto de entrega de la ESP, de la planta Hibrida Biomasa Diesel, causados previos al inicio de operación, en diciembre de 2020.</w:t>
      </w:r>
    </w:p>
    <w:p w14:paraId="36A3EE64" w14:textId="77777777" w:rsidR="001B2746" w:rsidRPr="00AB75CD" w:rsidRDefault="001B2746" w:rsidP="00AB75CD">
      <w:pPr>
        <w:pStyle w:val="Textodebloque"/>
        <w:ind w:right="6"/>
        <w:contextualSpacing/>
        <w:rPr>
          <w:rFonts w:ascii="Bookman Old Style" w:hAnsi="Bookman Old Style"/>
          <w:i/>
          <w:sz w:val="22"/>
          <w:szCs w:val="22"/>
        </w:rPr>
      </w:pPr>
    </w:p>
    <w:p w14:paraId="49FD4799" w14:textId="77777777" w:rsidR="001B2746" w:rsidRPr="00AB75CD" w:rsidRDefault="001B2746" w:rsidP="00AB75CD">
      <w:pPr>
        <w:pStyle w:val="Textodebloque"/>
        <w:ind w:right="6"/>
        <w:contextualSpacing/>
        <w:rPr>
          <w:rFonts w:ascii="Bookman Old Style" w:hAnsi="Bookman Old Style"/>
          <w:i/>
          <w:sz w:val="22"/>
          <w:szCs w:val="22"/>
        </w:rPr>
      </w:pPr>
      <w:r w:rsidRPr="00AB75CD">
        <w:rPr>
          <w:rFonts w:ascii="Bookman Old Style" w:hAnsi="Bookman Old Style"/>
          <w:i/>
          <w:sz w:val="22"/>
          <w:szCs w:val="22"/>
        </w:rPr>
        <w:t>Igualmente, el documento técnico de soporte de la Resolución que se recurre excluye valores de inversión que efectivamente fueron reconocidos TECNICAMENTE por la UPME (conforme a sus competencias técnicas en resolución debidamente aportada a este expediente) como gastos de inversión susceptibles de aplicación de los incentivos tributarios contenidos en la ley 1715. sin ningún soporte técnico adicional al de</w:t>
      </w:r>
    </w:p>
    <w:p w14:paraId="14B0872F" w14:textId="77777777" w:rsidR="001B2746" w:rsidRPr="00AB75CD" w:rsidRDefault="001B2746" w:rsidP="00AB75CD">
      <w:pPr>
        <w:pStyle w:val="Textodebloque"/>
        <w:ind w:right="6"/>
        <w:contextualSpacing/>
        <w:rPr>
          <w:rFonts w:ascii="Bookman Old Style" w:hAnsi="Bookman Old Style"/>
          <w:i/>
          <w:sz w:val="22"/>
          <w:szCs w:val="22"/>
        </w:rPr>
      </w:pPr>
    </w:p>
    <w:p w14:paraId="533EDE4E" w14:textId="77777777" w:rsidR="001B2746" w:rsidRPr="00AB75CD" w:rsidRDefault="001B2746" w:rsidP="00AB75CD">
      <w:pPr>
        <w:pStyle w:val="Textodebloque"/>
        <w:ind w:right="6"/>
        <w:contextualSpacing/>
        <w:rPr>
          <w:rFonts w:ascii="Bookman Old Style" w:hAnsi="Bookman Old Style"/>
          <w:i/>
          <w:sz w:val="22"/>
          <w:szCs w:val="22"/>
        </w:rPr>
      </w:pPr>
      <w:r w:rsidRPr="00AB75CD">
        <w:rPr>
          <w:rFonts w:ascii="Bookman Old Style" w:hAnsi="Bookman Old Style"/>
          <w:i/>
          <w:sz w:val="22"/>
          <w:szCs w:val="22"/>
        </w:rPr>
        <w:t xml:space="preserve">Todas las facturas y soportes de costos efectivos de inversión asociados a la solución Biomasa, han sido revisados, soportados con factura y reactivados en el archivo Excel anexo al documento técnico de soporte de la Resolución que se recurre (ver resaltados en VERDE de la hoja “INVERSION PRESUPUESTO CREG”) con el fin de que sean tenidos en cuenta, como corresponde, en la remuneración del costo de inversión de la Planta Hibrida Biomasa Diesel de </w:t>
      </w:r>
      <w:proofErr w:type="spellStart"/>
      <w:r w:rsidRPr="00AB75CD">
        <w:rPr>
          <w:rFonts w:ascii="Bookman Old Style" w:hAnsi="Bookman Old Style"/>
          <w:i/>
          <w:sz w:val="22"/>
          <w:szCs w:val="22"/>
        </w:rPr>
        <w:t>Refoenergy</w:t>
      </w:r>
      <w:proofErr w:type="spellEnd"/>
      <w:r w:rsidRPr="00AB75CD">
        <w:rPr>
          <w:rFonts w:ascii="Bookman Old Style" w:hAnsi="Bookman Old Style"/>
          <w:i/>
          <w:sz w:val="22"/>
          <w:szCs w:val="22"/>
        </w:rPr>
        <w:t xml:space="preserve"> Bita.</w:t>
      </w:r>
    </w:p>
    <w:p w14:paraId="2DE33413" w14:textId="77777777" w:rsidR="001B2746" w:rsidRPr="00AB75CD" w:rsidRDefault="001B2746" w:rsidP="00AB75CD">
      <w:pPr>
        <w:pStyle w:val="Textodebloque"/>
        <w:ind w:right="6"/>
        <w:contextualSpacing/>
        <w:rPr>
          <w:rFonts w:ascii="Bookman Old Style" w:hAnsi="Bookman Old Style"/>
          <w:i/>
          <w:sz w:val="22"/>
          <w:szCs w:val="22"/>
        </w:rPr>
      </w:pPr>
    </w:p>
    <w:p w14:paraId="0BEF60DA" w14:textId="6FD8F025" w:rsidR="001B2746" w:rsidRPr="00AB75CD" w:rsidRDefault="001B2746" w:rsidP="00AB75CD">
      <w:pPr>
        <w:pStyle w:val="Textodebloque"/>
        <w:ind w:right="6"/>
        <w:contextualSpacing/>
        <w:rPr>
          <w:rFonts w:ascii="Bookman Old Style" w:hAnsi="Bookman Old Style"/>
          <w:i/>
          <w:sz w:val="22"/>
          <w:szCs w:val="22"/>
        </w:rPr>
      </w:pPr>
      <w:r w:rsidRPr="00AB75CD">
        <w:rPr>
          <w:rFonts w:ascii="Bookman Old Style" w:hAnsi="Bookman Old Style"/>
          <w:i/>
          <w:sz w:val="22"/>
          <w:szCs w:val="22"/>
        </w:rPr>
        <w:t>En ANEXO 1 ARCHIVO EXCEL “Relación Soportes de Inversión” adjunto a este documento, se encontrarán la relación y todas las facturas reales que se digitalizaron para soportar su reactivaron e incorporaron para el cálculo” (…)</w:t>
      </w:r>
    </w:p>
    <w:p w14:paraId="4EBE7FA0" w14:textId="77777777" w:rsidR="002221EE" w:rsidRDefault="002221EE" w:rsidP="00E21C91">
      <w:pPr>
        <w:pStyle w:val="Textodebloque"/>
        <w:ind w:left="284" w:right="6"/>
        <w:contextualSpacing/>
        <w:rPr>
          <w:rFonts w:ascii="Bookman Old Style" w:hAnsi="Bookman Old Style"/>
          <w:szCs w:val="24"/>
        </w:rPr>
      </w:pPr>
    </w:p>
    <w:p w14:paraId="51792DBF" w14:textId="67D1B341" w:rsidR="001B2746" w:rsidRPr="00097D6A" w:rsidRDefault="00AB75CD" w:rsidP="001B2746">
      <w:pPr>
        <w:pStyle w:val="Textodebloque"/>
        <w:ind w:left="284" w:right="6"/>
        <w:contextualSpacing/>
        <w:rPr>
          <w:rFonts w:ascii="Bookman Old Style" w:hAnsi="Bookman Old Style"/>
          <w:i/>
          <w:iCs/>
          <w:szCs w:val="24"/>
        </w:rPr>
      </w:pPr>
      <w:r>
        <w:rPr>
          <w:rFonts w:ascii="Bookman Old Style" w:hAnsi="Bookman Old Style"/>
          <w:szCs w:val="24"/>
        </w:rPr>
        <w:t xml:space="preserve">Es necesario </w:t>
      </w:r>
      <w:r w:rsidR="00F64618">
        <w:rPr>
          <w:rFonts w:ascii="Bookman Old Style" w:hAnsi="Bookman Old Style"/>
          <w:szCs w:val="24"/>
        </w:rPr>
        <w:t>insistir en</w:t>
      </w:r>
      <w:r w:rsidR="001B2746" w:rsidRPr="001B2746">
        <w:rPr>
          <w:rFonts w:ascii="Bookman Old Style" w:hAnsi="Bookman Old Style"/>
          <w:szCs w:val="24"/>
        </w:rPr>
        <w:t xml:space="preserve"> que esta Comisión no valida los costos o estructuración de un proyecto en particular. Tiene a su cargo la definición del costo de venta de la energía eléctrica, definiendo, en este caso en particular, un cargo máximo para la generación de energía eléctrica, tal como lo tiene previsto el artículo 91 de la Ley 142 de 1994: </w:t>
      </w:r>
      <w:r w:rsidR="001B2746" w:rsidRPr="00097D6A">
        <w:rPr>
          <w:rFonts w:ascii="Bookman Old Style" w:hAnsi="Bookman Old Style"/>
          <w:i/>
          <w:iCs/>
          <w:szCs w:val="24"/>
        </w:rPr>
        <w:t>“Para establecer las fórmulas de tarifas se calculará por separado, cuando sea posible, una fórmula para cada una de las diversas etapas del servicio.”</w:t>
      </w:r>
    </w:p>
    <w:p w14:paraId="30DCDC31" w14:textId="77777777" w:rsidR="001B2746" w:rsidRPr="001B2746" w:rsidRDefault="001B2746" w:rsidP="001B2746">
      <w:pPr>
        <w:pStyle w:val="Textodebloque"/>
        <w:ind w:left="284" w:right="6"/>
        <w:contextualSpacing/>
        <w:rPr>
          <w:rFonts w:ascii="Bookman Old Style" w:hAnsi="Bookman Old Style"/>
          <w:szCs w:val="24"/>
        </w:rPr>
      </w:pPr>
    </w:p>
    <w:p w14:paraId="23F81B8B" w14:textId="501D7656" w:rsidR="001B2746" w:rsidRPr="001B2746" w:rsidRDefault="00A977D3" w:rsidP="001B2746">
      <w:pPr>
        <w:pStyle w:val="Textodebloque"/>
        <w:ind w:left="284" w:right="6"/>
        <w:contextualSpacing/>
        <w:rPr>
          <w:rFonts w:ascii="Bookman Old Style" w:hAnsi="Bookman Old Style"/>
          <w:szCs w:val="24"/>
        </w:rPr>
      </w:pPr>
      <w:r>
        <w:rPr>
          <w:rFonts w:ascii="Bookman Old Style" w:hAnsi="Bookman Old Style"/>
          <w:szCs w:val="24"/>
        </w:rPr>
        <w:t>Así las cosas</w:t>
      </w:r>
      <w:r w:rsidR="001B2746" w:rsidRPr="001B2746">
        <w:rPr>
          <w:rFonts w:ascii="Bookman Old Style" w:hAnsi="Bookman Old Style"/>
          <w:szCs w:val="24"/>
        </w:rPr>
        <w:t xml:space="preserve">, se enfatiza sobre el objeto de esta </w:t>
      </w:r>
      <w:r w:rsidR="00EF55E7">
        <w:rPr>
          <w:rFonts w:ascii="Bookman Old Style" w:hAnsi="Bookman Old Style"/>
          <w:szCs w:val="24"/>
        </w:rPr>
        <w:t xml:space="preserve">actuación administrativa, </w:t>
      </w:r>
      <w:r w:rsidR="001B2746" w:rsidRPr="001B2746">
        <w:rPr>
          <w:rFonts w:ascii="Bookman Old Style" w:hAnsi="Bookman Old Style"/>
          <w:szCs w:val="24"/>
        </w:rPr>
        <w:t>el cual es resolver la solicitud presentada por REFOENERGY a partir de los costos eficientes de prestación del servicio que pueden ser trasladados a los usuarios en el respectivo mercado relevante de comercialización</w:t>
      </w:r>
      <w:r w:rsidR="002B4D42">
        <w:rPr>
          <w:rFonts w:ascii="Bookman Old Style" w:hAnsi="Bookman Old Style"/>
          <w:szCs w:val="24"/>
        </w:rPr>
        <w:t>,</w:t>
      </w:r>
      <w:r w:rsidR="001B2746" w:rsidRPr="001B2746">
        <w:rPr>
          <w:rFonts w:ascii="Bookman Old Style" w:hAnsi="Bookman Old Style"/>
          <w:szCs w:val="24"/>
        </w:rPr>
        <w:t xml:space="preserve"> y no sobre la validación de formulación o estructuración de un proyecto de inversión.</w:t>
      </w:r>
    </w:p>
    <w:p w14:paraId="004571E0" w14:textId="77777777" w:rsidR="001B2746" w:rsidRPr="001B2746" w:rsidRDefault="001B2746" w:rsidP="001B2746">
      <w:pPr>
        <w:pStyle w:val="Textodebloque"/>
        <w:ind w:left="284" w:right="6"/>
        <w:contextualSpacing/>
        <w:rPr>
          <w:rFonts w:ascii="Bookman Old Style" w:hAnsi="Bookman Old Style"/>
          <w:szCs w:val="24"/>
        </w:rPr>
      </w:pPr>
    </w:p>
    <w:p w14:paraId="032E51B4" w14:textId="2285476B" w:rsidR="001B2746" w:rsidRPr="001B2746" w:rsidRDefault="001B2746" w:rsidP="001B2746">
      <w:pPr>
        <w:pStyle w:val="Textodebloque"/>
        <w:ind w:left="284" w:right="6"/>
        <w:contextualSpacing/>
        <w:rPr>
          <w:rFonts w:ascii="Bookman Old Style" w:hAnsi="Bookman Old Style"/>
          <w:szCs w:val="24"/>
        </w:rPr>
      </w:pPr>
      <w:r w:rsidRPr="001B2746">
        <w:rPr>
          <w:rFonts w:ascii="Bookman Old Style" w:hAnsi="Bookman Old Style"/>
          <w:szCs w:val="24"/>
        </w:rPr>
        <w:t>Debe recordarse que la definición del cargo máximo de generación también debe atender el criterio de eficiencia económica, es decir</w:t>
      </w:r>
      <w:r w:rsidR="002B4D42">
        <w:rPr>
          <w:rFonts w:ascii="Bookman Old Style" w:hAnsi="Bookman Old Style"/>
          <w:szCs w:val="24"/>
        </w:rPr>
        <w:t>,</w:t>
      </w:r>
      <w:r w:rsidRPr="001B2746">
        <w:rPr>
          <w:rFonts w:ascii="Bookman Old Style" w:hAnsi="Bookman Old Style"/>
          <w:szCs w:val="24"/>
        </w:rPr>
        <w:t xml:space="preserve"> que “el régimen de tarifas procurará que éstas se aproximen a lo que serían los precios de un mercado competitivo”, así como que “las fórmulas tarifarias no pueden trasladar a los usuarios los costos de una gestión ineficiente”. Adicionalmente, de acuerdo con lo previsto </w:t>
      </w:r>
      <w:r w:rsidR="002B4D42">
        <w:rPr>
          <w:rFonts w:ascii="Bookman Old Style" w:hAnsi="Bookman Old Style"/>
          <w:szCs w:val="24"/>
        </w:rPr>
        <w:t xml:space="preserve">en </w:t>
      </w:r>
      <w:r w:rsidRPr="001B2746">
        <w:rPr>
          <w:rFonts w:ascii="Bookman Old Style" w:hAnsi="Bookman Old Style"/>
          <w:szCs w:val="24"/>
        </w:rPr>
        <w:t>la ley, “al definir en las fórmulas los costos y gastos típicos de operación de las empresas de servicios públicos, las comisiones utilizarán no solo la información propia de la empresa, sino la de otras empresas que operen en condiciones similares, pero que sean más eficientes”.</w:t>
      </w:r>
    </w:p>
    <w:p w14:paraId="23012A21" w14:textId="77777777" w:rsidR="001B2746" w:rsidRPr="001B2746" w:rsidRDefault="001B2746" w:rsidP="001B2746">
      <w:pPr>
        <w:pStyle w:val="Textodebloque"/>
        <w:ind w:left="284" w:right="6"/>
        <w:contextualSpacing/>
        <w:rPr>
          <w:rFonts w:ascii="Bookman Old Style" w:hAnsi="Bookman Old Style"/>
          <w:szCs w:val="24"/>
        </w:rPr>
      </w:pPr>
    </w:p>
    <w:p w14:paraId="7EB9FDA1" w14:textId="1036840D" w:rsidR="001B2746" w:rsidRPr="001B2746" w:rsidRDefault="001B2746" w:rsidP="001B2746">
      <w:pPr>
        <w:pStyle w:val="Textodebloque"/>
        <w:ind w:left="284" w:right="6"/>
        <w:contextualSpacing/>
        <w:rPr>
          <w:rFonts w:ascii="Bookman Old Style" w:hAnsi="Bookman Old Style"/>
          <w:szCs w:val="24"/>
        </w:rPr>
      </w:pPr>
      <w:r w:rsidRPr="001B2746">
        <w:rPr>
          <w:rFonts w:ascii="Bookman Old Style" w:hAnsi="Bookman Old Style"/>
          <w:szCs w:val="24"/>
        </w:rPr>
        <w:lastRenderedPageBreak/>
        <w:t>En la medida en que las fórmulas tarifarias y, en consecuencia, los cargos máximos aprobados por esta Comisión</w:t>
      </w:r>
      <w:r w:rsidR="002B4D42">
        <w:rPr>
          <w:rFonts w:ascii="Bookman Old Style" w:hAnsi="Bookman Old Style"/>
          <w:szCs w:val="24"/>
        </w:rPr>
        <w:t>,</w:t>
      </w:r>
      <w:r w:rsidRPr="001B2746">
        <w:rPr>
          <w:rFonts w:ascii="Bookman Old Style" w:hAnsi="Bookman Old Style"/>
          <w:szCs w:val="24"/>
        </w:rPr>
        <w:t xml:space="preserve"> se definen en línea con los criterios tarifarios que establece la misma ley, los cargos que hoy en día se encuentran vigente</w:t>
      </w:r>
      <w:r w:rsidR="008E331A">
        <w:rPr>
          <w:rFonts w:ascii="Bookman Old Style" w:hAnsi="Bookman Old Style"/>
          <w:szCs w:val="24"/>
        </w:rPr>
        <w:t>s</w:t>
      </w:r>
      <w:r w:rsidRPr="001B2746">
        <w:rPr>
          <w:rFonts w:ascii="Bookman Old Style" w:hAnsi="Bookman Old Style"/>
          <w:szCs w:val="24"/>
        </w:rPr>
        <w:t xml:space="preserve"> </w:t>
      </w:r>
      <w:r w:rsidR="00D47542">
        <w:rPr>
          <w:rFonts w:ascii="Bookman Old Style" w:hAnsi="Bookman Old Style"/>
          <w:szCs w:val="24"/>
        </w:rPr>
        <w:t>cuentan con presunción de legalidad</w:t>
      </w:r>
      <w:r w:rsidR="002B4D42">
        <w:rPr>
          <w:rFonts w:ascii="Bookman Old Style" w:hAnsi="Bookman Old Style"/>
          <w:szCs w:val="24"/>
        </w:rPr>
        <w:t>,</w:t>
      </w:r>
      <w:r w:rsidRPr="001B2746">
        <w:rPr>
          <w:rFonts w:ascii="Bookman Old Style" w:hAnsi="Bookman Old Style"/>
          <w:szCs w:val="24"/>
        </w:rPr>
        <w:t xml:space="preserve"> y</w:t>
      </w:r>
      <w:r w:rsidR="00735F1C">
        <w:rPr>
          <w:rFonts w:ascii="Bookman Old Style" w:hAnsi="Bookman Old Style"/>
          <w:szCs w:val="24"/>
        </w:rPr>
        <w:t xml:space="preserve"> </w:t>
      </w:r>
      <w:r w:rsidRPr="001B2746">
        <w:rPr>
          <w:rFonts w:ascii="Bookman Old Style" w:hAnsi="Bookman Old Style"/>
          <w:szCs w:val="24"/>
        </w:rPr>
        <w:t>los costos de referencia allí utilizados cumplen, entre otros, con los criterios de eficiencia económica, se aproximan a lo que serían los precios de un mercado competitivo</w:t>
      </w:r>
      <w:r w:rsidR="002B4D42">
        <w:rPr>
          <w:rFonts w:ascii="Bookman Old Style" w:hAnsi="Bookman Old Style"/>
          <w:szCs w:val="24"/>
        </w:rPr>
        <w:t>,</w:t>
      </w:r>
      <w:r w:rsidRPr="001B2746">
        <w:rPr>
          <w:rFonts w:ascii="Bookman Old Style" w:hAnsi="Bookman Old Style"/>
          <w:szCs w:val="24"/>
        </w:rPr>
        <w:t xml:space="preserve"> sin trasladar a los usuarios costos de una gestión ineficiente, y de suficiencia financiera, </w:t>
      </w:r>
      <w:r w:rsidR="002F0957">
        <w:rPr>
          <w:rFonts w:ascii="Bookman Old Style" w:hAnsi="Bookman Old Style"/>
          <w:szCs w:val="24"/>
        </w:rPr>
        <w:t xml:space="preserve">que </w:t>
      </w:r>
      <w:r w:rsidRPr="001B2746">
        <w:rPr>
          <w:rFonts w:ascii="Bookman Old Style" w:hAnsi="Bookman Old Style"/>
          <w:szCs w:val="24"/>
        </w:rPr>
        <w:t>permiten la recuperación de los costos y gastos propios de operación, la expansión, la reposición y el mantenimiento</w:t>
      </w:r>
      <w:r w:rsidR="002B4D42">
        <w:rPr>
          <w:rFonts w:ascii="Bookman Old Style" w:hAnsi="Bookman Old Style"/>
          <w:szCs w:val="24"/>
        </w:rPr>
        <w:t>,</w:t>
      </w:r>
      <w:r w:rsidRPr="001B2746">
        <w:rPr>
          <w:rFonts w:ascii="Bookman Old Style" w:hAnsi="Bookman Old Style"/>
          <w:szCs w:val="24"/>
        </w:rPr>
        <w:t xml:space="preserve"> y permiten remunerar el patrimonio de los accionistas en la misma forma en la que lo habría remunerado una empresa eficiente en un sector de riesgo comparable.</w:t>
      </w:r>
    </w:p>
    <w:p w14:paraId="4043F8A5" w14:textId="77777777" w:rsidR="001B2746" w:rsidRPr="001B2746" w:rsidRDefault="001B2746" w:rsidP="001B2746">
      <w:pPr>
        <w:pStyle w:val="Textodebloque"/>
        <w:ind w:left="284" w:right="6"/>
        <w:contextualSpacing/>
        <w:rPr>
          <w:rFonts w:ascii="Bookman Old Style" w:hAnsi="Bookman Old Style"/>
          <w:szCs w:val="24"/>
        </w:rPr>
      </w:pPr>
    </w:p>
    <w:p w14:paraId="36E52BA8" w14:textId="6C43043E" w:rsidR="001B2746" w:rsidRPr="001B2746" w:rsidRDefault="001B2746" w:rsidP="00492229">
      <w:pPr>
        <w:pStyle w:val="Textodebloque"/>
        <w:ind w:left="284" w:right="6"/>
        <w:contextualSpacing/>
        <w:rPr>
          <w:rFonts w:ascii="Bookman Old Style" w:hAnsi="Bookman Old Style"/>
          <w:szCs w:val="24"/>
        </w:rPr>
      </w:pPr>
      <w:r w:rsidRPr="001B2746">
        <w:rPr>
          <w:rFonts w:ascii="Bookman Old Style" w:hAnsi="Bookman Old Style"/>
          <w:szCs w:val="24"/>
        </w:rPr>
        <w:t xml:space="preserve">Esta Comisión no hizo caso omiso de los soportes económicos que se enviaron para justificar gastos de inversión, por lo cual es importante aclarar que la exclusión de las actividades </w:t>
      </w:r>
      <w:r w:rsidRPr="00132F2C">
        <w:rPr>
          <w:rFonts w:ascii="Bookman Old Style" w:hAnsi="Bookman Old Style"/>
          <w:szCs w:val="24"/>
        </w:rPr>
        <w:t xml:space="preserve">catalogadas como </w:t>
      </w:r>
      <w:r w:rsidR="009220B0">
        <w:rPr>
          <w:rFonts w:ascii="Bookman Old Style" w:hAnsi="Bookman Old Style"/>
          <w:szCs w:val="24"/>
        </w:rPr>
        <w:t>“</w:t>
      </w:r>
      <w:r w:rsidRPr="00132F2C">
        <w:rPr>
          <w:rFonts w:ascii="Bookman Old Style" w:hAnsi="Bookman Old Style"/>
          <w:szCs w:val="24"/>
        </w:rPr>
        <w:t>NO RECONOCIDAS</w:t>
      </w:r>
      <w:r w:rsidR="009220B0">
        <w:rPr>
          <w:rFonts w:ascii="Bookman Old Style" w:hAnsi="Bookman Old Style"/>
          <w:szCs w:val="24"/>
        </w:rPr>
        <w:t>”</w:t>
      </w:r>
      <w:r w:rsidRPr="00132F2C">
        <w:rPr>
          <w:rFonts w:ascii="Bookman Old Style" w:hAnsi="Bookman Old Style"/>
          <w:szCs w:val="24"/>
        </w:rPr>
        <w:t xml:space="preserve"> obedecen</w:t>
      </w:r>
      <w:r w:rsidRPr="001B2746">
        <w:rPr>
          <w:rFonts w:ascii="Bookman Old Style" w:hAnsi="Bookman Old Style"/>
          <w:szCs w:val="24"/>
        </w:rPr>
        <w:t xml:space="preserve"> a la metodología tarifaria, en la que dichos gastos no son reconocidos como costos eficientes de la generación de energía eléctrica.</w:t>
      </w:r>
    </w:p>
    <w:p w14:paraId="6C1C1330" w14:textId="7944EC2A" w:rsidR="00F0103D" w:rsidRDefault="009579C8" w:rsidP="00F0103D">
      <w:pPr>
        <w:ind w:left="284"/>
        <w:jc w:val="both"/>
        <w:rPr>
          <w:rFonts w:ascii="Bookman Old Style" w:hAnsi="Bookman Old Style"/>
        </w:rPr>
      </w:pPr>
      <w:r>
        <w:rPr>
          <w:rFonts w:ascii="Bookman Old Style" w:hAnsi="Bookman Old Style"/>
        </w:rPr>
        <w:t xml:space="preserve">Dentro de la revisión de </w:t>
      </w:r>
      <w:r w:rsidR="001B2746" w:rsidRPr="001B2746">
        <w:rPr>
          <w:rFonts w:ascii="Bookman Old Style" w:hAnsi="Bookman Old Style"/>
        </w:rPr>
        <w:t xml:space="preserve">costos presentados por REFOENERGY, se relacionan una serie de conceptos que exceden los niveles eficientes de referencia adoptados por esta Comisión, al decidir en otras solicitudes de similar naturaleza. En particular, sobre </w:t>
      </w:r>
      <w:r w:rsidR="00D10057">
        <w:rPr>
          <w:rFonts w:ascii="Bookman Old Style" w:hAnsi="Bookman Old Style"/>
        </w:rPr>
        <w:t>las actividades que esta Comisión ha identificado como</w:t>
      </w:r>
      <w:r w:rsidR="001B2746" w:rsidRPr="001B2746">
        <w:rPr>
          <w:rFonts w:ascii="Bookman Old Style" w:hAnsi="Bookman Old Style"/>
        </w:rPr>
        <w:t xml:space="preserve"> </w:t>
      </w:r>
      <w:r w:rsidR="00301C36">
        <w:rPr>
          <w:rFonts w:ascii="Bookman Old Style" w:hAnsi="Bookman Old Style"/>
        </w:rPr>
        <w:t>“</w:t>
      </w:r>
      <w:r w:rsidR="00C95417">
        <w:rPr>
          <w:rFonts w:ascii="Bookman Old Style" w:hAnsi="Bookman Old Style"/>
        </w:rPr>
        <w:t>COSTOS INDIRECTOS</w:t>
      </w:r>
      <w:r w:rsidR="00301C36">
        <w:rPr>
          <w:rFonts w:ascii="Bookman Old Style" w:hAnsi="Bookman Old Style"/>
        </w:rPr>
        <w:t>”</w:t>
      </w:r>
      <w:r w:rsidR="001B2746" w:rsidRPr="001B2746">
        <w:rPr>
          <w:rFonts w:ascii="Bookman Old Style" w:hAnsi="Bookman Old Style"/>
        </w:rPr>
        <w:t>,</w:t>
      </w:r>
      <w:r w:rsidR="00C95417">
        <w:rPr>
          <w:rFonts w:ascii="Bookman Old Style" w:hAnsi="Bookman Old Style"/>
        </w:rPr>
        <w:t xml:space="preserve"> esta clasificación no derivó en que estos fueran excluidos, sino que se acotaron o se limitaron al</w:t>
      </w:r>
      <w:r w:rsidR="001B2746" w:rsidRPr="001B2746">
        <w:rPr>
          <w:rFonts w:ascii="Bookman Old Style" w:hAnsi="Bookman Old Style"/>
        </w:rPr>
        <w:t xml:space="preserve"> nivel de eficiencia equivalente al 10.5% del valor de la inversión, CAPEX, con el cual se identifica que es posible atender una serie de gastos asociados a la etapa preoperativa y de montaje de una planta de generación</w:t>
      </w:r>
      <w:r w:rsidR="00C95417">
        <w:rPr>
          <w:rFonts w:ascii="Bookman Old Style" w:hAnsi="Bookman Old Style"/>
        </w:rPr>
        <w:t>.</w:t>
      </w:r>
    </w:p>
    <w:p w14:paraId="1A082628" w14:textId="45AC7C43" w:rsidR="00C95417" w:rsidRDefault="00C95417" w:rsidP="00F0103D">
      <w:pPr>
        <w:ind w:left="284"/>
        <w:jc w:val="both"/>
        <w:rPr>
          <w:rFonts w:ascii="Bookman Old Style" w:hAnsi="Bookman Old Style"/>
        </w:rPr>
      </w:pPr>
    </w:p>
    <w:p w14:paraId="0527E4DE" w14:textId="3856D151" w:rsidR="00C95417" w:rsidRDefault="00C95417" w:rsidP="00F0103D">
      <w:pPr>
        <w:ind w:left="284"/>
        <w:jc w:val="both"/>
        <w:rPr>
          <w:rFonts w:ascii="Bookman Old Style" w:hAnsi="Bookman Old Style"/>
        </w:rPr>
      </w:pPr>
      <w:r>
        <w:rPr>
          <w:rFonts w:ascii="Bookman Old Style" w:hAnsi="Bookman Old Style"/>
        </w:rPr>
        <w:t>Esta Comisión ha procedido a la revisión de la sol</w:t>
      </w:r>
      <w:r w:rsidR="008E5103">
        <w:rPr>
          <w:rFonts w:ascii="Bookman Old Style" w:hAnsi="Bookman Old Style"/>
        </w:rPr>
        <w:t>i</w:t>
      </w:r>
      <w:r>
        <w:rPr>
          <w:rFonts w:ascii="Bookman Old Style" w:hAnsi="Bookman Old Style"/>
        </w:rPr>
        <w:t>citud de inclusión de las actividades que se soportaron por parte de REFOENERGY</w:t>
      </w:r>
      <w:r w:rsidR="002B4D42">
        <w:rPr>
          <w:rFonts w:ascii="Bookman Old Style" w:hAnsi="Bookman Old Style"/>
        </w:rPr>
        <w:t>,</w:t>
      </w:r>
      <w:r>
        <w:rPr>
          <w:rFonts w:ascii="Bookman Old Style" w:hAnsi="Bookman Old Style"/>
        </w:rPr>
        <w:t xml:space="preserve"> y en lo que tiene que ver con actividades como </w:t>
      </w:r>
      <w:r w:rsidR="008E5103" w:rsidRPr="008E5103">
        <w:rPr>
          <w:rFonts w:ascii="Bookman Old Style" w:hAnsi="Bookman Old Style"/>
        </w:rPr>
        <w:t xml:space="preserve">Proceso de Nacionalización - </w:t>
      </w:r>
      <w:r w:rsidR="008E5103">
        <w:rPr>
          <w:rFonts w:ascii="Bookman Old Style" w:hAnsi="Bookman Old Style"/>
        </w:rPr>
        <w:t>a</w:t>
      </w:r>
      <w:r w:rsidR="008E5103" w:rsidRPr="008E5103">
        <w:rPr>
          <w:rFonts w:ascii="Bookman Old Style" w:hAnsi="Bookman Old Style"/>
        </w:rPr>
        <w:t>genciamiento aduanero</w:t>
      </w:r>
      <w:r w:rsidR="008E5103">
        <w:rPr>
          <w:rFonts w:ascii="Bookman Old Style" w:hAnsi="Bookman Old Style"/>
        </w:rPr>
        <w:t xml:space="preserve"> y pólizas, éstas fueron rec</w:t>
      </w:r>
      <w:r w:rsidR="00972FF6">
        <w:rPr>
          <w:rFonts w:ascii="Bookman Old Style" w:hAnsi="Bookman Old Style"/>
        </w:rPr>
        <w:t>lasificadas</w:t>
      </w:r>
      <w:r w:rsidR="008E5103">
        <w:rPr>
          <w:rFonts w:ascii="Bookman Old Style" w:hAnsi="Bookman Old Style"/>
        </w:rPr>
        <w:t xml:space="preserve"> como actividades de transporte</w:t>
      </w:r>
      <w:r w:rsidR="00972FF6">
        <w:rPr>
          <w:rFonts w:ascii="Bookman Old Style" w:hAnsi="Bookman Old Style"/>
        </w:rPr>
        <w:t xml:space="preserve"> e incluidas como costo de inversión</w:t>
      </w:r>
      <w:r w:rsidR="002B4D42">
        <w:rPr>
          <w:rFonts w:ascii="Bookman Old Style" w:hAnsi="Bookman Old Style"/>
        </w:rPr>
        <w:t>,</w:t>
      </w:r>
      <w:r w:rsidR="00972FF6">
        <w:rPr>
          <w:rFonts w:ascii="Bookman Old Style" w:hAnsi="Bookman Old Style"/>
        </w:rPr>
        <w:t xml:space="preserve"> y no como costo indirecto</w:t>
      </w:r>
      <w:r w:rsidR="008E5103">
        <w:rPr>
          <w:rFonts w:ascii="Bookman Old Style" w:hAnsi="Bookman Old Style"/>
        </w:rPr>
        <w:t>. El detalle de las actividades que fueron reclasif</w:t>
      </w:r>
      <w:r w:rsidR="004C0A31">
        <w:rPr>
          <w:rFonts w:ascii="Bookman Old Style" w:hAnsi="Bookman Old Style"/>
        </w:rPr>
        <w:t>i</w:t>
      </w:r>
      <w:r w:rsidR="008E5103">
        <w:rPr>
          <w:rFonts w:ascii="Bookman Old Style" w:hAnsi="Bookman Old Style"/>
        </w:rPr>
        <w:t>cadas puede observarse en el archivo Excel, Memoria de Cálculo Reposición 501 041, del cual derivan los ajustes en costos de la componente de inversión.</w:t>
      </w:r>
    </w:p>
    <w:p w14:paraId="60541228" w14:textId="14495FFA" w:rsidR="008E5103" w:rsidRDefault="008E5103" w:rsidP="00F0103D">
      <w:pPr>
        <w:ind w:left="284"/>
        <w:jc w:val="both"/>
        <w:rPr>
          <w:rFonts w:ascii="Bookman Old Style" w:hAnsi="Bookman Old Style"/>
        </w:rPr>
      </w:pPr>
    </w:p>
    <w:p w14:paraId="259D49DE" w14:textId="0DEC22E2" w:rsidR="005B31D5" w:rsidRDefault="008E5103" w:rsidP="00F0103D">
      <w:pPr>
        <w:ind w:left="284"/>
        <w:jc w:val="both"/>
        <w:rPr>
          <w:rFonts w:ascii="Bookman Old Style" w:hAnsi="Bookman Old Style"/>
        </w:rPr>
      </w:pPr>
      <w:r>
        <w:rPr>
          <w:rFonts w:ascii="Bookman Old Style" w:hAnsi="Bookman Old Style"/>
        </w:rPr>
        <w:t xml:space="preserve">En lo que respecta </w:t>
      </w:r>
      <w:r w:rsidR="00A06E14">
        <w:rPr>
          <w:rFonts w:ascii="Bookman Old Style" w:hAnsi="Bookman Old Style"/>
        </w:rPr>
        <w:t xml:space="preserve">a los </w:t>
      </w:r>
      <w:r w:rsidR="005B31D5">
        <w:rPr>
          <w:rFonts w:ascii="Bookman Old Style" w:hAnsi="Bookman Old Style"/>
        </w:rPr>
        <w:t xml:space="preserve">radicados </w:t>
      </w:r>
      <w:r w:rsidR="00A06E14">
        <w:rPr>
          <w:rFonts w:ascii="Bookman Old Style" w:hAnsi="Bookman Old Style"/>
        </w:rPr>
        <w:t xml:space="preserve">CREG E-2021-005921, CREG E-2021-013701, CREG E-2021-013766 y </w:t>
      </w:r>
      <w:r w:rsidR="005B31D5">
        <w:rPr>
          <w:rFonts w:ascii="Bookman Old Style" w:hAnsi="Bookman Old Style"/>
        </w:rPr>
        <w:t>CREG E-2021-002120, dentro del archivo Excel “</w:t>
      </w:r>
      <w:r w:rsidR="005B31D5" w:rsidRPr="005B31D5">
        <w:rPr>
          <w:rFonts w:ascii="Bookman Old Style" w:hAnsi="Bookman Old Style"/>
        </w:rPr>
        <w:t xml:space="preserve">Anexo 1 Modelo Financiero Puerto </w:t>
      </w:r>
      <w:proofErr w:type="spellStart"/>
      <w:r w:rsidR="005B31D5" w:rsidRPr="005B31D5">
        <w:rPr>
          <w:rFonts w:ascii="Bookman Old Style" w:hAnsi="Bookman Old Style"/>
        </w:rPr>
        <w:t>Carreño</w:t>
      </w:r>
      <w:proofErr w:type="spellEnd"/>
      <w:r w:rsidR="005B31D5" w:rsidRPr="005B31D5">
        <w:rPr>
          <w:rFonts w:ascii="Bookman Old Style" w:hAnsi="Bookman Old Style"/>
        </w:rPr>
        <w:t xml:space="preserve"> y </w:t>
      </w:r>
      <w:proofErr w:type="spellStart"/>
      <w:r w:rsidR="005B31D5" w:rsidRPr="005B31D5">
        <w:rPr>
          <w:rFonts w:ascii="Bookman Old Style" w:hAnsi="Bookman Old Style"/>
        </w:rPr>
        <w:t>Cálculo</w:t>
      </w:r>
      <w:proofErr w:type="spellEnd"/>
      <w:r w:rsidR="005B31D5" w:rsidRPr="005B31D5">
        <w:rPr>
          <w:rFonts w:ascii="Bookman Old Style" w:hAnsi="Bookman Old Style"/>
        </w:rPr>
        <w:t xml:space="preserve"> Cargo </w:t>
      </w:r>
      <w:proofErr w:type="spellStart"/>
      <w:r w:rsidR="005B31D5" w:rsidRPr="005B31D5">
        <w:rPr>
          <w:rFonts w:ascii="Bookman Old Style" w:hAnsi="Bookman Old Style"/>
        </w:rPr>
        <w:t>Máximo</w:t>
      </w:r>
      <w:proofErr w:type="spellEnd"/>
      <w:r w:rsidR="005B31D5" w:rsidRPr="005B31D5">
        <w:rPr>
          <w:rFonts w:ascii="Bookman Old Style" w:hAnsi="Bookman Old Style"/>
        </w:rPr>
        <w:t xml:space="preserve"> (CREG)</w:t>
      </w:r>
      <w:r w:rsidR="005B31D5">
        <w:rPr>
          <w:rFonts w:ascii="Bookman Old Style" w:hAnsi="Bookman Old Style"/>
        </w:rPr>
        <w:t xml:space="preserve">”, las </w:t>
      </w:r>
      <w:r w:rsidR="00A06E14">
        <w:rPr>
          <w:rFonts w:ascii="Bookman Old Style" w:hAnsi="Bookman Old Style"/>
        </w:rPr>
        <w:t xml:space="preserve">actividades de COMISIONAMIENTO, CELDAS DE MEDIA TENSIÓN y otras </w:t>
      </w:r>
      <w:r w:rsidR="005B31D5">
        <w:rPr>
          <w:rFonts w:ascii="Bookman Old Style" w:hAnsi="Bookman Old Style"/>
        </w:rPr>
        <w:t xml:space="preserve">que REFOENERGY </w:t>
      </w:r>
      <w:r w:rsidR="00A06E14">
        <w:rPr>
          <w:rFonts w:ascii="Bookman Old Style" w:hAnsi="Bookman Old Style"/>
        </w:rPr>
        <w:t>solicita sean reconocidas en el marco de la presente reposición, fueron clasificadas como componentes de la GENERACIÓN DIÉSEL +</w:t>
      </w:r>
      <w:r w:rsidR="008D5F17">
        <w:rPr>
          <w:rFonts w:ascii="Bookman Old Style" w:hAnsi="Bookman Old Style"/>
        </w:rPr>
        <w:t xml:space="preserve"> </w:t>
      </w:r>
      <w:r w:rsidR="00A06E14">
        <w:rPr>
          <w:rFonts w:ascii="Bookman Old Style" w:hAnsi="Bookman Old Style"/>
        </w:rPr>
        <w:t xml:space="preserve">LÍNEA DE CONEXIÓN, en los archivos que hacen parte integral de las respuestas generadas en el proceso de completitud de la información o respuesta a los autos de pruebas de la actuación </w:t>
      </w:r>
      <w:r w:rsidR="00060DA4">
        <w:rPr>
          <w:rFonts w:ascii="Bookman Old Style" w:hAnsi="Bookman Old Style"/>
        </w:rPr>
        <w:t>administrativa</w:t>
      </w:r>
      <w:r w:rsidR="00A06E14">
        <w:rPr>
          <w:rFonts w:ascii="Bookman Old Style" w:hAnsi="Bookman Old Style"/>
        </w:rPr>
        <w:t xml:space="preserve"> del expediente 2021-00109.</w:t>
      </w:r>
    </w:p>
    <w:p w14:paraId="3702EFB3" w14:textId="77777777" w:rsidR="008D5F17" w:rsidRDefault="008D5F17" w:rsidP="00F0103D">
      <w:pPr>
        <w:ind w:left="284"/>
        <w:jc w:val="both"/>
        <w:rPr>
          <w:rFonts w:ascii="Bookman Old Style" w:hAnsi="Bookman Old Style"/>
        </w:rPr>
      </w:pPr>
    </w:p>
    <w:p w14:paraId="68D7C123" w14:textId="06523BB2" w:rsidR="00A06E14" w:rsidRDefault="00060DA4" w:rsidP="00060DA4">
      <w:pPr>
        <w:ind w:left="284"/>
        <w:jc w:val="center"/>
        <w:rPr>
          <w:rFonts w:ascii="Bookman Old Style" w:hAnsi="Bookman Old Style"/>
        </w:rPr>
      </w:pPr>
      <w:r w:rsidRPr="005B31D5">
        <w:rPr>
          <w:rFonts w:ascii="Bookman Old Style" w:hAnsi="Bookman Old Style"/>
          <w:noProof/>
          <w:spacing w:val="-3"/>
          <w:lang w:val="es-ES_tradnl"/>
        </w:rPr>
        <w:lastRenderedPageBreak/>
        <w:drawing>
          <wp:inline distT="0" distB="0" distL="0" distR="0" wp14:anchorId="1BC8C627" wp14:editId="70E17318">
            <wp:extent cx="4065814" cy="203507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86655" cy="2045511"/>
                    </a:xfrm>
                    <a:prstGeom prst="rect">
                      <a:avLst/>
                    </a:prstGeom>
                  </pic:spPr>
                </pic:pic>
              </a:graphicData>
            </a:graphic>
          </wp:inline>
        </w:drawing>
      </w:r>
    </w:p>
    <w:p w14:paraId="0F12B3BC" w14:textId="77777777" w:rsidR="00060DA4" w:rsidRDefault="00060DA4" w:rsidP="00F0103D">
      <w:pPr>
        <w:ind w:left="284"/>
        <w:jc w:val="both"/>
        <w:rPr>
          <w:rFonts w:ascii="Bookman Old Style" w:hAnsi="Bookman Old Style"/>
        </w:rPr>
      </w:pPr>
    </w:p>
    <w:p w14:paraId="04D90499" w14:textId="5695BC74" w:rsidR="001D4A86" w:rsidRDefault="00A06E14" w:rsidP="00F0103D">
      <w:pPr>
        <w:ind w:left="284"/>
        <w:jc w:val="both"/>
        <w:rPr>
          <w:rFonts w:ascii="Bookman Old Style" w:hAnsi="Bookman Old Style"/>
        </w:rPr>
      </w:pPr>
      <w:r>
        <w:rPr>
          <w:rFonts w:ascii="Bookman Old Style" w:hAnsi="Bookman Old Style"/>
        </w:rPr>
        <w:t>De lo anterior, la actividad de “</w:t>
      </w:r>
      <w:r w:rsidRPr="00A06E14">
        <w:rPr>
          <w:rFonts w:ascii="Bookman Old Style" w:hAnsi="Bookman Old Style"/>
        </w:rPr>
        <w:t>Celdas de media tensión (RFB</w:t>
      </w:r>
      <w:r>
        <w:rPr>
          <w:rFonts w:ascii="Bookman Old Style" w:hAnsi="Bookman Old Style"/>
        </w:rPr>
        <w:t>”</w:t>
      </w:r>
      <w:r w:rsidRPr="00A06E14">
        <w:rPr>
          <w:rFonts w:ascii="Bookman Old Style" w:hAnsi="Bookman Old Style"/>
        </w:rPr>
        <w:t>)</w:t>
      </w:r>
      <w:r w:rsidR="00060DA4">
        <w:rPr>
          <w:rFonts w:ascii="Bookman Old Style" w:hAnsi="Bookman Old Style"/>
        </w:rPr>
        <w:t>, fue la única que se reclasificó nuevamente, fundamentado en la revisión de los archivos aportados por REFOENERGY en lo que tiene que ver con los planos de construcción y diagrama unifilar, de los cuales se determinó que estas actividades se encontraban antes de la entrega de energía eléctrica por parte del generador a la red de distribución</w:t>
      </w:r>
      <w:r w:rsidR="008D5F17">
        <w:rPr>
          <w:rFonts w:ascii="Bookman Old Style" w:hAnsi="Bookman Old Style"/>
        </w:rPr>
        <w:t>, sin que fueran tampoco parte de la línea de conexión</w:t>
      </w:r>
      <w:r w:rsidR="00060DA4">
        <w:rPr>
          <w:rFonts w:ascii="Bookman Old Style" w:hAnsi="Bookman Old Style"/>
        </w:rPr>
        <w:t>.</w:t>
      </w:r>
    </w:p>
    <w:p w14:paraId="4089F14A" w14:textId="77777777" w:rsidR="001D4A86" w:rsidRDefault="001D4A86" w:rsidP="00F0103D">
      <w:pPr>
        <w:ind w:left="284"/>
        <w:jc w:val="both"/>
        <w:rPr>
          <w:rFonts w:ascii="Bookman Old Style" w:hAnsi="Bookman Old Style"/>
        </w:rPr>
      </w:pPr>
    </w:p>
    <w:p w14:paraId="7D1452AE" w14:textId="122709E2" w:rsidR="00092BCC" w:rsidRDefault="00060DA4" w:rsidP="00F0103D">
      <w:pPr>
        <w:ind w:left="284"/>
        <w:jc w:val="both"/>
        <w:rPr>
          <w:rFonts w:ascii="Bookman Old Style" w:hAnsi="Bookman Old Style"/>
        </w:rPr>
      </w:pPr>
      <w:r>
        <w:rPr>
          <w:rFonts w:ascii="Bookman Old Style" w:hAnsi="Bookman Old Style"/>
        </w:rPr>
        <w:t>Las demás actividades clasificadas dentro de los componentes Diésel y Línea de Conexión, como se ha señalado en apartes precitados, no pueden ser incluidos dentro de los costos reconocidos del cargo de generación</w:t>
      </w:r>
      <w:r w:rsidR="001D4A86">
        <w:rPr>
          <w:rFonts w:ascii="Bookman Old Style" w:hAnsi="Bookman Old Style"/>
        </w:rPr>
        <w:t xml:space="preserve"> con Biomasa</w:t>
      </w:r>
      <w:r>
        <w:rPr>
          <w:rFonts w:ascii="Bookman Old Style" w:hAnsi="Bookman Old Style"/>
        </w:rPr>
        <w:t xml:space="preserve">, por cuanto </w:t>
      </w:r>
      <w:r w:rsidR="00CA1158">
        <w:rPr>
          <w:rFonts w:ascii="Bookman Old Style" w:hAnsi="Bookman Old Style"/>
        </w:rPr>
        <w:t xml:space="preserve">son reconocidos </w:t>
      </w:r>
      <w:r w:rsidR="0061316B">
        <w:rPr>
          <w:rFonts w:ascii="Bookman Old Style" w:hAnsi="Bookman Old Style"/>
        </w:rPr>
        <w:t>en el cargo de generación diésel previamente establecido en el marco de la metodología tarifaria vigente.</w:t>
      </w:r>
    </w:p>
    <w:p w14:paraId="466903C1" w14:textId="77777777" w:rsidR="00092BCC" w:rsidRDefault="00092BCC" w:rsidP="00F0103D">
      <w:pPr>
        <w:ind w:left="284"/>
        <w:jc w:val="both"/>
        <w:rPr>
          <w:rFonts w:ascii="Bookman Old Style" w:hAnsi="Bookman Old Style"/>
        </w:rPr>
      </w:pPr>
    </w:p>
    <w:p w14:paraId="3BD786DC" w14:textId="172F86A4" w:rsidR="00A06E14" w:rsidRDefault="001D4A86" w:rsidP="00F0103D">
      <w:pPr>
        <w:ind w:left="284"/>
        <w:jc w:val="both"/>
        <w:rPr>
          <w:rFonts w:ascii="Bookman Old Style" w:hAnsi="Bookman Old Style"/>
        </w:rPr>
      </w:pPr>
      <w:r>
        <w:rPr>
          <w:rFonts w:ascii="Bookman Old Style" w:hAnsi="Bookman Old Style"/>
        </w:rPr>
        <w:t>E</w:t>
      </w:r>
      <w:r w:rsidR="00060DA4">
        <w:rPr>
          <w:rFonts w:ascii="Bookman Old Style" w:hAnsi="Bookman Old Style"/>
        </w:rPr>
        <w:t>n lo que respecta a los costos asociados a la línea de conexión, esta Comisión ya inició una actuación de oficio para el reconocimiento de los costos que deben reconocerse en el cargo de distribución</w:t>
      </w:r>
      <w:r w:rsidR="008D5F17">
        <w:rPr>
          <w:rFonts w:ascii="Bookman Old Style" w:hAnsi="Bookman Old Style"/>
        </w:rPr>
        <w:t>, según lo previsto en la Resolución CREG 091 de 2007</w:t>
      </w:r>
      <w:r w:rsidR="00060DA4">
        <w:rPr>
          <w:rFonts w:ascii="Bookman Old Style" w:hAnsi="Bookman Old Style"/>
        </w:rPr>
        <w:t>.</w:t>
      </w:r>
    </w:p>
    <w:p w14:paraId="7C1D32DA" w14:textId="77777777" w:rsidR="001B2746" w:rsidRPr="001B2746" w:rsidRDefault="001B2746" w:rsidP="004F44AD">
      <w:pPr>
        <w:pStyle w:val="Textodebloque"/>
        <w:ind w:left="0" w:right="6"/>
        <w:contextualSpacing/>
        <w:rPr>
          <w:rFonts w:ascii="Bookman Old Style" w:hAnsi="Bookman Old Style"/>
          <w:szCs w:val="24"/>
        </w:rPr>
      </w:pPr>
    </w:p>
    <w:p w14:paraId="0734E057" w14:textId="75A8CF83" w:rsidR="001B2746" w:rsidRPr="001B2746" w:rsidRDefault="001B2746" w:rsidP="001B2746">
      <w:pPr>
        <w:pStyle w:val="Textodebloque"/>
        <w:ind w:left="284" w:right="6"/>
        <w:contextualSpacing/>
        <w:rPr>
          <w:rFonts w:ascii="Bookman Old Style" w:hAnsi="Bookman Old Style"/>
          <w:szCs w:val="24"/>
        </w:rPr>
      </w:pPr>
      <w:r w:rsidRPr="001B2746">
        <w:rPr>
          <w:rFonts w:ascii="Bookman Old Style" w:hAnsi="Bookman Old Style"/>
          <w:szCs w:val="24"/>
        </w:rPr>
        <w:t xml:space="preserve">Relacionados con las actividades de </w:t>
      </w:r>
      <w:r w:rsidR="008E5103" w:rsidRPr="008E5103">
        <w:rPr>
          <w:rFonts w:ascii="Bookman Old Style" w:hAnsi="Bookman Old Style"/>
          <w:szCs w:val="24"/>
        </w:rPr>
        <w:t>PLIEGOS DE OFERTA, LOTE, SERVICIOS FINANCIEROS</w:t>
      </w:r>
      <w:r w:rsidR="008E5103">
        <w:rPr>
          <w:rFonts w:ascii="Bookman Old Style" w:hAnsi="Bookman Old Style"/>
          <w:szCs w:val="24"/>
        </w:rPr>
        <w:t xml:space="preserve">, </w:t>
      </w:r>
      <w:r w:rsidRPr="001B2746">
        <w:rPr>
          <w:rFonts w:ascii="Bookman Old Style" w:hAnsi="Bookman Old Style"/>
          <w:szCs w:val="24"/>
        </w:rPr>
        <w:t xml:space="preserve">entre otras, se insiste en la concepción de la metodología tarifaria vigente, la cual busca reconocer los costos eficientes de la tecnología implementada, en este caso la generación de energía eléctrica a partir de Biomasa, </w:t>
      </w:r>
      <w:r w:rsidR="00284FF3">
        <w:rPr>
          <w:rFonts w:ascii="Bookman Old Style" w:hAnsi="Bookman Old Style"/>
          <w:szCs w:val="24"/>
        </w:rPr>
        <w:t xml:space="preserve">en donde se reconocen </w:t>
      </w:r>
      <w:r w:rsidR="00284FF3" w:rsidRPr="00284FF3">
        <w:rPr>
          <w:rFonts w:ascii="Bookman Old Style" w:hAnsi="Bookman Old Style"/>
          <w:szCs w:val="24"/>
        </w:rPr>
        <w:t xml:space="preserve">los costos de adquisición, transporte, instalación, diseños, permisos ambientales, almacenamiento de combustible, transformadores elevadores, equipos de telemedida y los necesarios para la </w:t>
      </w:r>
      <w:bookmarkStart w:id="3" w:name="_Hlk118994937"/>
      <w:r w:rsidR="00284FF3" w:rsidRPr="00284FF3">
        <w:rPr>
          <w:rFonts w:ascii="Bookman Old Style" w:hAnsi="Bookman Old Style"/>
          <w:szCs w:val="24"/>
        </w:rPr>
        <w:t>puesta en operación de una central de generación</w:t>
      </w:r>
      <w:bookmarkEnd w:id="3"/>
      <w:r w:rsidRPr="001B2746">
        <w:rPr>
          <w:rFonts w:ascii="Bookman Old Style" w:hAnsi="Bookman Old Style"/>
          <w:szCs w:val="24"/>
        </w:rPr>
        <w:t xml:space="preserve">. Las actividades </w:t>
      </w:r>
      <w:r w:rsidR="00284FF3">
        <w:rPr>
          <w:rFonts w:ascii="Bookman Old Style" w:hAnsi="Bookman Old Style"/>
          <w:szCs w:val="24"/>
        </w:rPr>
        <w:t xml:space="preserve">relacionadas </w:t>
      </w:r>
      <w:r w:rsidRPr="001B2746">
        <w:rPr>
          <w:rFonts w:ascii="Bookman Old Style" w:hAnsi="Bookman Old Style"/>
          <w:szCs w:val="24"/>
        </w:rPr>
        <w:t xml:space="preserve">por REFOENERGY en el presente </w:t>
      </w:r>
      <w:r w:rsidR="00A519AA">
        <w:rPr>
          <w:rFonts w:ascii="Bookman Old Style" w:hAnsi="Bookman Old Style"/>
          <w:szCs w:val="24"/>
        </w:rPr>
        <w:t>punto</w:t>
      </w:r>
      <w:r w:rsidR="00284FF3">
        <w:rPr>
          <w:rFonts w:ascii="Bookman Old Style" w:hAnsi="Bookman Old Style"/>
          <w:szCs w:val="24"/>
        </w:rPr>
        <w:t xml:space="preserve"> para ser consideradas como mayor valor de la inversión</w:t>
      </w:r>
      <w:r w:rsidRPr="001B2746">
        <w:rPr>
          <w:rFonts w:ascii="Bookman Old Style" w:hAnsi="Bookman Old Style"/>
          <w:szCs w:val="24"/>
        </w:rPr>
        <w:t>, no son reconocidas en el marco de la metodología tarifaria vigente</w:t>
      </w:r>
      <w:r w:rsidR="002B4D42">
        <w:rPr>
          <w:rFonts w:ascii="Bookman Old Style" w:hAnsi="Bookman Old Style"/>
          <w:szCs w:val="24"/>
        </w:rPr>
        <w:t>,</w:t>
      </w:r>
      <w:r w:rsidR="00284FF3">
        <w:rPr>
          <w:rFonts w:ascii="Bookman Old Style" w:hAnsi="Bookman Old Style"/>
          <w:szCs w:val="24"/>
        </w:rPr>
        <w:t xml:space="preserve"> porque no guardan relación directa con la puesta en operación </w:t>
      </w:r>
      <w:r w:rsidR="00284FF3" w:rsidRPr="00284FF3">
        <w:rPr>
          <w:rFonts w:ascii="Bookman Old Style" w:hAnsi="Bookman Old Style"/>
          <w:szCs w:val="24"/>
        </w:rPr>
        <w:t>de una central de generación</w:t>
      </w:r>
      <w:r w:rsidRPr="001B2746">
        <w:rPr>
          <w:rFonts w:ascii="Bookman Old Style" w:hAnsi="Bookman Old Style"/>
          <w:szCs w:val="24"/>
        </w:rPr>
        <w:t>.</w:t>
      </w:r>
    </w:p>
    <w:p w14:paraId="128F28EC" w14:textId="77777777" w:rsidR="001B2746" w:rsidRPr="001B2746" w:rsidRDefault="001B2746" w:rsidP="001B2746">
      <w:pPr>
        <w:pStyle w:val="Textodebloque"/>
        <w:ind w:left="284" w:right="6"/>
        <w:contextualSpacing/>
        <w:rPr>
          <w:rFonts w:ascii="Bookman Old Style" w:hAnsi="Bookman Old Style"/>
          <w:szCs w:val="24"/>
        </w:rPr>
      </w:pPr>
    </w:p>
    <w:p w14:paraId="1921ABDF" w14:textId="7EB2E556" w:rsidR="001B2746" w:rsidRPr="001B2746" w:rsidRDefault="008E5103" w:rsidP="001B2746">
      <w:pPr>
        <w:pStyle w:val="Textodebloque"/>
        <w:ind w:left="284" w:right="6"/>
        <w:contextualSpacing/>
        <w:rPr>
          <w:rFonts w:ascii="Bookman Old Style" w:hAnsi="Bookman Old Style"/>
          <w:szCs w:val="24"/>
        </w:rPr>
      </w:pPr>
      <w:r>
        <w:rPr>
          <w:rFonts w:ascii="Bookman Old Style" w:hAnsi="Bookman Old Style"/>
          <w:szCs w:val="24"/>
        </w:rPr>
        <w:t xml:space="preserve">En lo que tiene que ver con el servicio de la deuda, este costo </w:t>
      </w:r>
      <w:r w:rsidR="000159C0">
        <w:rPr>
          <w:rFonts w:ascii="Bookman Old Style" w:hAnsi="Bookman Old Style"/>
          <w:szCs w:val="24"/>
        </w:rPr>
        <w:t xml:space="preserve">se reconoce y </w:t>
      </w:r>
      <w:r>
        <w:rPr>
          <w:rFonts w:ascii="Bookman Old Style" w:hAnsi="Bookman Old Style"/>
          <w:szCs w:val="24"/>
        </w:rPr>
        <w:t>se circunscribe a la tasa de descuento incluida en el modelo de cálculo y fundamentada en lo di</w:t>
      </w:r>
      <w:r w:rsidR="00060DA4">
        <w:rPr>
          <w:rFonts w:ascii="Bookman Old Style" w:hAnsi="Bookman Old Style"/>
          <w:szCs w:val="24"/>
        </w:rPr>
        <w:t>s</w:t>
      </w:r>
      <w:r>
        <w:rPr>
          <w:rFonts w:ascii="Bookman Old Style" w:hAnsi="Bookman Old Style"/>
          <w:szCs w:val="24"/>
        </w:rPr>
        <w:t>puesto en la metodología tarifaria vigente de la Resolución 091 de 2007. Respecto</w:t>
      </w:r>
      <w:r w:rsidR="001B2746" w:rsidRPr="001B2746">
        <w:rPr>
          <w:rFonts w:ascii="Bookman Old Style" w:hAnsi="Bookman Old Style"/>
          <w:szCs w:val="24"/>
        </w:rPr>
        <w:t xml:space="preserve"> a los repuestos, tal y como se justificó dentro de la memoria de cálculo, este concepto fue anualizado e incluido en los gastos </w:t>
      </w:r>
      <w:r w:rsidR="001B2746" w:rsidRPr="001B2746">
        <w:rPr>
          <w:rFonts w:ascii="Bookman Old Style" w:hAnsi="Bookman Old Style"/>
          <w:szCs w:val="24"/>
        </w:rPr>
        <w:lastRenderedPageBreak/>
        <w:t xml:space="preserve">de </w:t>
      </w:r>
      <w:r w:rsidR="000159C0">
        <w:rPr>
          <w:rFonts w:ascii="Bookman Old Style" w:hAnsi="Bookman Old Style"/>
          <w:szCs w:val="24"/>
        </w:rPr>
        <w:t>m</w:t>
      </w:r>
      <w:r w:rsidR="001B2746" w:rsidRPr="001B2746">
        <w:rPr>
          <w:rFonts w:ascii="Bookman Old Style" w:hAnsi="Bookman Old Style"/>
          <w:szCs w:val="24"/>
        </w:rPr>
        <w:t>antenimiento</w:t>
      </w:r>
      <w:r w:rsidR="002B4D42">
        <w:rPr>
          <w:rFonts w:ascii="Bookman Old Style" w:hAnsi="Bookman Old Style"/>
          <w:szCs w:val="24"/>
        </w:rPr>
        <w:t>,</w:t>
      </w:r>
      <w:r w:rsidR="001B2746" w:rsidRPr="001B2746">
        <w:rPr>
          <w:rFonts w:ascii="Bookman Old Style" w:hAnsi="Bookman Old Style"/>
          <w:szCs w:val="24"/>
        </w:rPr>
        <w:t xml:space="preserve"> y no en la componente de inversión</w:t>
      </w:r>
      <w:r w:rsidR="002B4D42">
        <w:rPr>
          <w:rFonts w:ascii="Bookman Old Style" w:hAnsi="Bookman Old Style"/>
          <w:szCs w:val="24"/>
        </w:rPr>
        <w:t>,</w:t>
      </w:r>
      <w:r w:rsidR="001B2746" w:rsidRPr="001B2746">
        <w:rPr>
          <w:rFonts w:ascii="Bookman Old Style" w:hAnsi="Bookman Old Style"/>
          <w:szCs w:val="24"/>
        </w:rPr>
        <w:t xml:space="preserve"> como fue incluido por REFOENERGY.</w:t>
      </w:r>
    </w:p>
    <w:p w14:paraId="3BCB3E16" w14:textId="77777777" w:rsidR="001B2746" w:rsidRPr="001B2746" w:rsidRDefault="001B2746" w:rsidP="001B2746">
      <w:pPr>
        <w:pStyle w:val="Textodebloque"/>
        <w:ind w:left="284" w:right="6"/>
        <w:contextualSpacing/>
        <w:rPr>
          <w:rFonts w:ascii="Bookman Old Style" w:hAnsi="Bookman Old Style"/>
          <w:szCs w:val="24"/>
        </w:rPr>
      </w:pPr>
    </w:p>
    <w:p w14:paraId="7F19B50B" w14:textId="1FF6FF60" w:rsidR="001B2746" w:rsidRPr="001B2746" w:rsidRDefault="001B2746" w:rsidP="001B2746">
      <w:pPr>
        <w:pStyle w:val="Textodebloque"/>
        <w:ind w:left="284" w:right="6"/>
        <w:contextualSpacing/>
        <w:rPr>
          <w:rFonts w:ascii="Bookman Old Style" w:hAnsi="Bookman Old Style"/>
          <w:szCs w:val="24"/>
        </w:rPr>
      </w:pPr>
      <w:r w:rsidRPr="001B2746">
        <w:rPr>
          <w:rFonts w:ascii="Bookman Old Style" w:hAnsi="Bookman Old Style"/>
          <w:szCs w:val="24"/>
        </w:rPr>
        <w:t>Esta Comisión encuentra necesario r</w:t>
      </w:r>
      <w:r w:rsidR="009A4EE1">
        <w:rPr>
          <w:rFonts w:ascii="Bookman Old Style" w:hAnsi="Bookman Old Style"/>
          <w:szCs w:val="24"/>
        </w:rPr>
        <w:t>ecalcar</w:t>
      </w:r>
      <w:r w:rsidRPr="001B2746">
        <w:rPr>
          <w:rFonts w:ascii="Bookman Old Style" w:hAnsi="Bookman Old Style"/>
          <w:szCs w:val="24"/>
        </w:rPr>
        <w:t xml:space="preserve"> que el desarrollo de las actividades de prestación del servicio, entre las que se cuenta la de generación de energía eléctrica, son adelantadas por cuenta y riesgo de las empresas y, en ese sentido, es el prestador del servicio, a partir de la señal de remuneración definida por esta Comisión al establecer los cargos máximos de generación trasladables al usuario, quien identifica y selecciona la mejor forma de adelantar la construcción, instalación y operación de una central de generación y, en consecuencia, cómo se distribuye la remuneración del componente de inversiones, en el cual se remunera el capital propio, entre quienes hayan participado, sea que todo fue acometido directamente por el prestador del servicio</w:t>
      </w:r>
      <w:r w:rsidR="002B4D42">
        <w:rPr>
          <w:rFonts w:ascii="Bookman Old Style" w:hAnsi="Bookman Old Style"/>
          <w:szCs w:val="24"/>
        </w:rPr>
        <w:t>,</w:t>
      </w:r>
      <w:r w:rsidRPr="001B2746">
        <w:rPr>
          <w:rFonts w:ascii="Bookman Old Style" w:hAnsi="Bookman Old Style"/>
          <w:szCs w:val="24"/>
        </w:rPr>
        <w:t xml:space="preserve"> o se valió de la ayuda de terceros para estructurar un proyecto</w:t>
      </w:r>
      <w:r w:rsidR="002B4D42">
        <w:rPr>
          <w:rFonts w:ascii="Bookman Old Style" w:hAnsi="Bookman Old Style"/>
          <w:szCs w:val="24"/>
        </w:rPr>
        <w:t>,</w:t>
      </w:r>
      <w:r w:rsidRPr="001B2746">
        <w:rPr>
          <w:rFonts w:ascii="Bookman Old Style" w:hAnsi="Bookman Old Style"/>
          <w:szCs w:val="24"/>
        </w:rPr>
        <w:t xml:space="preserve"> o haya implementado otro tipo de esquemas de vinculación de capital.</w:t>
      </w:r>
    </w:p>
    <w:p w14:paraId="18436C25" w14:textId="77777777" w:rsidR="001B2746" w:rsidRPr="001B2746" w:rsidRDefault="001B2746" w:rsidP="001B2746">
      <w:pPr>
        <w:pStyle w:val="Textodebloque"/>
        <w:ind w:left="284" w:right="6"/>
        <w:contextualSpacing/>
        <w:rPr>
          <w:rFonts w:ascii="Bookman Old Style" w:hAnsi="Bookman Old Style"/>
          <w:szCs w:val="24"/>
        </w:rPr>
      </w:pPr>
    </w:p>
    <w:p w14:paraId="6D9898BC" w14:textId="2FAE091E" w:rsidR="001B2746" w:rsidRPr="001B2746" w:rsidRDefault="001B2746" w:rsidP="001B2746">
      <w:pPr>
        <w:pStyle w:val="Textodebloque"/>
        <w:ind w:left="284" w:right="6"/>
        <w:contextualSpacing/>
        <w:rPr>
          <w:rFonts w:ascii="Bookman Old Style" w:hAnsi="Bookman Old Style"/>
          <w:szCs w:val="24"/>
        </w:rPr>
      </w:pPr>
      <w:r w:rsidRPr="001B2746">
        <w:rPr>
          <w:rFonts w:ascii="Bookman Old Style" w:hAnsi="Bookman Old Style"/>
          <w:szCs w:val="24"/>
        </w:rPr>
        <w:t>En lo que respecta a las razones por la cuales esta Comisión debería reconocer ciertos costos que la UPME estima viables, cabe aclarar que los fines de la UPME en el reconocimiento de estas actividades las considera para lo de su competencia</w:t>
      </w:r>
      <w:r w:rsidR="002B4D42">
        <w:rPr>
          <w:rFonts w:ascii="Bookman Old Style" w:hAnsi="Bookman Old Style"/>
          <w:szCs w:val="24"/>
        </w:rPr>
        <w:t>,</w:t>
      </w:r>
      <w:r w:rsidRPr="001B2746">
        <w:rPr>
          <w:rFonts w:ascii="Bookman Old Style" w:hAnsi="Bookman Old Style"/>
          <w:szCs w:val="24"/>
        </w:rPr>
        <w:t xml:space="preserve"> y </w:t>
      </w:r>
      <w:r w:rsidR="00C652C3">
        <w:rPr>
          <w:rFonts w:ascii="Bookman Old Style" w:hAnsi="Bookman Old Style"/>
          <w:szCs w:val="24"/>
        </w:rPr>
        <w:t xml:space="preserve">en el caso argumentado por REFOENERGY, están </w:t>
      </w:r>
      <w:r w:rsidRPr="001B2746">
        <w:rPr>
          <w:rFonts w:ascii="Bookman Old Style" w:hAnsi="Bookman Old Style"/>
          <w:szCs w:val="24"/>
        </w:rPr>
        <w:t>encaminadas al reconocimiento de beneficios tributarios</w:t>
      </w:r>
      <w:r w:rsidR="002B4D42">
        <w:rPr>
          <w:rFonts w:ascii="Bookman Old Style" w:hAnsi="Bookman Old Style"/>
          <w:szCs w:val="24"/>
        </w:rPr>
        <w:t>,</w:t>
      </w:r>
      <w:r w:rsidRPr="001B2746">
        <w:rPr>
          <w:rFonts w:ascii="Bookman Old Style" w:hAnsi="Bookman Old Style"/>
          <w:szCs w:val="24"/>
        </w:rPr>
        <w:t xml:space="preserve"> </w:t>
      </w:r>
      <w:r w:rsidR="00F45935">
        <w:rPr>
          <w:rFonts w:ascii="Bookman Old Style" w:hAnsi="Bookman Old Style"/>
          <w:szCs w:val="24"/>
        </w:rPr>
        <w:t xml:space="preserve">y </w:t>
      </w:r>
      <w:r w:rsidRPr="001B2746">
        <w:rPr>
          <w:rFonts w:ascii="Bookman Old Style" w:hAnsi="Bookman Old Style"/>
          <w:szCs w:val="24"/>
        </w:rPr>
        <w:t>no dentro del proceso metodológico de tarifas en energía eléctrica. La CREG ha definido los cargos para Carreño atendiendo los principios tarifarios de Ley, así como el marco tarifario vigente.</w:t>
      </w:r>
    </w:p>
    <w:p w14:paraId="12286793" w14:textId="77777777" w:rsidR="001B2746" w:rsidRPr="001B2746" w:rsidRDefault="001B2746" w:rsidP="001B2746">
      <w:pPr>
        <w:pStyle w:val="Textodebloque"/>
        <w:ind w:left="284" w:right="6"/>
        <w:contextualSpacing/>
        <w:rPr>
          <w:rFonts w:ascii="Bookman Old Style" w:hAnsi="Bookman Old Style"/>
          <w:szCs w:val="24"/>
        </w:rPr>
      </w:pPr>
    </w:p>
    <w:p w14:paraId="160C3047" w14:textId="42A07E58" w:rsidR="00E75716" w:rsidRDefault="001B2746" w:rsidP="001B2746">
      <w:pPr>
        <w:pStyle w:val="Textodebloque"/>
        <w:ind w:left="284" w:right="6"/>
        <w:contextualSpacing/>
        <w:rPr>
          <w:rFonts w:ascii="Bookman Old Style" w:hAnsi="Bookman Old Style"/>
          <w:szCs w:val="24"/>
        </w:rPr>
      </w:pPr>
      <w:r w:rsidRPr="001B2746">
        <w:rPr>
          <w:rFonts w:ascii="Bookman Old Style" w:hAnsi="Bookman Old Style"/>
          <w:szCs w:val="24"/>
        </w:rPr>
        <w:t>Según lo expuesto</w:t>
      </w:r>
      <w:r w:rsidR="002B4D42">
        <w:rPr>
          <w:rFonts w:ascii="Bookman Old Style" w:hAnsi="Bookman Old Style"/>
          <w:szCs w:val="24"/>
        </w:rPr>
        <w:t>,</w:t>
      </w:r>
      <w:r w:rsidRPr="001B2746">
        <w:rPr>
          <w:rFonts w:ascii="Bookman Old Style" w:hAnsi="Bookman Old Style"/>
          <w:szCs w:val="24"/>
        </w:rPr>
        <w:t xml:space="preserve"> y después de revisadas actividades solicitadas para reconocimiento como costos eficientes de la componente de inversión, esta Comisión </w:t>
      </w:r>
      <w:r w:rsidR="00105A55">
        <w:rPr>
          <w:rFonts w:ascii="Bookman Old Style" w:hAnsi="Bookman Old Style"/>
          <w:szCs w:val="24"/>
        </w:rPr>
        <w:t xml:space="preserve">encuentra que </w:t>
      </w:r>
      <w:r w:rsidRPr="001B2746">
        <w:rPr>
          <w:rFonts w:ascii="Bookman Old Style" w:hAnsi="Bookman Old Style"/>
          <w:szCs w:val="24"/>
        </w:rPr>
        <w:t>no es procedente la solicitud de REFOENERGY, en el sentido de revisar el valor que se descuenta de las inversiones por este concepto.</w:t>
      </w:r>
    </w:p>
    <w:p w14:paraId="1C340A6B" w14:textId="13805954" w:rsidR="001B2746" w:rsidRDefault="001B2746" w:rsidP="001B2746">
      <w:pPr>
        <w:pStyle w:val="Textodebloque"/>
        <w:ind w:left="284" w:right="6"/>
        <w:contextualSpacing/>
        <w:rPr>
          <w:rFonts w:ascii="Bookman Old Style" w:hAnsi="Bookman Old Style"/>
          <w:szCs w:val="24"/>
        </w:rPr>
      </w:pPr>
    </w:p>
    <w:p w14:paraId="3DEFB6AB" w14:textId="60FD50B2" w:rsidR="001B2746" w:rsidRPr="00881F23" w:rsidRDefault="00881F23" w:rsidP="001B2746">
      <w:pPr>
        <w:pStyle w:val="Textodebloque"/>
        <w:ind w:left="284" w:right="6"/>
        <w:contextualSpacing/>
        <w:rPr>
          <w:rFonts w:ascii="Bookman Old Style" w:hAnsi="Bookman Old Style"/>
          <w:b/>
          <w:i/>
          <w:szCs w:val="24"/>
        </w:rPr>
      </w:pPr>
      <w:r w:rsidRPr="00881F23">
        <w:rPr>
          <w:rFonts w:ascii="Bookman Old Style" w:hAnsi="Bookman Old Style"/>
          <w:b/>
          <w:i/>
          <w:szCs w:val="24"/>
        </w:rPr>
        <w:t>3.3. COSTO FINANCIERO</w:t>
      </w:r>
    </w:p>
    <w:p w14:paraId="0C759026" w14:textId="7538C015" w:rsidR="00881F23" w:rsidRPr="003D2A0D" w:rsidRDefault="00881F23" w:rsidP="003D2A0D">
      <w:pPr>
        <w:ind w:left="567"/>
        <w:jc w:val="both"/>
        <w:rPr>
          <w:rFonts w:ascii="Bookman Old Style" w:hAnsi="Bookman Old Style"/>
          <w:i/>
          <w:iCs/>
          <w:sz w:val="22"/>
          <w:szCs w:val="22"/>
        </w:rPr>
      </w:pPr>
      <w:r w:rsidRPr="003D2A0D">
        <w:rPr>
          <w:rFonts w:ascii="Bookman Old Style" w:hAnsi="Bookman Old Style"/>
          <w:i/>
          <w:iCs/>
          <w:sz w:val="22"/>
          <w:szCs w:val="22"/>
        </w:rPr>
        <w:t>“El documento técnico de soporte de la Resolución y que se recurre, (</w:t>
      </w:r>
      <w:proofErr w:type="spellStart"/>
      <w:r w:rsidRPr="003D2A0D">
        <w:rPr>
          <w:rFonts w:ascii="Bookman Old Style" w:hAnsi="Bookman Old Style"/>
          <w:i/>
          <w:iCs/>
          <w:sz w:val="22"/>
          <w:szCs w:val="22"/>
        </w:rPr>
        <w:t>pag</w:t>
      </w:r>
      <w:proofErr w:type="spellEnd"/>
      <w:r w:rsidRPr="003D2A0D">
        <w:rPr>
          <w:rFonts w:ascii="Bookman Old Style" w:hAnsi="Bookman Old Style"/>
          <w:i/>
          <w:iCs/>
          <w:sz w:val="22"/>
          <w:szCs w:val="22"/>
        </w:rPr>
        <w:t xml:space="preserve"> 32), excluye de la remuneración del componente de inversión los valores del costo financiero (servicio de la deuda) a pagar por </w:t>
      </w:r>
      <w:proofErr w:type="spellStart"/>
      <w:r w:rsidRPr="003D2A0D">
        <w:rPr>
          <w:rFonts w:ascii="Bookman Old Style" w:hAnsi="Bookman Old Style"/>
          <w:i/>
          <w:iCs/>
          <w:sz w:val="22"/>
          <w:szCs w:val="22"/>
        </w:rPr>
        <w:t>refoenergy</w:t>
      </w:r>
      <w:proofErr w:type="spellEnd"/>
      <w:r w:rsidRPr="003D2A0D">
        <w:rPr>
          <w:rFonts w:ascii="Bookman Old Style" w:hAnsi="Bookman Old Style"/>
          <w:i/>
          <w:iCs/>
          <w:sz w:val="22"/>
          <w:szCs w:val="22"/>
        </w:rPr>
        <w:t xml:space="preserve"> y decide trasladarlo al cálculo de la tasa de descuento (TD); aplicable a la determinación del cargo máximo para la remuneración de activos de generación Biomasa (</w:t>
      </w:r>
      <w:proofErr w:type="spellStart"/>
      <w:r w:rsidRPr="003D2A0D">
        <w:rPr>
          <w:rFonts w:ascii="Bookman Old Style" w:hAnsi="Bookman Old Style"/>
          <w:i/>
          <w:iCs/>
          <w:sz w:val="22"/>
          <w:szCs w:val="22"/>
        </w:rPr>
        <w:t>pag</w:t>
      </w:r>
      <w:proofErr w:type="spellEnd"/>
      <w:r w:rsidRPr="003D2A0D">
        <w:rPr>
          <w:rFonts w:ascii="Bookman Old Style" w:hAnsi="Bookman Old Style"/>
          <w:i/>
          <w:iCs/>
          <w:sz w:val="22"/>
          <w:szCs w:val="22"/>
        </w:rPr>
        <w:t xml:space="preserve"> 36 a 38). Revisada la Hoja “TD” del archivo Excel anexo al documento técnico de soporte de la Resolución que se recurre, se encuentra que el valor de </w:t>
      </w:r>
      <w:proofErr w:type="spellStart"/>
      <w:r w:rsidRPr="003D2A0D">
        <w:rPr>
          <w:rFonts w:ascii="Bookman Old Style" w:hAnsi="Bookman Old Style"/>
          <w:i/>
          <w:iCs/>
          <w:sz w:val="22"/>
          <w:szCs w:val="22"/>
        </w:rPr>
        <w:t>Kd</w:t>
      </w:r>
      <w:proofErr w:type="spellEnd"/>
      <w:r w:rsidRPr="003D2A0D">
        <w:rPr>
          <w:rFonts w:ascii="Bookman Old Style" w:hAnsi="Bookman Old Style"/>
          <w:i/>
          <w:iCs/>
          <w:sz w:val="22"/>
          <w:szCs w:val="22"/>
        </w:rPr>
        <w:t xml:space="preserve"> es de 9,62%, como un componente fijo incorporado en la determinación del WACC lo cual difiere del valor de tasa de interés pactada en el contrato de crédito (que se remitió e incorporo a este expediente en oportunidad) que es de IBR Trimestral + Spread de 3,750 Puntos Porcentuales, que para marzo-mayo de 2021 era de 5,5672% EA pero con las condiciones económicas del mercado financiero cambiante (durante el tiempo que tomo la CREG para decidir la solicitud de </w:t>
      </w:r>
      <w:proofErr w:type="spellStart"/>
      <w:r w:rsidRPr="003D2A0D">
        <w:rPr>
          <w:rFonts w:ascii="Bookman Old Style" w:hAnsi="Bookman Old Style"/>
          <w:i/>
          <w:iCs/>
          <w:sz w:val="22"/>
          <w:szCs w:val="22"/>
        </w:rPr>
        <w:t>refoenergy</w:t>
      </w:r>
      <w:proofErr w:type="spellEnd"/>
      <w:r w:rsidRPr="003D2A0D">
        <w:rPr>
          <w:rFonts w:ascii="Bookman Old Style" w:hAnsi="Bookman Old Style"/>
          <w:i/>
          <w:iCs/>
          <w:sz w:val="22"/>
          <w:szCs w:val="22"/>
        </w:rPr>
        <w:t>) asociadas, entre otros a la guerra en Ucrania, ha subido al punto que el trimestre agosto septiembre octubre de 2022 equivale a una tasa efectiva anual del 13,2842% EA; lo cual implica que el costo financiero debe ser un componente variable incorporado en la determinación del WACC, y objeto de revisión para actualización del cargo cada vez que se modifique la variable tasa de interés.</w:t>
      </w:r>
    </w:p>
    <w:p w14:paraId="1527BAAE" w14:textId="77777777" w:rsidR="00881F23" w:rsidRPr="003D2A0D" w:rsidRDefault="00881F23" w:rsidP="003D2A0D">
      <w:pPr>
        <w:ind w:left="567"/>
        <w:jc w:val="both"/>
        <w:rPr>
          <w:rFonts w:ascii="Bookman Old Style" w:hAnsi="Bookman Old Style"/>
          <w:i/>
          <w:iCs/>
          <w:sz w:val="22"/>
          <w:szCs w:val="22"/>
        </w:rPr>
      </w:pPr>
    </w:p>
    <w:p w14:paraId="30315385" w14:textId="63A1836D" w:rsidR="00881F23" w:rsidRPr="003D2A0D" w:rsidRDefault="00881F23" w:rsidP="003D2A0D">
      <w:pPr>
        <w:ind w:left="567"/>
        <w:jc w:val="both"/>
        <w:rPr>
          <w:rFonts w:ascii="Bookman Old Style" w:hAnsi="Bookman Old Style"/>
          <w:iCs/>
          <w:sz w:val="22"/>
          <w:szCs w:val="22"/>
        </w:rPr>
      </w:pPr>
      <w:r w:rsidRPr="003D2A0D">
        <w:rPr>
          <w:rFonts w:ascii="Bookman Old Style" w:hAnsi="Bookman Old Style"/>
          <w:i/>
          <w:iCs/>
          <w:sz w:val="22"/>
          <w:szCs w:val="22"/>
        </w:rPr>
        <w:t xml:space="preserve">En consecuencia, para que la determinación del cálculo de la tasa de descuento aplicable al Cargo Máximo de generación Biomasa en la solución hibrida se ajuste a la realidad de la solicitud (debidamente soportada por documentos de crédito ya contratados); en la Hoja “TD” del archivo Excel anexo al documento técnico de </w:t>
      </w:r>
      <w:r w:rsidRPr="003D2A0D">
        <w:rPr>
          <w:rFonts w:ascii="Bookman Old Style" w:hAnsi="Bookman Old Style"/>
          <w:i/>
          <w:iCs/>
          <w:sz w:val="22"/>
          <w:szCs w:val="22"/>
        </w:rPr>
        <w:lastRenderedPageBreak/>
        <w:t>soporte de la Resolución que se recurre se ha ajustado el valor de “</w:t>
      </w:r>
      <w:proofErr w:type="spellStart"/>
      <w:r w:rsidRPr="003D2A0D">
        <w:rPr>
          <w:rFonts w:ascii="Bookman Old Style" w:hAnsi="Bookman Old Style"/>
          <w:i/>
          <w:iCs/>
          <w:sz w:val="22"/>
          <w:szCs w:val="22"/>
        </w:rPr>
        <w:t>Kd</w:t>
      </w:r>
      <w:proofErr w:type="spellEnd"/>
      <w:r w:rsidRPr="003D2A0D">
        <w:rPr>
          <w:rFonts w:ascii="Bookman Old Style" w:hAnsi="Bookman Old Style"/>
          <w:i/>
          <w:iCs/>
          <w:sz w:val="22"/>
          <w:szCs w:val="22"/>
        </w:rPr>
        <w:t xml:space="preserve">” a 13,2842% EA  (ver resaltados en VERDE de la hoja “TD”) con el fin de que sean tenidos en cuenta, como corresponde, en la remuneración de los activos de generación Biomasa de la Planta Hibrida Diesel-Biomasa de </w:t>
      </w:r>
      <w:proofErr w:type="spellStart"/>
      <w:r w:rsidRPr="003D2A0D">
        <w:rPr>
          <w:rFonts w:ascii="Bookman Old Style" w:hAnsi="Bookman Old Style"/>
          <w:i/>
          <w:iCs/>
          <w:sz w:val="22"/>
          <w:szCs w:val="22"/>
        </w:rPr>
        <w:t>Refoenergy</w:t>
      </w:r>
      <w:proofErr w:type="spellEnd"/>
      <w:r w:rsidRPr="003D2A0D">
        <w:rPr>
          <w:rFonts w:ascii="Bookman Old Style" w:hAnsi="Bookman Old Style"/>
          <w:i/>
          <w:iCs/>
          <w:sz w:val="22"/>
          <w:szCs w:val="22"/>
        </w:rPr>
        <w:t xml:space="preserve"> Bita.” </w:t>
      </w:r>
      <w:r w:rsidRPr="003D2A0D">
        <w:rPr>
          <w:rFonts w:ascii="Bookman Old Style" w:hAnsi="Bookman Old Style"/>
          <w:iCs/>
          <w:sz w:val="22"/>
          <w:szCs w:val="22"/>
        </w:rPr>
        <w:t>(…)</w:t>
      </w:r>
    </w:p>
    <w:p w14:paraId="5E75DAF3" w14:textId="77777777" w:rsidR="00C575EB" w:rsidRDefault="00C575EB" w:rsidP="00881F23">
      <w:pPr>
        <w:jc w:val="both"/>
        <w:rPr>
          <w:rFonts w:ascii="Bookman Old Style" w:hAnsi="Bookman Old Style"/>
        </w:rPr>
      </w:pPr>
    </w:p>
    <w:p w14:paraId="0B593090" w14:textId="19CBA164" w:rsidR="00881F23" w:rsidRPr="00881F23" w:rsidRDefault="00881F23" w:rsidP="003D2A0D">
      <w:pPr>
        <w:ind w:left="284"/>
        <w:jc w:val="both"/>
        <w:rPr>
          <w:rFonts w:ascii="Bookman Old Style" w:hAnsi="Bookman Old Style"/>
        </w:rPr>
      </w:pPr>
      <w:r w:rsidRPr="00881F23">
        <w:rPr>
          <w:rFonts w:ascii="Bookman Old Style" w:hAnsi="Bookman Old Style"/>
        </w:rPr>
        <w:t>El esquema de financiación o apalancamiento financiero que decida cada prestador es autónomo</w:t>
      </w:r>
      <w:r w:rsidR="002B4D42">
        <w:rPr>
          <w:rFonts w:ascii="Bookman Old Style" w:hAnsi="Bookman Old Style"/>
        </w:rPr>
        <w:t>. N</w:t>
      </w:r>
      <w:r w:rsidRPr="00881F23">
        <w:rPr>
          <w:rFonts w:ascii="Bookman Old Style" w:hAnsi="Bookman Old Style"/>
        </w:rPr>
        <w:t>o obstante, esta Comisión debe encontrar una medida estandarizada que permita reconocer el costo financiero de la inversión para cualquier prestador interesado en ingresar en determinado mercado.</w:t>
      </w:r>
    </w:p>
    <w:p w14:paraId="77A8CBA4" w14:textId="77777777" w:rsidR="00881F23" w:rsidRPr="00881F23" w:rsidRDefault="00881F23" w:rsidP="003D2A0D">
      <w:pPr>
        <w:ind w:left="284"/>
        <w:jc w:val="both"/>
        <w:rPr>
          <w:rFonts w:ascii="Bookman Old Style" w:hAnsi="Bookman Old Style"/>
        </w:rPr>
      </w:pPr>
    </w:p>
    <w:p w14:paraId="21994FC9" w14:textId="77777777" w:rsidR="00881F23" w:rsidRPr="00881F23" w:rsidRDefault="00881F23" w:rsidP="003D2A0D">
      <w:pPr>
        <w:ind w:left="284"/>
        <w:contextualSpacing/>
        <w:jc w:val="both"/>
        <w:rPr>
          <w:rFonts w:ascii="Bookman Old Style" w:hAnsi="Bookman Old Style" w:cs="Arial"/>
        </w:rPr>
      </w:pPr>
      <w:r w:rsidRPr="00881F23">
        <w:rPr>
          <w:rFonts w:ascii="Bookman Old Style" w:hAnsi="Bookman Old Style" w:cs="Arial"/>
        </w:rPr>
        <w:t>En la Ley 142 de 1994 se tiene previsto:</w:t>
      </w:r>
    </w:p>
    <w:p w14:paraId="11969994" w14:textId="77777777" w:rsidR="00881F23" w:rsidRPr="00881F23" w:rsidRDefault="00881F23" w:rsidP="00881F23">
      <w:pPr>
        <w:contextualSpacing/>
        <w:jc w:val="both"/>
        <w:rPr>
          <w:rFonts w:ascii="Bookman Old Style" w:hAnsi="Bookman Old Style" w:cs="Arial"/>
        </w:rPr>
      </w:pPr>
    </w:p>
    <w:p w14:paraId="598E8826" w14:textId="77777777" w:rsidR="00881F23" w:rsidRPr="009D264F" w:rsidRDefault="00881F23" w:rsidP="00881F23">
      <w:pPr>
        <w:ind w:left="426"/>
        <w:contextualSpacing/>
        <w:jc w:val="both"/>
        <w:rPr>
          <w:rFonts w:ascii="Bookman Old Style" w:hAnsi="Bookman Old Style" w:cs="Arial"/>
          <w:i/>
          <w:iCs/>
          <w:sz w:val="22"/>
          <w:szCs w:val="22"/>
        </w:rPr>
      </w:pPr>
      <w:r w:rsidRPr="009D264F">
        <w:rPr>
          <w:rFonts w:ascii="Bookman Old Style" w:hAnsi="Bookman Old Style" w:cs="Arial"/>
          <w:i/>
          <w:iCs/>
          <w:sz w:val="22"/>
          <w:szCs w:val="22"/>
        </w:rPr>
        <w:t>“</w:t>
      </w:r>
      <w:r w:rsidRPr="00496578">
        <w:rPr>
          <w:rFonts w:ascii="Bookman Old Style" w:hAnsi="Bookman Old Style" w:cs="Arial"/>
          <w:b/>
          <w:bCs/>
          <w:i/>
          <w:iCs/>
          <w:sz w:val="22"/>
          <w:szCs w:val="22"/>
        </w:rPr>
        <w:t>Artículo 87. Criterios para definir el régimen tarifario.</w:t>
      </w:r>
      <w:r w:rsidRPr="009D264F">
        <w:rPr>
          <w:rFonts w:ascii="Bookman Old Style" w:hAnsi="Bookman Old Style" w:cs="Arial"/>
          <w:i/>
          <w:iCs/>
          <w:sz w:val="22"/>
          <w:szCs w:val="22"/>
        </w:rPr>
        <w:t xml:space="preserve"> El régimen tarifario estará orientado por los criterios de eficiencia económica, neutralidad, solidaridad, redistribución, </w:t>
      </w:r>
      <w:r w:rsidRPr="009D264F">
        <w:rPr>
          <w:rFonts w:ascii="Bookman Old Style" w:hAnsi="Bookman Old Style" w:cs="Arial"/>
          <w:i/>
          <w:iCs/>
          <w:sz w:val="22"/>
          <w:szCs w:val="22"/>
          <w:u w:val="single"/>
        </w:rPr>
        <w:t>suficiencia financiera</w:t>
      </w:r>
      <w:r w:rsidRPr="009D264F">
        <w:rPr>
          <w:rFonts w:ascii="Bookman Old Style" w:hAnsi="Bookman Old Style" w:cs="Arial"/>
          <w:i/>
          <w:iCs/>
          <w:sz w:val="22"/>
          <w:szCs w:val="22"/>
        </w:rPr>
        <w:t>, simplicidad y transparencia. (…)</w:t>
      </w:r>
    </w:p>
    <w:p w14:paraId="4C09FB49" w14:textId="77777777" w:rsidR="00881F23" w:rsidRPr="009D264F" w:rsidRDefault="00881F23" w:rsidP="00881F23">
      <w:pPr>
        <w:ind w:left="426"/>
        <w:contextualSpacing/>
        <w:jc w:val="both"/>
        <w:rPr>
          <w:rFonts w:ascii="Bookman Old Style" w:hAnsi="Bookman Old Style" w:cs="Arial"/>
          <w:i/>
          <w:iCs/>
          <w:sz w:val="22"/>
          <w:szCs w:val="22"/>
        </w:rPr>
      </w:pPr>
    </w:p>
    <w:p w14:paraId="35FA056C" w14:textId="3155A98D" w:rsidR="00881F23" w:rsidRPr="009D264F" w:rsidRDefault="00881F23" w:rsidP="00881F23">
      <w:pPr>
        <w:ind w:left="426"/>
        <w:contextualSpacing/>
        <w:jc w:val="both"/>
        <w:rPr>
          <w:rFonts w:ascii="Bookman Old Style" w:hAnsi="Bookman Old Style" w:cs="Arial"/>
          <w:sz w:val="22"/>
          <w:szCs w:val="22"/>
        </w:rPr>
      </w:pPr>
      <w:r w:rsidRPr="009D264F">
        <w:rPr>
          <w:rFonts w:ascii="Bookman Old Style" w:hAnsi="Bookman Old Style" w:cs="Arial"/>
          <w:i/>
          <w:iCs/>
          <w:sz w:val="22"/>
          <w:szCs w:val="22"/>
        </w:rPr>
        <w:t xml:space="preserve">87.4. Por suficiencia financiera se entiende que </w:t>
      </w:r>
      <w:r w:rsidRPr="009D264F">
        <w:rPr>
          <w:rFonts w:ascii="Bookman Old Style" w:hAnsi="Bookman Old Style" w:cs="Arial"/>
          <w:i/>
          <w:iCs/>
          <w:sz w:val="22"/>
          <w:szCs w:val="22"/>
          <w:u w:val="single"/>
        </w:rPr>
        <w:t>las fórmulas de tarifas</w:t>
      </w:r>
      <w:r w:rsidRPr="009D264F">
        <w:rPr>
          <w:rFonts w:ascii="Bookman Old Style" w:hAnsi="Bookman Old Style" w:cs="Arial"/>
          <w:i/>
          <w:iCs/>
          <w:sz w:val="22"/>
          <w:szCs w:val="22"/>
        </w:rPr>
        <w:t xml:space="preserve"> garantizarán la recuperación de los costos y gastos propios de operación, incluyendo la expansión, la reposición y el mantenimiento; </w:t>
      </w:r>
      <w:r w:rsidRPr="009D264F">
        <w:rPr>
          <w:rFonts w:ascii="Bookman Old Style" w:hAnsi="Bookman Old Style" w:cs="Arial"/>
          <w:i/>
          <w:iCs/>
          <w:sz w:val="22"/>
          <w:szCs w:val="22"/>
          <w:u w:val="single"/>
        </w:rPr>
        <w:t>permitirán remunerar el patrimonio de los accionistas en la misma forma en la que lo habría remunerado una empresa eficiente en un sector de riesgo comparable</w:t>
      </w:r>
      <w:r w:rsidRPr="009D264F">
        <w:rPr>
          <w:rFonts w:ascii="Bookman Old Style" w:hAnsi="Bookman Old Style" w:cs="Arial"/>
          <w:i/>
          <w:iCs/>
          <w:sz w:val="22"/>
          <w:szCs w:val="22"/>
        </w:rPr>
        <w:t>; y permitirán utilizar las tecnologías y sistemas administrativos que garanticen la mejor calidad, continuidad y seguridad a sus usuarios</w:t>
      </w:r>
      <w:r w:rsidR="009D264F">
        <w:rPr>
          <w:rFonts w:ascii="Bookman Old Style" w:hAnsi="Bookman Old Style" w:cs="Arial"/>
          <w:i/>
          <w:iCs/>
          <w:sz w:val="22"/>
          <w:szCs w:val="22"/>
        </w:rPr>
        <w:t>.</w:t>
      </w:r>
      <w:r w:rsidRPr="009D264F">
        <w:rPr>
          <w:rFonts w:ascii="Bookman Old Style" w:hAnsi="Bookman Old Style" w:cs="Arial"/>
          <w:i/>
          <w:iCs/>
          <w:sz w:val="22"/>
          <w:szCs w:val="22"/>
        </w:rPr>
        <w:t>”</w:t>
      </w:r>
      <w:r w:rsidRPr="009D264F">
        <w:rPr>
          <w:rFonts w:ascii="Bookman Old Style" w:hAnsi="Bookman Old Style" w:cs="Arial"/>
          <w:sz w:val="22"/>
          <w:szCs w:val="22"/>
        </w:rPr>
        <w:t xml:space="preserve"> </w:t>
      </w:r>
      <w:r w:rsidR="009D264F">
        <w:rPr>
          <w:rFonts w:ascii="Bookman Old Style" w:hAnsi="Bookman Old Style" w:cs="Arial"/>
          <w:sz w:val="22"/>
          <w:szCs w:val="22"/>
        </w:rPr>
        <w:t>S</w:t>
      </w:r>
      <w:r w:rsidRPr="009D264F">
        <w:rPr>
          <w:rFonts w:ascii="Bookman Old Style" w:hAnsi="Bookman Old Style" w:cs="Arial"/>
          <w:sz w:val="22"/>
          <w:szCs w:val="22"/>
        </w:rPr>
        <w:t>ubrayado fuera de texto</w:t>
      </w:r>
    </w:p>
    <w:p w14:paraId="53AEDB45" w14:textId="77777777" w:rsidR="00881F23" w:rsidRPr="00881F23" w:rsidRDefault="00881F23" w:rsidP="00881F23">
      <w:pPr>
        <w:contextualSpacing/>
        <w:jc w:val="both"/>
        <w:rPr>
          <w:rFonts w:ascii="Bookman Old Style" w:hAnsi="Bookman Old Style" w:cs="Arial"/>
        </w:rPr>
      </w:pPr>
    </w:p>
    <w:p w14:paraId="761EDA81" w14:textId="301503F6" w:rsidR="00881F23" w:rsidRPr="00881F23" w:rsidRDefault="00881F23" w:rsidP="006C1658">
      <w:pPr>
        <w:ind w:left="142"/>
        <w:contextualSpacing/>
        <w:jc w:val="both"/>
        <w:rPr>
          <w:rFonts w:ascii="Bookman Old Style" w:hAnsi="Bookman Old Style" w:cs="Arial"/>
        </w:rPr>
      </w:pPr>
      <w:r w:rsidRPr="00881F23">
        <w:rPr>
          <w:rFonts w:ascii="Bookman Old Style" w:hAnsi="Bookman Old Style" w:cs="Arial"/>
        </w:rPr>
        <w:t xml:space="preserve">En ese sentido, en la </w:t>
      </w:r>
      <w:r w:rsidR="00C21506">
        <w:rPr>
          <w:rFonts w:ascii="Bookman Old Style" w:hAnsi="Bookman Old Style" w:cs="Arial"/>
        </w:rPr>
        <w:t>R</w:t>
      </w:r>
      <w:r w:rsidRPr="00881F23">
        <w:rPr>
          <w:rFonts w:ascii="Bookman Old Style" w:hAnsi="Bookman Old Style" w:cs="Arial"/>
        </w:rPr>
        <w:t>esolución CREG 091 de 2007, marco tarifario vigente y bajo el cual debe resolverse la solicitud presentada, se definió:</w:t>
      </w:r>
    </w:p>
    <w:p w14:paraId="18B16B0C" w14:textId="77777777" w:rsidR="00881F23" w:rsidRPr="00881F23" w:rsidRDefault="00881F23" w:rsidP="00881F23">
      <w:pPr>
        <w:contextualSpacing/>
        <w:jc w:val="both"/>
        <w:rPr>
          <w:rFonts w:ascii="Bookman Old Style" w:hAnsi="Bookman Old Style" w:cs="Arial"/>
        </w:rPr>
      </w:pPr>
    </w:p>
    <w:p w14:paraId="6964594A" w14:textId="5B1EB2E0" w:rsidR="00881F23" w:rsidRPr="00C21506" w:rsidRDefault="00881F23" w:rsidP="00E73E51">
      <w:pPr>
        <w:ind w:left="567"/>
        <w:contextualSpacing/>
        <w:jc w:val="both"/>
        <w:rPr>
          <w:rFonts w:ascii="Bookman Old Style" w:hAnsi="Bookman Old Style" w:cs="Arial"/>
          <w:i/>
          <w:iCs/>
          <w:sz w:val="22"/>
          <w:szCs w:val="22"/>
        </w:rPr>
      </w:pPr>
      <w:r w:rsidRPr="00C21506">
        <w:rPr>
          <w:rFonts w:ascii="Bookman Old Style" w:hAnsi="Bookman Old Style" w:cs="Arial"/>
          <w:i/>
          <w:iCs/>
          <w:sz w:val="22"/>
          <w:szCs w:val="22"/>
        </w:rPr>
        <w:t>“</w:t>
      </w:r>
      <w:r w:rsidRPr="00C21506">
        <w:rPr>
          <w:rFonts w:ascii="Bookman Old Style" w:hAnsi="Bookman Old Style" w:cs="Arial"/>
          <w:b/>
          <w:bCs/>
          <w:i/>
          <w:iCs/>
          <w:sz w:val="22"/>
          <w:szCs w:val="22"/>
        </w:rPr>
        <w:t>Artículo 45. Costo de Capital Invertido.</w:t>
      </w:r>
      <w:r w:rsidRPr="00C21506">
        <w:rPr>
          <w:rFonts w:ascii="Bookman Old Style" w:hAnsi="Bookman Old Style" w:cs="Arial"/>
          <w:i/>
          <w:iCs/>
          <w:sz w:val="22"/>
          <w:szCs w:val="22"/>
        </w:rPr>
        <w:t xml:space="preserve"> El costo de capital invertido para remunerar los activos de la actividad de generación y de distribución de energía eléctrica en las ZNI, es de 12,18% en pesos constantes antes de impuestos. </w:t>
      </w:r>
      <w:r w:rsidRPr="00C21506">
        <w:rPr>
          <w:rFonts w:ascii="Bookman Old Style" w:hAnsi="Bookman Old Style" w:cs="Arial"/>
          <w:i/>
          <w:iCs/>
          <w:sz w:val="22"/>
          <w:szCs w:val="22"/>
          <w:u w:val="single"/>
        </w:rPr>
        <w:t>Una vez la Comisión defina el costo de capital invertido para la actividad de distribución de energía eléctrica en el SIN para el próximo período tarifario, podrá ajustar la tasa establecida en este artículo.</w:t>
      </w:r>
    </w:p>
    <w:p w14:paraId="49C252FC" w14:textId="77777777" w:rsidR="00881F23" w:rsidRPr="00C21506" w:rsidRDefault="00881F23" w:rsidP="00E73E51">
      <w:pPr>
        <w:ind w:left="567"/>
        <w:contextualSpacing/>
        <w:jc w:val="both"/>
        <w:rPr>
          <w:rFonts w:ascii="Bookman Old Style" w:hAnsi="Bookman Old Style" w:cs="Arial"/>
          <w:i/>
          <w:iCs/>
          <w:sz w:val="22"/>
          <w:szCs w:val="22"/>
        </w:rPr>
      </w:pPr>
    </w:p>
    <w:p w14:paraId="3EF664FD" w14:textId="4EF2A4F2" w:rsidR="00881F23" w:rsidRPr="00C21506" w:rsidRDefault="00881F23" w:rsidP="00E73E51">
      <w:pPr>
        <w:ind w:left="567"/>
        <w:contextualSpacing/>
        <w:jc w:val="both"/>
        <w:rPr>
          <w:rFonts w:ascii="Bookman Old Style" w:hAnsi="Bookman Old Style" w:cs="Arial"/>
          <w:i/>
          <w:iCs/>
          <w:sz w:val="22"/>
          <w:szCs w:val="22"/>
        </w:rPr>
      </w:pPr>
      <w:r w:rsidRPr="00C21506">
        <w:rPr>
          <w:rFonts w:ascii="Bookman Old Style" w:hAnsi="Bookman Old Style" w:cs="Arial"/>
          <w:i/>
          <w:iCs/>
          <w:sz w:val="22"/>
          <w:szCs w:val="22"/>
        </w:rPr>
        <w:t xml:space="preserve">Parágrafo. </w:t>
      </w:r>
      <w:r w:rsidRPr="00C21506">
        <w:rPr>
          <w:rFonts w:ascii="Bookman Old Style" w:hAnsi="Bookman Old Style" w:cs="Arial"/>
          <w:i/>
          <w:iCs/>
          <w:sz w:val="22"/>
          <w:szCs w:val="22"/>
          <w:u w:val="single"/>
        </w:rPr>
        <w:t>Para el caso en el cual los activos correspondan a tecnologías que utilicen fuentes de energía renovables, se reconocerá una prima de riesgo tecnológico equivalente a 3,5 puntos del costo de capital propio (ke), adicional al costo de capital definido en el presente artículo.</w:t>
      </w:r>
      <w:r w:rsidRPr="00C21506">
        <w:rPr>
          <w:rFonts w:ascii="Bookman Old Style" w:hAnsi="Bookman Old Style" w:cs="Arial"/>
          <w:i/>
          <w:iCs/>
          <w:sz w:val="22"/>
          <w:szCs w:val="22"/>
        </w:rPr>
        <w:t xml:space="preserve"> </w:t>
      </w:r>
      <w:r w:rsidR="00C21506">
        <w:rPr>
          <w:rFonts w:ascii="Bookman Old Style" w:hAnsi="Bookman Old Style" w:cs="Arial"/>
          <w:sz w:val="22"/>
          <w:szCs w:val="22"/>
        </w:rPr>
        <w:t>S</w:t>
      </w:r>
      <w:r w:rsidR="00C21506" w:rsidRPr="009D264F">
        <w:rPr>
          <w:rFonts w:ascii="Bookman Old Style" w:hAnsi="Bookman Old Style" w:cs="Arial"/>
          <w:sz w:val="22"/>
          <w:szCs w:val="22"/>
        </w:rPr>
        <w:t>ubrayado fuera de texto</w:t>
      </w:r>
    </w:p>
    <w:p w14:paraId="0D8D16C7" w14:textId="77777777" w:rsidR="00881F23" w:rsidRPr="00C21506" w:rsidRDefault="00881F23" w:rsidP="00881F23">
      <w:pPr>
        <w:contextualSpacing/>
        <w:jc w:val="both"/>
        <w:rPr>
          <w:rFonts w:ascii="Bookman Old Style" w:hAnsi="Bookman Old Style" w:cs="Arial"/>
          <w:sz w:val="22"/>
          <w:szCs w:val="22"/>
        </w:rPr>
      </w:pPr>
    </w:p>
    <w:p w14:paraId="78AF941A" w14:textId="33FB472E" w:rsidR="00881F23" w:rsidRPr="00881F23" w:rsidRDefault="00881F23" w:rsidP="00E73E51">
      <w:pPr>
        <w:ind w:left="284"/>
        <w:contextualSpacing/>
        <w:jc w:val="both"/>
        <w:rPr>
          <w:rFonts w:ascii="Bookman Old Style" w:hAnsi="Bookman Old Style" w:cs="Arial"/>
        </w:rPr>
      </w:pPr>
      <w:r w:rsidRPr="00881F23">
        <w:rPr>
          <w:rFonts w:ascii="Bookman Old Style" w:hAnsi="Bookman Old Style" w:cs="Arial"/>
        </w:rPr>
        <w:t>En línea con lo anterior</w:t>
      </w:r>
      <w:r w:rsidR="002B4D42">
        <w:rPr>
          <w:rFonts w:ascii="Bookman Old Style" w:hAnsi="Bookman Old Style" w:cs="Arial"/>
        </w:rPr>
        <w:t>,</w:t>
      </w:r>
      <w:r w:rsidRPr="00881F23">
        <w:rPr>
          <w:rFonts w:ascii="Bookman Old Style" w:hAnsi="Bookman Old Style" w:cs="Arial"/>
        </w:rPr>
        <w:t xml:space="preserve"> y según lo explicado en el “ANEXO – CÁLCULO TASA DE DESCUENTO” del </w:t>
      </w:r>
      <w:r w:rsidR="000539E0" w:rsidRPr="00881F23">
        <w:rPr>
          <w:rFonts w:ascii="Bookman Old Style" w:hAnsi="Bookman Old Style" w:cs="Arial"/>
        </w:rPr>
        <w:t xml:space="preserve">Documento CREG </w:t>
      </w:r>
      <w:r w:rsidR="000539E0">
        <w:rPr>
          <w:rFonts w:ascii="Bookman Old Style" w:hAnsi="Bookman Old Style"/>
        </w:rPr>
        <w:t>501 015</w:t>
      </w:r>
      <w:r w:rsidR="000539E0" w:rsidRPr="001B2746">
        <w:rPr>
          <w:rFonts w:ascii="Bookman Old Style" w:hAnsi="Bookman Old Style"/>
        </w:rPr>
        <w:t xml:space="preserve"> </w:t>
      </w:r>
      <w:r w:rsidR="000539E0">
        <w:rPr>
          <w:rFonts w:ascii="Bookman Old Style" w:hAnsi="Bookman Old Style"/>
        </w:rPr>
        <w:t>soporte</w:t>
      </w:r>
      <w:r w:rsidR="000539E0" w:rsidRPr="00881F23">
        <w:rPr>
          <w:rFonts w:ascii="Bookman Old Style" w:hAnsi="Bookman Old Style" w:cs="Arial"/>
        </w:rPr>
        <w:t xml:space="preserve"> de la Resolución CREG 501 059</w:t>
      </w:r>
      <w:r w:rsidRPr="00881F23">
        <w:rPr>
          <w:rFonts w:ascii="Bookman Old Style" w:hAnsi="Bookman Old Style" w:cs="Arial"/>
        </w:rPr>
        <w:t xml:space="preserve">, se parte de la tasa de descuento, definida en resoluciones CREG 016 de 2018, </w:t>
      </w:r>
      <w:r w:rsidRPr="00881F23">
        <w:rPr>
          <w:rFonts w:ascii="Bookman Old Style" w:hAnsi="Bookman Old Style" w:cs="Arial"/>
          <w:i/>
          <w:iCs/>
        </w:rPr>
        <w:t>“Por la cual se define la tasa de retorno para la actividad de distribución de energía eléctrica en el sistema interconectado nacional”</w:t>
      </w:r>
      <w:r w:rsidRPr="00881F23">
        <w:rPr>
          <w:rFonts w:ascii="Bookman Old Style" w:hAnsi="Bookman Old Style" w:cs="Arial"/>
        </w:rPr>
        <w:t xml:space="preserve">, y 015 de 2019, </w:t>
      </w:r>
      <w:r w:rsidRPr="00881F23">
        <w:rPr>
          <w:rFonts w:ascii="Bookman Old Style" w:hAnsi="Bookman Old Style" w:cs="Arial"/>
          <w:i/>
          <w:iCs/>
        </w:rPr>
        <w:t>“Por la cual se modifica la tasa de retorno para la actividad de distribución de energía eléctrica, aprobada en la Resolución CREG 016 de 2018”</w:t>
      </w:r>
      <w:r w:rsidRPr="00881F23">
        <w:rPr>
          <w:rFonts w:ascii="Bookman Old Style" w:hAnsi="Bookman Old Style" w:cs="Arial"/>
        </w:rPr>
        <w:t xml:space="preserve"> y se adicionan los 3,5 puntos al costo del capital propio (ke) al que se refiere el precitado artículo.</w:t>
      </w:r>
    </w:p>
    <w:p w14:paraId="02D1920D" w14:textId="77777777" w:rsidR="00881F23" w:rsidRPr="00881F23" w:rsidRDefault="00881F23" w:rsidP="00E73E51">
      <w:pPr>
        <w:ind w:left="284"/>
        <w:contextualSpacing/>
        <w:jc w:val="both"/>
        <w:rPr>
          <w:rFonts w:ascii="Bookman Old Style" w:hAnsi="Bookman Old Style" w:cs="Arial"/>
        </w:rPr>
      </w:pPr>
    </w:p>
    <w:p w14:paraId="3CDC9FB7" w14:textId="6222E1AB" w:rsidR="00881F23" w:rsidRDefault="00881F23" w:rsidP="00E73E51">
      <w:pPr>
        <w:ind w:left="284"/>
        <w:contextualSpacing/>
        <w:jc w:val="both"/>
        <w:rPr>
          <w:rFonts w:ascii="Bookman Old Style" w:hAnsi="Bookman Old Style" w:cs="Arial"/>
        </w:rPr>
      </w:pPr>
      <w:r w:rsidRPr="00881F23">
        <w:rPr>
          <w:rFonts w:ascii="Bookman Old Style" w:hAnsi="Bookman Old Style" w:cs="Arial"/>
        </w:rPr>
        <w:t>En resumen, la tasa de descuento aplicada para la determinación de los cargos máximos de generación de los que trata la Resolución CREG</w:t>
      </w:r>
      <w:r w:rsidR="00172DAE">
        <w:rPr>
          <w:rFonts w:ascii="Bookman Old Style" w:hAnsi="Bookman Old Style" w:cs="Arial"/>
        </w:rPr>
        <w:t xml:space="preserve"> 501 059</w:t>
      </w:r>
      <w:r w:rsidRPr="00881F23">
        <w:rPr>
          <w:rFonts w:ascii="Bookman Old Style" w:hAnsi="Bookman Old Style" w:cs="Arial"/>
        </w:rPr>
        <w:t xml:space="preserve"> de 202</w:t>
      </w:r>
      <w:r w:rsidR="00172DAE">
        <w:rPr>
          <w:rFonts w:ascii="Bookman Old Style" w:hAnsi="Bookman Old Style" w:cs="Arial"/>
        </w:rPr>
        <w:t>2</w:t>
      </w:r>
      <w:r w:rsidRPr="00881F23">
        <w:rPr>
          <w:rFonts w:ascii="Bookman Old Style" w:hAnsi="Bookman Old Style" w:cs="Arial"/>
        </w:rPr>
        <w:t xml:space="preserve">, corresponde a lo previsto en el marco tarifario vigente para el servicio de </w:t>
      </w:r>
      <w:r w:rsidRPr="00881F23">
        <w:rPr>
          <w:rFonts w:ascii="Bookman Old Style" w:hAnsi="Bookman Old Style" w:cs="Arial"/>
        </w:rPr>
        <w:lastRenderedPageBreak/>
        <w:t>energía eléctrica en las ZNI y, en consecuencia, no son procedentes las modificaciones indicadas en el recurso interpuesto por REFONERGY.</w:t>
      </w:r>
    </w:p>
    <w:p w14:paraId="395D370D" w14:textId="4815D187" w:rsidR="00881F23" w:rsidRDefault="00881F23" w:rsidP="00881F23">
      <w:pPr>
        <w:contextualSpacing/>
        <w:jc w:val="both"/>
        <w:rPr>
          <w:rFonts w:ascii="Bookman Old Style" w:hAnsi="Bookman Old Style" w:cs="Arial"/>
        </w:rPr>
      </w:pPr>
    </w:p>
    <w:p w14:paraId="02489066" w14:textId="77777777" w:rsidR="00881F23" w:rsidRPr="00881F23" w:rsidRDefault="00881F23" w:rsidP="00172DAE">
      <w:pPr>
        <w:ind w:left="567" w:hanging="283"/>
        <w:jc w:val="both"/>
        <w:rPr>
          <w:rFonts w:ascii="Bookman Old Style" w:hAnsi="Bookman Old Style"/>
          <w:b/>
          <w:bCs/>
          <w:i/>
          <w:iCs/>
        </w:rPr>
      </w:pPr>
      <w:r w:rsidRPr="00881F23">
        <w:rPr>
          <w:rFonts w:ascii="Bookman Old Style" w:hAnsi="Bookman Old Style"/>
          <w:b/>
          <w:bCs/>
          <w:i/>
          <w:iCs/>
        </w:rPr>
        <w:t>3.4. ACTIVOS DE CONEXIÓN PARA ENTREGA DE ENERGIA</w:t>
      </w:r>
    </w:p>
    <w:p w14:paraId="682651BE" w14:textId="77777777" w:rsidR="00881F23" w:rsidRDefault="00881F23" w:rsidP="00172DAE">
      <w:pPr>
        <w:ind w:left="567" w:hanging="283"/>
        <w:jc w:val="both"/>
        <w:rPr>
          <w:rFonts w:ascii="Bookman Old Style" w:hAnsi="Bookman Old Style"/>
          <w:i/>
          <w:iCs/>
        </w:rPr>
      </w:pPr>
    </w:p>
    <w:p w14:paraId="0DFD367E" w14:textId="3F36CC6F" w:rsidR="00881F23" w:rsidRPr="00172DAE" w:rsidRDefault="00881F23" w:rsidP="00172DAE">
      <w:pPr>
        <w:ind w:left="567"/>
        <w:jc w:val="both"/>
        <w:rPr>
          <w:rFonts w:ascii="Bookman Old Style" w:hAnsi="Bookman Old Style"/>
          <w:i/>
          <w:iCs/>
          <w:sz w:val="22"/>
          <w:szCs w:val="22"/>
        </w:rPr>
      </w:pPr>
      <w:r w:rsidRPr="00172DAE">
        <w:rPr>
          <w:rFonts w:ascii="Bookman Old Style" w:hAnsi="Bookman Old Style"/>
          <w:i/>
          <w:iCs/>
          <w:sz w:val="22"/>
          <w:szCs w:val="22"/>
        </w:rPr>
        <w:t xml:space="preserve">“A este respecto se precisa que tal como se presentó en el diagrama unifilar (incorporado a este expediente por solicitud de la CREG) REFOENERGY llega a entregar la energía en la Barra de 34,5KV, que se ubica FISICAMENTE y TECNICAMENTE en un punto diferente y anterior al inicio del Sistema de distribución de </w:t>
      </w:r>
      <w:proofErr w:type="spellStart"/>
      <w:r w:rsidRPr="00172DAE">
        <w:rPr>
          <w:rFonts w:ascii="Bookman Old Style" w:hAnsi="Bookman Old Style"/>
          <w:i/>
          <w:iCs/>
          <w:sz w:val="22"/>
          <w:szCs w:val="22"/>
        </w:rPr>
        <w:t>Electrovichada</w:t>
      </w:r>
      <w:proofErr w:type="spellEnd"/>
      <w:r w:rsidRPr="00172DAE">
        <w:rPr>
          <w:rFonts w:ascii="Bookman Old Style" w:hAnsi="Bookman Old Style"/>
          <w:i/>
          <w:iCs/>
          <w:sz w:val="22"/>
          <w:szCs w:val="22"/>
        </w:rPr>
        <w:t xml:space="preserve">. En este sentido ninguno de los activos de conexión que se presentan para ser remunerados como costo de inversión se vinculan al SDL de Puerto Carreño cuyo OR es </w:t>
      </w:r>
      <w:proofErr w:type="spellStart"/>
      <w:r w:rsidRPr="00172DAE">
        <w:rPr>
          <w:rFonts w:ascii="Bookman Old Style" w:hAnsi="Bookman Old Style"/>
          <w:i/>
          <w:iCs/>
          <w:sz w:val="22"/>
          <w:szCs w:val="22"/>
        </w:rPr>
        <w:t>Electrovichada</w:t>
      </w:r>
      <w:proofErr w:type="spellEnd"/>
      <w:r w:rsidRPr="00172DAE">
        <w:rPr>
          <w:rFonts w:ascii="Bookman Old Style" w:hAnsi="Bookman Old Style"/>
          <w:i/>
          <w:iCs/>
          <w:sz w:val="22"/>
          <w:szCs w:val="22"/>
        </w:rPr>
        <w:t xml:space="preserve"> (independientemente del nivel de tensión en el que se transporta la energía para su entrega al comprador) y en ese sentido no corresponde a un activo de distribución que pueda ser remunerado a través de cargo de distribución para </w:t>
      </w:r>
      <w:proofErr w:type="spellStart"/>
      <w:r w:rsidRPr="00172DAE">
        <w:rPr>
          <w:rFonts w:ascii="Bookman Old Style" w:hAnsi="Bookman Old Style"/>
          <w:i/>
          <w:iCs/>
          <w:sz w:val="22"/>
          <w:szCs w:val="22"/>
        </w:rPr>
        <w:t>Electrovichada</w:t>
      </w:r>
      <w:proofErr w:type="spellEnd"/>
      <w:r w:rsidRPr="00172DAE">
        <w:rPr>
          <w:rFonts w:ascii="Bookman Old Style" w:hAnsi="Bookman Old Style"/>
          <w:i/>
          <w:iCs/>
          <w:sz w:val="22"/>
          <w:szCs w:val="22"/>
        </w:rPr>
        <w:t xml:space="preserve">. Solo puede ser reconocido en el costo de inversión de la Planta Hibrida Diesel-Biomasa de propiedad de </w:t>
      </w:r>
      <w:proofErr w:type="spellStart"/>
      <w:r w:rsidRPr="00172DAE">
        <w:rPr>
          <w:rFonts w:ascii="Bookman Old Style" w:hAnsi="Bookman Old Style"/>
          <w:i/>
          <w:iCs/>
          <w:sz w:val="22"/>
          <w:szCs w:val="22"/>
        </w:rPr>
        <w:t>Refoenergy</w:t>
      </w:r>
      <w:proofErr w:type="spellEnd"/>
      <w:r w:rsidRPr="00172DAE">
        <w:rPr>
          <w:rFonts w:ascii="Bookman Old Style" w:hAnsi="Bookman Old Style"/>
          <w:i/>
          <w:iCs/>
          <w:sz w:val="22"/>
          <w:szCs w:val="22"/>
        </w:rPr>
        <w:t xml:space="preserve"> Bita.</w:t>
      </w:r>
    </w:p>
    <w:p w14:paraId="46202CA8" w14:textId="77777777" w:rsidR="00881F23" w:rsidRPr="00881F23" w:rsidRDefault="00881F23" w:rsidP="00881F23">
      <w:pPr>
        <w:jc w:val="both"/>
        <w:rPr>
          <w:rFonts w:ascii="Bookman Old Style" w:hAnsi="Bookman Old Style"/>
          <w:i/>
          <w:iCs/>
        </w:rPr>
      </w:pPr>
    </w:p>
    <w:p w14:paraId="5B5DFB4D" w14:textId="1B2B4B72" w:rsidR="00881F23" w:rsidRPr="004F22F9" w:rsidRDefault="00881F23" w:rsidP="004F22F9">
      <w:pPr>
        <w:ind w:left="567"/>
        <w:jc w:val="both"/>
        <w:rPr>
          <w:rFonts w:ascii="Bookman Old Style" w:hAnsi="Bookman Old Style"/>
          <w:i/>
          <w:iCs/>
          <w:sz w:val="22"/>
          <w:szCs w:val="22"/>
        </w:rPr>
      </w:pPr>
      <w:r w:rsidRPr="004F22F9">
        <w:rPr>
          <w:rFonts w:ascii="Bookman Old Style" w:hAnsi="Bookman Old Style"/>
          <w:i/>
          <w:iCs/>
          <w:sz w:val="22"/>
          <w:szCs w:val="22"/>
        </w:rPr>
        <w:t>En este sentido en la Hoja “Presupuesto</w:t>
      </w:r>
      <w:r w:rsidR="00C575EB" w:rsidRPr="004F22F9">
        <w:rPr>
          <w:rFonts w:ascii="Bookman Old Style" w:hAnsi="Bookman Old Style"/>
          <w:i/>
          <w:iCs/>
          <w:sz w:val="22"/>
          <w:szCs w:val="22"/>
        </w:rPr>
        <w:t xml:space="preserve"> </w:t>
      </w:r>
      <w:r w:rsidRPr="004F22F9">
        <w:rPr>
          <w:rFonts w:ascii="Bookman Old Style" w:hAnsi="Bookman Old Style"/>
          <w:i/>
          <w:iCs/>
          <w:sz w:val="22"/>
          <w:szCs w:val="22"/>
        </w:rPr>
        <w:t>CREG” del archivo Excel adjunto al documento técnico de soporte de la Resolución que se recurre, se han reactivado en VERDE las celdas correspondientes al componente “interconexión” en el entendido que son activos de conexión (</w:t>
      </w:r>
      <w:proofErr w:type="spellStart"/>
      <w:r w:rsidRPr="004F22F9">
        <w:rPr>
          <w:rFonts w:ascii="Bookman Old Style" w:hAnsi="Bookman Old Style"/>
          <w:i/>
          <w:iCs/>
          <w:sz w:val="22"/>
          <w:szCs w:val="22"/>
        </w:rPr>
        <w:t>lit.</w:t>
      </w:r>
      <w:proofErr w:type="spellEnd"/>
      <w:r w:rsidRPr="004F22F9">
        <w:rPr>
          <w:rFonts w:ascii="Bookman Old Style" w:hAnsi="Bookman Old Style"/>
          <w:i/>
          <w:iCs/>
          <w:sz w:val="22"/>
          <w:szCs w:val="22"/>
        </w:rPr>
        <w:t xml:space="preserve"> b-art 28 </w:t>
      </w:r>
      <w:proofErr w:type="spellStart"/>
      <w:r w:rsidRPr="004F22F9">
        <w:rPr>
          <w:rFonts w:ascii="Bookman Old Style" w:hAnsi="Bookman Old Style"/>
          <w:i/>
          <w:iCs/>
          <w:sz w:val="22"/>
          <w:szCs w:val="22"/>
        </w:rPr>
        <w:t>creg</w:t>
      </w:r>
      <w:proofErr w:type="spellEnd"/>
      <w:r w:rsidRPr="004F22F9">
        <w:rPr>
          <w:rFonts w:ascii="Bookman Old Style" w:hAnsi="Bookman Old Style"/>
          <w:i/>
          <w:iCs/>
          <w:sz w:val="22"/>
          <w:szCs w:val="22"/>
        </w:rPr>
        <w:t xml:space="preserve"> 91/07) los activos de conexión que se remuneran como inversión y NO activos de distribución o con activos de conexión al SDL, de cuyo nivel de tensión determina el esquema de cargo MAXIMO DE DISTRIBUCIÓN, que no es el caso en la propuesta presentada en esta solicitud.</w:t>
      </w:r>
    </w:p>
    <w:p w14:paraId="3F7EA3BF" w14:textId="77777777" w:rsidR="00881F23" w:rsidRPr="004F22F9" w:rsidRDefault="00881F23" w:rsidP="004F22F9">
      <w:pPr>
        <w:ind w:left="567"/>
        <w:jc w:val="both"/>
        <w:rPr>
          <w:rFonts w:ascii="Bookman Old Style" w:hAnsi="Bookman Old Style"/>
          <w:i/>
          <w:iCs/>
          <w:sz w:val="22"/>
          <w:szCs w:val="22"/>
        </w:rPr>
      </w:pPr>
    </w:p>
    <w:p w14:paraId="6FB65015" w14:textId="3AEC313D" w:rsidR="000B7A0B" w:rsidRDefault="000B7A0B" w:rsidP="004F22F9">
      <w:pPr>
        <w:ind w:left="284"/>
        <w:jc w:val="both"/>
        <w:rPr>
          <w:rFonts w:ascii="Bookman Old Style" w:hAnsi="Bookman Old Style"/>
          <w:iCs/>
        </w:rPr>
      </w:pPr>
      <w:r>
        <w:rPr>
          <w:rFonts w:ascii="Bookman Old Style" w:hAnsi="Bookman Old Style"/>
          <w:iCs/>
        </w:rPr>
        <w:t xml:space="preserve">Lo primero que debe señalarse es que </w:t>
      </w:r>
      <w:r w:rsidR="00A50F13">
        <w:rPr>
          <w:rFonts w:ascii="Bookman Old Style" w:hAnsi="Bookman Old Style"/>
          <w:iCs/>
        </w:rPr>
        <w:t xml:space="preserve">dentro de la argumentación expuesta por parte de </w:t>
      </w:r>
      <w:r>
        <w:rPr>
          <w:rFonts w:ascii="Bookman Old Style" w:hAnsi="Bookman Old Style"/>
          <w:iCs/>
        </w:rPr>
        <w:t>REFOENERGY</w:t>
      </w:r>
      <w:r w:rsidR="00A50F13">
        <w:rPr>
          <w:rFonts w:ascii="Bookman Old Style" w:hAnsi="Bookman Old Style"/>
          <w:iCs/>
        </w:rPr>
        <w:t xml:space="preserve">, </w:t>
      </w:r>
      <w:r w:rsidR="00C95693">
        <w:rPr>
          <w:rFonts w:ascii="Bookman Old Style" w:hAnsi="Bookman Old Style"/>
          <w:iCs/>
        </w:rPr>
        <w:t xml:space="preserve">ésta se soporta </w:t>
      </w:r>
      <w:r w:rsidR="00A50F13">
        <w:rPr>
          <w:rFonts w:ascii="Bookman Old Style" w:hAnsi="Bookman Old Style"/>
          <w:iCs/>
        </w:rPr>
        <w:t xml:space="preserve">sobre </w:t>
      </w:r>
      <w:r w:rsidR="000B00E5">
        <w:rPr>
          <w:rFonts w:ascii="Bookman Old Style" w:hAnsi="Bookman Old Style"/>
          <w:iCs/>
        </w:rPr>
        <w:t>definiciones</w:t>
      </w:r>
      <w:r w:rsidR="00A50F13">
        <w:rPr>
          <w:rFonts w:ascii="Bookman Old Style" w:hAnsi="Bookman Old Style"/>
          <w:iCs/>
        </w:rPr>
        <w:t xml:space="preserve"> </w:t>
      </w:r>
      <w:r w:rsidR="000159C0">
        <w:rPr>
          <w:rFonts w:ascii="Bookman Old Style" w:hAnsi="Bookman Old Style"/>
          <w:iCs/>
        </w:rPr>
        <w:t xml:space="preserve">y regulación </w:t>
      </w:r>
      <w:r w:rsidR="00A50F13">
        <w:rPr>
          <w:rFonts w:ascii="Bookman Old Style" w:hAnsi="Bookman Old Style"/>
          <w:iCs/>
        </w:rPr>
        <w:t>aplicable al Sistema Interconectado Nacional</w:t>
      </w:r>
      <w:r w:rsidR="00AE5897">
        <w:rPr>
          <w:rFonts w:ascii="Bookman Old Style" w:hAnsi="Bookman Old Style"/>
          <w:iCs/>
        </w:rPr>
        <w:t>, SIN</w:t>
      </w:r>
      <w:r w:rsidR="00A50F13">
        <w:rPr>
          <w:rFonts w:ascii="Bookman Old Style" w:hAnsi="Bookman Old Style"/>
          <w:iCs/>
        </w:rPr>
        <w:t xml:space="preserve">, como son los </w:t>
      </w:r>
      <w:r w:rsidR="000B00E5">
        <w:rPr>
          <w:rFonts w:ascii="Bookman Old Style" w:hAnsi="Bookman Old Style"/>
          <w:iCs/>
        </w:rPr>
        <w:t>O</w:t>
      </w:r>
      <w:r w:rsidR="00A50F13">
        <w:rPr>
          <w:rFonts w:ascii="Bookman Old Style" w:hAnsi="Bookman Old Style"/>
          <w:iCs/>
        </w:rPr>
        <w:t xml:space="preserve">peradores de </w:t>
      </w:r>
      <w:r w:rsidR="000B00E5">
        <w:rPr>
          <w:rFonts w:ascii="Bookman Old Style" w:hAnsi="Bookman Old Style"/>
          <w:iCs/>
        </w:rPr>
        <w:t>R</w:t>
      </w:r>
      <w:r w:rsidR="00A50F13">
        <w:rPr>
          <w:rFonts w:ascii="Bookman Old Style" w:hAnsi="Bookman Old Style"/>
          <w:iCs/>
        </w:rPr>
        <w:t>ed</w:t>
      </w:r>
      <w:r w:rsidR="007B79DB">
        <w:rPr>
          <w:rFonts w:ascii="Bookman Old Style" w:hAnsi="Bookman Old Style"/>
          <w:iCs/>
        </w:rPr>
        <w:t>, Sistemas de Distribución Local o Sistemas de Transmisión Regional</w:t>
      </w:r>
      <w:r w:rsidR="006B7F4F">
        <w:rPr>
          <w:rFonts w:ascii="Bookman Old Style" w:hAnsi="Bookman Old Style"/>
          <w:iCs/>
        </w:rPr>
        <w:t>,</w:t>
      </w:r>
      <w:r w:rsidR="008773CA">
        <w:rPr>
          <w:rFonts w:ascii="Bookman Old Style" w:hAnsi="Bookman Old Style"/>
          <w:iCs/>
        </w:rPr>
        <w:t xml:space="preserve"> o </w:t>
      </w:r>
      <w:r w:rsidR="00A0696C">
        <w:rPr>
          <w:rFonts w:ascii="Bookman Old Style" w:hAnsi="Bookman Old Style"/>
          <w:iCs/>
        </w:rPr>
        <w:t xml:space="preserve">activos de conexión de última instancia, </w:t>
      </w:r>
      <w:r w:rsidR="000B00E5">
        <w:rPr>
          <w:rFonts w:ascii="Bookman Old Style" w:hAnsi="Bookman Old Style"/>
          <w:iCs/>
        </w:rPr>
        <w:t xml:space="preserve">conceptos que no se </w:t>
      </w:r>
      <w:r w:rsidR="00ED776D">
        <w:rPr>
          <w:rFonts w:ascii="Bookman Old Style" w:hAnsi="Bookman Old Style"/>
          <w:iCs/>
        </w:rPr>
        <w:t>aplican en</w:t>
      </w:r>
      <w:r w:rsidR="000B00E5">
        <w:rPr>
          <w:rFonts w:ascii="Bookman Old Style" w:hAnsi="Bookman Old Style"/>
          <w:iCs/>
        </w:rPr>
        <w:t xml:space="preserve"> el marco tarifario vigente de la Resolución CREG 091 de 2007</w:t>
      </w:r>
      <w:r w:rsidR="00ED776D">
        <w:rPr>
          <w:rFonts w:ascii="Bookman Old Style" w:hAnsi="Bookman Old Style"/>
          <w:iCs/>
        </w:rPr>
        <w:t xml:space="preserve"> </w:t>
      </w:r>
      <w:r w:rsidR="000159C0">
        <w:rPr>
          <w:rFonts w:ascii="Bookman Old Style" w:hAnsi="Bookman Old Style"/>
          <w:iCs/>
        </w:rPr>
        <w:t xml:space="preserve">definido </w:t>
      </w:r>
      <w:r w:rsidR="00ED776D">
        <w:rPr>
          <w:rFonts w:ascii="Bookman Old Style" w:hAnsi="Bookman Old Style"/>
          <w:iCs/>
        </w:rPr>
        <w:t>para las Zonas No Interconectadas.</w:t>
      </w:r>
    </w:p>
    <w:p w14:paraId="0A8CA680" w14:textId="50DC3598" w:rsidR="00ED776D" w:rsidRDefault="00ED776D" w:rsidP="004F22F9">
      <w:pPr>
        <w:ind w:left="284"/>
        <w:jc w:val="both"/>
        <w:rPr>
          <w:rFonts w:ascii="Bookman Old Style" w:hAnsi="Bookman Old Style"/>
          <w:iCs/>
        </w:rPr>
      </w:pPr>
    </w:p>
    <w:p w14:paraId="4ED0BBB4" w14:textId="1229BAD1" w:rsidR="006C4ABC" w:rsidRDefault="00ED776D" w:rsidP="008C0253">
      <w:pPr>
        <w:ind w:left="284"/>
        <w:jc w:val="both"/>
        <w:rPr>
          <w:rFonts w:ascii="Bookman Old Style" w:hAnsi="Bookman Old Style"/>
          <w:iCs/>
        </w:rPr>
      </w:pPr>
      <w:r>
        <w:rPr>
          <w:rFonts w:ascii="Bookman Old Style" w:hAnsi="Bookman Old Style"/>
          <w:iCs/>
        </w:rPr>
        <w:t>En este sentido,</w:t>
      </w:r>
      <w:r w:rsidR="000159C0">
        <w:rPr>
          <w:rFonts w:ascii="Bookman Old Style" w:hAnsi="Bookman Old Style"/>
          <w:iCs/>
        </w:rPr>
        <w:t xml:space="preserve"> según </w:t>
      </w:r>
      <w:r w:rsidR="00E978C4">
        <w:rPr>
          <w:rFonts w:ascii="Bookman Old Style" w:hAnsi="Bookman Old Style"/>
          <w:iCs/>
        </w:rPr>
        <w:t xml:space="preserve">Resolución CREG 091 de 2007, la actividad de generación </w:t>
      </w:r>
      <w:r w:rsidR="00EE4E64">
        <w:rPr>
          <w:rFonts w:ascii="Bookman Old Style" w:hAnsi="Bookman Old Style"/>
          <w:iCs/>
        </w:rPr>
        <w:t xml:space="preserve">se </w:t>
      </w:r>
      <w:r w:rsidR="000159C0">
        <w:rPr>
          <w:rFonts w:ascii="Bookman Old Style" w:hAnsi="Bookman Old Style"/>
          <w:iCs/>
        </w:rPr>
        <w:t xml:space="preserve">remunera hasta </w:t>
      </w:r>
      <w:r w:rsidR="000B6C01">
        <w:rPr>
          <w:rFonts w:ascii="Bookman Old Style" w:hAnsi="Bookman Old Style"/>
          <w:iCs/>
        </w:rPr>
        <w:t>la barra de entrega de energía del generador</w:t>
      </w:r>
      <w:r w:rsidR="00ED20D2">
        <w:rPr>
          <w:rFonts w:ascii="Bookman Old Style" w:hAnsi="Bookman Old Style"/>
          <w:iCs/>
        </w:rPr>
        <w:t>, incluyendo el transformador elevador y los equipos auxiliares</w:t>
      </w:r>
      <w:r w:rsidR="006819A7">
        <w:rPr>
          <w:rFonts w:ascii="Bookman Old Style" w:hAnsi="Bookman Old Style"/>
          <w:iCs/>
        </w:rPr>
        <w:t xml:space="preserve">. </w:t>
      </w:r>
      <w:r w:rsidR="00483AAF">
        <w:rPr>
          <w:rFonts w:ascii="Bookman Old Style" w:hAnsi="Bookman Old Style"/>
          <w:iCs/>
        </w:rPr>
        <w:t>Ahora, en lo que refiere a la actividad de Distribución, la Resolución CREG 091</w:t>
      </w:r>
      <w:r w:rsidR="00686A49">
        <w:rPr>
          <w:rFonts w:ascii="Bookman Old Style" w:hAnsi="Bookman Old Style"/>
          <w:iCs/>
        </w:rPr>
        <w:t xml:space="preserve"> de 2007</w:t>
      </w:r>
      <w:r w:rsidR="00483AAF">
        <w:rPr>
          <w:rFonts w:ascii="Bookman Old Style" w:hAnsi="Bookman Old Style"/>
          <w:iCs/>
        </w:rPr>
        <w:t xml:space="preserve"> de</w:t>
      </w:r>
      <w:r w:rsidR="00535170">
        <w:rPr>
          <w:rFonts w:ascii="Bookman Old Style" w:hAnsi="Bookman Old Style"/>
          <w:iCs/>
        </w:rPr>
        <w:t xml:space="preserve">fine la remuneración de toda la infraestructura, e incluye en este cargo </w:t>
      </w:r>
      <w:r w:rsidR="00031D55">
        <w:rPr>
          <w:rFonts w:ascii="Bookman Old Style" w:hAnsi="Bookman Old Style"/>
          <w:iCs/>
        </w:rPr>
        <w:t>la conexión de</w:t>
      </w:r>
      <w:r w:rsidR="006B7F4F">
        <w:rPr>
          <w:rFonts w:ascii="Bookman Old Style" w:hAnsi="Bookman Old Style"/>
          <w:iCs/>
        </w:rPr>
        <w:t>l</w:t>
      </w:r>
      <w:r w:rsidR="00031D55">
        <w:rPr>
          <w:rFonts w:ascii="Bookman Old Style" w:hAnsi="Bookman Old Style"/>
          <w:iCs/>
        </w:rPr>
        <w:t xml:space="preserve"> generador al sistema de distribución</w:t>
      </w:r>
      <w:r w:rsidR="002F3203">
        <w:rPr>
          <w:rFonts w:ascii="Bookman Old Style" w:hAnsi="Bookman Old Style"/>
          <w:iCs/>
        </w:rPr>
        <w:t>, tal y como el mismo REFOENERGY cita del artículo 28 de la precitada resolución:</w:t>
      </w:r>
    </w:p>
    <w:p w14:paraId="1BFC60DC" w14:textId="77777777" w:rsidR="000159C0" w:rsidRDefault="000159C0" w:rsidP="006C4ABC">
      <w:pPr>
        <w:ind w:left="567"/>
        <w:jc w:val="both"/>
        <w:rPr>
          <w:rFonts w:ascii="Bookman Old Style" w:hAnsi="Bookman Old Style"/>
          <w:iCs/>
        </w:rPr>
      </w:pPr>
    </w:p>
    <w:p w14:paraId="067B1197" w14:textId="1C00A075" w:rsidR="00A27D38" w:rsidRPr="006C4ABC" w:rsidRDefault="006C4ABC" w:rsidP="000159C0">
      <w:pPr>
        <w:ind w:left="567"/>
        <w:jc w:val="both"/>
        <w:rPr>
          <w:rFonts w:ascii="Bookman Old Style" w:hAnsi="Bookman Old Style"/>
          <w:b/>
          <w:bCs/>
          <w:i/>
          <w:sz w:val="22"/>
          <w:szCs w:val="22"/>
        </w:rPr>
      </w:pPr>
      <w:r>
        <w:rPr>
          <w:rFonts w:ascii="Bookman Old Style" w:hAnsi="Bookman Old Style"/>
          <w:iCs/>
        </w:rPr>
        <w:t>“</w:t>
      </w:r>
      <w:r w:rsidR="00A27D38" w:rsidRPr="006C4ABC">
        <w:rPr>
          <w:rFonts w:ascii="Bookman Old Style" w:hAnsi="Bookman Old Style"/>
          <w:b/>
          <w:bCs/>
          <w:i/>
          <w:sz w:val="22"/>
          <w:szCs w:val="22"/>
        </w:rPr>
        <w:t>CARGOS POR USO DEL SISTEMA DE DISTRIBUCIÓN</w:t>
      </w:r>
    </w:p>
    <w:p w14:paraId="3A5E7BB6" w14:textId="77777777" w:rsidR="00A27D38" w:rsidRPr="006C4ABC" w:rsidRDefault="00A27D38" w:rsidP="00A27D38">
      <w:pPr>
        <w:ind w:left="284"/>
        <w:jc w:val="both"/>
        <w:rPr>
          <w:rFonts w:ascii="Bookman Old Style" w:hAnsi="Bookman Old Style"/>
          <w:i/>
          <w:sz w:val="22"/>
          <w:szCs w:val="22"/>
        </w:rPr>
      </w:pPr>
    </w:p>
    <w:p w14:paraId="186D2240" w14:textId="55BCD540" w:rsidR="002F3203" w:rsidRPr="006C4ABC" w:rsidRDefault="00A27D38" w:rsidP="006C4ABC">
      <w:pPr>
        <w:ind w:left="567"/>
        <w:jc w:val="both"/>
        <w:rPr>
          <w:rFonts w:ascii="Bookman Old Style" w:hAnsi="Bookman Old Style"/>
          <w:i/>
          <w:sz w:val="22"/>
          <w:szCs w:val="22"/>
        </w:rPr>
      </w:pPr>
      <w:r w:rsidRPr="006C4ABC">
        <w:rPr>
          <w:rFonts w:ascii="Bookman Old Style" w:hAnsi="Bookman Old Style"/>
          <w:b/>
          <w:bCs/>
          <w:i/>
          <w:sz w:val="22"/>
          <w:szCs w:val="22"/>
        </w:rPr>
        <w:t>Artículo 28.</w:t>
      </w:r>
      <w:r w:rsidRPr="006C4ABC">
        <w:rPr>
          <w:rFonts w:ascii="Bookman Old Style" w:hAnsi="Bookman Old Style"/>
          <w:b/>
          <w:bCs/>
          <w:i/>
          <w:sz w:val="22"/>
          <w:szCs w:val="22"/>
        </w:rPr>
        <w:tab/>
        <w:t>Principios Generales</w:t>
      </w:r>
      <w:r w:rsidRPr="006C4ABC">
        <w:rPr>
          <w:rFonts w:ascii="Bookman Old Style" w:hAnsi="Bookman Old Style"/>
          <w:i/>
          <w:sz w:val="22"/>
          <w:szCs w:val="22"/>
        </w:rPr>
        <w:t>. La aplicación de los cargos por uso de los Sistemas de Distribución tendrá en cuenta los siguientes principios generales:</w:t>
      </w:r>
    </w:p>
    <w:p w14:paraId="3832A8A3" w14:textId="48875584" w:rsidR="00031D55" w:rsidRPr="006C4ABC" w:rsidRDefault="006C4ABC" w:rsidP="006C4ABC">
      <w:pPr>
        <w:ind w:left="567"/>
        <w:jc w:val="both"/>
        <w:rPr>
          <w:rFonts w:ascii="Bookman Old Style" w:hAnsi="Bookman Old Style"/>
          <w:i/>
          <w:sz w:val="22"/>
          <w:szCs w:val="22"/>
        </w:rPr>
      </w:pPr>
      <w:r w:rsidRPr="006C4ABC">
        <w:rPr>
          <w:rFonts w:ascii="Bookman Old Style" w:hAnsi="Bookman Old Style"/>
          <w:i/>
          <w:sz w:val="22"/>
          <w:szCs w:val="22"/>
        </w:rPr>
        <w:t>(…)</w:t>
      </w:r>
    </w:p>
    <w:p w14:paraId="06FD27AA" w14:textId="77777777" w:rsidR="006C4ABC" w:rsidRPr="006C4ABC" w:rsidRDefault="006C4ABC" w:rsidP="006C4ABC">
      <w:pPr>
        <w:ind w:left="567"/>
        <w:jc w:val="both"/>
        <w:rPr>
          <w:rFonts w:ascii="Bookman Old Style" w:hAnsi="Bookman Old Style"/>
          <w:i/>
          <w:sz w:val="22"/>
          <w:szCs w:val="22"/>
        </w:rPr>
      </w:pPr>
    </w:p>
    <w:p w14:paraId="1D2A04D6" w14:textId="530989E9" w:rsidR="006C4ABC" w:rsidRPr="006C4ABC" w:rsidRDefault="006C4ABC" w:rsidP="006C4ABC">
      <w:pPr>
        <w:ind w:left="567"/>
        <w:jc w:val="both"/>
        <w:rPr>
          <w:rFonts w:ascii="Bookman Old Style" w:hAnsi="Bookman Old Style"/>
          <w:i/>
          <w:sz w:val="22"/>
          <w:szCs w:val="22"/>
        </w:rPr>
      </w:pPr>
      <w:r w:rsidRPr="006C4ABC">
        <w:rPr>
          <w:rFonts w:ascii="Bookman Old Style" w:hAnsi="Bookman Old Style"/>
          <w:i/>
          <w:sz w:val="22"/>
          <w:szCs w:val="22"/>
        </w:rPr>
        <w:t>b)</w:t>
      </w:r>
      <w:r>
        <w:rPr>
          <w:rFonts w:ascii="Bookman Old Style" w:hAnsi="Bookman Old Style"/>
          <w:i/>
          <w:sz w:val="22"/>
          <w:szCs w:val="22"/>
        </w:rPr>
        <w:t xml:space="preserve"> </w:t>
      </w:r>
      <w:r w:rsidRPr="006C4ABC">
        <w:rPr>
          <w:rFonts w:ascii="Bookman Old Style" w:hAnsi="Bookman Old Style"/>
          <w:i/>
          <w:sz w:val="22"/>
          <w:szCs w:val="22"/>
        </w:rPr>
        <w:t xml:space="preserve">Los cargos por uso del Sistema de Distribución remunerarán al Distribuidor la infraestructura necesaria para llevar el suministro </w:t>
      </w:r>
      <w:r w:rsidRPr="006C4ABC">
        <w:rPr>
          <w:rFonts w:ascii="Bookman Old Style" w:hAnsi="Bookman Old Style"/>
          <w:i/>
          <w:sz w:val="22"/>
          <w:szCs w:val="22"/>
          <w:u w:val="single"/>
        </w:rPr>
        <w:t xml:space="preserve">desde el Punto de Salida del Generador, hasta el punto de entrega al usuario. Incluyen los costos de conexión del Sistema de Distribución al Generador, pero no incluyen los costos de conexión del usuario al respectivo Sistema de Distribución ni los costos de los equipos auxiliares </w:t>
      </w:r>
      <w:r w:rsidRPr="006C4ABC">
        <w:rPr>
          <w:rFonts w:ascii="Bookman Old Style" w:hAnsi="Bookman Old Style"/>
          <w:i/>
          <w:sz w:val="22"/>
          <w:szCs w:val="22"/>
          <w:u w:val="single"/>
        </w:rPr>
        <w:lastRenderedPageBreak/>
        <w:t>y transformadores elevadores</w:t>
      </w:r>
      <w:r w:rsidRPr="006C4ABC">
        <w:rPr>
          <w:rFonts w:ascii="Bookman Old Style" w:hAnsi="Bookman Old Style"/>
          <w:i/>
          <w:sz w:val="22"/>
          <w:szCs w:val="22"/>
        </w:rPr>
        <w:t xml:space="preserve"> que requiera el generador para conectarse al Sistema de Distribución.</w:t>
      </w:r>
      <w:r>
        <w:rPr>
          <w:rFonts w:ascii="Bookman Old Style" w:hAnsi="Bookman Old Style"/>
          <w:i/>
          <w:sz w:val="22"/>
          <w:szCs w:val="22"/>
        </w:rPr>
        <w:t xml:space="preserve">”  </w:t>
      </w:r>
      <w:r w:rsidRPr="006C4ABC">
        <w:rPr>
          <w:rFonts w:ascii="Bookman Old Style" w:hAnsi="Bookman Old Style"/>
          <w:iCs/>
          <w:sz w:val="22"/>
          <w:szCs w:val="22"/>
        </w:rPr>
        <w:t>Subrayado propio</w:t>
      </w:r>
    </w:p>
    <w:p w14:paraId="2B00F1CB" w14:textId="31932764" w:rsidR="00ED776D" w:rsidRDefault="00ED776D" w:rsidP="004F22F9">
      <w:pPr>
        <w:ind w:left="284"/>
        <w:jc w:val="both"/>
        <w:rPr>
          <w:rFonts w:ascii="Bookman Old Style" w:hAnsi="Bookman Old Style"/>
          <w:iCs/>
        </w:rPr>
      </w:pPr>
    </w:p>
    <w:p w14:paraId="09C82278" w14:textId="5116E6F9" w:rsidR="006C4ABC" w:rsidRDefault="00E070E5" w:rsidP="004F22F9">
      <w:pPr>
        <w:ind w:left="284"/>
        <w:jc w:val="both"/>
        <w:rPr>
          <w:rFonts w:ascii="Bookman Old Style" w:hAnsi="Bookman Old Style"/>
          <w:iCs/>
        </w:rPr>
      </w:pPr>
      <w:r>
        <w:rPr>
          <w:rFonts w:ascii="Bookman Old Style" w:hAnsi="Bookman Old Style"/>
          <w:iCs/>
        </w:rPr>
        <w:t xml:space="preserve">Según lo anterior, </w:t>
      </w:r>
      <w:r w:rsidR="00AD28B8">
        <w:rPr>
          <w:rFonts w:ascii="Bookman Old Style" w:hAnsi="Bookman Old Style"/>
          <w:iCs/>
        </w:rPr>
        <w:t xml:space="preserve">si fuesen comparables </w:t>
      </w:r>
      <w:r w:rsidR="002919EC">
        <w:rPr>
          <w:rFonts w:ascii="Bookman Old Style" w:hAnsi="Bookman Old Style"/>
          <w:iCs/>
        </w:rPr>
        <w:t>los conceptos</w:t>
      </w:r>
      <w:r w:rsidR="00AD28B8">
        <w:rPr>
          <w:rFonts w:ascii="Bookman Old Style" w:hAnsi="Bookman Old Style"/>
          <w:iCs/>
        </w:rPr>
        <w:t xml:space="preserve"> aplicables al SIN, </w:t>
      </w:r>
      <w:r w:rsidR="002919EC">
        <w:rPr>
          <w:rFonts w:ascii="Bookman Old Style" w:hAnsi="Bookman Old Style"/>
          <w:iCs/>
        </w:rPr>
        <w:t>lo que se define como activos de conexión</w:t>
      </w:r>
      <w:r w:rsidR="00707C62">
        <w:rPr>
          <w:rFonts w:ascii="Bookman Old Style" w:hAnsi="Bookman Old Style"/>
          <w:iCs/>
        </w:rPr>
        <w:t xml:space="preserve"> en la metodología de las ZNI, dichos activos</w:t>
      </w:r>
      <w:r w:rsidR="00157D39">
        <w:rPr>
          <w:rFonts w:ascii="Bookman Old Style" w:hAnsi="Bookman Old Style"/>
          <w:iCs/>
        </w:rPr>
        <w:t xml:space="preserve"> se remuneran dentro del cargo de Distribución</w:t>
      </w:r>
      <w:r w:rsidR="009114F7">
        <w:rPr>
          <w:rFonts w:ascii="Bookman Old Style" w:hAnsi="Bookman Old Style"/>
          <w:iCs/>
        </w:rPr>
        <w:t>.</w:t>
      </w:r>
    </w:p>
    <w:p w14:paraId="515BC521" w14:textId="77777777" w:rsidR="000B7A0B" w:rsidRDefault="000B7A0B" w:rsidP="004F22F9">
      <w:pPr>
        <w:ind w:left="284"/>
        <w:jc w:val="both"/>
        <w:rPr>
          <w:rFonts w:ascii="Bookman Old Style" w:hAnsi="Bookman Old Style"/>
          <w:iCs/>
        </w:rPr>
      </w:pPr>
    </w:p>
    <w:p w14:paraId="5DBD8C52" w14:textId="5D1A977D" w:rsidR="00A90BA7" w:rsidRDefault="007C4A9B" w:rsidP="009C627B">
      <w:pPr>
        <w:ind w:left="284"/>
        <w:jc w:val="both"/>
        <w:rPr>
          <w:rFonts w:ascii="Bookman Old Style" w:hAnsi="Bookman Old Style"/>
          <w:iCs/>
        </w:rPr>
      </w:pPr>
      <w:r>
        <w:rPr>
          <w:rFonts w:ascii="Bookman Old Style" w:hAnsi="Bookman Old Style"/>
          <w:iCs/>
        </w:rPr>
        <w:t xml:space="preserve">Segundo, </w:t>
      </w:r>
      <w:r w:rsidR="000159C0">
        <w:rPr>
          <w:rFonts w:ascii="Bookman Old Style" w:hAnsi="Bookman Old Style"/>
          <w:iCs/>
        </w:rPr>
        <w:t>d</w:t>
      </w:r>
      <w:r>
        <w:rPr>
          <w:rFonts w:ascii="Bookman Old Style" w:hAnsi="Bookman Old Style"/>
          <w:iCs/>
        </w:rPr>
        <w:t>el análisis efectuado sobre l</w:t>
      </w:r>
      <w:r w:rsidR="00C2631B">
        <w:rPr>
          <w:rFonts w:ascii="Bookman Old Style" w:hAnsi="Bookman Old Style"/>
          <w:iCs/>
        </w:rPr>
        <w:t>os soportes aportados por el recurrente</w:t>
      </w:r>
      <w:r w:rsidR="000C1564">
        <w:rPr>
          <w:rFonts w:ascii="Bookman Old Style" w:hAnsi="Bookman Old Style"/>
          <w:iCs/>
        </w:rPr>
        <w:t xml:space="preserve"> como respuesta al auto de pruebas I 2021-004254</w:t>
      </w:r>
      <w:r w:rsidR="005363AD">
        <w:rPr>
          <w:rFonts w:ascii="Bookman Old Style" w:hAnsi="Bookman Old Style"/>
          <w:iCs/>
        </w:rPr>
        <w:t xml:space="preserve">, dentro del archivo </w:t>
      </w:r>
      <w:r w:rsidR="009D04D7">
        <w:rPr>
          <w:rFonts w:ascii="Bookman Old Style" w:hAnsi="Bookman Old Style"/>
          <w:iCs/>
        </w:rPr>
        <w:t>“</w:t>
      </w:r>
      <w:r w:rsidR="009D04D7" w:rsidRPr="00733AD7">
        <w:rPr>
          <w:rFonts w:ascii="Bookman Old Style" w:hAnsi="Bookman Old Style"/>
          <w:i/>
        </w:rPr>
        <w:t>Anexo 5 Diagrama Unifilar General.pdf</w:t>
      </w:r>
      <w:r w:rsidR="009D04D7">
        <w:rPr>
          <w:rFonts w:ascii="Bookman Old Style" w:hAnsi="Bookman Old Style"/>
          <w:iCs/>
        </w:rPr>
        <w:t>”</w:t>
      </w:r>
      <w:r w:rsidR="00D7404F">
        <w:rPr>
          <w:rFonts w:ascii="Bookman Old Style" w:hAnsi="Bookman Old Style"/>
          <w:iCs/>
        </w:rPr>
        <w:t xml:space="preserve">, puede observarse </w:t>
      </w:r>
      <w:r w:rsidR="006D1F9F">
        <w:rPr>
          <w:rFonts w:ascii="Bookman Old Style" w:hAnsi="Bookman Old Style"/>
          <w:iCs/>
        </w:rPr>
        <w:t xml:space="preserve">que </w:t>
      </w:r>
      <w:r w:rsidR="00D7404F">
        <w:rPr>
          <w:rFonts w:ascii="Bookman Old Style" w:hAnsi="Bookman Old Style"/>
          <w:iCs/>
        </w:rPr>
        <w:t>l</w:t>
      </w:r>
      <w:r w:rsidR="009C627B">
        <w:rPr>
          <w:rFonts w:ascii="Bookman Old Style" w:hAnsi="Bookman Old Style"/>
          <w:iCs/>
        </w:rPr>
        <w:t xml:space="preserve">as unidades diésel están </w:t>
      </w:r>
      <w:r w:rsidR="00EF778E">
        <w:rPr>
          <w:rFonts w:ascii="Bookman Old Style" w:hAnsi="Bookman Old Style"/>
          <w:iCs/>
        </w:rPr>
        <w:t>generando</w:t>
      </w:r>
      <w:r w:rsidR="009C627B">
        <w:rPr>
          <w:rFonts w:ascii="Bookman Old Style" w:hAnsi="Bookman Old Style"/>
          <w:iCs/>
        </w:rPr>
        <w:t xml:space="preserve"> a 480</w:t>
      </w:r>
      <w:r w:rsidR="00D7404F">
        <w:rPr>
          <w:rFonts w:ascii="Bookman Old Style" w:hAnsi="Bookman Old Style"/>
          <w:iCs/>
        </w:rPr>
        <w:t xml:space="preserve"> V</w:t>
      </w:r>
      <w:r w:rsidR="000159C0">
        <w:rPr>
          <w:rFonts w:ascii="Bookman Old Style" w:hAnsi="Bookman Old Style"/>
          <w:iCs/>
        </w:rPr>
        <w:t>, la</w:t>
      </w:r>
      <w:r w:rsidR="006B7F4F">
        <w:rPr>
          <w:rFonts w:ascii="Bookman Old Style" w:hAnsi="Bookman Old Style"/>
          <w:iCs/>
        </w:rPr>
        <w:t>s</w:t>
      </w:r>
      <w:r w:rsidR="000159C0">
        <w:rPr>
          <w:rFonts w:ascii="Bookman Old Style" w:hAnsi="Bookman Old Style"/>
          <w:iCs/>
        </w:rPr>
        <w:t xml:space="preserve"> cuales se recogen en </w:t>
      </w:r>
      <w:r w:rsidR="009C627B">
        <w:rPr>
          <w:rFonts w:ascii="Bookman Old Style" w:hAnsi="Bookman Old Style"/>
          <w:iCs/>
        </w:rPr>
        <w:t>un tran</w:t>
      </w:r>
      <w:r w:rsidR="00EF778E">
        <w:rPr>
          <w:rFonts w:ascii="Bookman Old Style" w:hAnsi="Bookman Old Style"/>
          <w:iCs/>
        </w:rPr>
        <w:t>s</w:t>
      </w:r>
      <w:r w:rsidR="009C627B">
        <w:rPr>
          <w:rFonts w:ascii="Bookman Old Style" w:hAnsi="Bookman Old Style"/>
          <w:iCs/>
        </w:rPr>
        <w:t>formador elevador. P</w:t>
      </w:r>
      <w:r w:rsidR="00EF778E">
        <w:rPr>
          <w:rFonts w:ascii="Bookman Old Style" w:hAnsi="Bookman Old Style"/>
          <w:iCs/>
        </w:rPr>
        <w:t>ara la tecnología</w:t>
      </w:r>
      <w:r w:rsidR="009C627B">
        <w:rPr>
          <w:rFonts w:ascii="Bookman Old Style" w:hAnsi="Bookman Old Style"/>
          <w:iCs/>
        </w:rPr>
        <w:t xml:space="preserve"> </w:t>
      </w:r>
      <w:r w:rsidR="00EF778E">
        <w:rPr>
          <w:rFonts w:ascii="Bookman Old Style" w:hAnsi="Bookman Old Style"/>
          <w:iCs/>
        </w:rPr>
        <w:t>B</w:t>
      </w:r>
      <w:r w:rsidR="009C627B">
        <w:rPr>
          <w:rFonts w:ascii="Bookman Old Style" w:hAnsi="Bookman Old Style"/>
          <w:iCs/>
        </w:rPr>
        <w:t>iom</w:t>
      </w:r>
      <w:r w:rsidR="00EF778E">
        <w:rPr>
          <w:rFonts w:ascii="Bookman Old Style" w:hAnsi="Bookman Old Style"/>
          <w:iCs/>
        </w:rPr>
        <w:t>a</w:t>
      </w:r>
      <w:r w:rsidR="009C627B">
        <w:rPr>
          <w:rFonts w:ascii="Bookman Old Style" w:hAnsi="Bookman Old Style"/>
          <w:iCs/>
        </w:rPr>
        <w:t xml:space="preserve">sa </w:t>
      </w:r>
      <w:r w:rsidR="00EF778E">
        <w:rPr>
          <w:rFonts w:ascii="Bookman Old Style" w:hAnsi="Bookman Old Style"/>
          <w:iCs/>
        </w:rPr>
        <w:t>se está genera</w:t>
      </w:r>
      <w:r w:rsidR="00D7404F">
        <w:rPr>
          <w:rFonts w:ascii="Bookman Old Style" w:hAnsi="Bookman Old Style"/>
          <w:iCs/>
        </w:rPr>
        <w:t>n</w:t>
      </w:r>
      <w:r w:rsidR="00EF778E">
        <w:rPr>
          <w:rFonts w:ascii="Bookman Old Style" w:hAnsi="Bookman Old Style"/>
          <w:iCs/>
        </w:rPr>
        <w:t>do a</w:t>
      </w:r>
      <w:r w:rsidR="009C627B">
        <w:rPr>
          <w:rFonts w:ascii="Bookman Old Style" w:hAnsi="Bookman Old Style"/>
          <w:iCs/>
        </w:rPr>
        <w:t xml:space="preserve"> 13,2</w:t>
      </w:r>
      <w:r w:rsidR="00D7404F">
        <w:rPr>
          <w:rFonts w:ascii="Bookman Old Style" w:hAnsi="Bookman Old Style"/>
          <w:iCs/>
        </w:rPr>
        <w:t xml:space="preserve"> kV</w:t>
      </w:r>
      <w:r w:rsidR="006B7F4F">
        <w:rPr>
          <w:rFonts w:ascii="Bookman Old Style" w:hAnsi="Bookman Old Style"/>
          <w:iCs/>
        </w:rPr>
        <w:t>,</w:t>
      </w:r>
      <w:r w:rsidR="009C627B">
        <w:rPr>
          <w:rFonts w:ascii="Bookman Old Style" w:hAnsi="Bookman Old Style"/>
          <w:iCs/>
        </w:rPr>
        <w:t xml:space="preserve"> </w:t>
      </w:r>
      <w:r w:rsidR="005363AD">
        <w:rPr>
          <w:rFonts w:ascii="Bookman Old Style" w:hAnsi="Bookman Old Style"/>
          <w:iCs/>
        </w:rPr>
        <w:t xml:space="preserve">y </w:t>
      </w:r>
      <w:r w:rsidR="000159C0">
        <w:rPr>
          <w:rFonts w:ascii="Bookman Old Style" w:hAnsi="Bookman Old Style"/>
          <w:iCs/>
        </w:rPr>
        <w:t xml:space="preserve">la energía se lleva a </w:t>
      </w:r>
      <w:r w:rsidR="009C627B">
        <w:rPr>
          <w:rFonts w:ascii="Bookman Old Style" w:hAnsi="Bookman Old Style"/>
          <w:iCs/>
        </w:rPr>
        <w:t xml:space="preserve">un </w:t>
      </w:r>
      <w:r w:rsidR="000159C0">
        <w:rPr>
          <w:rFonts w:ascii="Bookman Old Style" w:hAnsi="Bookman Old Style"/>
          <w:iCs/>
        </w:rPr>
        <w:t xml:space="preserve">transformador </w:t>
      </w:r>
      <w:r w:rsidR="009C627B">
        <w:rPr>
          <w:rFonts w:ascii="Bookman Old Style" w:hAnsi="Bookman Old Style"/>
          <w:iCs/>
        </w:rPr>
        <w:t>elevador a 34</w:t>
      </w:r>
      <w:r w:rsidR="00D94F88">
        <w:rPr>
          <w:rFonts w:ascii="Bookman Old Style" w:hAnsi="Bookman Old Style"/>
          <w:iCs/>
        </w:rPr>
        <w:t>,</w:t>
      </w:r>
      <w:r w:rsidR="009C627B">
        <w:rPr>
          <w:rFonts w:ascii="Bookman Old Style" w:hAnsi="Bookman Old Style"/>
          <w:iCs/>
        </w:rPr>
        <w:t>5</w:t>
      </w:r>
      <w:r w:rsidR="00D7404F">
        <w:rPr>
          <w:rFonts w:ascii="Bookman Old Style" w:hAnsi="Bookman Old Style"/>
          <w:iCs/>
        </w:rPr>
        <w:t xml:space="preserve"> kV</w:t>
      </w:r>
      <w:r w:rsidR="009C627B">
        <w:rPr>
          <w:rFonts w:ascii="Bookman Old Style" w:hAnsi="Bookman Old Style"/>
          <w:iCs/>
        </w:rPr>
        <w:t>.</w:t>
      </w:r>
    </w:p>
    <w:p w14:paraId="0A4EB558" w14:textId="77777777" w:rsidR="00A90BA7" w:rsidRDefault="00A90BA7" w:rsidP="009C627B">
      <w:pPr>
        <w:ind w:left="284"/>
        <w:jc w:val="both"/>
        <w:rPr>
          <w:rFonts w:ascii="Bookman Old Style" w:hAnsi="Bookman Old Style"/>
          <w:iCs/>
        </w:rPr>
      </w:pPr>
    </w:p>
    <w:p w14:paraId="411A8604" w14:textId="0D6A5200" w:rsidR="00526D1C" w:rsidRDefault="000155AC" w:rsidP="000F46BD">
      <w:pPr>
        <w:ind w:left="284"/>
        <w:jc w:val="both"/>
        <w:rPr>
          <w:rFonts w:ascii="Bookman Old Style" w:hAnsi="Bookman Old Style"/>
          <w:iCs/>
        </w:rPr>
      </w:pPr>
      <w:r>
        <w:rPr>
          <w:rFonts w:ascii="Bookman Old Style" w:hAnsi="Bookman Old Style"/>
          <w:iCs/>
        </w:rPr>
        <w:t xml:space="preserve">Como complemento de la precitada </w:t>
      </w:r>
      <w:r w:rsidR="00D94F88">
        <w:rPr>
          <w:rFonts w:ascii="Bookman Old Style" w:hAnsi="Bookman Old Style"/>
          <w:iCs/>
        </w:rPr>
        <w:t xml:space="preserve">respuesta </w:t>
      </w:r>
      <w:r w:rsidR="00EC5128">
        <w:rPr>
          <w:rFonts w:ascii="Bookman Old Style" w:hAnsi="Bookman Old Style"/>
          <w:iCs/>
        </w:rPr>
        <w:t xml:space="preserve">de </w:t>
      </w:r>
      <w:r w:rsidR="00D94F88">
        <w:rPr>
          <w:rFonts w:ascii="Bookman Old Style" w:hAnsi="Bookman Old Style"/>
          <w:iCs/>
        </w:rPr>
        <w:t>REFOENERGY</w:t>
      </w:r>
      <w:r>
        <w:rPr>
          <w:rFonts w:ascii="Bookman Old Style" w:hAnsi="Bookman Old Style"/>
          <w:iCs/>
        </w:rPr>
        <w:t xml:space="preserve">, </w:t>
      </w:r>
      <w:r w:rsidR="00EC5128">
        <w:rPr>
          <w:rFonts w:ascii="Bookman Old Style" w:hAnsi="Bookman Old Style"/>
          <w:iCs/>
        </w:rPr>
        <w:t xml:space="preserve">aportó el archivo </w:t>
      </w:r>
      <w:r w:rsidR="00413526">
        <w:rPr>
          <w:rFonts w:ascii="Bookman Old Style" w:hAnsi="Bookman Old Style"/>
          <w:iCs/>
        </w:rPr>
        <w:t>“</w:t>
      </w:r>
      <w:r w:rsidR="00413526" w:rsidRPr="009D40B9">
        <w:rPr>
          <w:rFonts w:ascii="Bookman Old Style" w:hAnsi="Bookman Old Style"/>
          <w:i/>
        </w:rPr>
        <w:t xml:space="preserve">Anexo 4 Planos As </w:t>
      </w:r>
      <w:proofErr w:type="spellStart"/>
      <w:r w:rsidR="00413526" w:rsidRPr="009D40B9">
        <w:rPr>
          <w:rFonts w:ascii="Bookman Old Style" w:hAnsi="Bookman Old Style"/>
          <w:i/>
        </w:rPr>
        <w:t>Built</w:t>
      </w:r>
      <w:proofErr w:type="spellEnd"/>
      <w:r w:rsidR="00413526" w:rsidRPr="009D40B9">
        <w:rPr>
          <w:rFonts w:ascii="Bookman Old Style" w:hAnsi="Bookman Old Style"/>
          <w:i/>
        </w:rPr>
        <w:t xml:space="preserve"> </w:t>
      </w:r>
      <w:proofErr w:type="spellStart"/>
      <w:r w:rsidR="00413526" w:rsidRPr="009D40B9">
        <w:rPr>
          <w:rFonts w:ascii="Bookman Old Style" w:hAnsi="Bookman Old Style"/>
          <w:i/>
        </w:rPr>
        <w:t>Línea</w:t>
      </w:r>
      <w:proofErr w:type="spellEnd"/>
      <w:r w:rsidR="00413526" w:rsidRPr="009D40B9">
        <w:rPr>
          <w:rFonts w:ascii="Bookman Old Style" w:hAnsi="Bookman Old Style"/>
          <w:i/>
        </w:rPr>
        <w:t xml:space="preserve"> 34,5 kV.pdf</w:t>
      </w:r>
      <w:r w:rsidR="00413526">
        <w:rPr>
          <w:rFonts w:ascii="Bookman Old Style" w:hAnsi="Bookman Old Style"/>
          <w:iCs/>
        </w:rPr>
        <w:t>.”</w:t>
      </w:r>
      <w:r w:rsidR="00E72857">
        <w:rPr>
          <w:rFonts w:ascii="Bookman Old Style" w:hAnsi="Bookman Old Style"/>
          <w:iCs/>
        </w:rPr>
        <w:t>, en el que se observa que</w:t>
      </w:r>
      <w:r w:rsidR="009C627B">
        <w:rPr>
          <w:rFonts w:ascii="Bookman Old Style" w:hAnsi="Bookman Old Style"/>
          <w:iCs/>
        </w:rPr>
        <w:t xml:space="preserve"> desde el lote donde </w:t>
      </w:r>
      <w:r w:rsidR="00A25C84">
        <w:rPr>
          <w:rFonts w:ascii="Bookman Old Style" w:hAnsi="Bookman Old Style"/>
          <w:iCs/>
        </w:rPr>
        <w:t xml:space="preserve">se ubica la planta de generación de Biomasa </w:t>
      </w:r>
      <w:r w:rsidR="009C627B">
        <w:rPr>
          <w:rFonts w:ascii="Bookman Old Style" w:hAnsi="Bookman Old Style"/>
          <w:iCs/>
        </w:rPr>
        <w:t xml:space="preserve">ya hay una </w:t>
      </w:r>
      <w:r w:rsidR="00601D7A">
        <w:rPr>
          <w:rFonts w:ascii="Bookman Old Style" w:hAnsi="Bookman Old Style"/>
          <w:iCs/>
        </w:rPr>
        <w:t xml:space="preserve">línea de media tensión </w:t>
      </w:r>
      <w:r w:rsidR="009C627B">
        <w:rPr>
          <w:rFonts w:ascii="Bookman Old Style" w:hAnsi="Bookman Old Style"/>
          <w:iCs/>
        </w:rPr>
        <w:t>de 34.5</w:t>
      </w:r>
      <w:r w:rsidR="00E72857">
        <w:rPr>
          <w:rFonts w:ascii="Bookman Old Style" w:hAnsi="Bookman Old Style"/>
          <w:iCs/>
        </w:rPr>
        <w:t xml:space="preserve"> kV</w:t>
      </w:r>
      <w:r w:rsidR="00567BCF">
        <w:rPr>
          <w:rFonts w:ascii="Bookman Old Style" w:hAnsi="Bookman Old Style"/>
          <w:iCs/>
        </w:rPr>
        <w:t xml:space="preserve">, lo que </w:t>
      </w:r>
      <w:r w:rsidR="000159C0">
        <w:rPr>
          <w:rFonts w:ascii="Bookman Old Style" w:hAnsi="Bookman Old Style"/>
          <w:iCs/>
        </w:rPr>
        <w:t xml:space="preserve">permite establecer que </w:t>
      </w:r>
      <w:r w:rsidR="00567BCF">
        <w:rPr>
          <w:rFonts w:ascii="Bookman Old Style" w:hAnsi="Bookman Old Style"/>
          <w:iCs/>
        </w:rPr>
        <w:t>allí mismo están ubicados los transformadores</w:t>
      </w:r>
      <w:r w:rsidR="000159C0">
        <w:rPr>
          <w:rFonts w:ascii="Bookman Old Style" w:hAnsi="Bookman Old Style"/>
          <w:iCs/>
        </w:rPr>
        <w:t xml:space="preserve"> elevadores</w:t>
      </w:r>
      <w:r w:rsidR="006B7F4F">
        <w:rPr>
          <w:rFonts w:ascii="Bookman Old Style" w:hAnsi="Bookman Old Style"/>
          <w:iCs/>
        </w:rPr>
        <w:t>,</w:t>
      </w:r>
      <w:r w:rsidR="00567BCF">
        <w:rPr>
          <w:rFonts w:ascii="Bookman Old Style" w:hAnsi="Bookman Old Style"/>
          <w:iCs/>
        </w:rPr>
        <w:t xml:space="preserve"> y desde este punto</w:t>
      </w:r>
      <w:r w:rsidR="00D63405">
        <w:rPr>
          <w:rFonts w:ascii="Bookman Old Style" w:hAnsi="Bookman Old Style"/>
          <w:iCs/>
        </w:rPr>
        <w:t xml:space="preserve"> ya se está llevando energía en ese nivel de tensión.</w:t>
      </w:r>
      <w:r w:rsidR="00204FF9">
        <w:rPr>
          <w:rFonts w:ascii="Bookman Old Style" w:hAnsi="Bookman Old Style"/>
          <w:iCs/>
        </w:rPr>
        <w:t xml:space="preserve"> Los </w:t>
      </w:r>
      <w:r w:rsidR="00EC2D13">
        <w:rPr>
          <w:rFonts w:ascii="Bookman Old Style" w:hAnsi="Bookman Old Style"/>
          <w:iCs/>
        </w:rPr>
        <w:t>transformadores elevadores, aun</w:t>
      </w:r>
      <w:r w:rsidR="00CE675E">
        <w:rPr>
          <w:rFonts w:ascii="Bookman Old Style" w:hAnsi="Bookman Old Style"/>
          <w:iCs/>
        </w:rPr>
        <w:t>q</w:t>
      </w:r>
      <w:r w:rsidR="00EC2D13">
        <w:rPr>
          <w:rFonts w:ascii="Bookman Old Style" w:hAnsi="Bookman Old Style"/>
          <w:iCs/>
        </w:rPr>
        <w:t>ue no figuran en el plano de construcción, corresponden a la línea de tensión 34,5 k</w:t>
      </w:r>
      <w:r w:rsidR="00CE675E">
        <w:rPr>
          <w:rFonts w:ascii="Bookman Old Style" w:hAnsi="Bookman Old Style"/>
          <w:iCs/>
        </w:rPr>
        <w:t>V</w:t>
      </w:r>
      <w:r w:rsidR="00EC2D13">
        <w:rPr>
          <w:rFonts w:ascii="Bookman Old Style" w:hAnsi="Bookman Old Style"/>
          <w:iCs/>
        </w:rPr>
        <w:t>, están ubicados dentro de la planta</w:t>
      </w:r>
      <w:r w:rsidR="006B7F4F">
        <w:rPr>
          <w:rFonts w:ascii="Bookman Old Style" w:hAnsi="Bookman Old Style"/>
          <w:iCs/>
        </w:rPr>
        <w:t>,</w:t>
      </w:r>
      <w:r w:rsidR="00EC2D13">
        <w:rPr>
          <w:rFonts w:ascii="Bookman Old Style" w:hAnsi="Bookman Old Style"/>
          <w:iCs/>
        </w:rPr>
        <w:t xml:space="preserve"> y de allí se genera esa línea de interconexión de 34,5.</w:t>
      </w:r>
    </w:p>
    <w:p w14:paraId="2F716A45" w14:textId="77777777" w:rsidR="000F46BD" w:rsidRDefault="000F46BD" w:rsidP="000F46BD">
      <w:pPr>
        <w:ind w:left="284"/>
        <w:jc w:val="both"/>
        <w:rPr>
          <w:rFonts w:ascii="Bookman Old Style" w:hAnsi="Bookman Old Style"/>
          <w:iCs/>
        </w:rPr>
      </w:pPr>
    </w:p>
    <w:p w14:paraId="46FCE8C1" w14:textId="42D87037" w:rsidR="00526D1C" w:rsidRDefault="00526D1C" w:rsidP="00526D1C">
      <w:pPr>
        <w:ind w:left="284"/>
        <w:jc w:val="both"/>
        <w:rPr>
          <w:rFonts w:ascii="Bookman Old Style" w:hAnsi="Bookman Old Style"/>
          <w:iCs/>
        </w:rPr>
      </w:pPr>
      <w:r>
        <w:rPr>
          <w:rFonts w:ascii="Bookman Old Style" w:hAnsi="Bookman Old Style"/>
          <w:iCs/>
        </w:rPr>
        <w:t>Finalmente, dentro del radicado CREG E- 2022-002120, archivo “</w:t>
      </w:r>
      <w:r w:rsidRPr="004A2A36">
        <w:rPr>
          <w:rFonts w:ascii="Bookman Old Style" w:hAnsi="Bookman Old Style"/>
          <w:iCs/>
        </w:rPr>
        <w:t>REB-TEC-049-2022 Respuesta auto de pruebas Rad I-2021-004254 del 30212021</w:t>
      </w:r>
      <w:r>
        <w:rPr>
          <w:rFonts w:ascii="Bookman Old Style" w:hAnsi="Bookman Old Style"/>
          <w:iCs/>
        </w:rPr>
        <w:t>”, REFOENERGY.pdf, atendiendo lo requerido por esta Comisión en el auto de pruebas I- 2021-004254, establece:</w:t>
      </w:r>
    </w:p>
    <w:p w14:paraId="6F7A1A2A" w14:textId="77777777" w:rsidR="00526D1C" w:rsidRDefault="00526D1C" w:rsidP="00526D1C">
      <w:pPr>
        <w:ind w:left="284"/>
        <w:jc w:val="both"/>
        <w:rPr>
          <w:rFonts w:ascii="Bookman Old Style" w:hAnsi="Bookman Old Style"/>
          <w:iCs/>
        </w:rPr>
      </w:pPr>
    </w:p>
    <w:p w14:paraId="3A4AA63C" w14:textId="77777777" w:rsidR="00526D1C" w:rsidRDefault="00526D1C" w:rsidP="00526D1C">
      <w:pPr>
        <w:ind w:left="567"/>
        <w:jc w:val="both"/>
        <w:rPr>
          <w:rFonts w:ascii="Bookman Old Style" w:hAnsi="Bookman Old Style"/>
          <w:i/>
          <w:sz w:val="22"/>
          <w:szCs w:val="22"/>
        </w:rPr>
      </w:pPr>
      <w:r>
        <w:rPr>
          <w:rFonts w:ascii="Bookman Old Style" w:hAnsi="Bookman Old Style"/>
          <w:i/>
          <w:sz w:val="22"/>
          <w:szCs w:val="22"/>
        </w:rPr>
        <w:t>“</w:t>
      </w:r>
      <w:r w:rsidRPr="007C3672">
        <w:rPr>
          <w:rFonts w:ascii="Bookman Old Style" w:hAnsi="Bookman Old Style"/>
          <w:i/>
          <w:sz w:val="22"/>
          <w:szCs w:val="22"/>
        </w:rPr>
        <w:t xml:space="preserve">Es importante aclarar que, según se expuso y presentó a la Comisión durante la visita realizada a la central de generación los días 07 y 08 de septiembre de 2021, </w:t>
      </w:r>
      <w:proofErr w:type="spellStart"/>
      <w:r w:rsidRPr="007C3672">
        <w:rPr>
          <w:rFonts w:ascii="Bookman Old Style" w:hAnsi="Bookman Old Style"/>
          <w:i/>
          <w:sz w:val="22"/>
          <w:szCs w:val="22"/>
        </w:rPr>
        <w:t>Refoenergy</w:t>
      </w:r>
      <w:proofErr w:type="spellEnd"/>
      <w:r w:rsidRPr="007C3672">
        <w:rPr>
          <w:rFonts w:ascii="Bookman Old Style" w:hAnsi="Bookman Old Style"/>
          <w:i/>
          <w:sz w:val="22"/>
          <w:szCs w:val="22"/>
        </w:rPr>
        <w:t xml:space="preserve"> Bita S.A.S. E.S.P. cuenta con una sola Línea de Conexión (la “Línea”) la cual permite transportar la energía generada por la central hacía la Subestación Puerto Carreño, ubicada </w:t>
      </w:r>
      <w:r w:rsidRPr="007C3672">
        <w:rPr>
          <w:rFonts w:ascii="Bookman Old Style" w:hAnsi="Bookman Old Style"/>
          <w:i/>
          <w:sz w:val="22"/>
          <w:szCs w:val="22"/>
          <w:u w:val="single"/>
        </w:rPr>
        <w:t xml:space="preserve">dentro de las instalaciones de </w:t>
      </w:r>
      <w:proofErr w:type="spellStart"/>
      <w:r w:rsidRPr="007C3672">
        <w:rPr>
          <w:rFonts w:ascii="Bookman Old Style" w:hAnsi="Bookman Old Style"/>
          <w:i/>
          <w:sz w:val="22"/>
          <w:szCs w:val="22"/>
          <w:u w:val="single"/>
        </w:rPr>
        <w:t>Electrovichada</w:t>
      </w:r>
      <w:proofErr w:type="spellEnd"/>
      <w:r w:rsidRPr="007C3672">
        <w:rPr>
          <w:rFonts w:ascii="Bookman Old Style" w:hAnsi="Bookman Old Style"/>
          <w:i/>
          <w:sz w:val="22"/>
          <w:szCs w:val="22"/>
          <w:u w:val="single"/>
        </w:rPr>
        <w:t xml:space="preserve"> S.A. E.S.P., para su posterior distribución y comercialización</w:t>
      </w:r>
      <w:r w:rsidRPr="007C3672">
        <w:rPr>
          <w:rFonts w:ascii="Bookman Old Style" w:hAnsi="Bookman Old Style"/>
          <w:i/>
          <w:sz w:val="22"/>
          <w:szCs w:val="22"/>
        </w:rPr>
        <w:t xml:space="preserve"> por parte de la electrificadora.</w:t>
      </w:r>
    </w:p>
    <w:p w14:paraId="5CD811B4" w14:textId="77777777" w:rsidR="00526D1C" w:rsidRDefault="00526D1C" w:rsidP="00526D1C">
      <w:pPr>
        <w:ind w:left="567"/>
        <w:jc w:val="both"/>
        <w:rPr>
          <w:rFonts w:ascii="Bookman Old Style" w:hAnsi="Bookman Old Style"/>
          <w:i/>
          <w:sz w:val="22"/>
          <w:szCs w:val="22"/>
        </w:rPr>
      </w:pPr>
    </w:p>
    <w:p w14:paraId="682C1249" w14:textId="77777777" w:rsidR="00526D1C" w:rsidRPr="009B7766" w:rsidRDefault="00526D1C" w:rsidP="00526D1C">
      <w:pPr>
        <w:ind w:left="567"/>
        <w:jc w:val="both"/>
        <w:rPr>
          <w:rFonts w:ascii="Bookman Old Style" w:hAnsi="Bookman Old Style"/>
          <w:i/>
          <w:sz w:val="22"/>
          <w:szCs w:val="22"/>
        </w:rPr>
      </w:pPr>
      <w:r w:rsidRPr="009B7766">
        <w:rPr>
          <w:rFonts w:ascii="Bookman Old Style" w:hAnsi="Bookman Old Style"/>
          <w:i/>
          <w:sz w:val="22"/>
          <w:szCs w:val="22"/>
        </w:rPr>
        <w:t>En este sentido y con el fin de precisar más sobre la Línea, adjuntamos a la presente</w:t>
      </w:r>
    </w:p>
    <w:p w14:paraId="7DC669EF" w14:textId="77777777" w:rsidR="00526D1C" w:rsidRPr="00492229" w:rsidRDefault="00526D1C" w:rsidP="00526D1C">
      <w:pPr>
        <w:ind w:left="567"/>
        <w:jc w:val="both"/>
        <w:rPr>
          <w:rFonts w:ascii="Bookman Old Style" w:hAnsi="Bookman Old Style"/>
          <w:i/>
          <w:sz w:val="22"/>
          <w:szCs w:val="22"/>
          <w:lang w:val="en-US"/>
        </w:rPr>
      </w:pPr>
      <w:r w:rsidRPr="009B7766">
        <w:rPr>
          <w:rFonts w:ascii="Bookman Old Style" w:hAnsi="Bookman Old Style"/>
          <w:i/>
          <w:sz w:val="22"/>
          <w:szCs w:val="22"/>
        </w:rPr>
        <w:t xml:space="preserve">respuesta los planos As </w:t>
      </w:r>
      <w:proofErr w:type="spellStart"/>
      <w:r w:rsidRPr="009B7766">
        <w:rPr>
          <w:rFonts w:ascii="Bookman Old Style" w:hAnsi="Bookman Old Style"/>
          <w:i/>
          <w:sz w:val="22"/>
          <w:szCs w:val="22"/>
        </w:rPr>
        <w:t>Built</w:t>
      </w:r>
      <w:proofErr w:type="spellEnd"/>
      <w:r w:rsidRPr="009B7766">
        <w:rPr>
          <w:rFonts w:ascii="Bookman Old Style" w:hAnsi="Bookman Old Style"/>
          <w:i/>
          <w:sz w:val="22"/>
          <w:szCs w:val="22"/>
        </w:rPr>
        <w:t xml:space="preserve"> de la </w:t>
      </w:r>
      <w:r w:rsidRPr="009B7766">
        <w:rPr>
          <w:rFonts w:ascii="Bookman Old Style" w:hAnsi="Bookman Old Style"/>
          <w:i/>
          <w:sz w:val="22"/>
          <w:szCs w:val="22"/>
          <w:u w:val="single"/>
        </w:rPr>
        <w:t>línea 34,5 kV</w:t>
      </w:r>
      <w:r w:rsidRPr="009B7766">
        <w:rPr>
          <w:rFonts w:ascii="Bookman Old Style" w:hAnsi="Bookman Old Style"/>
          <w:i/>
          <w:sz w:val="22"/>
          <w:szCs w:val="22"/>
        </w:rPr>
        <w:t xml:space="preserve"> construida. </w:t>
      </w:r>
      <w:r w:rsidRPr="00492229">
        <w:rPr>
          <w:rFonts w:ascii="Bookman Old Style" w:hAnsi="Bookman Old Style"/>
          <w:i/>
          <w:sz w:val="22"/>
          <w:szCs w:val="22"/>
          <w:lang w:val="en-US"/>
        </w:rPr>
        <w:t xml:space="preserve">Anexo 4 </w:t>
      </w:r>
      <w:proofErr w:type="spellStart"/>
      <w:r w:rsidRPr="00492229">
        <w:rPr>
          <w:rFonts w:ascii="Bookman Old Style" w:hAnsi="Bookman Old Style"/>
          <w:i/>
          <w:sz w:val="22"/>
          <w:szCs w:val="22"/>
          <w:lang w:val="en-US"/>
        </w:rPr>
        <w:t>Planos</w:t>
      </w:r>
      <w:proofErr w:type="spellEnd"/>
      <w:r w:rsidRPr="00492229">
        <w:rPr>
          <w:rFonts w:ascii="Bookman Old Style" w:hAnsi="Bookman Old Style"/>
          <w:i/>
          <w:sz w:val="22"/>
          <w:szCs w:val="22"/>
          <w:lang w:val="en-US"/>
        </w:rPr>
        <w:t xml:space="preserve"> </w:t>
      </w:r>
      <w:proofErr w:type="gramStart"/>
      <w:r w:rsidRPr="00492229">
        <w:rPr>
          <w:rFonts w:ascii="Bookman Old Style" w:hAnsi="Bookman Old Style"/>
          <w:i/>
          <w:sz w:val="22"/>
          <w:szCs w:val="22"/>
          <w:lang w:val="en-US"/>
        </w:rPr>
        <w:t>As</w:t>
      </w:r>
      <w:proofErr w:type="gramEnd"/>
      <w:r w:rsidRPr="00492229">
        <w:rPr>
          <w:rFonts w:ascii="Bookman Old Style" w:hAnsi="Bookman Old Style"/>
          <w:i/>
          <w:sz w:val="22"/>
          <w:szCs w:val="22"/>
          <w:lang w:val="en-US"/>
        </w:rPr>
        <w:t xml:space="preserve"> Built</w:t>
      </w:r>
    </w:p>
    <w:p w14:paraId="3FDAF9D9" w14:textId="77777777" w:rsidR="00526D1C" w:rsidRDefault="00526D1C" w:rsidP="00526D1C">
      <w:pPr>
        <w:ind w:left="567"/>
        <w:jc w:val="both"/>
        <w:rPr>
          <w:rFonts w:ascii="Bookman Old Style" w:hAnsi="Bookman Old Style"/>
          <w:iCs/>
          <w:sz w:val="22"/>
          <w:szCs w:val="22"/>
        </w:rPr>
      </w:pPr>
      <w:proofErr w:type="spellStart"/>
      <w:r w:rsidRPr="00492229">
        <w:rPr>
          <w:rFonts w:ascii="Bookman Old Style" w:hAnsi="Bookman Old Style"/>
          <w:i/>
          <w:sz w:val="22"/>
          <w:szCs w:val="22"/>
          <w:lang w:val="en-US"/>
        </w:rPr>
        <w:t>Línea</w:t>
      </w:r>
      <w:proofErr w:type="spellEnd"/>
      <w:r w:rsidRPr="00492229">
        <w:rPr>
          <w:rFonts w:ascii="Bookman Old Style" w:hAnsi="Bookman Old Style"/>
          <w:i/>
          <w:sz w:val="22"/>
          <w:szCs w:val="22"/>
          <w:lang w:val="en-US"/>
        </w:rPr>
        <w:t xml:space="preserve"> 34,5 kV.” </w:t>
      </w:r>
      <w:r w:rsidRPr="00F8209F">
        <w:rPr>
          <w:rFonts w:ascii="Bookman Old Style" w:hAnsi="Bookman Old Style"/>
          <w:iCs/>
          <w:sz w:val="22"/>
          <w:szCs w:val="22"/>
        </w:rPr>
        <w:t>Subrayado fuera de texto</w:t>
      </w:r>
    </w:p>
    <w:p w14:paraId="4EAFD5C5" w14:textId="77777777" w:rsidR="00526D1C" w:rsidRDefault="00526D1C" w:rsidP="00526D1C">
      <w:pPr>
        <w:ind w:left="567"/>
        <w:jc w:val="both"/>
        <w:rPr>
          <w:rFonts w:ascii="Bookman Old Style" w:hAnsi="Bookman Old Style"/>
          <w:i/>
          <w:sz w:val="22"/>
          <w:szCs w:val="22"/>
        </w:rPr>
      </w:pPr>
    </w:p>
    <w:p w14:paraId="4AA8BB89" w14:textId="70257482" w:rsidR="00526D1C" w:rsidRPr="00B10CFE" w:rsidRDefault="00526D1C" w:rsidP="00526D1C">
      <w:pPr>
        <w:ind w:left="284"/>
        <w:jc w:val="both"/>
        <w:rPr>
          <w:rFonts w:ascii="Bookman Old Style" w:hAnsi="Bookman Old Style"/>
          <w:iCs/>
        </w:rPr>
      </w:pPr>
      <w:r w:rsidRPr="00B10CFE">
        <w:rPr>
          <w:rFonts w:ascii="Bookman Old Style" w:hAnsi="Bookman Old Style"/>
          <w:iCs/>
        </w:rPr>
        <w:t xml:space="preserve">En el marco de la respuesta emitida por REFOENERGY, debe considerarse que la línea de tensión en mención corresponde a </w:t>
      </w:r>
      <w:r w:rsidR="00F43E8A">
        <w:rPr>
          <w:rFonts w:ascii="Bookman Old Style" w:hAnsi="Bookman Old Style"/>
          <w:iCs/>
        </w:rPr>
        <w:t>n</w:t>
      </w:r>
      <w:r w:rsidRPr="00B10CFE">
        <w:rPr>
          <w:rFonts w:ascii="Bookman Old Style" w:hAnsi="Bookman Old Style"/>
          <w:iCs/>
        </w:rPr>
        <w:t xml:space="preserve">ivel 3, </w:t>
      </w:r>
      <w:r>
        <w:rPr>
          <w:rFonts w:ascii="Bookman Old Style" w:hAnsi="Bookman Old Style"/>
          <w:iCs/>
        </w:rPr>
        <w:t>que dentro de la metodología tarifaria vigente corresponde a la componente de Distribución, con lo cual esta Comisión</w:t>
      </w:r>
      <w:r w:rsidR="006B7F4F">
        <w:rPr>
          <w:rFonts w:ascii="Bookman Old Style" w:hAnsi="Bookman Old Style"/>
          <w:iCs/>
        </w:rPr>
        <w:t>,</w:t>
      </w:r>
      <w:r w:rsidR="005A0069">
        <w:rPr>
          <w:rFonts w:ascii="Bookman Old Style" w:hAnsi="Bookman Old Style"/>
          <w:iCs/>
        </w:rPr>
        <w:t xml:space="preserve"> mediante Auto I2022006897</w:t>
      </w:r>
      <w:r w:rsidR="006B7F4F">
        <w:rPr>
          <w:rFonts w:ascii="Bookman Old Style" w:hAnsi="Bookman Old Style"/>
          <w:iCs/>
        </w:rPr>
        <w:t>,</w:t>
      </w:r>
      <w:r>
        <w:rPr>
          <w:rFonts w:ascii="Bookman Old Style" w:hAnsi="Bookman Old Style"/>
          <w:iCs/>
        </w:rPr>
        <w:t xml:space="preserve"> inició la actuación administrativa para definir el reconocimiento de costos asociad</w:t>
      </w:r>
      <w:r w:rsidR="006B7F4F">
        <w:rPr>
          <w:rFonts w:ascii="Bookman Old Style" w:hAnsi="Bookman Old Style"/>
          <w:iCs/>
        </w:rPr>
        <w:t>os</w:t>
      </w:r>
      <w:r>
        <w:rPr>
          <w:rFonts w:ascii="Bookman Old Style" w:hAnsi="Bookman Old Style"/>
          <w:iCs/>
        </w:rPr>
        <w:t xml:space="preserve"> a esta actividad</w:t>
      </w:r>
      <w:r w:rsidR="004C5418">
        <w:rPr>
          <w:rFonts w:ascii="Bookman Old Style" w:hAnsi="Bookman Old Style"/>
          <w:iCs/>
        </w:rPr>
        <w:t>,</w:t>
      </w:r>
      <w:r w:rsidR="00F43E8A">
        <w:rPr>
          <w:rFonts w:ascii="Bookman Old Style" w:hAnsi="Bookman Old Style"/>
          <w:iCs/>
        </w:rPr>
        <w:t xml:space="preserve"> </w:t>
      </w:r>
      <w:r w:rsidR="005A0069">
        <w:rPr>
          <w:rFonts w:ascii="Bookman Old Style" w:hAnsi="Bookman Old Style"/>
          <w:iCs/>
        </w:rPr>
        <w:t xml:space="preserve">expediente </w:t>
      </w:r>
      <w:r w:rsidR="00721FE8">
        <w:rPr>
          <w:rFonts w:ascii="Bookman Old Style" w:hAnsi="Bookman Old Style"/>
          <w:iCs/>
        </w:rPr>
        <w:t>2022-0083</w:t>
      </w:r>
      <w:r>
        <w:rPr>
          <w:rFonts w:ascii="Bookman Old Style" w:hAnsi="Bookman Old Style"/>
          <w:iCs/>
        </w:rPr>
        <w:t>.</w:t>
      </w:r>
    </w:p>
    <w:p w14:paraId="462F4FDC" w14:textId="086C27F1" w:rsidR="00526D1C" w:rsidRDefault="00526D1C" w:rsidP="00526D1C">
      <w:pPr>
        <w:ind w:left="284"/>
        <w:jc w:val="both"/>
        <w:rPr>
          <w:rFonts w:ascii="Bookman Old Style" w:hAnsi="Bookman Old Style"/>
          <w:iCs/>
        </w:rPr>
      </w:pPr>
    </w:p>
    <w:p w14:paraId="17EE2D07" w14:textId="5D07A44E" w:rsidR="00526D1C" w:rsidRDefault="004264C5" w:rsidP="0088039C">
      <w:pPr>
        <w:ind w:left="284"/>
        <w:jc w:val="both"/>
        <w:rPr>
          <w:rFonts w:ascii="Bookman Old Style" w:hAnsi="Bookman Old Style"/>
          <w:iCs/>
        </w:rPr>
      </w:pPr>
      <w:r>
        <w:rPr>
          <w:rFonts w:ascii="Bookman Old Style" w:hAnsi="Bookman Old Style"/>
          <w:iCs/>
        </w:rPr>
        <w:t>En co</w:t>
      </w:r>
      <w:r w:rsidR="00F24848">
        <w:rPr>
          <w:rFonts w:ascii="Bookman Old Style" w:hAnsi="Bookman Old Style"/>
          <w:iCs/>
        </w:rPr>
        <w:t xml:space="preserve">ncordancia con lo anterior, </w:t>
      </w:r>
      <w:r w:rsidR="007B4B43" w:rsidRPr="007B4B43">
        <w:rPr>
          <w:rFonts w:ascii="Bookman Old Style" w:hAnsi="Bookman Old Style"/>
          <w:iCs/>
        </w:rPr>
        <w:t>no procede lo solicitado por REFOENERGY</w:t>
      </w:r>
      <w:r w:rsidR="007B4B43" w:rsidRPr="007B4B43" w:rsidDel="00F24848">
        <w:rPr>
          <w:rFonts w:ascii="Bookman Old Style" w:hAnsi="Bookman Old Style"/>
          <w:iCs/>
        </w:rPr>
        <w:t xml:space="preserve"> </w:t>
      </w:r>
      <w:r w:rsidR="007B4B43" w:rsidRPr="00AC7433">
        <w:rPr>
          <w:rFonts w:ascii="Bookman Old Style" w:hAnsi="Bookman Old Style"/>
        </w:rPr>
        <w:t xml:space="preserve">en lo que tiene que ver con </w:t>
      </w:r>
      <w:r w:rsidR="007B4B43">
        <w:rPr>
          <w:rFonts w:ascii="Bookman Old Style" w:hAnsi="Bookman Old Style"/>
        </w:rPr>
        <w:t>los activos de conexión</w:t>
      </w:r>
      <w:r w:rsidR="006B7F4F">
        <w:rPr>
          <w:rFonts w:ascii="Bookman Old Style" w:hAnsi="Bookman Old Style"/>
        </w:rPr>
        <w:t>,</w:t>
      </w:r>
      <w:r w:rsidR="007B4B43" w:rsidDel="00F24848">
        <w:rPr>
          <w:rFonts w:ascii="Bookman Old Style" w:hAnsi="Bookman Old Style"/>
          <w:iCs/>
        </w:rPr>
        <w:t xml:space="preserve"> </w:t>
      </w:r>
      <w:r w:rsidR="005041EE">
        <w:rPr>
          <w:rFonts w:ascii="Bookman Old Style" w:hAnsi="Bookman Old Style"/>
          <w:iCs/>
        </w:rPr>
        <w:t>y</w:t>
      </w:r>
      <w:r w:rsidR="006B7F4F">
        <w:rPr>
          <w:rFonts w:ascii="Bookman Old Style" w:hAnsi="Bookman Old Style"/>
          <w:iCs/>
        </w:rPr>
        <w:t xml:space="preserve"> </w:t>
      </w:r>
      <w:r w:rsidR="00F24848">
        <w:rPr>
          <w:rFonts w:ascii="Bookman Old Style" w:hAnsi="Bookman Old Style"/>
          <w:iCs/>
        </w:rPr>
        <w:t>e</w:t>
      </w:r>
      <w:r w:rsidR="00F24848" w:rsidRPr="00F7707C">
        <w:rPr>
          <w:rFonts w:ascii="Bookman Old Style" w:hAnsi="Bookman Old Style"/>
          <w:iCs/>
        </w:rPr>
        <w:t xml:space="preserve">sta </w:t>
      </w:r>
      <w:r w:rsidR="0088039C" w:rsidRPr="00F7707C">
        <w:rPr>
          <w:rFonts w:ascii="Bookman Old Style" w:hAnsi="Bookman Old Style"/>
          <w:iCs/>
        </w:rPr>
        <w:t>Comisión se abstiene de pronunciarse en la presente actuación, en el sentido de definir cuál es el proceso que deberán acordar Generador-Distribuidor para el traslado de costos en los que se incurrió en la construcción de dicha línea de 34.5 kV</w:t>
      </w:r>
      <w:r w:rsidR="0088039C">
        <w:rPr>
          <w:rFonts w:ascii="Bookman Old Style" w:hAnsi="Bookman Old Style"/>
          <w:iCs/>
        </w:rPr>
        <w:t>.</w:t>
      </w:r>
    </w:p>
    <w:p w14:paraId="300421DB" w14:textId="29938961" w:rsidR="00F7707C" w:rsidRDefault="00F7707C" w:rsidP="009C627B">
      <w:pPr>
        <w:jc w:val="both"/>
        <w:rPr>
          <w:rFonts w:ascii="Bookman Old Style" w:hAnsi="Bookman Old Style"/>
          <w:iCs/>
        </w:rPr>
      </w:pPr>
    </w:p>
    <w:p w14:paraId="5878A2A6" w14:textId="77777777" w:rsidR="00881F23" w:rsidRPr="00881F23" w:rsidRDefault="00881F23" w:rsidP="00496578">
      <w:pPr>
        <w:ind w:left="284"/>
        <w:jc w:val="both"/>
        <w:rPr>
          <w:rFonts w:ascii="Bookman Old Style" w:hAnsi="Bookman Old Style"/>
          <w:b/>
          <w:bCs/>
          <w:i/>
          <w:iCs/>
        </w:rPr>
      </w:pPr>
      <w:r w:rsidRPr="00881F23">
        <w:rPr>
          <w:rFonts w:ascii="Bookman Old Style" w:hAnsi="Bookman Old Style"/>
          <w:b/>
          <w:bCs/>
          <w:i/>
          <w:iCs/>
        </w:rPr>
        <w:t>3.5. CERE “Costo Equivalente Real de Energía”</w:t>
      </w:r>
    </w:p>
    <w:p w14:paraId="27049A97" w14:textId="5AC236DF" w:rsidR="00881F23" w:rsidRPr="00C575EB" w:rsidRDefault="00881F23" w:rsidP="00C575EB">
      <w:pPr>
        <w:ind w:left="142"/>
        <w:jc w:val="both"/>
        <w:rPr>
          <w:rFonts w:ascii="Bookman Old Style" w:hAnsi="Bookman Old Style"/>
          <w:bCs/>
          <w:iCs/>
        </w:rPr>
      </w:pPr>
    </w:p>
    <w:p w14:paraId="48639D37" w14:textId="168AF9C8" w:rsidR="00881F23" w:rsidRPr="00496578" w:rsidRDefault="00C575EB" w:rsidP="00496578">
      <w:pPr>
        <w:ind w:left="567"/>
        <w:jc w:val="both"/>
        <w:rPr>
          <w:rFonts w:ascii="Bookman Old Style" w:hAnsi="Bookman Old Style"/>
          <w:i/>
          <w:iCs/>
          <w:sz w:val="22"/>
          <w:szCs w:val="22"/>
        </w:rPr>
      </w:pPr>
      <w:r w:rsidRPr="00496578">
        <w:rPr>
          <w:rFonts w:ascii="Bookman Old Style" w:hAnsi="Bookman Old Style"/>
          <w:i/>
          <w:iCs/>
          <w:sz w:val="22"/>
          <w:szCs w:val="22"/>
        </w:rPr>
        <w:t>“</w:t>
      </w:r>
      <w:r w:rsidR="00881F23" w:rsidRPr="00496578">
        <w:rPr>
          <w:rFonts w:ascii="Bookman Old Style" w:hAnsi="Bookman Old Style"/>
          <w:i/>
          <w:iCs/>
          <w:sz w:val="22"/>
          <w:szCs w:val="22"/>
        </w:rPr>
        <w:t xml:space="preserve">Por lo tanto, en aplicación del art. 23 de la Ley 143 de 1994, se solicita a la CREG calcular el CERE a incluir como componente de RESPALDO (continuidad – firmeza), en la fórmula de determinación del cargo máximo de generación de la Planta Hibrida Diesel Biomasa de </w:t>
      </w:r>
      <w:proofErr w:type="spellStart"/>
      <w:r w:rsidR="00881F23" w:rsidRPr="00496578">
        <w:rPr>
          <w:rFonts w:ascii="Bookman Old Style" w:hAnsi="Bookman Old Style"/>
          <w:i/>
          <w:iCs/>
          <w:sz w:val="22"/>
          <w:szCs w:val="22"/>
        </w:rPr>
        <w:t>Refoenergy</w:t>
      </w:r>
      <w:proofErr w:type="spellEnd"/>
      <w:r w:rsidR="00881F23" w:rsidRPr="00496578">
        <w:rPr>
          <w:rFonts w:ascii="Bookman Old Style" w:hAnsi="Bookman Old Style"/>
          <w:i/>
          <w:iCs/>
          <w:sz w:val="22"/>
          <w:szCs w:val="22"/>
        </w:rPr>
        <w:t xml:space="preserve"> en Puerto Carreño de conformidad con los parámetros que incorporó la UPME en el Plan de Expansión con energías renovables para las Zonas NO INTERCONECTADAS</w:t>
      </w:r>
      <w:r w:rsidR="006C1658" w:rsidRPr="00496578">
        <w:rPr>
          <w:rFonts w:ascii="Bookman Old Style" w:hAnsi="Bookman Old Style"/>
          <w:i/>
          <w:iCs/>
          <w:sz w:val="22"/>
          <w:szCs w:val="22"/>
        </w:rPr>
        <w:t xml:space="preserve"> </w:t>
      </w:r>
      <w:r w:rsidR="00881F23" w:rsidRPr="00496578">
        <w:rPr>
          <w:rFonts w:ascii="Bookman Old Style" w:hAnsi="Bookman Old Style"/>
          <w:i/>
          <w:iCs/>
          <w:sz w:val="22"/>
          <w:szCs w:val="22"/>
        </w:rPr>
        <w:t>desde 2002. El componente de respaldo DIESEL (máximo 10% de USD 17.88/</w:t>
      </w:r>
      <w:proofErr w:type="spellStart"/>
      <w:r w:rsidR="00881F23" w:rsidRPr="00496578">
        <w:rPr>
          <w:rFonts w:ascii="Bookman Old Style" w:hAnsi="Bookman Old Style"/>
          <w:i/>
          <w:iCs/>
          <w:sz w:val="22"/>
          <w:szCs w:val="22"/>
        </w:rPr>
        <w:t>MWh</w:t>
      </w:r>
      <w:proofErr w:type="spellEnd"/>
      <w:r w:rsidR="00881F23" w:rsidRPr="00496578">
        <w:rPr>
          <w:rFonts w:ascii="Bookman Old Style" w:hAnsi="Bookman Old Style"/>
          <w:i/>
          <w:iCs/>
          <w:sz w:val="22"/>
          <w:szCs w:val="22"/>
        </w:rPr>
        <w:t xml:space="preserve">.) fue claramente identificado en la solicitud de cargo máximo de generación para la Planta Hibrida Diesel – Biomasa de </w:t>
      </w:r>
      <w:proofErr w:type="spellStart"/>
      <w:r w:rsidR="00881F23" w:rsidRPr="00496578">
        <w:rPr>
          <w:rFonts w:ascii="Bookman Old Style" w:hAnsi="Bookman Old Style"/>
          <w:i/>
          <w:iCs/>
          <w:sz w:val="22"/>
          <w:szCs w:val="22"/>
        </w:rPr>
        <w:t>Refoenergy</w:t>
      </w:r>
      <w:proofErr w:type="spellEnd"/>
      <w:r w:rsidR="00881F23" w:rsidRPr="00496578">
        <w:rPr>
          <w:rFonts w:ascii="Bookman Old Style" w:hAnsi="Bookman Old Style"/>
          <w:i/>
          <w:iCs/>
          <w:sz w:val="22"/>
          <w:szCs w:val="22"/>
        </w:rPr>
        <w:t xml:space="preserve"> en Puerto Carreño.</w:t>
      </w:r>
    </w:p>
    <w:p w14:paraId="30932AC9" w14:textId="77777777" w:rsidR="00881F23" w:rsidRPr="00496578" w:rsidRDefault="00881F23" w:rsidP="00496578">
      <w:pPr>
        <w:ind w:left="567"/>
        <w:jc w:val="both"/>
        <w:rPr>
          <w:rFonts w:ascii="Bookman Old Style" w:hAnsi="Bookman Old Style"/>
          <w:i/>
          <w:iCs/>
          <w:sz w:val="22"/>
          <w:szCs w:val="22"/>
        </w:rPr>
      </w:pPr>
    </w:p>
    <w:p w14:paraId="566C9AAB" w14:textId="3A2D123C" w:rsidR="00881F23" w:rsidRPr="00C575EB" w:rsidRDefault="00881F23" w:rsidP="00905ABC">
      <w:pPr>
        <w:ind w:left="284"/>
        <w:jc w:val="both"/>
        <w:rPr>
          <w:rFonts w:ascii="Bookman Old Style" w:hAnsi="Bookman Old Style"/>
          <w:i/>
        </w:rPr>
      </w:pPr>
      <w:r w:rsidRPr="00881F23">
        <w:rPr>
          <w:rFonts w:ascii="Bookman Old Style" w:hAnsi="Bookman Old Style"/>
        </w:rPr>
        <w:t>El concepto invocado por REFOENERGY en lo que respecta al CERE, fijado en la Resolución</w:t>
      </w:r>
      <w:r w:rsidRPr="00881F23">
        <w:rPr>
          <w:rFonts w:ascii="Bookman Old Style" w:hAnsi="Bookman Old Style"/>
          <w:i/>
          <w:iCs/>
        </w:rPr>
        <w:t xml:space="preserve"> CREG 116 de 1996, </w:t>
      </w:r>
      <w:r w:rsidRPr="00C575EB">
        <w:rPr>
          <w:rFonts w:ascii="Bookman Old Style" w:hAnsi="Bookman Old Style"/>
          <w:i/>
          <w:iCs/>
        </w:rPr>
        <w:t xml:space="preserve">“Por la cual se precisa el método de cálculo del Cargo por Capacidad en el Mercado Mayorista de Electricidad y se aplaza su fecha de </w:t>
      </w:r>
      <w:proofErr w:type="gramStart"/>
      <w:r w:rsidRPr="00C575EB">
        <w:rPr>
          <w:rFonts w:ascii="Bookman Old Style" w:hAnsi="Bookman Old Style"/>
          <w:i/>
          <w:iCs/>
        </w:rPr>
        <w:t>entrada en vigencia</w:t>
      </w:r>
      <w:proofErr w:type="gramEnd"/>
      <w:r w:rsidRPr="00C575EB">
        <w:rPr>
          <w:rFonts w:ascii="Bookman Old Style" w:hAnsi="Bookman Old Style"/>
          <w:i/>
          <w:iCs/>
        </w:rPr>
        <w:t xml:space="preserve">”, </w:t>
      </w:r>
      <w:r w:rsidRPr="00C575EB">
        <w:rPr>
          <w:rFonts w:ascii="Bookman Old Style" w:hAnsi="Bookman Old Style"/>
          <w:i/>
        </w:rPr>
        <w:t>incluye dentro del anexo No. 2 el cálculo tal y como se ilustra a continuación:</w:t>
      </w:r>
    </w:p>
    <w:p w14:paraId="1F767C4C" w14:textId="77777777" w:rsidR="00881F23" w:rsidRPr="00C575EB" w:rsidRDefault="00881F23" w:rsidP="00881F23">
      <w:pPr>
        <w:jc w:val="both"/>
        <w:rPr>
          <w:rFonts w:ascii="Bookman Old Style" w:hAnsi="Bookman Old Style"/>
          <w:i/>
          <w:iCs/>
        </w:rPr>
      </w:pPr>
    </w:p>
    <w:p w14:paraId="1C8083BF" w14:textId="768EDBC6" w:rsidR="00F84811" w:rsidRPr="00F84811" w:rsidRDefault="00881F23" w:rsidP="00F84811">
      <w:pPr>
        <w:shd w:val="clear" w:color="auto" w:fill="FFFFFF"/>
        <w:ind w:left="567"/>
        <w:rPr>
          <w:rFonts w:ascii="Bookman Old Style" w:hAnsi="Bookman Old Style" w:cs="Arial"/>
          <w:i/>
          <w:iCs/>
          <w:color w:val="000000"/>
          <w:sz w:val="22"/>
          <w:szCs w:val="22"/>
        </w:rPr>
      </w:pPr>
      <w:r w:rsidRPr="00881F23">
        <w:rPr>
          <w:rFonts w:ascii="Bookman Old Style" w:hAnsi="Bookman Old Style" w:cs="Arial"/>
          <w:b/>
          <w:bCs/>
          <w:i/>
          <w:iCs/>
          <w:color w:val="000000"/>
          <w:sz w:val="22"/>
          <w:szCs w:val="22"/>
        </w:rPr>
        <w:t>“Cálculo del Costo Equivalente Real en Energía del Cargo por Capacidad Real (CERE)</w:t>
      </w:r>
      <w:r w:rsidRPr="00881F23">
        <w:rPr>
          <w:rFonts w:ascii="Bookman Old Style" w:hAnsi="Bookman Old Style"/>
          <w:i/>
          <w:iCs/>
          <w:color w:val="000000"/>
          <w:sz w:val="22"/>
          <w:szCs w:val="22"/>
        </w:rPr>
        <w:br/>
      </w:r>
      <w:r w:rsidRPr="00881F23">
        <w:rPr>
          <w:rFonts w:ascii="Bookman Old Style" w:hAnsi="Bookman Old Style"/>
          <w:i/>
          <w:iCs/>
          <w:color w:val="000000"/>
          <w:sz w:val="22"/>
          <w:szCs w:val="22"/>
        </w:rPr>
        <w:br/>
      </w:r>
      <w:r w:rsidRPr="00881F23">
        <w:rPr>
          <w:rFonts w:ascii="Bookman Old Style" w:hAnsi="Bookman Old Style" w:cs="Arial"/>
          <w:i/>
          <w:iCs/>
          <w:color w:val="000000"/>
          <w:sz w:val="22"/>
          <w:szCs w:val="22"/>
        </w:rPr>
        <w:t>Para efectos de liquidación y facturación cada mes se usará el CERE, que será calculado mediante la fórmula:</w:t>
      </w:r>
    </w:p>
    <w:p w14:paraId="094AFFAC" w14:textId="77777777" w:rsidR="00F84811" w:rsidRDefault="00F84811" w:rsidP="00F84811">
      <w:pPr>
        <w:shd w:val="clear" w:color="auto" w:fill="FFFFFF"/>
        <w:rPr>
          <w:rFonts w:ascii="Bookman Old Style" w:hAnsi="Bookman Old Style"/>
          <w:i/>
          <w:iCs/>
          <w:color w:val="000000"/>
          <w:sz w:val="22"/>
          <w:szCs w:val="22"/>
        </w:rPr>
      </w:pPr>
    </w:p>
    <w:p w14:paraId="67ED7A7A" w14:textId="070879F2" w:rsidR="00F84811" w:rsidRDefault="00F84811" w:rsidP="00F84811">
      <w:pPr>
        <w:shd w:val="clear" w:color="auto" w:fill="FFFFFF"/>
        <w:ind w:left="567"/>
        <w:rPr>
          <w:rFonts w:ascii="Bookman Old Style" w:hAnsi="Bookman Old Style" w:cs="Arial"/>
          <w:i/>
          <w:iCs/>
          <w:color w:val="000000"/>
          <w:sz w:val="22"/>
          <w:szCs w:val="22"/>
        </w:rPr>
      </w:pPr>
      <m:oMathPara>
        <m:oMath>
          <m:r>
            <w:rPr>
              <w:rFonts w:ascii="Cambria Math" w:hAnsi="Cambria Math"/>
              <w:color w:val="000000"/>
              <w:sz w:val="22"/>
              <w:szCs w:val="22"/>
            </w:rPr>
            <m:t>CERE=</m:t>
          </m:r>
          <m:f>
            <m:fPr>
              <m:ctrlPr>
                <w:rPr>
                  <w:rFonts w:ascii="Cambria Math" w:hAnsi="Cambria Math"/>
                  <w:i/>
                  <w:iCs/>
                  <w:color w:val="000000"/>
                  <w:sz w:val="22"/>
                  <w:szCs w:val="22"/>
                </w:rPr>
              </m:ctrlPr>
            </m:fPr>
            <m:num>
              <m:r>
                <w:rPr>
                  <w:rFonts w:ascii="Cambria Math" w:hAnsi="Cambria Math"/>
                  <w:color w:val="000000"/>
                  <w:sz w:val="22"/>
                  <w:szCs w:val="22"/>
                </w:rPr>
                <m:t>CRR × VMC</m:t>
              </m:r>
            </m:num>
            <m:den>
              <m:r>
                <w:rPr>
                  <w:rFonts w:ascii="Cambria Math" w:hAnsi="Cambria Math"/>
                  <w:color w:val="000000"/>
                  <w:sz w:val="22"/>
                  <w:szCs w:val="22"/>
                </w:rPr>
                <m:t>ETDR</m:t>
              </m:r>
            </m:den>
          </m:f>
          <m:r>
            <m:rPr>
              <m:sty m:val="p"/>
            </m:rPr>
            <w:rPr>
              <w:rFonts w:ascii="Bookman Old Style" w:hAnsi="Bookman Old Style"/>
              <w:color w:val="000000"/>
              <w:sz w:val="22"/>
              <w:szCs w:val="22"/>
            </w:rPr>
            <w:br/>
          </m:r>
        </m:oMath>
      </m:oMathPara>
    </w:p>
    <w:p w14:paraId="2429D2FA" w14:textId="44E9BF8F" w:rsidR="00881F23" w:rsidRPr="00881F23" w:rsidRDefault="00881F23" w:rsidP="00905ABC">
      <w:pPr>
        <w:shd w:val="clear" w:color="auto" w:fill="FFFFFF"/>
        <w:ind w:left="567"/>
        <w:rPr>
          <w:rFonts w:ascii="Bookman Old Style" w:hAnsi="Bookman Old Style" w:cs="Arial"/>
          <w:i/>
          <w:iCs/>
          <w:color w:val="000000"/>
          <w:sz w:val="22"/>
          <w:szCs w:val="22"/>
        </w:rPr>
      </w:pPr>
      <w:r w:rsidRPr="00881F23">
        <w:rPr>
          <w:rFonts w:ascii="Bookman Old Style" w:hAnsi="Bookman Old Style" w:cs="Arial"/>
          <w:i/>
          <w:iCs/>
          <w:color w:val="000000"/>
          <w:sz w:val="22"/>
          <w:szCs w:val="22"/>
        </w:rPr>
        <w:t xml:space="preserve">donde ETDR es la Energía Total Demandada Real en el </w:t>
      </w:r>
      <w:r w:rsidRPr="00F012AC">
        <w:rPr>
          <w:rFonts w:ascii="Bookman Old Style" w:hAnsi="Bookman Old Style" w:cs="Arial"/>
          <w:i/>
          <w:iCs/>
          <w:color w:val="000000"/>
          <w:sz w:val="22"/>
          <w:szCs w:val="22"/>
          <w:u w:val="single"/>
        </w:rPr>
        <w:t>SIN</w:t>
      </w:r>
      <w:r w:rsidRPr="00881F23">
        <w:rPr>
          <w:rFonts w:ascii="Bookman Old Style" w:hAnsi="Bookman Old Style" w:cs="Arial"/>
          <w:i/>
          <w:iCs/>
          <w:color w:val="000000"/>
          <w:sz w:val="22"/>
          <w:szCs w:val="22"/>
        </w:rPr>
        <w:t xml:space="preserve"> para cada mes.”</w:t>
      </w:r>
      <w:r w:rsidR="00F012AC">
        <w:rPr>
          <w:rFonts w:ascii="Bookman Old Style" w:hAnsi="Bookman Old Style" w:cs="Arial"/>
          <w:i/>
          <w:iCs/>
          <w:color w:val="000000"/>
          <w:sz w:val="22"/>
          <w:szCs w:val="22"/>
        </w:rPr>
        <w:t xml:space="preserve"> </w:t>
      </w:r>
      <w:r w:rsidR="00F012AC" w:rsidRPr="00F012AC">
        <w:rPr>
          <w:rFonts w:ascii="Bookman Old Style" w:hAnsi="Bookman Old Style" w:cs="Arial"/>
          <w:color w:val="000000"/>
          <w:sz w:val="22"/>
          <w:szCs w:val="22"/>
        </w:rPr>
        <w:t>Su</w:t>
      </w:r>
      <w:r w:rsidR="00F012AC">
        <w:rPr>
          <w:rFonts w:ascii="Bookman Old Style" w:hAnsi="Bookman Old Style" w:cs="Arial"/>
          <w:color w:val="000000"/>
          <w:sz w:val="22"/>
          <w:szCs w:val="22"/>
        </w:rPr>
        <w:t>b</w:t>
      </w:r>
      <w:r w:rsidR="00F012AC" w:rsidRPr="00F012AC">
        <w:rPr>
          <w:rFonts w:ascii="Bookman Old Style" w:hAnsi="Bookman Old Style" w:cs="Arial"/>
          <w:color w:val="000000"/>
          <w:sz w:val="22"/>
          <w:szCs w:val="22"/>
        </w:rPr>
        <w:t>rayado fuera de texto</w:t>
      </w:r>
    </w:p>
    <w:p w14:paraId="738F8959" w14:textId="77777777" w:rsidR="00881F23" w:rsidRPr="00881F23" w:rsidRDefault="00881F23" w:rsidP="00881F23">
      <w:pPr>
        <w:shd w:val="clear" w:color="auto" w:fill="FFFFFF"/>
        <w:ind w:left="284"/>
        <w:jc w:val="both"/>
        <w:rPr>
          <w:rFonts w:ascii="Bookman Old Style" w:hAnsi="Bookman Old Style" w:cs="Arial"/>
          <w:i/>
          <w:iCs/>
          <w:color w:val="000000"/>
        </w:rPr>
      </w:pPr>
    </w:p>
    <w:p w14:paraId="649514F0" w14:textId="2C050FBB" w:rsidR="00881F23" w:rsidRPr="00881F23" w:rsidRDefault="00881F23" w:rsidP="005A68D1">
      <w:pPr>
        <w:shd w:val="clear" w:color="auto" w:fill="FFFFFF"/>
        <w:ind w:left="284"/>
        <w:jc w:val="both"/>
        <w:rPr>
          <w:rFonts w:ascii="Bookman Old Style" w:hAnsi="Bookman Old Style" w:cs="Arial"/>
          <w:color w:val="000000"/>
        </w:rPr>
      </w:pPr>
      <w:r w:rsidRPr="00881F23">
        <w:rPr>
          <w:rFonts w:ascii="Bookman Old Style" w:hAnsi="Bookman Old Style" w:cs="Arial"/>
          <w:color w:val="000000"/>
        </w:rPr>
        <w:t xml:space="preserve">En este sentido, cabe precisar que el Costo Equivalente Real en Energía (CERE), </w:t>
      </w:r>
      <w:r w:rsidRPr="00881F23">
        <w:rPr>
          <w:rFonts w:ascii="Bookman Old Style" w:hAnsi="Bookman Old Style" w:cs="Arial"/>
        </w:rPr>
        <w:t xml:space="preserve">corresponde a lo previsto en el marco </w:t>
      </w:r>
      <w:r w:rsidR="006B7F4F">
        <w:rPr>
          <w:rFonts w:ascii="Bookman Old Style" w:hAnsi="Bookman Old Style" w:cs="Arial"/>
        </w:rPr>
        <w:t xml:space="preserve">regulatorio </w:t>
      </w:r>
      <w:r w:rsidRPr="00881F23">
        <w:rPr>
          <w:rFonts w:ascii="Bookman Old Style" w:hAnsi="Bookman Old Style" w:cs="Arial"/>
        </w:rPr>
        <w:t>vigente para el servicio de energía eléctrica en el Sistema Interconectado Nacional</w:t>
      </w:r>
      <w:r w:rsidR="006B7F4F">
        <w:rPr>
          <w:rFonts w:ascii="Bookman Old Style" w:hAnsi="Bookman Old Style" w:cs="Arial"/>
        </w:rPr>
        <w:t>,</w:t>
      </w:r>
      <w:r w:rsidR="00D8465A">
        <w:rPr>
          <w:rFonts w:ascii="Bookman Old Style" w:hAnsi="Bookman Old Style" w:cs="Arial"/>
        </w:rPr>
        <w:t xml:space="preserve"> y no tiene aplicabilidad en las ZNI</w:t>
      </w:r>
      <w:r w:rsidR="00024C45">
        <w:rPr>
          <w:rFonts w:ascii="Bookman Old Style" w:hAnsi="Bookman Old Style" w:cs="Arial"/>
        </w:rPr>
        <w:t>,</w:t>
      </w:r>
      <w:r w:rsidRPr="00881F23">
        <w:rPr>
          <w:rFonts w:ascii="Bookman Old Style" w:hAnsi="Bookman Old Style" w:cs="Arial"/>
        </w:rPr>
        <w:t xml:space="preserve"> con lo cual no es procedente la modificación indicada en el presente punto del recurso de reposición.</w:t>
      </w:r>
    </w:p>
    <w:p w14:paraId="5CEB82A7" w14:textId="77777777" w:rsidR="00881F23" w:rsidRDefault="00881F23" w:rsidP="00881F23">
      <w:pPr>
        <w:jc w:val="both"/>
        <w:rPr>
          <w:rFonts w:ascii="Bookman Old Style" w:hAnsi="Bookman Old Style"/>
          <w:i/>
          <w:iCs/>
        </w:rPr>
      </w:pPr>
    </w:p>
    <w:p w14:paraId="1A0FA060" w14:textId="1758A688" w:rsidR="00881F23" w:rsidRPr="00881F23" w:rsidRDefault="00881F23" w:rsidP="00881F23">
      <w:pPr>
        <w:jc w:val="both"/>
        <w:rPr>
          <w:rFonts w:ascii="Bookman Old Style" w:hAnsi="Bookman Old Style"/>
          <w:b/>
          <w:bCs/>
          <w:i/>
          <w:iCs/>
        </w:rPr>
      </w:pPr>
      <w:r>
        <w:rPr>
          <w:rFonts w:ascii="Bookman Old Style" w:hAnsi="Bookman Old Style"/>
          <w:i/>
          <w:iCs/>
        </w:rPr>
        <w:t xml:space="preserve"> </w:t>
      </w:r>
      <w:r w:rsidRPr="00881F23">
        <w:rPr>
          <w:rFonts w:ascii="Bookman Old Style" w:hAnsi="Bookman Old Style"/>
          <w:b/>
          <w:bCs/>
          <w:i/>
          <w:iCs/>
        </w:rPr>
        <w:t xml:space="preserve">3.6. IMPUESTOS y </w:t>
      </w:r>
      <w:r w:rsidR="00024C45">
        <w:rPr>
          <w:rFonts w:ascii="Bookman Old Style" w:hAnsi="Bookman Old Style"/>
          <w:b/>
          <w:bCs/>
          <w:i/>
          <w:iCs/>
        </w:rPr>
        <w:t>CONTRIBUCIONES (sic)</w:t>
      </w:r>
    </w:p>
    <w:p w14:paraId="74C8E445" w14:textId="77777777" w:rsidR="00C575EB" w:rsidRDefault="00C575EB" w:rsidP="00024C45">
      <w:pPr>
        <w:jc w:val="both"/>
        <w:rPr>
          <w:rFonts w:ascii="Bookman Old Style" w:hAnsi="Bookman Old Style"/>
          <w:i/>
          <w:iCs/>
        </w:rPr>
      </w:pPr>
    </w:p>
    <w:p w14:paraId="58634ED3" w14:textId="30562B53" w:rsidR="00881F23" w:rsidRPr="00024C45" w:rsidRDefault="00C575EB" w:rsidP="00024C45">
      <w:pPr>
        <w:ind w:left="567"/>
        <w:jc w:val="both"/>
        <w:rPr>
          <w:rFonts w:ascii="Bookman Old Style" w:hAnsi="Bookman Old Style"/>
          <w:i/>
          <w:iCs/>
          <w:sz w:val="22"/>
          <w:szCs w:val="22"/>
        </w:rPr>
      </w:pPr>
      <w:r w:rsidRPr="00024C45">
        <w:rPr>
          <w:rFonts w:ascii="Bookman Old Style" w:hAnsi="Bookman Old Style"/>
          <w:i/>
          <w:iCs/>
          <w:sz w:val="22"/>
          <w:szCs w:val="22"/>
        </w:rPr>
        <w:t>“</w:t>
      </w:r>
      <w:r w:rsidR="00881F23" w:rsidRPr="00024C45">
        <w:rPr>
          <w:rFonts w:ascii="Bookman Old Style" w:hAnsi="Bookman Old Style"/>
          <w:i/>
          <w:iCs/>
          <w:sz w:val="22"/>
          <w:szCs w:val="22"/>
        </w:rPr>
        <w:t>Los soportes normativos que soportan los valores contenidos en este acápite de la Solicitud y que fueron reactivados en las celdas del archivo Excel adjunto al documento técnico que soporta la Resolución recurrida para que sean reconocidos como corresponde, son:</w:t>
      </w:r>
    </w:p>
    <w:p w14:paraId="74D3CF9D" w14:textId="77777777" w:rsidR="00881F23" w:rsidRPr="00024C45" w:rsidRDefault="00881F23" w:rsidP="00024C45">
      <w:pPr>
        <w:ind w:left="567"/>
        <w:jc w:val="both"/>
        <w:rPr>
          <w:rFonts w:ascii="Bookman Old Style" w:hAnsi="Bookman Old Style"/>
          <w:i/>
          <w:iCs/>
          <w:sz w:val="22"/>
          <w:szCs w:val="22"/>
        </w:rPr>
      </w:pPr>
    </w:p>
    <w:p w14:paraId="7CD0A781" w14:textId="77777777" w:rsidR="00881F23" w:rsidRPr="00024C45" w:rsidRDefault="00881F23" w:rsidP="00024C45">
      <w:pPr>
        <w:ind w:left="567"/>
        <w:jc w:val="both"/>
        <w:rPr>
          <w:rFonts w:ascii="Bookman Old Style" w:hAnsi="Bookman Old Style"/>
          <w:i/>
          <w:iCs/>
          <w:sz w:val="22"/>
          <w:szCs w:val="22"/>
        </w:rPr>
      </w:pPr>
      <w:r w:rsidRPr="00024C45">
        <w:rPr>
          <w:rFonts w:ascii="Bookman Old Style" w:hAnsi="Bookman Old Style"/>
          <w:i/>
          <w:iCs/>
          <w:sz w:val="22"/>
          <w:szCs w:val="22"/>
        </w:rPr>
        <w:t xml:space="preserve">Contribución CREG: Aplicable tanto a </w:t>
      </w:r>
      <w:proofErr w:type="spellStart"/>
      <w:r w:rsidRPr="00024C45">
        <w:rPr>
          <w:rFonts w:ascii="Bookman Old Style" w:hAnsi="Bookman Old Style"/>
          <w:i/>
          <w:iCs/>
          <w:sz w:val="22"/>
          <w:szCs w:val="22"/>
        </w:rPr>
        <w:t>Electrovichada</w:t>
      </w:r>
      <w:proofErr w:type="spellEnd"/>
      <w:r w:rsidRPr="00024C45">
        <w:rPr>
          <w:rFonts w:ascii="Bookman Old Style" w:hAnsi="Bookman Old Style"/>
          <w:i/>
          <w:iCs/>
          <w:sz w:val="22"/>
          <w:szCs w:val="22"/>
        </w:rPr>
        <w:t xml:space="preserve"> como a </w:t>
      </w:r>
      <w:proofErr w:type="spellStart"/>
      <w:r w:rsidRPr="00024C45">
        <w:rPr>
          <w:rFonts w:ascii="Bookman Old Style" w:hAnsi="Bookman Old Style"/>
          <w:i/>
          <w:iCs/>
          <w:sz w:val="22"/>
          <w:szCs w:val="22"/>
        </w:rPr>
        <w:t>Refoenergy</w:t>
      </w:r>
      <w:proofErr w:type="spellEnd"/>
      <w:r w:rsidRPr="00024C45">
        <w:rPr>
          <w:rFonts w:ascii="Bookman Old Style" w:hAnsi="Bookman Old Style"/>
          <w:i/>
          <w:iCs/>
          <w:sz w:val="22"/>
          <w:szCs w:val="22"/>
        </w:rPr>
        <w:t>:</w:t>
      </w:r>
    </w:p>
    <w:p w14:paraId="6BB6E83C" w14:textId="77777777" w:rsidR="00881F23" w:rsidRPr="00024C45" w:rsidRDefault="00881F23" w:rsidP="00024C45">
      <w:pPr>
        <w:ind w:left="567"/>
        <w:jc w:val="both"/>
        <w:rPr>
          <w:rFonts w:ascii="Bookman Old Style" w:hAnsi="Bookman Old Style"/>
          <w:i/>
          <w:iCs/>
          <w:sz w:val="22"/>
          <w:szCs w:val="22"/>
        </w:rPr>
      </w:pPr>
      <w:r w:rsidRPr="00024C45">
        <w:rPr>
          <w:rFonts w:ascii="Bookman Old Style" w:hAnsi="Bookman Old Style"/>
          <w:i/>
          <w:iCs/>
          <w:sz w:val="22"/>
          <w:szCs w:val="22"/>
        </w:rPr>
        <w:t>Ley 143 de 1994</w:t>
      </w:r>
    </w:p>
    <w:p w14:paraId="62F8470C" w14:textId="77777777" w:rsidR="00881F23" w:rsidRPr="00024C45" w:rsidRDefault="00881F23" w:rsidP="00024C45">
      <w:pPr>
        <w:ind w:left="567"/>
        <w:jc w:val="both"/>
        <w:rPr>
          <w:rFonts w:ascii="Bookman Old Style" w:hAnsi="Bookman Old Style"/>
          <w:i/>
          <w:iCs/>
          <w:sz w:val="22"/>
          <w:szCs w:val="22"/>
        </w:rPr>
      </w:pPr>
    </w:p>
    <w:p w14:paraId="69CA7DEF" w14:textId="77777777" w:rsidR="00881F23" w:rsidRPr="00024C45" w:rsidRDefault="00881F23" w:rsidP="00024C45">
      <w:pPr>
        <w:ind w:left="567"/>
        <w:jc w:val="both"/>
        <w:rPr>
          <w:rFonts w:ascii="Bookman Old Style" w:hAnsi="Bookman Old Style"/>
          <w:i/>
          <w:iCs/>
          <w:sz w:val="22"/>
          <w:szCs w:val="22"/>
          <w:lang w:val="en-US"/>
        </w:rPr>
      </w:pPr>
      <w:r w:rsidRPr="00024C45">
        <w:rPr>
          <w:rFonts w:ascii="Bookman Old Style" w:hAnsi="Bookman Old Style"/>
          <w:i/>
          <w:iCs/>
          <w:sz w:val="22"/>
          <w:szCs w:val="22"/>
        </w:rPr>
        <w:t xml:space="preserve">Superintendencia de Servicios Públicos Domiciliarios (SSPD). </w:t>
      </w:r>
      <w:proofErr w:type="spellStart"/>
      <w:r w:rsidRPr="00024C45">
        <w:rPr>
          <w:rFonts w:ascii="Bookman Old Style" w:hAnsi="Bookman Old Style"/>
          <w:i/>
          <w:iCs/>
          <w:sz w:val="22"/>
          <w:szCs w:val="22"/>
          <w:lang w:val="en-US"/>
        </w:rPr>
        <w:t>Actividad</w:t>
      </w:r>
      <w:proofErr w:type="spellEnd"/>
      <w:r w:rsidRPr="00024C45">
        <w:rPr>
          <w:rFonts w:ascii="Bookman Old Style" w:hAnsi="Bookman Old Style"/>
          <w:i/>
          <w:iCs/>
          <w:sz w:val="22"/>
          <w:szCs w:val="22"/>
          <w:lang w:val="en-US"/>
        </w:rPr>
        <w:t xml:space="preserve"> de </w:t>
      </w:r>
      <w:proofErr w:type="spellStart"/>
      <w:r w:rsidRPr="00024C45">
        <w:rPr>
          <w:rFonts w:ascii="Bookman Old Style" w:hAnsi="Bookman Old Style"/>
          <w:i/>
          <w:iCs/>
          <w:sz w:val="22"/>
          <w:szCs w:val="22"/>
          <w:lang w:val="en-US"/>
        </w:rPr>
        <w:t>Monitoreo</w:t>
      </w:r>
      <w:proofErr w:type="spellEnd"/>
      <w:r w:rsidRPr="00024C45">
        <w:rPr>
          <w:rFonts w:ascii="Bookman Old Style" w:hAnsi="Bookman Old Style"/>
          <w:i/>
          <w:iCs/>
          <w:sz w:val="22"/>
          <w:szCs w:val="22"/>
          <w:lang w:val="en-US"/>
        </w:rPr>
        <w:t xml:space="preserve"> R. CREG- 091-2007; Art. </w:t>
      </w:r>
      <w:proofErr w:type="gramStart"/>
      <w:r w:rsidRPr="00024C45">
        <w:rPr>
          <w:rFonts w:ascii="Bookman Old Style" w:hAnsi="Bookman Old Style"/>
          <w:i/>
          <w:iCs/>
          <w:sz w:val="22"/>
          <w:szCs w:val="22"/>
          <w:lang w:val="en-US"/>
        </w:rPr>
        <w:t>2 ;</w:t>
      </w:r>
      <w:proofErr w:type="gramEnd"/>
      <w:r w:rsidRPr="00024C45">
        <w:rPr>
          <w:rFonts w:ascii="Bookman Old Style" w:hAnsi="Bookman Old Style"/>
          <w:i/>
          <w:iCs/>
          <w:sz w:val="22"/>
          <w:szCs w:val="22"/>
          <w:lang w:val="en-US"/>
        </w:rPr>
        <w:t xml:space="preserve"> R. CREG-160 - 2008; Art. 2; R. CREG- 161-2008; Art. 2</w:t>
      </w:r>
    </w:p>
    <w:p w14:paraId="184E2D37" w14:textId="77777777" w:rsidR="00881F23" w:rsidRPr="00024C45" w:rsidRDefault="00881F23" w:rsidP="00024C45">
      <w:pPr>
        <w:ind w:left="567"/>
        <w:jc w:val="both"/>
        <w:rPr>
          <w:rFonts w:ascii="Bookman Old Style" w:hAnsi="Bookman Old Style"/>
          <w:i/>
          <w:iCs/>
          <w:sz w:val="22"/>
          <w:szCs w:val="22"/>
          <w:lang w:val="en-US"/>
        </w:rPr>
      </w:pPr>
    </w:p>
    <w:p w14:paraId="0A296655" w14:textId="175BADE7" w:rsidR="00881F23" w:rsidRPr="00024C45" w:rsidRDefault="00881F23" w:rsidP="00024C45">
      <w:pPr>
        <w:ind w:left="567"/>
        <w:jc w:val="both"/>
        <w:rPr>
          <w:rFonts w:ascii="Bookman Old Style" w:hAnsi="Bookman Old Style"/>
          <w:i/>
          <w:iCs/>
          <w:sz w:val="22"/>
          <w:szCs w:val="22"/>
        </w:rPr>
      </w:pPr>
      <w:r w:rsidRPr="00024C45">
        <w:rPr>
          <w:rFonts w:ascii="Bookman Old Style" w:hAnsi="Bookman Old Style"/>
          <w:i/>
          <w:iCs/>
          <w:sz w:val="22"/>
          <w:szCs w:val="22"/>
        </w:rPr>
        <w:t xml:space="preserve">En este sentido la disponibilidad y entrega de información en el SUI de la SSPD, implica un costo de “monitoreo” VIGILANCIA Y CONTROL, que debe ser cancelado por </w:t>
      </w:r>
      <w:proofErr w:type="spellStart"/>
      <w:r w:rsidRPr="00024C45">
        <w:rPr>
          <w:rFonts w:ascii="Bookman Old Style" w:hAnsi="Bookman Old Style"/>
          <w:i/>
          <w:iCs/>
          <w:sz w:val="22"/>
          <w:szCs w:val="22"/>
        </w:rPr>
        <w:t>Electrovichada</w:t>
      </w:r>
      <w:proofErr w:type="spellEnd"/>
      <w:r w:rsidRPr="00024C45">
        <w:rPr>
          <w:rFonts w:ascii="Bookman Old Style" w:hAnsi="Bookman Old Style"/>
          <w:i/>
          <w:iCs/>
          <w:sz w:val="22"/>
          <w:szCs w:val="22"/>
        </w:rPr>
        <w:t xml:space="preserve"> y por </w:t>
      </w:r>
      <w:proofErr w:type="spellStart"/>
      <w:r w:rsidRPr="00024C45">
        <w:rPr>
          <w:rFonts w:ascii="Bookman Old Style" w:hAnsi="Bookman Old Style"/>
          <w:i/>
          <w:iCs/>
          <w:sz w:val="22"/>
          <w:szCs w:val="22"/>
        </w:rPr>
        <w:t>Refoenergy</w:t>
      </w:r>
      <w:proofErr w:type="spellEnd"/>
      <w:r w:rsidRPr="00024C45">
        <w:rPr>
          <w:rFonts w:ascii="Bookman Old Style" w:hAnsi="Bookman Old Style"/>
          <w:i/>
          <w:iCs/>
          <w:sz w:val="22"/>
          <w:szCs w:val="22"/>
        </w:rPr>
        <w:t xml:space="preserve"> a la SSPD. Así Mediante comunicación de agosto 30 la SSPD informo a </w:t>
      </w:r>
      <w:proofErr w:type="spellStart"/>
      <w:r w:rsidRPr="00024C45">
        <w:rPr>
          <w:rFonts w:ascii="Bookman Old Style" w:hAnsi="Bookman Old Style"/>
          <w:i/>
          <w:iCs/>
          <w:sz w:val="22"/>
          <w:szCs w:val="22"/>
        </w:rPr>
        <w:t>Refoenergy</w:t>
      </w:r>
      <w:proofErr w:type="spellEnd"/>
      <w:r w:rsidRPr="00024C45">
        <w:rPr>
          <w:rFonts w:ascii="Bookman Old Style" w:hAnsi="Bookman Old Style"/>
          <w:i/>
          <w:iCs/>
          <w:sz w:val="22"/>
          <w:szCs w:val="22"/>
        </w:rPr>
        <w:t xml:space="preserve"> la asignación de Código de localidad para </w:t>
      </w:r>
      <w:r w:rsidRPr="00024C45">
        <w:rPr>
          <w:rFonts w:ascii="Bookman Old Style" w:hAnsi="Bookman Old Style"/>
          <w:i/>
          <w:iCs/>
          <w:sz w:val="22"/>
          <w:szCs w:val="22"/>
        </w:rPr>
        <w:lastRenderedPageBreak/>
        <w:t>efectos del cargue de información al SUI en condición de generador de la ZNI de Puerto Carreño con el correspondiente ejercicio de control y vigilancia, que obligará al pago de los costos que defina la SSPD</w:t>
      </w:r>
      <w:r w:rsidR="00C575EB" w:rsidRPr="00024C45">
        <w:rPr>
          <w:rFonts w:ascii="Bookman Old Style" w:hAnsi="Bookman Old Style"/>
          <w:i/>
          <w:iCs/>
          <w:sz w:val="22"/>
          <w:szCs w:val="22"/>
        </w:rPr>
        <w:t>” (…)</w:t>
      </w:r>
    </w:p>
    <w:p w14:paraId="71478C10" w14:textId="77777777" w:rsidR="00881F23" w:rsidRPr="00881F23" w:rsidRDefault="00881F23" w:rsidP="00881F23">
      <w:pPr>
        <w:jc w:val="both"/>
        <w:rPr>
          <w:rFonts w:ascii="Bookman Old Style" w:hAnsi="Bookman Old Style"/>
          <w:i/>
          <w:iCs/>
        </w:rPr>
      </w:pPr>
    </w:p>
    <w:p w14:paraId="61D36EEF" w14:textId="6B8D2F26" w:rsidR="00550FB0" w:rsidRDefault="00550FB0" w:rsidP="00024C45">
      <w:pPr>
        <w:ind w:left="284"/>
        <w:jc w:val="both"/>
        <w:rPr>
          <w:rFonts w:ascii="Bookman Old Style" w:hAnsi="Bookman Old Style"/>
        </w:rPr>
      </w:pPr>
      <w:r>
        <w:rPr>
          <w:rFonts w:ascii="Bookman Old Style" w:hAnsi="Bookman Old Style"/>
        </w:rPr>
        <w:t>En relación con lo expuesto por el recurrente, l</w:t>
      </w:r>
      <w:r w:rsidR="0078249C">
        <w:rPr>
          <w:rFonts w:ascii="Bookman Old Style" w:hAnsi="Bookman Old Style"/>
        </w:rPr>
        <w:t>o primero que debe señalarse es que</w:t>
      </w:r>
      <w:r>
        <w:rPr>
          <w:rFonts w:ascii="Bookman Old Style" w:hAnsi="Bookman Old Style"/>
        </w:rPr>
        <w:t xml:space="preserve"> las resoluciones citadas por REFOENERGY no tienen el alcance y objeto de regular lo correspondiente a las contribuciones especiales de que trata el artículo 85 de la Ley 142 de 1994. En ese sentido, la actividad de monitoreo relacionada en la Resolución CREG 091 de 2007 es un concepto diferente al de control y vigilancia que tiene a su cargo la SSPD y</w:t>
      </w:r>
      <w:r w:rsidR="006B7F4F">
        <w:rPr>
          <w:rFonts w:ascii="Bookman Old Style" w:hAnsi="Bookman Old Style"/>
        </w:rPr>
        <w:t>,</w:t>
      </w:r>
      <w:r>
        <w:rPr>
          <w:rFonts w:ascii="Bookman Old Style" w:hAnsi="Bookman Old Style"/>
        </w:rPr>
        <w:t xml:space="preserve"> por cuyo desarrollo se justifica la obligación de los prestadores del servicio de realizar el pago de </w:t>
      </w:r>
      <w:r w:rsidR="00CD1F5B">
        <w:rPr>
          <w:rFonts w:ascii="Bookman Old Style" w:hAnsi="Bookman Old Style"/>
        </w:rPr>
        <w:t>la contribución</w:t>
      </w:r>
      <w:r>
        <w:rPr>
          <w:rFonts w:ascii="Bookman Old Style" w:hAnsi="Bookman Old Style"/>
        </w:rPr>
        <w:t xml:space="preserve"> especial. </w:t>
      </w:r>
    </w:p>
    <w:p w14:paraId="25E6D646" w14:textId="77777777" w:rsidR="00550FB0" w:rsidRDefault="00550FB0" w:rsidP="00024C45">
      <w:pPr>
        <w:ind w:left="284"/>
        <w:jc w:val="both"/>
        <w:rPr>
          <w:rFonts w:ascii="Bookman Old Style" w:hAnsi="Bookman Old Style"/>
        </w:rPr>
      </w:pPr>
    </w:p>
    <w:p w14:paraId="2502033E" w14:textId="6AD130EA" w:rsidR="00940CDF" w:rsidRDefault="00BF6201" w:rsidP="00024C45">
      <w:pPr>
        <w:ind w:left="284"/>
        <w:jc w:val="both"/>
        <w:rPr>
          <w:rFonts w:ascii="Bookman Old Style" w:hAnsi="Bookman Old Style"/>
        </w:rPr>
      </w:pPr>
      <w:r>
        <w:rPr>
          <w:rFonts w:ascii="Bookman Old Style" w:hAnsi="Bookman Old Style"/>
        </w:rPr>
        <w:t xml:space="preserve">La contribución especial es un tributo </w:t>
      </w:r>
      <w:r w:rsidR="00550FB0">
        <w:rPr>
          <w:rFonts w:ascii="Bookman Old Style" w:hAnsi="Bookman Old Style"/>
        </w:rPr>
        <w:t xml:space="preserve">que </w:t>
      </w:r>
      <w:r>
        <w:rPr>
          <w:rFonts w:ascii="Bookman Old Style" w:hAnsi="Bookman Old Style"/>
        </w:rPr>
        <w:t xml:space="preserve">permite a </w:t>
      </w:r>
      <w:r w:rsidR="00B20F16">
        <w:rPr>
          <w:rFonts w:ascii="Bookman Old Style" w:hAnsi="Bookman Old Style"/>
        </w:rPr>
        <w:t xml:space="preserve">la CREG y </w:t>
      </w:r>
      <w:r>
        <w:rPr>
          <w:rFonts w:ascii="Bookman Old Style" w:hAnsi="Bookman Old Style"/>
        </w:rPr>
        <w:t>a</w:t>
      </w:r>
      <w:r w:rsidR="00B20F16">
        <w:rPr>
          <w:rFonts w:ascii="Bookman Old Style" w:hAnsi="Bookman Old Style"/>
        </w:rPr>
        <w:t xml:space="preserve"> la SSPD </w:t>
      </w:r>
      <w:r w:rsidR="00550FB0">
        <w:rPr>
          <w:rFonts w:ascii="Bookman Old Style" w:hAnsi="Bookman Old Style"/>
        </w:rPr>
        <w:t>recuperar los costos del servicio de regulación y de control y vigilancia</w:t>
      </w:r>
      <w:r w:rsidR="006B7F4F">
        <w:rPr>
          <w:rFonts w:ascii="Bookman Old Style" w:hAnsi="Bookman Old Style"/>
        </w:rPr>
        <w:t>,</w:t>
      </w:r>
      <w:r w:rsidR="00550FB0">
        <w:rPr>
          <w:rFonts w:ascii="Bookman Old Style" w:hAnsi="Bookman Old Style"/>
        </w:rPr>
        <w:t xml:space="preserve"> respectivamente</w:t>
      </w:r>
      <w:r w:rsidR="006B7F4F">
        <w:rPr>
          <w:rFonts w:ascii="Bookman Old Style" w:hAnsi="Bookman Old Style"/>
        </w:rPr>
        <w:t>,</w:t>
      </w:r>
      <w:r w:rsidR="00B20F16">
        <w:rPr>
          <w:rFonts w:ascii="Bookman Old Style" w:hAnsi="Bookman Old Style"/>
        </w:rPr>
        <w:t xml:space="preserve"> </w:t>
      </w:r>
      <w:r w:rsidR="00550FB0">
        <w:rPr>
          <w:rFonts w:ascii="Bookman Old Style" w:hAnsi="Bookman Old Style"/>
        </w:rPr>
        <w:t xml:space="preserve">con el fin de garantizar </w:t>
      </w:r>
      <w:r w:rsidR="00C37859">
        <w:rPr>
          <w:rFonts w:ascii="Bookman Old Style" w:hAnsi="Bookman Old Style"/>
        </w:rPr>
        <w:t>la ejecución efectiva de</w:t>
      </w:r>
      <w:r w:rsidR="007C2835">
        <w:rPr>
          <w:rFonts w:ascii="Bookman Old Style" w:hAnsi="Bookman Old Style"/>
        </w:rPr>
        <w:t xml:space="preserve"> las funciones delegadas en ellas</w:t>
      </w:r>
      <w:r>
        <w:rPr>
          <w:rFonts w:ascii="Bookman Old Style" w:hAnsi="Bookman Old Style"/>
        </w:rPr>
        <w:t>.</w:t>
      </w:r>
      <w:r w:rsidR="00C37859">
        <w:rPr>
          <w:rFonts w:ascii="Bookman Old Style" w:hAnsi="Bookman Old Style"/>
        </w:rPr>
        <w:t xml:space="preserve"> </w:t>
      </w:r>
      <w:r>
        <w:rPr>
          <w:rFonts w:ascii="Bookman Old Style" w:hAnsi="Bookman Old Style"/>
        </w:rPr>
        <w:t>E</w:t>
      </w:r>
      <w:r w:rsidR="00C37859">
        <w:rPr>
          <w:rFonts w:ascii="Bookman Old Style" w:hAnsi="Bookman Old Style"/>
        </w:rPr>
        <w:t>n ningún</w:t>
      </w:r>
      <w:r w:rsidR="00E87D23">
        <w:rPr>
          <w:rFonts w:ascii="Bookman Old Style" w:hAnsi="Bookman Old Style"/>
        </w:rPr>
        <w:t xml:space="preserve"> </w:t>
      </w:r>
      <w:r w:rsidR="00C37859" w:rsidRPr="007E533B">
        <w:rPr>
          <w:rFonts w:ascii="Bookman Old Style" w:hAnsi="Bookman Old Style"/>
        </w:rPr>
        <w:t>caso</w:t>
      </w:r>
      <w:r w:rsidR="00F43E8A">
        <w:rPr>
          <w:rFonts w:ascii="Bookman Old Style" w:hAnsi="Bookman Old Style"/>
        </w:rPr>
        <w:t>,</w:t>
      </w:r>
      <w:r w:rsidR="007E533B" w:rsidRPr="004773A7">
        <w:rPr>
          <w:rFonts w:ascii="Bookman Old Style" w:hAnsi="Bookman Old Style"/>
        </w:rPr>
        <w:t xml:space="preserve"> en los artículos</w:t>
      </w:r>
      <w:r w:rsidR="007E533B" w:rsidRPr="007E533B">
        <w:rPr>
          <w:rFonts w:ascii="Bookman Old Style" w:hAnsi="Bookman Old Style"/>
        </w:rPr>
        <w:t xml:space="preserve"> relacionados por el recurrente</w:t>
      </w:r>
      <w:r w:rsidRPr="004773A7">
        <w:rPr>
          <w:rFonts w:ascii="Bookman Old Style" w:hAnsi="Bookman Old Style"/>
        </w:rPr>
        <w:t xml:space="preserve"> (</w:t>
      </w:r>
      <w:r w:rsidR="007E533B" w:rsidRPr="004773A7">
        <w:rPr>
          <w:rFonts w:ascii="Bookman Old Style" w:hAnsi="Bookman Old Style"/>
        </w:rPr>
        <w:t>artículo</w:t>
      </w:r>
      <w:r w:rsidRPr="004773A7">
        <w:rPr>
          <w:rFonts w:ascii="Bookman Old Style" w:hAnsi="Bookman Old Style"/>
        </w:rPr>
        <w:t xml:space="preserve"> 85 de la Ley 142</w:t>
      </w:r>
      <w:r w:rsidR="007E533B" w:rsidRPr="004773A7">
        <w:rPr>
          <w:rFonts w:ascii="Bookman Old Style" w:hAnsi="Bookman Old Style"/>
        </w:rPr>
        <w:t xml:space="preserve"> de 1994 y el art</w:t>
      </w:r>
      <w:r w:rsidR="007E533B">
        <w:rPr>
          <w:rFonts w:ascii="Bookman Old Style" w:hAnsi="Bookman Old Style"/>
        </w:rPr>
        <w:t>í</w:t>
      </w:r>
      <w:r w:rsidR="007E533B" w:rsidRPr="004773A7">
        <w:rPr>
          <w:rFonts w:ascii="Bookman Old Style" w:hAnsi="Bookman Old Style"/>
        </w:rPr>
        <w:t>culo 2</w:t>
      </w:r>
      <w:r w:rsidR="007E533B">
        <w:rPr>
          <w:rFonts w:ascii="Bookman Old Style" w:hAnsi="Bookman Old Style"/>
        </w:rPr>
        <w:t>2</w:t>
      </w:r>
      <w:r w:rsidR="007E533B" w:rsidRPr="004773A7">
        <w:rPr>
          <w:rFonts w:ascii="Bookman Old Style" w:hAnsi="Bookman Old Style"/>
        </w:rPr>
        <w:t xml:space="preserve"> de</w:t>
      </w:r>
      <w:r w:rsidR="00C37859" w:rsidRPr="007E533B">
        <w:rPr>
          <w:rFonts w:ascii="Bookman Old Style" w:hAnsi="Bookman Old Style"/>
        </w:rPr>
        <w:t xml:space="preserve"> </w:t>
      </w:r>
      <w:r w:rsidR="00917C37" w:rsidRPr="007E533B">
        <w:rPr>
          <w:rFonts w:ascii="Bookman Old Style" w:hAnsi="Bookman Old Style"/>
        </w:rPr>
        <w:t>la Ley</w:t>
      </w:r>
      <w:r w:rsidR="00C73BB4" w:rsidRPr="007E533B">
        <w:rPr>
          <w:rFonts w:ascii="Bookman Old Style" w:hAnsi="Bookman Old Style"/>
        </w:rPr>
        <w:t xml:space="preserve"> 143</w:t>
      </w:r>
      <w:r w:rsidR="00917C37" w:rsidRPr="007E533B">
        <w:rPr>
          <w:rFonts w:ascii="Bookman Old Style" w:hAnsi="Bookman Old Style"/>
        </w:rPr>
        <w:t xml:space="preserve"> de 1994</w:t>
      </w:r>
      <w:r w:rsidR="007E533B">
        <w:rPr>
          <w:rFonts w:ascii="Bookman Old Style" w:hAnsi="Bookman Old Style"/>
        </w:rPr>
        <w:t>)</w:t>
      </w:r>
      <w:r w:rsidR="00917C37" w:rsidRPr="007E533B">
        <w:rPr>
          <w:rFonts w:ascii="Bookman Old Style" w:hAnsi="Bookman Old Style"/>
        </w:rPr>
        <w:t>,</w:t>
      </w:r>
      <w:r w:rsidR="006B7F4F">
        <w:rPr>
          <w:rFonts w:ascii="Bookman Old Style" w:hAnsi="Bookman Old Style"/>
        </w:rPr>
        <w:t xml:space="preserve"> </w:t>
      </w:r>
      <w:r w:rsidR="007E533B">
        <w:rPr>
          <w:rFonts w:ascii="Bookman Old Style" w:hAnsi="Bookman Old Style"/>
        </w:rPr>
        <w:t>se</w:t>
      </w:r>
      <w:r w:rsidR="00917C37">
        <w:rPr>
          <w:rFonts w:ascii="Bookman Old Style" w:hAnsi="Bookman Old Style"/>
        </w:rPr>
        <w:t xml:space="preserve"> establece que </w:t>
      </w:r>
      <w:r w:rsidR="007E533B">
        <w:rPr>
          <w:rFonts w:ascii="Bookman Old Style" w:hAnsi="Bookman Old Style"/>
        </w:rPr>
        <w:t>la contribución se determine</w:t>
      </w:r>
      <w:r w:rsidR="00917C37">
        <w:rPr>
          <w:rFonts w:ascii="Bookman Old Style" w:hAnsi="Bookman Old Style"/>
        </w:rPr>
        <w:t xml:space="preserve"> para que sean los prestadores </w:t>
      </w:r>
      <w:r w:rsidR="00E03843">
        <w:rPr>
          <w:rFonts w:ascii="Bookman Old Style" w:hAnsi="Bookman Old Style"/>
        </w:rPr>
        <w:t xml:space="preserve">los </w:t>
      </w:r>
      <w:r w:rsidR="00917C37">
        <w:rPr>
          <w:rFonts w:ascii="Bookman Old Style" w:hAnsi="Bookman Old Style"/>
        </w:rPr>
        <w:t xml:space="preserve">que </w:t>
      </w:r>
      <w:r w:rsidR="00A52EF7">
        <w:rPr>
          <w:rFonts w:ascii="Bookman Old Style" w:hAnsi="Bookman Old Style"/>
        </w:rPr>
        <w:t>cuenten con recursos para entregar información al supervisor o al regulador</w:t>
      </w:r>
      <w:r w:rsidR="006B7F4F">
        <w:rPr>
          <w:rFonts w:ascii="Bookman Old Style" w:hAnsi="Bookman Old Style"/>
        </w:rPr>
        <w:t>,</w:t>
      </w:r>
      <w:r w:rsidR="007E533B">
        <w:rPr>
          <w:rFonts w:ascii="Bookman Old Style" w:hAnsi="Bookman Old Style"/>
        </w:rPr>
        <w:t xml:space="preserve"> como lo señala el recurrente</w:t>
      </w:r>
      <w:r w:rsidR="00A52EF7">
        <w:rPr>
          <w:rFonts w:ascii="Bookman Old Style" w:hAnsi="Bookman Old Style"/>
        </w:rPr>
        <w:t>.</w:t>
      </w:r>
    </w:p>
    <w:p w14:paraId="09DA449E" w14:textId="15870C69" w:rsidR="00FC709C" w:rsidRDefault="00FC709C" w:rsidP="00024C45">
      <w:pPr>
        <w:ind w:left="284"/>
        <w:jc w:val="both"/>
        <w:rPr>
          <w:rFonts w:ascii="Bookman Old Style" w:hAnsi="Bookman Old Style"/>
        </w:rPr>
      </w:pPr>
    </w:p>
    <w:p w14:paraId="3F27E85D" w14:textId="5200F4EE" w:rsidR="003D179E" w:rsidRDefault="006A6639" w:rsidP="003D179E">
      <w:pPr>
        <w:ind w:left="284"/>
        <w:jc w:val="both"/>
        <w:rPr>
          <w:rFonts w:ascii="Bookman Old Style" w:hAnsi="Bookman Old Style"/>
        </w:rPr>
      </w:pPr>
      <w:r>
        <w:rPr>
          <w:rFonts w:ascii="Bookman Old Style" w:hAnsi="Bookman Old Style"/>
        </w:rPr>
        <w:t xml:space="preserve">Ahora bien, dentro del proceso de </w:t>
      </w:r>
      <w:r w:rsidR="00EC52D4">
        <w:rPr>
          <w:rFonts w:ascii="Bookman Old Style" w:hAnsi="Bookman Old Style"/>
        </w:rPr>
        <w:t>aprobación del cargo, esta Comisión identificó que la actividad incluida dentro de los costos de AOM</w:t>
      </w:r>
      <w:r w:rsidR="006B7F4F">
        <w:rPr>
          <w:rFonts w:ascii="Bookman Old Style" w:hAnsi="Bookman Old Style"/>
        </w:rPr>
        <w:t>,</w:t>
      </w:r>
      <w:r w:rsidR="00EC52D4">
        <w:rPr>
          <w:rFonts w:ascii="Bookman Old Style" w:hAnsi="Bookman Old Style"/>
        </w:rPr>
        <w:t xml:space="preserve"> </w:t>
      </w:r>
      <w:r w:rsidR="00B803A8">
        <w:rPr>
          <w:rFonts w:ascii="Bookman Old Style" w:hAnsi="Bookman Old Style"/>
        </w:rPr>
        <w:t>siempre hizo alusión al pago de “</w:t>
      </w:r>
      <w:proofErr w:type="spellStart"/>
      <w:r w:rsidR="00EC3723" w:rsidRPr="00EC3723">
        <w:rPr>
          <w:rFonts w:ascii="Bookman Old Style" w:hAnsi="Bookman Old Style"/>
          <w:i/>
          <w:iCs/>
        </w:rPr>
        <w:t>Taxes</w:t>
      </w:r>
      <w:proofErr w:type="spellEnd"/>
      <w:r w:rsidR="00EC3723" w:rsidRPr="00EC3723">
        <w:rPr>
          <w:rFonts w:ascii="Bookman Old Style" w:hAnsi="Bookman Old Style"/>
          <w:i/>
          <w:iCs/>
        </w:rPr>
        <w:t xml:space="preserve"> And </w:t>
      </w:r>
      <w:proofErr w:type="spellStart"/>
      <w:r w:rsidR="00EC3723" w:rsidRPr="00EC3723">
        <w:rPr>
          <w:rFonts w:ascii="Bookman Old Style" w:hAnsi="Bookman Old Style"/>
          <w:i/>
          <w:iCs/>
        </w:rPr>
        <w:t>Contributions</w:t>
      </w:r>
      <w:proofErr w:type="spellEnd"/>
      <w:r w:rsidR="00B803A8">
        <w:rPr>
          <w:rFonts w:ascii="Bookman Old Style" w:hAnsi="Bookman Old Style"/>
        </w:rPr>
        <w:t>”</w:t>
      </w:r>
      <w:r w:rsidR="006B7F4F">
        <w:rPr>
          <w:rFonts w:ascii="Bookman Old Style" w:hAnsi="Bookman Old Style"/>
        </w:rPr>
        <w:t>,</w:t>
      </w:r>
      <w:r w:rsidR="00867B3C">
        <w:rPr>
          <w:rFonts w:ascii="Bookman Old Style" w:hAnsi="Bookman Old Style"/>
        </w:rPr>
        <w:t xml:space="preserve"> y sobre dicha actividad, esta Comisión solicitó reiterada</w:t>
      </w:r>
      <w:r w:rsidR="00F43E8A">
        <w:rPr>
          <w:rFonts w:ascii="Bookman Old Style" w:hAnsi="Bookman Old Style"/>
        </w:rPr>
        <w:t xml:space="preserve">mente </w:t>
      </w:r>
      <w:r w:rsidR="00867B3C">
        <w:rPr>
          <w:rFonts w:ascii="Bookman Old Style" w:hAnsi="Bookman Old Style"/>
        </w:rPr>
        <w:t xml:space="preserve">aclaración sobre a cuáles impuestos y contribuciones se refería el recurrente. </w:t>
      </w:r>
      <w:r w:rsidR="00AE5939">
        <w:rPr>
          <w:rFonts w:ascii="Bookman Old Style" w:hAnsi="Bookman Old Style"/>
        </w:rPr>
        <w:t>La última respuesta emit</w:t>
      </w:r>
      <w:r w:rsidR="00345013">
        <w:rPr>
          <w:rFonts w:ascii="Bookman Old Style" w:hAnsi="Bookman Old Style"/>
        </w:rPr>
        <w:t>i</w:t>
      </w:r>
      <w:r w:rsidR="00AE5939">
        <w:rPr>
          <w:rFonts w:ascii="Bookman Old Style" w:hAnsi="Bookman Old Style"/>
        </w:rPr>
        <w:t>da por REFOENERGY como parte de la solicitu</w:t>
      </w:r>
      <w:r w:rsidR="00345013">
        <w:rPr>
          <w:rFonts w:ascii="Bookman Old Style" w:hAnsi="Bookman Old Style"/>
        </w:rPr>
        <w:t>d</w:t>
      </w:r>
      <w:r w:rsidR="00AE5939">
        <w:rPr>
          <w:rFonts w:ascii="Bookman Old Style" w:hAnsi="Bookman Old Style"/>
        </w:rPr>
        <w:t xml:space="preserve"> del auto de prue</w:t>
      </w:r>
      <w:r w:rsidR="00345013">
        <w:rPr>
          <w:rFonts w:ascii="Bookman Old Style" w:hAnsi="Bookman Old Style"/>
        </w:rPr>
        <w:t>b</w:t>
      </w:r>
      <w:r w:rsidR="00AE5939">
        <w:rPr>
          <w:rFonts w:ascii="Bookman Old Style" w:hAnsi="Bookman Old Style"/>
        </w:rPr>
        <w:t xml:space="preserve">as </w:t>
      </w:r>
      <w:r w:rsidR="00345013">
        <w:rPr>
          <w:rFonts w:ascii="Bookman Old Style" w:hAnsi="Bookman Old Style"/>
        </w:rPr>
        <w:t>I-</w:t>
      </w:r>
      <w:r w:rsidR="00345013" w:rsidRPr="00345013">
        <w:rPr>
          <w:rFonts w:ascii="Bookman Old Style" w:hAnsi="Bookman Old Style"/>
        </w:rPr>
        <w:t>2021-003180 del 2</w:t>
      </w:r>
      <w:r w:rsidR="00345013">
        <w:rPr>
          <w:rFonts w:ascii="Bookman Old Style" w:hAnsi="Bookman Old Style"/>
        </w:rPr>
        <w:t xml:space="preserve">7 de octubre de </w:t>
      </w:r>
      <w:r w:rsidR="00345013" w:rsidRPr="00345013">
        <w:rPr>
          <w:rFonts w:ascii="Bookman Old Style" w:hAnsi="Bookman Old Style"/>
        </w:rPr>
        <w:t>2021</w:t>
      </w:r>
      <w:r w:rsidR="003D179E">
        <w:rPr>
          <w:rFonts w:ascii="Bookman Old Style" w:hAnsi="Bookman Old Style"/>
        </w:rPr>
        <w:t xml:space="preserve"> y relacionada con este ítem estableció:</w:t>
      </w:r>
    </w:p>
    <w:p w14:paraId="1E36F9DC" w14:textId="3E1C34B4" w:rsidR="00EC3723" w:rsidRDefault="00EC3723" w:rsidP="00FC709C">
      <w:pPr>
        <w:ind w:left="284"/>
        <w:jc w:val="both"/>
        <w:rPr>
          <w:rFonts w:ascii="Bookman Old Style" w:hAnsi="Bookman Old Style"/>
        </w:rPr>
      </w:pPr>
    </w:p>
    <w:p w14:paraId="5B1EB7AE" w14:textId="5B3F0B67" w:rsidR="00EC3723" w:rsidRPr="0000450D" w:rsidRDefault="003D179E" w:rsidP="003D179E">
      <w:pPr>
        <w:ind w:left="567"/>
        <w:jc w:val="both"/>
        <w:rPr>
          <w:rFonts w:ascii="Bookman Old Style" w:hAnsi="Bookman Old Style"/>
        </w:rPr>
      </w:pPr>
      <w:r w:rsidRPr="0D139ED5">
        <w:rPr>
          <w:rFonts w:ascii="Bookman Old Style" w:hAnsi="Bookman Old Style"/>
          <w:i/>
          <w:iCs/>
        </w:rPr>
        <w:t>“</w:t>
      </w:r>
      <w:proofErr w:type="spellStart"/>
      <w:r w:rsidR="00EC3723" w:rsidRPr="0D139ED5">
        <w:rPr>
          <w:rFonts w:ascii="Bookman Old Style" w:hAnsi="Bookman Old Style"/>
          <w:i/>
          <w:iCs/>
          <w:sz w:val="22"/>
          <w:szCs w:val="22"/>
        </w:rPr>
        <w:t>Taxes</w:t>
      </w:r>
      <w:proofErr w:type="spellEnd"/>
      <w:r w:rsidR="00EC3723" w:rsidRPr="0D139ED5">
        <w:rPr>
          <w:rFonts w:ascii="Bookman Old Style" w:hAnsi="Bookman Old Style"/>
          <w:i/>
          <w:iCs/>
          <w:sz w:val="22"/>
          <w:szCs w:val="22"/>
        </w:rPr>
        <w:t xml:space="preserve"> and </w:t>
      </w:r>
      <w:proofErr w:type="spellStart"/>
      <w:r w:rsidR="00EC3723" w:rsidRPr="0D139ED5">
        <w:rPr>
          <w:rFonts w:ascii="Bookman Old Style" w:hAnsi="Bookman Old Style"/>
          <w:i/>
          <w:iCs/>
          <w:sz w:val="22"/>
          <w:szCs w:val="22"/>
        </w:rPr>
        <w:t>contributions</w:t>
      </w:r>
      <w:proofErr w:type="spellEnd"/>
      <w:r w:rsidR="00EC3723" w:rsidRPr="0D139ED5">
        <w:rPr>
          <w:rFonts w:ascii="Bookman Old Style" w:hAnsi="Bookman Old Style"/>
          <w:i/>
          <w:iCs/>
          <w:sz w:val="22"/>
          <w:szCs w:val="22"/>
        </w:rPr>
        <w:t xml:space="preserve">: los valores incorporados en las celdas Corresponden a impuestos y </w:t>
      </w:r>
      <w:r w:rsidR="00EC3723" w:rsidRPr="0D139ED5">
        <w:rPr>
          <w:rFonts w:ascii="Bookman Old Style" w:hAnsi="Bookman Old Style"/>
          <w:i/>
          <w:iCs/>
          <w:sz w:val="22"/>
          <w:szCs w:val="22"/>
          <w:u w:val="single"/>
        </w:rPr>
        <w:t>contribuciones como cargo CREG</w:t>
      </w:r>
      <w:r w:rsidR="00EC3723" w:rsidRPr="0D139ED5">
        <w:rPr>
          <w:rFonts w:ascii="Bookman Old Style" w:hAnsi="Bookman Old Style"/>
          <w:i/>
          <w:iCs/>
          <w:sz w:val="22"/>
          <w:szCs w:val="22"/>
        </w:rPr>
        <w:t xml:space="preserve">; superintendencia de servicios públicos y CNM del IPSE (entre otros) los cuales deben ser </w:t>
      </w:r>
      <w:r w:rsidR="00EC3723" w:rsidRPr="0D139ED5">
        <w:rPr>
          <w:rFonts w:ascii="Bookman Old Style" w:hAnsi="Bookman Old Style"/>
          <w:i/>
          <w:iCs/>
          <w:sz w:val="22"/>
          <w:szCs w:val="22"/>
          <w:u w:val="single"/>
        </w:rPr>
        <w:t>pagados por el generador para el control y verificación de datos</w:t>
      </w:r>
      <w:r w:rsidR="00EC3723" w:rsidRPr="0D139ED5">
        <w:rPr>
          <w:rFonts w:ascii="Bookman Old Style" w:hAnsi="Bookman Old Style"/>
          <w:i/>
          <w:iCs/>
          <w:sz w:val="22"/>
          <w:szCs w:val="22"/>
        </w:rPr>
        <w:t xml:space="preserve"> con </w:t>
      </w:r>
      <w:r w:rsidR="00EC3723" w:rsidRPr="0D139ED5">
        <w:rPr>
          <w:rFonts w:ascii="Bookman Old Style" w:hAnsi="Bookman Old Style"/>
          <w:i/>
          <w:iCs/>
          <w:sz w:val="22"/>
          <w:szCs w:val="22"/>
          <w:u w:val="single"/>
        </w:rPr>
        <w:t>el fin de obtener su remuneración por concepto de subsidios</w:t>
      </w:r>
      <w:r w:rsidR="00EC3723" w:rsidRPr="0D139ED5">
        <w:rPr>
          <w:rFonts w:ascii="Bookman Old Style" w:hAnsi="Bookman Old Style"/>
          <w:i/>
          <w:iCs/>
          <w:sz w:val="22"/>
          <w:szCs w:val="22"/>
        </w:rPr>
        <w:t xml:space="preserve"> por parte del Ministerio de Minas y Energía. Obedece a error involuntario que se hayan escrito “CND SIC y SIN” Agradecemos omitir este contenido</w:t>
      </w:r>
      <w:r w:rsidR="00EC3723" w:rsidRPr="0D139ED5">
        <w:rPr>
          <w:rFonts w:ascii="Bookman Old Style" w:hAnsi="Bookman Old Style"/>
          <w:sz w:val="22"/>
          <w:szCs w:val="22"/>
        </w:rPr>
        <w:t>.</w:t>
      </w:r>
      <w:r w:rsidRPr="0D139ED5">
        <w:rPr>
          <w:rFonts w:ascii="Bookman Old Style" w:hAnsi="Bookman Old Style"/>
          <w:sz w:val="22"/>
          <w:szCs w:val="22"/>
        </w:rPr>
        <w:t>”</w:t>
      </w:r>
      <w:r w:rsidR="008A0AA9" w:rsidRPr="0D139ED5">
        <w:rPr>
          <w:rFonts w:ascii="Bookman Old Style" w:hAnsi="Bookman Old Style"/>
        </w:rPr>
        <w:t xml:space="preserve"> </w:t>
      </w:r>
      <w:r w:rsidR="0000450D" w:rsidRPr="0D139ED5">
        <w:rPr>
          <w:rFonts w:ascii="Bookman Old Style" w:hAnsi="Bookman Old Style"/>
        </w:rPr>
        <w:t>S</w:t>
      </w:r>
      <w:r w:rsidR="008A0AA9" w:rsidRPr="0D139ED5">
        <w:rPr>
          <w:rFonts w:ascii="Bookman Old Style" w:hAnsi="Bookman Old Style"/>
        </w:rPr>
        <w:t>ubra</w:t>
      </w:r>
      <w:r w:rsidR="0000450D" w:rsidRPr="0D139ED5">
        <w:rPr>
          <w:rFonts w:ascii="Bookman Old Style" w:hAnsi="Bookman Old Style"/>
        </w:rPr>
        <w:t>yado propio</w:t>
      </w:r>
    </w:p>
    <w:p w14:paraId="7FD989C4" w14:textId="57872920" w:rsidR="00386C86" w:rsidRDefault="00386C86" w:rsidP="003D179E">
      <w:pPr>
        <w:ind w:left="567"/>
        <w:jc w:val="both"/>
        <w:rPr>
          <w:rFonts w:ascii="Bookman Old Style" w:hAnsi="Bookman Old Style"/>
          <w:i/>
          <w:iCs/>
        </w:rPr>
      </w:pPr>
    </w:p>
    <w:p w14:paraId="77419374" w14:textId="55729E45" w:rsidR="00386C86" w:rsidRDefault="00386C86" w:rsidP="00386C86">
      <w:pPr>
        <w:ind w:left="284"/>
        <w:jc w:val="both"/>
        <w:rPr>
          <w:rFonts w:ascii="Bookman Old Style" w:hAnsi="Bookman Old Style"/>
        </w:rPr>
      </w:pPr>
      <w:r>
        <w:rPr>
          <w:rFonts w:ascii="Bookman Old Style" w:hAnsi="Bookman Old Style"/>
        </w:rPr>
        <w:t>De lo anterior</w:t>
      </w:r>
      <w:r w:rsidR="006B7F4F">
        <w:rPr>
          <w:rFonts w:ascii="Bookman Old Style" w:hAnsi="Bookman Old Style"/>
        </w:rPr>
        <w:t>,</w:t>
      </w:r>
      <w:r>
        <w:rPr>
          <w:rFonts w:ascii="Bookman Old Style" w:hAnsi="Bookman Old Style"/>
        </w:rPr>
        <w:t xml:space="preserve"> lo primero que se observa es que </w:t>
      </w:r>
      <w:r w:rsidR="0000450D">
        <w:rPr>
          <w:rFonts w:ascii="Bookman Old Style" w:hAnsi="Bookman Old Style"/>
        </w:rPr>
        <w:t xml:space="preserve">el recurrente </w:t>
      </w:r>
      <w:r>
        <w:rPr>
          <w:rFonts w:ascii="Bookman Old Style" w:hAnsi="Bookman Old Style"/>
        </w:rPr>
        <w:t>asocia contribuciones al cargo CREG</w:t>
      </w:r>
      <w:r w:rsidR="00FB6A47">
        <w:rPr>
          <w:rFonts w:ascii="Bookman Old Style" w:hAnsi="Bookman Old Style"/>
        </w:rPr>
        <w:t>, sin que para esta Comisión quedase cla</w:t>
      </w:r>
      <w:r w:rsidR="007B7A14">
        <w:rPr>
          <w:rFonts w:ascii="Bookman Old Style" w:hAnsi="Bookman Old Style"/>
        </w:rPr>
        <w:t>ro a cuál contribución por cargo se refería, en el entendido que la apr</w:t>
      </w:r>
      <w:r w:rsidR="00871A42">
        <w:rPr>
          <w:rFonts w:ascii="Bookman Old Style" w:hAnsi="Bookman Old Style"/>
        </w:rPr>
        <w:t>o</w:t>
      </w:r>
      <w:r w:rsidR="007B7A14">
        <w:rPr>
          <w:rFonts w:ascii="Bookman Old Style" w:hAnsi="Bookman Old Style"/>
        </w:rPr>
        <w:t xml:space="preserve">bación </w:t>
      </w:r>
      <w:r w:rsidR="00871A42">
        <w:rPr>
          <w:rFonts w:ascii="Bookman Old Style" w:hAnsi="Bookman Old Style"/>
        </w:rPr>
        <w:t xml:space="preserve">de cargos </w:t>
      </w:r>
      <w:r w:rsidR="00E937C9">
        <w:rPr>
          <w:rFonts w:ascii="Bookman Old Style" w:hAnsi="Bookman Old Style"/>
        </w:rPr>
        <w:t>hace parte de las funciones del regulador, sin que por esto</w:t>
      </w:r>
      <w:r w:rsidR="00A12451">
        <w:rPr>
          <w:rFonts w:ascii="Bookman Old Style" w:hAnsi="Bookman Old Style"/>
        </w:rPr>
        <w:t xml:space="preserve"> se exija una retribución económica p</w:t>
      </w:r>
      <w:r w:rsidR="00D606CA">
        <w:rPr>
          <w:rFonts w:ascii="Bookman Old Style" w:hAnsi="Bookman Old Style"/>
        </w:rPr>
        <w:t>or parte de</w:t>
      </w:r>
      <w:r w:rsidR="00A12451">
        <w:rPr>
          <w:rFonts w:ascii="Bookman Old Style" w:hAnsi="Bookman Old Style"/>
        </w:rPr>
        <w:t xml:space="preserve"> las empresas de servicios públicos.</w:t>
      </w:r>
    </w:p>
    <w:p w14:paraId="5D2F8611" w14:textId="0337131F" w:rsidR="00A12451" w:rsidRDefault="00A12451" w:rsidP="00386C86">
      <w:pPr>
        <w:ind w:left="284"/>
        <w:jc w:val="both"/>
        <w:rPr>
          <w:rFonts w:ascii="Bookman Old Style" w:hAnsi="Bookman Old Style"/>
        </w:rPr>
      </w:pPr>
    </w:p>
    <w:p w14:paraId="06CB96E0" w14:textId="3C17C18C" w:rsidR="0011468A" w:rsidRDefault="00E77D95" w:rsidP="00024C45">
      <w:pPr>
        <w:ind w:left="284"/>
        <w:jc w:val="both"/>
        <w:rPr>
          <w:rFonts w:ascii="Bookman Old Style" w:hAnsi="Bookman Old Style"/>
        </w:rPr>
      </w:pPr>
      <w:r>
        <w:rPr>
          <w:rFonts w:ascii="Bookman Old Style" w:hAnsi="Bookman Old Style"/>
        </w:rPr>
        <w:t>Lo segundo que puede observarse de la respuesta</w:t>
      </w:r>
      <w:r w:rsidR="00C86D7A">
        <w:rPr>
          <w:rFonts w:ascii="Bookman Old Style" w:hAnsi="Bookman Old Style"/>
        </w:rPr>
        <w:t xml:space="preserve"> dada por el recurrente</w:t>
      </w:r>
      <w:r>
        <w:rPr>
          <w:rFonts w:ascii="Bookman Old Style" w:hAnsi="Bookman Old Style"/>
        </w:rPr>
        <w:t xml:space="preserve"> es que</w:t>
      </w:r>
      <w:r w:rsidR="00C86D7A">
        <w:rPr>
          <w:rFonts w:ascii="Bookman Old Style" w:hAnsi="Bookman Old Style"/>
        </w:rPr>
        <w:t xml:space="preserve"> incluye </w:t>
      </w:r>
      <w:r w:rsidR="00414B2E">
        <w:rPr>
          <w:rFonts w:ascii="Bookman Old Style" w:hAnsi="Bookman Old Style"/>
        </w:rPr>
        <w:t xml:space="preserve">en el rubro </w:t>
      </w:r>
      <w:r w:rsidR="00C86D7A">
        <w:rPr>
          <w:rFonts w:ascii="Bookman Old Style" w:hAnsi="Bookman Old Style"/>
        </w:rPr>
        <w:t>de impuestos y contribuciones</w:t>
      </w:r>
      <w:r w:rsidR="00414B2E">
        <w:rPr>
          <w:rFonts w:ascii="Bookman Old Style" w:hAnsi="Bookman Old Style"/>
        </w:rPr>
        <w:t xml:space="preserve"> pagos</w:t>
      </w:r>
      <w:r>
        <w:rPr>
          <w:rFonts w:ascii="Bookman Old Style" w:hAnsi="Bookman Old Style"/>
        </w:rPr>
        <w:t xml:space="preserve"> </w:t>
      </w:r>
      <w:r w:rsidR="00C86D7A">
        <w:rPr>
          <w:rFonts w:ascii="Bookman Old Style" w:hAnsi="Bookman Old Style"/>
        </w:rPr>
        <w:t>a favor del IPSE</w:t>
      </w:r>
      <w:r>
        <w:rPr>
          <w:rFonts w:ascii="Bookman Old Style" w:hAnsi="Bookman Old Style"/>
        </w:rPr>
        <w:t xml:space="preserve"> </w:t>
      </w:r>
      <w:r w:rsidR="00C86D7A">
        <w:rPr>
          <w:rFonts w:ascii="Bookman Old Style" w:hAnsi="Bookman Old Style"/>
        </w:rPr>
        <w:t>y la SSPD</w:t>
      </w:r>
      <w:r w:rsidR="00414B2E">
        <w:rPr>
          <w:rFonts w:ascii="Bookman Old Style" w:hAnsi="Bookman Old Style"/>
        </w:rPr>
        <w:t xml:space="preserve"> para el </w:t>
      </w:r>
      <w:r w:rsidR="0050697E">
        <w:rPr>
          <w:rFonts w:ascii="Bookman Old Style" w:hAnsi="Bookman Old Style"/>
        </w:rPr>
        <w:t>control y verificación de datos</w:t>
      </w:r>
      <w:r w:rsidR="00414B2E">
        <w:rPr>
          <w:rFonts w:ascii="Bookman Old Style" w:hAnsi="Bookman Old Style"/>
        </w:rPr>
        <w:t xml:space="preserve"> para el pago de subsidios </w:t>
      </w:r>
      <w:r w:rsidR="005E19EA">
        <w:rPr>
          <w:rFonts w:ascii="Bookman Old Style" w:hAnsi="Bookman Old Style"/>
        </w:rPr>
        <w:t>que</w:t>
      </w:r>
      <w:r w:rsidR="00F43E8A">
        <w:rPr>
          <w:rFonts w:ascii="Bookman Old Style" w:hAnsi="Bookman Old Style"/>
        </w:rPr>
        <w:t>,</w:t>
      </w:r>
      <w:r w:rsidR="005E19EA">
        <w:rPr>
          <w:rFonts w:ascii="Bookman Old Style" w:hAnsi="Bookman Old Style"/>
        </w:rPr>
        <w:t xml:space="preserve"> como ya se ha aclarado anteriormente, no </w:t>
      </w:r>
      <w:r w:rsidR="00F43E8A">
        <w:rPr>
          <w:rFonts w:ascii="Bookman Old Style" w:hAnsi="Bookman Old Style"/>
        </w:rPr>
        <w:t xml:space="preserve">guardan relación </w:t>
      </w:r>
      <w:r w:rsidR="005E19EA">
        <w:rPr>
          <w:rFonts w:ascii="Bookman Old Style" w:hAnsi="Bookman Old Style"/>
        </w:rPr>
        <w:t>con la naturaleza misma de las contribuciones</w:t>
      </w:r>
      <w:r w:rsidR="00C03E83">
        <w:rPr>
          <w:rFonts w:ascii="Bookman Old Style" w:hAnsi="Bookman Old Style"/>
        </w:rPr>
        <w:t>. En este punto</w:t>
      </w:r>
      <w:r w:rsidR="006B7F4F">
        <w:rPr>
          <w:rFonts w:ascii="Bookman Old Style" w:hAnsi="Bookman Old Style"/>
        </w:rPr>
        <w:t>,</w:t>
      </w:r>
      <w:r w:rsidR="00C03E83">
        <w:rPr>
          <w:rFonts w:ascii="Bookman Old Style" w:hAnsi="Bookman Old Style"/>
        </w:rPr>
        <w:t xml:space="preserve"> es importante </w:t>
      </w:r>
      <w:r w:rsidR="00C86D7A">
        <w:rPr>
          <w:rFonts w:ascii="Bookman Old Style" w:hAnsi="Bookman Old Style"/>
        </w:rPr>
        <w:t>resaltar que</w:t>
      </w:r>
      <w:r w:rsidR="00414B2E">
        <w:rPr>
          <w:rFonts w:ascii="Bookman Old Style" w:hAnsi="Bookman Old Style"/>
        </w:rPr>
        <w:t xml:space="preserve"> </w:t>
      </w:r>
      <w:r w:rsidR="00C86D7A">
        <w:rPr>
          <w:rFonts w:ascii="Bookman Old Style" w:hAnsi="Bookman Old Style"/>
        </w:rPr>
        <w:t xml:space="preserve">el IPSE </w:t>
      </w:r>
      <w:r w:rsidR="00414B2E">
        <w:rPr>
          <w:rFonts w:ascii="Bookman Old Style" w:hAnsi="Bookman Old Style"/>
        </w:rPr>
        <w:t xml:space="preserve">no es beneficiario de las contribuciones especiales de que trata </w:t>
      </w:r>
      <w:r w:rsidR="000C3CCD">
        <w:rPr>
          <w:rFonts w:ascii="Bookman Old Style" w:hAnsi="Bookman Old Style"/>
        </w:rPr>
        <w:t xml:space="preserve">el artículo 85 de </w:t>
      </w:r>
      <w:r w:rsidR="00414B2E">
        <w:rPr>
          <w:rFonts w:ascii="Bookman Old Style" w:hAnsi="Bookman Old Style"/>
        </w:rPr>
        <w:t xml:space="preserve">la Ley 142 de 1994. </w:t>
      </w:r>
    </w:p>
    <w:p w14:paraId="1805638E" w14:textId="21C90DF0" w:rsidR="007E7E56" w:rsidRDefault="007E7E56" w:rsidP="00024C45">
      <w:pPr>
        <w:ind w:left="284"/>
        <w:jc w:val="both"/>
        <w:rPr>
          <w:rFonts w:ascii="Bookman Old Style" w:hAnsi="Bookman Old Style"/>
        </w:rPr>
      </w:pPr>
    </w:p>
    <w:p w14:paraId="39287160" w14:textId="6B8E5840" w:rsidR="007E7E56" w:rsidRDefault="007E7E56" w:rsidP="00024C45">
      <w:pPr>
        <w:ind w:left="284"/>
        <w:jc w:val="both"/>
        <w:rPr>
          <w:rFonts w:ascii="Bookman Old Style" w:hAnsi="Bookman Old Style"/>
        </w:rPr>
      </w:pPr>
      <w:r>
        <w:rPr>
          <w:rFonts w:ascii="Bookman Old Style" w:hAnsi="Bookman Old Style"/>
        </w:rPr>
        <w:t>Finalmente</w:t>
      </w:r>
      <w:r w:rsidR="00CC297D">
        <w:rPr>
          <w:rFonts w:ascii="Bookman Old Style" w:hAnsi="Bookman Old Style"/>
        </w:rPr>
        <w:t xml:space="preserve">, </w:t>
      </w:r>
      <w:r w:rsidR="002F0F11">
        <w:rPr>
          <w:rFonts w:ascii="Bookman Old Style" w:hAnsi="Bookman Old Style"/>
        </w:rPr>
        <w:t>la respuesta al auto de pruebas I-</w:t>
      </w:r>
      <w:r w:rsidR="002F0F11" w:rsidRPr="00345013">
        <w:rPr>
          <w:rFonts w:ascii="Bookman Old Style" w:hAnsi="Bookman Old Style"/>
        </w:rPr>
        <w:t>2021-003180</w:t>
      </w:r>
      <w:r w:rsidR="002F0F11">
        <w:rPr>
          <w:rFonts w:ascii="Bookman Old Style" w:hAnsi="Bookman Old Style"/>
        </w:rPr>
        <w:t xml:space="preserve"> incluye </w:t>
      </w:r>
      <w:r w:rsidR="003A2717">
        <w:rPr>
          <w:rFonts w:ascii="Bookman Old Style" w:hAnsi="Bookman Old Style"/>
        </w:rPr>
        <w:t xml:space="preserve">una justificación asociada a la remuneración por concepto de </w:t>
      </w:r>
      <w:r w:rsidR="00CC297D">
        <w:rPr>
          <w:rFonts w:ascii="Bookman Old Style" w:hAnsi="Bookman Old Style"/>
        </w:rPr>
        <w:t>subsidios, encontrando</w:t>
      </w:r>
      <w:r w:rsidR="003B592B">
        <w:rPr>
          <w:rFonts w:ascii="Bookman Old Style" w:hAnsi="Bookman Old Style"/>
        </w:rPr>
        <w:t xml:space="preserve"> necesario nuevamente </w:t>
      </w:r>
      <w:r w:rsidR="00E479C0">
        <w:rPr>
          <w:rFonts w:ascii="Bookman Old Style" w:hAnsi="Bookman Old Style"/>
        </w:rPr>
        <w:t>aclarar que dicho proceso no tiene relación alguna con las contribuciones objeto de</w:t>
      </w:r>
      <w:r w:rsidR="00937527">
        <w:rPr>
          <w:rFonts w:ascii="Bookman Old Style" w:hAnsi="Bookman Old Style"/>
        </w:rPr>
        <w:t>l presente análisis</w:t>
      </w:r>
      <w:r w:rsidR="006B7F4F">
        <w:rPr>
          <w:rFonts w:ascii="Bookman Old Style" w:hAnsi="Bookman Old Style"/>
        </w:rPr>
        <w:t>,</w:t>
      </w:r>
      <w:r w:rsidR="00937527">
        <w:rPr>
          <w:rFonts w:ascii="Bookman Old Style" w:hAnsi="Bookman Old Style"/>
        </w:rPr>
        <w:t xml:space="preserve"> ni del proceso de aprobación de cargo solicitado.</w:t>
      </w:r>
    </w:p>
    <w:p w14:paraId="186DCB7C" w14:textId="472425CB" w:rsidR="00CC297D" w:rsidRDefault="00CC297D" w:rsidP="00024C45">
      <w:pPr>
        <w:ind w:left="284"/>
        <w:jc w:val="both"/>
        <w:rPr>
          <w:rFonts w:ascii="Bookman Old Style" w:hAnsi="Bookman Old Style"/>
        </w:rPr>
      </w:pPr>
    </w:p>
    <w:p w14:paraId="2BDB005B" w14:textId="3A525F8F" w:rsidR="00881F23" w:rsidRPr="00881F23" w:rsidRDefault="00631812" w:rsidP="009E7003">
      <w:pPr>
        <w:ind w:left="284"/>
        <w:jc w:val="both"/>
        <w:rPr>
          <w:rFonts w:ascii="Bookman Old Style" w:hAnsi="Bookman Old Style"/>
        </w:rPr>
      </w:pPr>
      <w:r w:rsidRPr="00604161">
        <w:rPr>
          <w:rFonts w:ascii="Bookman Old Style" w:hAnsi="Bookman Old Style"/>
        </w:rPr>
        <w:t>Ahora bien, dado el anterior contexto, esta Comisió</w:t>
      </w:r>
      <w:r w:rsidR="009E7003" w:rsidRPr="00604161">
        <w:rPr>
          <w:rFonts w:ascii="Bookman Old Style" w:hAnsi="Bookman Old Style"/>
        </w:rPr>
        <w:t>n optó por no reconocer la actividad</w:t>
      </w:r>
      <w:r w:rsidR="00881F23" w:rsidRPr="00604161">
        <w:rPr>
          <w:rFonts w:ascii="Bookman Old Style" w:hAnsi="Bookman Old Style"/>
        </w:rPr>
        <w:t xml:space="preserve"> IMPUESTOS y CONTRIBUCIONES </w:t>
      </w:r>
      <w:r w:rsidR="00B11CF1" w:rsidRPr="00604161">
        <w:rPr>
          <w:rFonts w:ascii="Bookman Old Style" w:hAnsi="Bookman Old Style"/>
        </w:rPr>
        <w:t>porque</w:t>
      </w:r>
      <w:r w:rsidR="00F43E8A">
        <w:rPr>
          <w:rFonts w:ascii="Bookman Old Style" w:hAnsi="Bookman Old Style"/>
        </w:rPr>
        <w:t>,</w:t>
      </w:r>
      <w:r w:rsidR="00B11CF1" w:rsidRPr="00604161">
        <w:rPr>
          <w:rFonts w:ascii="Bookman Old Style" w:hAnsi="Bookman Old Style"/>
        </w:rPr>
        <w:t xml:space="preserve"> sumado a lo anterior</w:t>
      </w:r>
      <w:r w:rsidR="00F43E8A">
        <w:rPr>
          <w:rFonts w:ascii="Bookman Old Style" w:hAnsi="Bookman Old Style"/>
        </w:rPr>
        <w:t>,</w:t>
      </w:r>
      <w:r w:rsidR="00B11CF1" w:rsidRPr="00604161">
        <w:rPr>
          <w:rFonts w:ascii="Bookman Old Style" w:hAnsi="Bookman Old Style"/>
        </w:rPr>
        <w:t xml:space="preserve"> </w:t>
      </w:r>
      <w:r w:rsidR="00881F23" w:rsidRPr="00604161">
        <w:rPr>
          <w:rFonts w:ascii="Bookman Old Style" w:hAnsi="Bookman Old Style"/>
        </w:rPr>
        <w:t xml:space="preserve">nunca </w:t>
      </w:r>
      <w:r w:rsidR="00B11CF1" w:rsidRPr="00604161">
        <w:rPr>
          <w:rFonts w:ascii="Bookman Old Style" w:hAnsi="Bookman Old Style"/>
        </w:rPr>
        <w:t xml:space="preserve">se </w:t>
      </w:r>
      <w:r w:rsidR="00881F23" w:rsidRPr="00604161">
        <w:rPr>
          <w:rFonts w:ascii="Bookman Old Style" w:hAnsi="Bookman Old Style"/>
        </w:rPr>
        <w:t>obtuvo el nivel de detalle solicitado a REFOENERGY (Radicados CREG S-2021-00969, CREG S-2021- 002641, S-2021-002878, autos de pruebas I-2021-003180, I-2021-004254).</w:t>
      </w:r>
    </w:p>
    <w:p w14:paraId="0BA97269" w14:textId="77777777" w:rsidR="00881F23" w:rsidRPr="00881F23" w:rsidRDefault="00881F23" w:rsidP="00024C45">
      <w:pPr>
        <w:ind w:left="284"/>
        <w:jc w:val="both"/>
        <w:rPr>
          <w:rFonts w:ascii="Bookman Old Style" w:hAnsi="Bookman Old Style"/>
        </w:rPr>
      </w:pPr>
    </w:p>
    <w:p w14:paraId="7E96E754" w14:textId="7668FEC0" w:rsidR="00881F23" w:rsidRPr="00881F23" w:rsidRDefault="00881F23" w:rsidP="00024C45">
      <w:pPr>
        <w:ind w:left="284"/>
        <w:jc w:val="both"/>
        <w:rPr>
          <w:rFonts w:ascii="Bookman Old Style" w:hAnsi="Bookman Old Style"/>
        </w:rPr>
      </w:pPr>
      <w:r w:rsidRPr="00881F23">
        <w:rPr>
          <w:rFonts w:ascii="Bookman Old Style" w:hAnsi="Bookman Old Style"/>
        </w:rPr>
        <w:t xml:space="preserve">Para contextualizar el requerimiento de esta Comisión, </w:t>
      </w:r>
      <w:r w:rsidR="00DB468D">
        <w:rPr>
          <w:rFonts w:ascii="Bookman Old Style" w:hAnsi="Bookman Old Style"/>
        </w:rPr>
        <w:t xml:space="preserve">en </w:t>
      </w:r>
      <w:r w:rsidRPr="00881F23">
        <w:rPr>
          <w:rFonts w:ascii="Bookman Old Style" w:hAnsi="Bookman Old Style"/>
        </w:rPr>
        <w:t xml:space="preserve">el último auto de pruebas I-2021-004254, </w:t>
      </w:r>
      <w:r w:rsidR="00B92840">
        <w:rPr>
          <w:rFonts w:ascii="Bookman Old Style" w:hAnsi="Bookman Old Style"/>
        </w:rPr>
        <w:t>se señaló</w:t>
      </w:r>
      <w:r w:rsidRPr="00881F23">
        <w:rPr>
          <w:rFonts w:ascii="Bookman Old Style" w:hAnsi="Bookman Old Style"/>
        </w:rPr>
        <w:t>:</w:t>
      </w:r>
    </w:p>
    <w:p w14:paraId="7E3582C3" w14:textId="77777777" w:rsidR="00881F23" w:rsidRPr="00881F23" w:rsidRDefault="00881F23" w:rsidP="00024C45">
      <w:pPr>
        <w:ind w:left="284"/>
        <w:jc w:val="both"/>
        <w:rPr>
          <w:rFonts w:ascii="Bookman Old Style" w:hAnsi="Bookman Old Style"/>
        </w:rPr>
      </w:pPr>
    </w:p>
    <w:p w14:paraId="65E67FC7" w14:textId="77777777" w:rsidR="00881F23" w:rsidRPr="00881F23" w:rsidRDefault="00881F23" w:rsidP="007204A7">
      <w:pPr>
        <w:ind w:left="567"/>
        <w:contextualSpacing/>
        <w:jc w:val="both"/>
        <w:rPr>
          <w:rFonts w:ascii="Bookman Old Style" w:hAnsi="Bookman Old Style"/>
          <w:i/>
          <w:iCs/>
          <w:sz w:val="22"/>
          <w:szCs w:val="22"/>
          <w:lang w:val="es-CO" w:eastAsia="es-MX"/>
        </w:rPr>
      </w:pPr>
      <w:r w:rsidRPr="00881F23">
        <w:rPr>
          <w:rFonts w:ascii="Bookman Old Style" w:hAnsi="Bookman Old Style" w:cs="Arial"/>
          <w:b/>
          <w:bCs/>
          <w:i/>
          <w:iCs/>
          <w:sz w:val="22"/>
          <w:szCs w:val="22"/>
          <w:lang w:val="es-CO" w:eastAsia="es-MX"/>
        </w:rPr>
        <w:t>“DÉCIMO.</w:t>
      </w:r>
      <w:r w:rsidRPr="00881F23">
        <w:rPr>
          <w:rFonts w:ascii="Bookman Old Style" w:hAnsi="Bookman Old Style" w:cs="Arial"/>
          <w:i/>
          <w:iCs/>
          <w:sz w:val="22"/>
          <w:szCs w:val="22"/>
          <w:lang w:val="es-CO" w:eastAsia="es-MX"/>
        </w:rPr>
        <w:t xml:space="preserve"> Esta Comisión a través del Auto I-2021-003180 del 27 de octubre de 2021, numeral 7, solicitó a la empresa REFOENERGY BITA S.A.S. E.S.P., información relacionada con </w:t>
      </w:r>
      <w:r w:rsidRPr="00881F23">
        <w:rPr>
          <w:rFonts w:ascii="Bookman Old Style" w:hAnsi="Bookman Old Style"/>
          <w:i/>
          <w:iCs/>
          <w:sz w:val="22"/>
          <w:szCs w:val="22"/>
          <w:lang w:val="es-CO" w:eastAsia="es-MX"/>
        </w:rPr>
        <w:t>gastos de administración que hacen parte del cargo propuesto.</w:t>
      </w:r>
    </w:p>
    <w:p w14:paraId="56C0E8C2" w14:textId="77777777" w:rsidR="00881F23" w:rsidRPr="00881F23" w:rsidRDefault="00881F23" w:rsidP="007204A7">
      <w:pPr>
        <w:ind w:left="567"/>
        <w:contextualSpacing/>
        <w:jc w:val="both"/>
        <w:rPr>
          <w:rFonts w:ascii="Bookman Old Style" w:hAnsi="Bookman Old Style"/>
          <w:i/>
          <w:iCs/>
          <w:sz w:val="22"/>
          <w:szCs w:val="22"/>
          <w:lang w:val="es-CO" w:eastAsia="es-MX"/>
        </w:rPr>
      </w:pPr>
    </w:p>
    <w:p w14:paraId="41AE30CB" w14:textId="77777777" w:rsidR="00881F23" w:rsidRPr="00881F23" w:rsidRDefault="00881F23" w:rsidP="007204A7">
      <w:pPr>
        <w:ind w:left="567"/>
        <w:contextualSpacing/>
        <w:jc w:val="both"/>
        <w:rPr>
          <w:rFonts w:ascii="Bookman Old Style" w:hAnsi="Bookman Old Style" w:cs="Arial"/>
          <w:i/>
          <w:iCs/>
          <w:sz w:val="22"/>
          <w:szCs w:val="22"/>
          <w:lang w:val="es-CO" w:eastAsia="es-MX"/>
        </w:rPr>
      </w:pPr>
      <w:r w:rsidRPr="00881F23">
        <w:rPr>
          <w:rFonts w:ascii="Bookman Old Style" w:hAnsi="Bookman Old Style" w:cs="Arial"/>
          <w:i/>
          <w:iCs/>
          <w:sz w:val="22"/>
          <w:szCs w:val="22"/>
          <w:lang w:val="es-CO" w:eastAsia="es-MX"/>
        </w:rPr>
        <w:t xml:space="preserve">A partir del análisis del archivo remitido por la </w:t>
      </w:r>
      <w:r w:rsidRPr="00881F23">
        <w:rPr>
          <w:rFonts w:ascii="Bookman Old Style" w:hAnsi="Bookman Old Style" w:cs="Arial"/>
          <w:i/>
          <w:iCs/>
          <w:sz w:val="22"/>
          <w:szCs w:val="22"/>
          <w:lang w:val="es-CO" w:eastAsia="es-CO"/>
        </w:rPr>
        <w:t>empresa REFOENERGY BITA S.A.S. E.S.P.</w:t>
      </w:r>
      <w:r w:rsidRPr="00881F23">
        <w:rPr>
          <w:rFonts w:ascii="Bookman Old Style" w:hAnsi="Bookman Old Style" w:cs="Arial"/>
          <w:i/>
          <w:iCs/>
          <w:sz w:val="22"/>
          <w:szCs w:val="22"/>
          <w:lang w:val="es-CO" w:eastAsia="es-MX"/>
        </w:rPr>
        <w:t xml:space="preserve">, a través de radicados </w:t>
      </w:r>
      <w:r w:rsidRPr="00881F23">
        <w:rPr>
          <w:rFonts w:ascii="Bookman Old Style" w:hAnsi="Bookman Old Style" w:cs="Arial"/>
          <w:i/>
          <w:iCs/>
          <w:sz w:val="22"/>
          <w:szCs w:val="22"/>
          <w:lang w:val="es-CO" w:eastAsia="es-CO"/>
        </w:rPr>
        <w:t xml:space="preserve">CREG E-2021-013701 y CREG E-2021-013766, </w:t>
      </w:r>
      <w:r w:rsidRPr="00881F23">
        <w:rPr>
          <w:rFonts w:ascii="Bookman Old Style" w:hAnsi="Bookman Old Style" w:cs="Arial"/>
          <w:i/>
          <w:iCs/>
          <w:sz w:val="22"/>
          <w:szCs w:val="22"/>
          <w:lang w:val="es-CO" w:eastAsia="es-MX"/>
        </w:rPr>
        <w:t>denominado “REB-TEC-296-2021 Respuesta auto de pruebas Rad I-2021-003180 del 27102021.pdf”, esta Comisión encuentra parcialmente atendido el requerimiento en el sentido de haber aclarado lo siguiente:</w:t>
      </w:r>
    </w:p>
    <w:p w14:paraId="5292BF2D" w14:textId="77777777" w:rsidR="00881F23" w:rsidRPr="00881F23" w:rsidRDefault="00881F23" w:rsidP="00881F23">
      <w:pPr>
        <w:contextualSpacing/>
        <w:jc w:val="both"/>
        <w:rPr>
          <w:rFonts w:ascii="Arial" w:hAnsi="Arial" w:cs="Arial"/>
          <w:lang w:val="es-CO" w:eastAsia="es-MX"/>
        </w:rPr>
      </w:pPr>
    </w:p>
    <w:p w14:paraId="62BCFC9C" w14:textId="77777777" w:rsidR="00881F23" w:rsidRPr="00881F23" w:rsidRDefault="00881F23" w:rsidP="00DE114F">
      <w:pPr>
        <w:ind w:left="851" w:right="333"/>
        <w:contextualSpacing/>
        <w:jc w:val="both"/>
        <w:rPr>
          <w:rFonts w:ascii="Arial" w:hAnsi="Arial" w:cs="Arial"/>
          <w:i/>
          <w:iCs/>
          <w:sz w:val="20"/>
          <w:szCs w:val="20"/>
          <w:lang w:val="es-CO" w:eastAsia="es-MX"/>
        </w:rPr>
      </w:pPr>
      <w:r w:rsidRPr="00881F23">
        <w:rPr>
          <w:rFonts w:ascii="Arial" w:hAnsi="Arial" w:cs="Arial"/>
          <w:i/>
          <w:iCs/>
          <w:sz w:val="20"/>
          <w:szCs w:val="20"/>
          <w:lang w:val="es-CO" w:eastAsia="es-MX"/>
        </w:rPr>
        <w:t>“</w:t>
      </w:r>
      <w:proofErr w:type="gramStart"/>
      <w:r w:rsidRPr="00881F23">
        <w:rPr>
          <w:rFonts w:ascii="Bookman Old Style" w:hAnsi="Bookman Old Style" w:cs="Arial"/>
          <w:i/>
          <w:iCs/>
          <w:sz w:val="20"/>
          <w:szCs w:val="20"/>
          <w:lang w:val="es-CO" w:eastAsia="es-MX"/>
        </w:rPr>
        <w:t>1.Taxes</w:t>
      </w:r>
      <w:proofErr w:type="gramEnd"/>
      <w:r w:rsidRPr="00881F23">
        <w:rPr>
          <w:rFonts w:ascii="Bookman Old Style" w:hAnsi="Bookman Old Style" w:cs="Arial"/>
          <w:i/>
          <w:iCs/>
          <w:sz w:val="20"/>
          <w:szCs w:val="20"/>
          <w:lang w:val="es-CO" w:eastAsia="es-MX"/>
        </w:rPr>
        <w:t xml:space="preserve"> and </w:t>
      </w:r>
      <w:proofErr w:type="spellStart"/>
      <w:r w:rsidRPr="00881F23">
        <w:rPr>
          <w:rFonts w:ascii="Bookman Old Style" w:hAnsi="Bookman Old Style" w:cs="Arial"/>
          <w:i/>
          <w:iCs/>
          <w:sz w:val="20"/>
          <w:szCs w:val="20"/>
          <w:lang w:val="es-CO" w:eastAsia="es-MX"/>
        </w:rPr>
        <w:t>contributions</w:t>
      </w:r>
      <w:proofErr w:type="spellEnd"/>
      <w:r w:rsidRPr="00881F23">
        <w:rPr>
          <w:rFonts w:ascii="Bookman Old Style" w:hAnsi="Bookman Old Style" w:cs="Arial"/>
          <w:i/>
          <w:iCs/>
          <w:sz w:val="20"/>
          <w:szCs w:val="20"/>
          <w:lang w:val="es-CO" w:eastAsia="es-MX"/>
        </w:rPr>
        <w:t>: los valores incorporados en las celdas Corresponden a impuestos y contribuciones como cargo CREG; superintendencia de servicios públicos y CNM del IPSE (entre otros) los cuales deben ser pagados por el generador para el control y verificación de datos con el fin de obtener su remuneración por concepto de subsidios por parte del Ministerio de Minas y Energía. Obedece a error involuntario que se hayan escrito “CND SIC y SIN” Agradecemos omitir este contenido.”</w:t>
      </w:r>
    </w:p>
    <w:p w14:paraId="0733CFA8" w14:textId="77777777" w:rsidR="00881F23" w:rsidRPr="00881F23" w:rsidRDefault="00881F23" w:rsidP="00881F23">
      <w:pPr>
        <w:contextualSpacing/>
        <w:jc w:val="both"/>
        <w:rPr>
          <w:rFonts w:ascii="Arial" w:hAnsi="Arial" w:cs="Arial"/>
          <w:lang w:val="es-CO" w:eastAsia="es-MX"/>
        </w:rPr>
      </w:pPr>
    </w:p>
    <w:p w14:paraId="69B2117B" w14:textId="77777777" w:rsidR="00881F23" w:rsidRPr="00881F23" w:rsidRDefault="00881F23" w:rsidP="007204A7">
      <w:pPr>
        <w:ind w:left="567"/>
        <w:contextualSpacing/>
        <w:jc w:val="both"/>
        <w:rPr>
          <w:rFonts w:ascii="Bookman Old Style" w:hAnsi="Bookman Old Style"/>
          <w:i/>
          <w:iCs/>
          <w:sz w:val="22"/>
          <w:szCs w:val="22"/>
          <w:lang w:val="es-CO" w:eastAsia="es-MX"/>
        </w:rPr>
      </w:pPr>
      <w:r w:rsidRPr="00881F23">
        <w:rPr>
          <w:rFonts w:ascii="Bookman Old Style" w:hAnsi="Bookman Old Style" w:cs="Arial"/>
          <w:i/>
          <w:iCs/>
          <w:sz w:val="22"/>
          <w:szCs w:val="22"/>
          <w:lang w:val="es-CO" w:eastAsia="es-MX"/>
        </w:rPr>
        <w:t>Con fundamento en la respuesta emitida, esta Comisión encuentra necesario requerir el detalle de cada una de las tasas, contribuciones y cargos señalados</w:t>
      </w:r>
      <w:r w:rsidRPr="00881F23">
        <w:rPr>
          <w:rFonts w:ascii="Bookman Old Style" w:hAnsi="Bookman Old Style"/>
          <w:i/>
          <w:iCs/>
          <w:sz w:val="22"/>
          <w:szCs w:val="22"/>
          <w:lang w:val="es-CO" w:eastAsia="es-MX"/>
        </w:rPr>
        <w:t>, soportando adecuadamente el valor estimado e indicando de qué manera deben asignarse a cada tecnología, diésel o biomasa.”</w:t>
      </w:r>
    </w:p>
    <w:p w14:paraId="6F559763" w14:textId="77777777" w:rsidR="00881F23" w:rsidRPr="00881F23" w:rsidRDefault="00881F23" w:rsidP="00881F23">
      <w:pPr>
        <w:ind w:left="284"/>
        <w:contextualSpacing/>
        <w:jc w:val="both"/>
        <w:rPr>
          <w:rFonts w:ascii="Bookman Old Style" w:hAnsi="Bookman Old Style"/>
          <w:i/>
          <w:iCs/>
          <w:sz w:val="22"/>
          <w:szCs w:val="22"/>
          <w:lang w:val="es-CO" w:eastAsia="es-MX"/>
        </w:rPr>
      </w:pPr>
    </w:p>
    <w:p w14:paraId="419DACE5" w14:textId="6D8E94B8" w:rsidR="00881F23" w:rsidRPr="00881F23" w:rsidRDefault="00881F23" w:rsidP="005A68D1">
      <w:pPr>
        <w:ind w:left="284"/>
        <w:contextualSpacing/>
        <w:jc w:val="both"/>
        <w:rPr>
          <w:rFonts w:ascii="Bookman Old Style" w:hAnsi="Bookman Old Style"/>
          <w:lang w:val="es-CO" w:eastAsia="es-CO"/>
        </w:rPr>
      </w:pPr>
      <w:r w:rsidRPr="00881F23">
        <w:rPr>
          <w:rFonts w:ascii="Bookman Old Style" w:hAnsi="Bookman Old Style"/>
          <w:lang w:val="es-CO" w:eastAsia="es-CO"/>
        </w:rPr>
        <w:t>A lo anterior, REFOENERGY</w:t>
      </w:r>
      <w:r w:rsidR="006B7F4F">
        <w:rPr>
          <w:rFonts w:ascii="Bookman Old Style" w:hAnsi="Bookman Old Style"/>
          <w:lang w:val="es-CO" w:eastAsia="es-CO"/>
        </w:rPr>
        <w:t>,</w:t>
      </w:r>
      <w:r w:rsidRPr="00881F23">
        <w:rPr>
          <w:rFonts w:ascii="Bookman Old Style" w:hAnsi="Bookman Old Style"/>
          <w:lang w:val="es-CO" w:eastAsia="es-CO"/>
        </w:rPr>
        <w:t xml:space="preserve"> con radicado CREG E-2022-002120</w:t>
      </w:r>
      <w:r w:rsidR="006B7F4F">
        <w:rPr>
          <w:rFonts w:ascii="Bookman Old Style" w:hAnsi="Bookman Old Style"/>
          <w:lang w:val="es-CO" w:eastAsia="es-CO"/>
        </w:rPr>
        <w:t>,</w:t>
      </w:r>
      <w:r w:rsidRPr="00881F23">
        <w:rPr>
          <w:rFonts w:ascii="Bookman Old Style" w:hAnsi="Bookman Old Style"/>
          <w:lang w:val="es-CO" w:eastAsia="es-CO"/>
        </w:rPr>
        <w:t xml:space="preserve"> dio respuesta al </w:t>
      </w:r>
      <w:r w:rsidR="00B92840">
        <w:rPr>
          <w:rFonts w:ascii="Bookman Old Style" w:hAnsi="Bookman Old Style"/>
          <w:lang w:val="es-CO" w:eastAsia="es-CO"/>
        </w:rPr>
        <w:t>A</w:t>
      </w:r>
      <w:r w:rsidR="00B92840" w:rsidRPr="00881F23">
        <w:rPr>
          <w:rFonts w:ascii="Bookman Old Style" w:hAnsi="Bookman Old Style"/>
          <w:lang w:val="es-CO" w:eastAsia="es-CO"/>
        </w:rPr>
        <w:t xml:space="preserve">uto </w:t>
      </w:r>
      <w:r w:rsidRPr="00881F23">
        <w:rPr>
          <w:rFonts w:ascii="Bookman Old Style" w:hAnsi="Bookman Old Style"/>
          <w:lang w:val="es-CO" w:eastAsia="es-CO"/>
        </w:rPr>
        <w:t xml:space="preserve">I-2021-004254, </w:t>
      </w:r>
      <w:r w:rsidRPr="00B11CF1">
        <w:rPr>
          <w:rFonts w:ascii="Bookman Old Style" w:hAnsi="Bookman Old Style"/>
          <w:u w:val="single"/>
          <w:lang w:val="es-CO" w:eastAsia="es-CO"/>
        </w:rPr>
        <w:t xml:space="preserve">sin que se atendiera </w:t>
      </w:r>
      <w:r w:rsidR="002C3777">
        <w:rPr>
          <w:rFonts w:ascii="Bookman Old Style" w:hAnsi="Bookman Old Style"/>
          <w:u w:val="single"/>
          <w:lang w:val="es-CO" w:eastAsia="es-CO"/>
        </w:rPr>
        <w:t xml:space="preserve">a lo solicitado en </w:t>
      </w:r>
      <w:r w:rsidRPr="00B11CF1">
        <w:rPr>
          <w:rFonts w:ascii="Bookman Old Style" w:hAnsi="Bookman Old Style"/>
          <w:u w:val="single"/>
          <w:lang w:val="es-CO" w:eastAsia="es-CO"/>
        </w:rPr>
        <w:t xml:space="preserve">el numeral </w:t>
      </w:r>
      <w:r w:rsidR="0003645F">
        <w:rPr>
          <w:rFonts w:ascii="Bookman Old Style" w:hAnsi="Bookman Old Style"/>
          <w:u w:val="single"/>
          <w:lang w:val="es-CO" w:eastAsia="es-CO"/>
        </w:rPr>
        <w:t>décimo</w:t>
      </w:r>
      <w:r w:rsidR="0003645F" w:rsidRPr="00B11CF1">
        <w:rPr>
          <w:rFonts w:ascii="Bookman Old Style" w:hAnsi="Bookman Old Style"/>
          <w:u w:val="single"/>
          <w:lang w:val="es-CO" w:eastAsia="es-CO"/>
        </w:rPr>
        <w:t xml:space="preserve"> </w:t>
      </w:r>
      <w:r w:rsidR="00B560A6">
        <w:rPr>
          <w:rFonts w:ascii="Bookman Old Style" w:hAnsi="Bookman Old Style"/>
          <w:u w:val="single"/>
          <w:lang w:val="es-CO" w:eastAsia="es-CO"/>
        </w:rPr>
        <w:t>del precitado auto</w:t>
      </w:r>
      <w:r w:rsidRPr="00881F23">
        <w:rPr>
          <w:rFonts w:ascii="Bookman Old Style" w:hAnsi="Bookman Old Style"/>
          <w:lang w:val="es-CO" w:eastAsia="es-CO"/>
        </w:rPr>
        <w:t xml:space="preserve">, ni que se entregara el detalle del cálculo sobre el que se obtiene el valor estimado, el detalle de </w:t>
      </w:r>
      <w:r w:rsidR="00F43E8A">
        <w:rPr>
          <w:rFonts w:ascii="Bookman Old Style" w:hAnsi="Bookman Old Style"/>
          <w:lang w:val="es-CO" w:eastAsia="es-CO"/>
        </w:rPr>
        <w:t xml:space="preserve">la </w:t>
      </w:r>
      <w:r w:rsidRPr="00881F23">
        <w:rPr>
          <w:rFonts w:ascii="Bookman Old Style" w:hAnsi="Bookman Old Style"/>
          <w:lang w:val="es-CO" w:eastAsia="es-CO"/>
        </w:rPr>
        <w:t>proporción correspond</w:t>
      </w:r>
      <w:r w:rsidR="00F43E8A">
        <w:rPr>
          <w:rFonts w:ascii="Bookman Old Style" w:hAnsi="Bookman Old Style"/>
          <w:lang w:val="es-CO" w:eastAsia="es-CO"/>
        </w:rPr>
        <w:t>iente</w:t>
      </w:r>
      <w:r w:rsidRPr="00881F23">
        <w:rPr>
          <w:rFonts w:ascii="Bookman Old Style" w:hAnsi="Bookman Old Style"/>
          <w:lang w:val="es-CO" w:eastAsia="es-CO"/>
        </w:rPr>
        <w:t xml:space="preserve"> a contribuciones CREG o de la SSPD</w:t>
      </w:r>
      <w:r w:rsidR="006B7F4F">
        <w:rPr>
          <w:rFonts w:ascii="Bookman Old Style" w:hAnsi="Bookman Old Style"/>
          <w:lang w:val="es-CO" w:eastAsia="es-CO"/>
        </w:rPr>
        <w:t>,</w:t>
      </w:r>
      <w:r w:rsidRPr="00881F23">
        <w:rPr>
          <w:rFonts w:ascii="Bookman Old Style" w:hAnsi="Bookman Old Style"/>
          <w:lang w:val="es-CO" w:eastAsia="es-CO"/>
        </w:rPr>
        <w:t xml:space="preserve"> e igualmente sin criterio de asignación para cada tecnología.</w:t>
      </w:r>
    </w:p>
    <w:p w14:paraId="58FEB7D0" w14:textId="77777777" w:rsidR="00881F23" w:rsidRPr="00881F23" w:rsidRDefault="00881F23" w:rsidP="005A68D1">
      <w:pPr>
        <w:ind w:left="284"/>
        <w:contextualSpacing/>
        <w:jc w:val="both"/>
        <w:rPr>
          <w:rFonts w:ascii="Bookman Old Style" w:hAnsi="Bookman Old Style"/>
          <w:lang w:val="es-CO" w:eastAsia="es-CO"/>
        </w:rPr>
      </w:pPr>
    </w:p>
    <w:p w14:paraId="3E3599EF" w14:textId="6CEA94E9" w:rsidR="005B787C" w:rsidRDefault="009B4FC1" w:rsidP="009B155F">
      <w:pPr>
        <w:ind w:left="284"/>
        <w:contextualSpacing/>
        <w:jc w:val="both"/>
        <w:rPr>
          <w:rFonts w:ascii="Bookman Old Style" w:hAnsi="Bookman Old Style"/>
          <w:lang w:val="es-CO" w:eastAsia="es-CO"/>
        </w:rPr>
      </w:pPr>
      <w:r>
        <w:rPr>
          <w:rFonts w:ascii="Bookman Old Style" w:hAnsi="Bookman Old Style"/>
          <w:lang w:val="es-CO" w:eastAsia="es-CO"/>
        </w:rPr>
        <w:t>Debe resaltarse que si bien el recurrente</w:t>
      </w:r>
      <w:r w:rsidR="007854AD">
        <w:rPr>
          <w:rFonts w:ascii="Bookman Old Style" w:hAnsi="Bookman Old Style"/>
          <w:lang w:val="es-CO" w:eastAsia="es-CO"/>
        </w:rPr>
        <w:t xml:space="preserve"> </w:t>
      </w:r>
      <w:r>
        <w:rPr>
          <w:rFonts w:ascii="Bookman Old Style" w:hAnsi="Bookman Old Style"/>
          <w:lang w:val="es-CO" w:eastAsia="es-CO"/>
        </w:rPr>
        <w:t>dentro del trámite de la actuación administrativa aclaró</w:t>
      </w:r>
      <w:r w:rsidR="007854AD">
        <w:rPr>
          <w:rFonts w:ascii="Bookman Old Style" w:hAnsi="Bookman Old Style"/>
          <w:lang w:val="es-CO" w:eastAsia="es-CO"/>
        </w:rPr>
        <w:t xml:space="preserve"> a cuáles contribuciones se </w:t>
      </w:r>
      <w:r w:rsidR="00B553E6">
        <w:rPr>
          <w:rFonts w:ascii="Bookman Old Style" w:hAnsi="Bookman Old Style"/>
          <w:lang w:val="es-CO" w:eastAsia="es-CO"/>
        </w:rPr>
        <w:t xml:space="preserve">refería (Contribuciones CREG y SSPD), </w:t>
      </w:r>
      <w:r w:rsidR="004F4591">
        <w:rPr>
          <w:rFonts w:ascii="Bookman Old Style" w:hAnsi="Bookman Old Style"/>
          <w:lang w:val="es-CO" w:eastAsia="es-CO"/>
        </w:rPr>
        <w:t>esta Comisión nunca obtuvo</w:t>
      </w:r>
      <w:r w:rsidR="00EB6D82">
        <w:rPr>
          <w:rFonts w:ascii="Bookman Old Style" w:hAnsi="Bookman Old Style"/>
          <w:lang w:val="es-CO" w:eastAsia="es-CO"/>
        </w:rPr>
        <w:t xml:space="preserve"> </w:t>
      </w:r>
      <w:r w:rsidR="00B82F8B">
        <w:rPr>
          <w:rFonts w:ascii="Bookman Old Style" w:hAnsi="Bookman Old Style"/>
          <w:lang w:val="es-CO" w:eastAsia="es-CO"/>
        </w:rPr>
        <w:t xml:space="preserve">la información sobre </w:t>
      </w:r>
      <w:r w:rsidR="00230908">
        <w:rPr>
          <w:rFonts w:ascii="Bookman Old Style" w:hAnsi="Bookman Old Style"/>
          <w:lang w:val="es-CO" w:eastAsia="es-CO"/>
        </w:rPr>
        <w:t xml:space="preserve">cómo REFOENERGY calculó el monto de </w:t>
      </w:r>
      <w:r w:rsidR="009B155F">
        <w:rPr>
          <w:rFonts w:ascii="Bookman Old Style" w:hAnsi="Bookman Old Style"/>
          <w:lang w:val="es-CO" w:eastAsia="es-CO"/>
        </w:rPr>
        <w:t xml:space="preserve">contribuciones o el </w:t>
      </w:r>
      <w:r w:rsidR="00881F23" w:rsidRPr="00881F23">
        <w:rPr>
          <w:rFonts w:ascii="Bookman Old Style" w:hAnsi="Bookman Old Style"/>
          <w:lang w:val="es-CO" w:eastAsia="es-CO"/>
        </w:rPr>
        <w:t>detalle requerido en estas actividades</w:t>
      </w:r>
      <w:r w:rsidR="00B82F8B">
        <w:rPr>
          <w:rFonts w:ascii="Bookman Old Style" w:hAnsi="Bookman Old Style"/>
          <w:lang w:val="es-CO" w:eastAsia="es-CO"/>
        </w:rPr>
        <w:t xml:space="preserve">. </w:t>
      </w:r>
      <w:r w:rsidR="00240C1F">
        <w:rPr>
          <w:rFonts w:ascii="Bookman Old Style" w:hAnsi="Bookman Old Style"/>
          <w:lang w:val="es-CO" w:eastAsia="es-CO"/>
        </w:rPr>
        <w:t xml:space="preserve">En ese sentido, </w:t>
      </w:r>
      <w:r w:rsidR="00D62329">
        <w:rPr>
          <w:rFonts w:ascii="Bookman Old Style" w:hAnsi="Bookman Old Style"/>
          <w:lang w:val="es-CO" w:eastAsia="es-CO"/>
        </w:rPr>
        <w:t xml:space="preserve">con el fin de contar </w:t>
      </w:r>
      <w:r w:rsidR="00881F23" w:rsidRPr="00881F23">
        <w:rPr>
          <w:rFonts w:ascii="Bookman Old Style" w:hAnsi="Bookman Old Style"/>
          <w:lang w:val="es-CO" w:eastAsia="es-CO"/>
        </w:rPr>
        <w:t xml:space="preserve">con la mejor información disponible, la fuente oficial para determinar la </w:t>
      </w:r>
      <w:r w:rsidR="00440F63">
        <w:rPr>
          <w:rFonts w:ascii="Bookman Old Style" w:hAnsi="Bookman Old Style"/>
          <w:lang w:val="es-CO" w:eastAsia="es-CO"/>
        </w:rPr>
        <w:t xml:space="preserve">base </w:t>
      </w:r>
      <w:r w:rsidR="00AD2DAD">
        <w:rPr>
          <w:rFonts w:ascii="Bookman Old Style" w:hAnsi="Bookman Old Style"/>
          <w:lang w:val="es-CO" w:eastAsia="es-CO"/>
        </w:rPr>
        <w:t xml:space="preserve">de </w:t>
      </w:r>
      <w:r w:rsidR="00881F23" w:rsidRPr="00881F23">
        <w:rPr>
          <w:rFonts w:ascii="Bookman Old Style" w:hAnsi="Bookman Old Style"/>
          <w:lang w:val="es-CO" w:eastAsia="es-CO"/>
        </w:rPr>
        <w:t>liquidación de los montos que</w:t>
      </w:r>
      <w:r w:rsidR="006B7F4F">
        <w:rPr>
          <w:rFonts w:ascii="Bookman Old Style" w:hAnsi="Bookman Old Style"/>
          <w:lang w:val="es-CO" w:eastAsia="es-CO"/>
        </w:rPr>
        <w:t>,</w:t>
      </w:r>
      <w:r w:rsidR="00881F23" w:rsidRPr="00881F23">
        <w:rPr>
          <w:rFonts w:ascii="Bookman Old Style" w:hAnsi="Bookman Old Style"/>
          <w:lang w:val="es-CO" w:eastAsia="es-CO"/>
        </w:rPr>
        <w:t xml:space="preserve"> por concepto de CONTRIBUCIONES</w:t>
      </w:r>
      <w:r w:rsidR="00B56082">
        <w:rPr>
          <w:rFonts w:ascii="Bookman Old Style" w:hAnsi="Bookman Old Style"/>
          <w:lang w:val="es-CO" w:eastAsia="es-CO"/>
        </w:rPr>
        <w:t xml:space="preserve">, </w:t>
      </w:r>
      <w:r w:rsidR="00881F23" w:rsidRPr="00881F23">
        <w:rPr>
          <w:rFonts w:ascii="Bookman Old Style" w:hAnsi="Bookman Old Style"/>
          <w:lang w:val="es-CO" w:eastAsia="es-CO"/>
        </w:rPr>
        <w:t xml:space="preserve">deben cancelar las </w:t>
      </w:r>
      <w:r w:rsidR="00881F23" w:rsidRPr="00881F23">
        <w:rPr>
          <w:rFonts w:ascii="Bookman Old Style" w:hAnsi="Bookman Old Style"/>
          <w:lang w:val="es-CO" w:eastAsia="es-CO"/>
        </w:rPr>
        <w:lastRenderedPageBreak/>
        <w:t xml:space="preserve">empresas de servicios públicos, es el Sistema Único de Información SUI, administrado por la SSPD. </w:t>
      </w:r>
    </w:p>
    <w:p w14:paraId="170B2D80" w14:textId="77777777" w:rsidR="005B787C" w:rsidRDefault="005B787C" w:rsidP="009B155F">
      <w:pPr>
        <w:ind w:left="284"/>
        <w:contextualSpacing/>
        <w:jc w:val="both"/>
        <w:rPr>
          <w:rFonts w:ascii="Bookman Old Style" w:hAnsi="Bookman Old Style"/>
          <w:lang w:val="es-CO" w:eastAsia="es-CO"/>
        </w:rPr>
      </w:pPr>
    </w:p>
    <w:p w14:paraId="3EDE929C" w14:textId="32E404B5" w:rsidR="00881F23" w:rsidRPr="00881F23" w:rsidRDefault="0059688C" w:rsidP="009B155F">
      <w:pPr>
        <w:ind w:left="284"/>
        <w:contextualSpacing/>
        <w:jc w:val="both"/>
        <w:rPr>
          <w:rFonts w:ascii="Bookman Old Style" w:hAnsi="Bookman Old Style"/>
          <w:lang w:val="es-CO" w:eastAsia="es-CO"/>
        </w:rPr>
      </w:pPr>
      <w:r>
        <w:rPr>
          <w:rFonts w:ascii="Bookman Old Style" w:hAnsi="Bookman Old Style"/>
          <w:lang w:val="es-CO" w:eastAsia="es-CO"/>
        </w:rPr>
        <w:t xml:space="preserve">Consultado el </w:t>
      </w:r>
      <w:r w:rsidR="00FE0B76">
        <w:rPr>
          <w:rFonts w:ascii="Bookman Old Style" w:hAnsi="Bookman Old Style"/>
          <w:lang w:val="es-CO" w:eastAsia="es-CO"/>
        </w:rPr>
        <w:t>SUI se</w:t>
      </w:r>
      <w:r>
        <w:rPr>
          <w:rFonts w:ascii="Bookman Old Style" w:hAnsi="Bookman Old Style"/>
          <w:lang w:val="es-CO" w:eastAsia="es-CO"/>
        </w:rPr>
        <w:t xml:space="preserve"> evidencia que</w:t>
      </w:r>
      <w:r w:rsidR="006B7F4F">
        <w:rPr>
          <w:rFonts w:ascii="Bookman Old Style" w:hAnsi="Bookman Old Style"/>
          <w:lang w:val="es-CO" w:eastAsia="es-CO"/>
        </w:rPr>
        <w:t>,</w:t>
      </w:r>
      <w:r>
        <w:rPr>
          <w:rFonts w:ascii="Bookman Old Style" w:hAnsi="Bookman Old Style"/>
          <w:lang w:val="es-CO" w:eastAsia="es-CO"/>
        </w:rPr>
        <w:t xml:space="preserve"> a</w:t>
      </w:r>
      <w:r w:rsidRPr="00881F23">
        <w:rPr>
          <w:rFonts w:ascii="Bookman Old Style" w:hAnsi="Bookman Old Style"/>
          <w:lang w:val="es-CO" w:eastAsia="es-CO"/>
        </w:rPr>
        <w:t xml:space="preserve">unque </w:t>
      </w:r>
      <w:r w:rsidR="00881F23" w:rsidRPr="00881F23">
        <w:rPr>
          <w:rFonts w:ascii="Bookman Old Style" w:hAnsi="Bookman Old Style"/>
          <w:lang w:val="es-CO" w:eastAsia="es-CO"/>
        </w:rPr>
        <w:t xml:space="preserve">REFOENERGY se encuentra inscrito en </w:t>
      </w:r>
      <w:r w:rsidR="006B7F4F">
        <w:rPr>
          <w:rFonts w:ascii="Bookman Old Style" w:hAnsi="Bookman Old Style"/>
          <w:lang w:val="es-CO" w:eastAsia="es-CO"/>
        </w:rPr>
        <w:t xml:space="preserve">el </w:t>
      </w:r>
      <w:r w:rsidR="00881F23" w:rsidRPr="00881F23">
        <w:rPr>
          <w:rFonts w:ascii="Bookman Old Style" w:hAnsi="Bookman Old Style"/>
          <w:lang w:val="es-CO" w:eastAsia="es-CO"/>
        </w:rPr>
        <w:t xml:space="preserve">RUPS, no hay registro de carga de información en el SUI, por </w:t>
      </w:r>
      <w:r w:rsidR="006C1658" w:rsidRPr="00881F23">
        <w:rPr>
          <w:rFonts w:ascii="Bookman Old Style" w:hAnsi="Bookman Old Style"/>
          <w:lang w:val="es-CO" w:eastAsia="es-CO"/>
        </w:rPr>
        <w:t>ende,</w:t>
      </w:r>
      <w:r w:rsidR="00881F23" w:rsidRPr="00881F23">
        <w:rPr>
          <w:rFonts w:ascii="Bookman Old Style" w:hAnsi="Bookman Old Style"/>
          <w:lang w:val="es-CO" w:eastAsia="es-CO"/>
        </w:rPr>
        <w:t xml:space="preserve"> no hay clasificación como grupo NI</w:t>
      </w:r>
      <w:r w:rsidR="006B7F4F">
        <w:rPr>
          <w:rFonts w:ascii="Bookman Old Style" w:hAnsi="Bookman Old Style"/>
          <w:lang w:val="es-CO" w:eastAsia="es-CO"/>
        </w:rPr>
        <w:t>I</w:t>
      </w:r>
      <w:r w:rsidR="00881F23" w:rsidRPr="00881F23">
        <w:rPr>
          <w:rFonts w:ascii="Bookman Old Style" w:hAnsi="Bookman Old Style"/>
          <w:lang w:val="es-CO" w:eastAsia="es-CO"/>
        </w:rPr>
        <w:t>F, ni certificación de información financiera que establezca la base</w:t>
      </w:r>
      <w:r w:rsidR="00FE0B76">
        <w:rPr>
          <w:rFonts w:ascii="Bookman Old Style" w:hAnsi="Bookman Old Style"/>
          <w:lang w:val="es-CO" w:eastAsia="es-CO"/>
        </w:rPr>
        <w:t xml:space="preserve"> gravable</w:t>
      </w:r>
      <w:r w:rsidR="00881F23" w:rsidRPr="00881F23">
        <w:rPr>
          <w:rFonts w:ascii="Bookman Old Style" w:hAnsi="Bookman Old Style"/>
          <w:lang w:val="es-CO" w:eastAsia="es-CO"/>
        </w:rPr>
        <w:t xml:space="preserve"> de liquidación de contribuciones al supervisor ni al regulador. </w:t>
      </w:r>
      <w:r w:rsidR="005B787C">
        <w:rPr>
          <w:rFonts w:ascii="Bookman Old Style" w:hAnsi="Bookman Old Style"/>
          <w:lang w:val="es-CO" w:eastAsia="es-CO"/>
        </w:rPr>
        <w:t>Por lo anterior,</w:t>
      </w:r>
      <w:r w:rsidR="00881F23" w:rsidRPr="00881F23">
        <w:rPr>
          <w:rFonts w:ascii="Bookman Old Style" w:hAnsi="Bookman Old Style"/>
          <w:lang w:val="es-CO" w:eastAsia="es-CO"/>
        </w:rPr>
        <w:t xml:space="preserve"> se concluye que no hay registro de cancelación de contribuciones a la SSPD ni a la CREG en años anteriores ni en la presente vigencia (inicio de operación, en diciembre de 2020</w:t>
      </w:r>
      <w:r w:rsidR="00881F23" w:rsidRPr="00881F23">
        <w:rPr>
          <w:rFonts w:ascii="Bookman Old Style" w:hAnsi="Bookman Old Style"/>
          <w:i/>
          <w:iCs/>
          <w:lang w:val="es-CO" w:eastAsia="es-CO"/>
        </w:rPr>
        <w:t>)</w:t>
      </w:r>
      <w:r w:rsidR="00881F23" w:rsidRPr="00881F23">
        <w:rPr>
          <w:rFonts w:ascii="Bookman Old Style" w:hAnsi="Bookman Old Style"/>
          <w:lang w:val="es-CO" w:eastAsia="es-CO"/>
        </w:rPr>
        <w:t>.</w:t>
      </w:r>
    </w:p>
    <w:p w14:paraId="7BAB41A9" w14:textId="77777777" w:rsidR="00881F23" w:rsidRPr="00881F23" w:rsidRDefault="00881F23" w:rsidP="005A68D1">
      <w:pPr>
        <w:ind w:left="284"/>
        <w:contextualSpacing/>
        <w:jc w:val="both"/>
        <w:rPr>
          <w:rFonts w:ascii="Bookman Old Style" w:hAnsi="Bookman Old Style"/>
          <w:lang w:val="es-CO" w:eastAsia="es-CO"/>
        </w:rPr>
      </w:pPr>
    </w:p>
    <w:p w14:paraId="7402EC2C" w14:textId="4286791A" w:rsidR="00881F23" w:rsidRDefault="008E37EB" w:rsidP="005A68D1">
      <w:pPr>
        <w:ind w:left="284"/>
        <w:contextualSpacing/>
        <w:jc w:val="both"/>
        <w:rPr>
          <w:rFonts w:ascii="Bookman Old Style" w:hAnsi="Bookman Old Style"/>
          <w:lang w:val="es-CO" w:eastAsia="es-CO"/>
        </w:rPr>
      </w:pPr>
      <w:r>
        <w:rPr>
          <w:rFonts w:ascii="Bookman Old Style" w:hAnsi="Bookman Old Style"/>
          <w:lang w:val="es-CO" w:eastAsia="es-CO"/>
        </w:rPr>
        <w:t xml:space="preserve">En ese sentido, </w:t>
      </w:r>
      <w:r w:rsidR="006967B7">
        <w:rPr>
          <w:rFonts w:ascii="Bookman Old Style" w:hAnsi="Bookman Old Style"/>
          <w:lang w:val="es-CO" w:eastAsia="es-CO"/>
        </w:rPr>
        <w:t>se resalta</w:t>
      </w:r>
      <w:r>
        <w:rPr>
          <w:rFonts w:ascii="Bookman Old Style" w:hAnsi="Bookman Old Style"/>
          <w:lang w:val="es-CO" w:eastAsia="es-CO"/>
        </w:rPr>
        <w:t xml:space="preserve"> que</w:t>
      </w:r>
      <w:r w:rsidR="00881F23" w:rsidRPr="00881F23">
        <w:rPr>
          <w:rFonts w:ascii="Bookman Old Style" w:hAnsi="Bookman Old Style"/>
          <w:lang w:val="es-CO" w:eastAsia="es-CO"/>
        </w:rPr>
        <w:t xml:space="preserve"> </w:t>
      </w:r>
      <w:r w:rsidR="006967B7">
        <w:rPr>
          <w:rFonts w:ascii="Bookman Old Style" w:hAnsi="Bookman Old Style"/>
          <w:lang w:val="es-CO" w:eastAsia="es-CO"/>
        </w:rPr>
        <w:t>la información presentada por REFOENERGY</w:t>
      </w:r>
      <w:r w:rsidR="003110D5">
        <w:rPr>
          <w:rFonts w:ascii="Bookman Old Style" w:hAnsi="Bookman Old Style"/>
          <w:lang w:val="es-CO" w:eastAsia="es-CO"/>
        </w:rPr>
        <w:t xml:space="preserve"> e incluida en el presupuesto de gastos de AOM </w:t>
      </w:r>
      <w:r w:rsidR="00F3567B">
        <w:rPr>
          <w:rFonts w:ascii="Bookman Old Style" w:hAnsi="Bookman Old Style"/>
          <w:lang w:val="es-CO" w:eastAsia="es-CO"/>
        </w:rPr>
        <w:t xml:space="preserve">no se encuentra </w:t>
      </w:r>
      <w:r w:rsidR="00881F23" w:rsidRPr="00881F23">
        <w:rPr>
          <w:rFonts w:ascii="Bookman Old Style" w:hAnsi="Bookman Old Style"/>
          <w:lang w:val="es-CO" w:eastAsia="es-CO"/>
        </w:rPr>
        <w:t>técnica</w:t>
      </w:r>
      <w:r w:rsidR="00F3567B">
        <w:rPr>
          <w:rFonts w:ascii="Bookman Old Style" w:hAnsi="Bookman Old Style"/>
          <w:lang w:val="es-CO" w:eastAsia="es-CO"/>
        </w:rPr>
        <w:t>mente</w:t>
      </w:r>
      <w:r w:rsidR="00881F23" w:rsidRPr="00881F23">
        <w:rPr>
          <w:rFonts w:ascii="Bookman Old Style" w:hAnsi="Bookman Old Style"/>
          <w:lang w:val="es-CO" w:eastAsia="es-CO"/>
        </w:rPr>
        <w:t xml:space="preserve"> </w:t>
      </w:r>
      <w:r w:rsidR="00F3567B" w:rsidRPr="00881F23">
        <w:rPr>
          <w:rFonts w:ascii="Bookman Old Style" w:hAnsi="Bookman Old Style"/>
          <w:lang w:val="es-CO" w:eastAsia="es-CO"/>
        </w:rPr>
        <w:t xml:space="preserve">soportada </w:t>
      </w:r>
      <w:r w:rsidR="00F3567B">
        <w:rPr>
          <w:rFonts w:ascii="Bookman Old Style" w:hAnsi="Bookman Old Style"/>
          <w:lang w:val="es-CO" w:eastAsia="es-CO"/>
        </w:rPr>
        <w:t>y</w:t>
      </w:r>
      <w:r w:rsidR="006B7F4F">
        <w:rPr>
          <w:rFonts w:ascii="Bookman Old Style" w:hAnsi="Bookman Old Style"/>
          <w:lang w:val="es-CO" w:eastAsia="es-CO"/>
        </w:rPr>
        <w:t>,</w:t>
      </w:r>
      <w:r w:rsidR="00F3567B">
        <w:rPr>
          <w:rFonts w:ascii="Bookman Old Style" w:hAnsi="Bookman Old Style"/>
          <w:lang w:val="es-CO" w:eastAsia="es-CO"/>
        </w:rPr>
        <w:t xml:space="preserve"> en esa medida</w:t>
      </w:r>
      <w:r w:rsidR="006B7F4F">
        <w:rPr>
          <w:rFonts w:ascii="Bookman Old Style" w:hAnsi="Bookman Old Style"/>
          <w:lang w:val="es-CO" w:eastAsia="es-CO"/>
        </w:rPr>
        <w:t>,</w:t>
      </w:r>
      <w:r w:rsidR="00F3567B">
        <w:rPr>
          <w:rFonts w:ascii="Bookman Old Style" w:hAnsi="Bookman Old Style"/>
          <w:lang w:val="es-CO" w:eastAsia="es-CO"/>
        </w:rPr>
        <w:t xml:space="preserve"> no es posible determinar de manera objetiva </w:t>
      </w:r>
      <w:r w:rsidR="00E3518A">
        <w:rPr>
          <w:rFonts w:ascii="Bookman Old Style" w:hAnsi="Bookman Old Style"/>
          <w:lang w:val="es-CO" w:eastAsia="es-CO"/>
        </w:rPr>
        <w:t xml:space="preserve">los valores por concepto de </w:t>
      </w:r>
      <w:r w:rsidR="00881F23" w:rsidRPr="00881F23">
        <w:rPr>
          <w:rFonts w:ascii="Bookman Old Style" w:hAnsi="Bookman Old Style"/>
          <w:lang w:val="es-CO" w:eastAsia="es-CO"/>
        </w:rPr>
        <w:t>contribuciones a la CREG y a la SSPD</w:t>
      </w:r>
      <w:r w:rsidR="0057245B">
        <w:rPr>
          <w:rFonts w:ascii="Bookman Old Style" w:hAnsi="Bookman Old Style"/>
          <w:lang w:val="es-CO" w:eastAsia="es-CO"/>
        </w:rPr>
        <w:t xml:space="preserve"> que incluyeron en sus cálculos</w:t>
      </w:r>
      <w:r w:rsidR="00F3567B">
        <w:rPr>
          <w:rFonts w:ascii="Bookman Old Style" w:hAnsi="Bookman Old Style"/>
          <w:lang w:val="es-CO" w:eastAsia="es-CO"/>
        </w:rPr>
        <w:t xml:space="preserve">. </w:t>
      </w:r>
    </w:p>
    <w:p w14:paraId="5B3F1CBF" w14:textId="1F3EC0F4" w:rsidR="00CD45CE" w:rsidRDefault="00CD45CE" w:rsidP="005A68D1">
      <w:pPr>
        <w:ind w:left="284"/>
        <w:contextualSpacing/>
        <w:jc w:val="both"/>
        <w:rPr>
          <w:rFonts w:ascii="Bookman Old Style" w:hAnsi="Bookman Old Style"/>
          <w:lang w:val="es-CO" w:eastAsia="es-CO"/>
        </w:rPr>
      </w:pPr>
    </w:p>
    <w:p w14:paraId="457D03E4" w14:textId="3166CA73" w:rsidR="00CD45CE" w:rsidRDefault="0057245B" w:rsidP="005A68D1">
      <w:pPr>
        <w:ind w:left="284"/>
        <w:contextualSpacing/>
        <w:jc w:val="both"/>
        <w:rPr>
          <w:rFonts w:ascii="Bookman Old Style" w:hAnsi="Bookman Old Style"/>
          <w:lang w:val="es-CO" w:eastAsia="es-CO"/>
        </w:rPr>
      </w:pPr>
      <w:r>
        <w:rPr>
          <w:rFonts w:ascii="Bookman Old Style" w:hAnsi="Bookman Old Style"/>
          <w:lang w:val="es-CO" w:eastAsia="es-CO"/>
        </w:rPr>
        <w:t>Teniendo en cuenta lo anterior</w:t>
      </w:r>
      <w:r w:rsidR="00D67851">
        <w:rPr>
          <w:rFonts w:ascii="Bookman Old Style" w:hAnsi="Bookman Old Style"/>
          <w:lang w:val="es-CO" w:eastAsia="es-CO"/>
        </w:rPr>
        <w:t xml:space="preserve">, esta Comisión procedió a </w:t>
      </w:r>
      <w:r w:rsidR="00223EF5">
        <w:rPr>
          <w:rFonts w:ascii="Bookman Old Style" w:hAnsi="Bookman Old Style"/>
          <w:lang w:val="es-CO" w:eastAsia="es-CO"/>
        </w:rPr>
        <w:t xml:space="preserve">realizar un cálculo </w:t>
      </w:r>
      <w:r w:rsidR="00D67851">
        <w:rPr>
          <w:rFonts w:ascii="Bookman Old Style" w:hAnsi="Bookman Old Style"/>
          <w:lang w:val="es-CO" w:eastAsia="es-CO"/>
        </w:rPr>
        <w:t xml:space="preserve">de manera aproximada </w:t>
      </w:r>
      <w:r w:rsidR="00BE75A9">
        <w:rPr>
          <w:rFonts w:ascii="Bookman Old Style" w:hAnsi="Bookman Old Style"/>
          <w:lang w:val="es-CO" w:eastAsia="es-CO"/>
        </w:rPr>
        <w:t xml:space="preserve">a partir de </w:t>
      </w:r>
      <w:r w:rsidR="00EB31C1">
        <w:rPr>
          <w:rFonts w:ascii="Bookman Old Style" w:hAnsi="Bookman Old Style"/>
          <w:lang w:val="es-CO" w:eastAsia="es-CO"/>
        </w:rPr>
        <w:t xml:space="preserve">la tarifa </w:t>
      </w:r>
      <w:r w:rsidR="00A74EC6">
        <w:rPr>
          <w:rFonts w:ascii="Bookman Old Style" w:hAnsi="Bookman Old Style"/>
          <w:lang w:val="es-CO" w:eastAsia="es-CO"/>
        </w:rPr>
        <w:t xml:space="preserve">máxima </w:t>
      </w:r>
      <w:r w:rsidR="00EB31C1">
        <w:rPr>
          <w:rFonts w:ascii="Bookman Old Style" w:hAnsi="Bookman Old Style"/>
          <w:lang w:val="es-CO" w:eastAsia="es-CO"/>
        </w:rPr>
        <w:t>de contribución que corresponde al uno por</w:t>
      </w:r>
      <w:r w:rsidR="00985BB0">
        <w:rPr>
          <w:rFonts w:ascii="Bookman Old Style" w:hAnsi="Bookman Old Style"/>
          <w:lang w:val="es-CO" w:eastAsia="es-CO"/>
        </w:rPr>
        <w:t xml:space="preserve"> </w:t>
      </w:r>
      <w:r w:rsidR="00FB202D" w:rsidRPr="00FB202D">
        <w:rPr>
          <w:rFonts w:ascii="Bookman Old Style" w:hAnsi="Bookman Old Style"/>
          <w:lang w:val="es-CO" w:eastAsia="es-CO"/>
        </w:rPr>
        <w:t xml:space="preserve">ciento (1%) de la base gravable establecida para </w:t>
      </w:r>
      <w:r w:rsidR="00FB202D">
        <w:rPr>
          <w:rFonts w:ascii="Bookman Old Style" w:hAnsi="Bookman Old Style"/>
          <w:lang w:val="es-CO" w:eastAsia="es-CO"/>
        </w:rPr>
        <w:t>una vigencia en cuestión</w:t>
      </w:r>
      <w:r w:rsidR="006B7F4F">
        <w:rPr>
          <w:rFonts w:ascii="Bookman Old Style" w:hAnsi="Bookman Old Style"/>
          <w:lang w:val="es-CO" w:eastAsia="es-CO"/>
        </w:rPr>
        <w:t>,</w:t>
      </w:r>
      <w:r w:rsidR="00A74EC6">
        <w:rPr>
          <w:rFonts w:ascii="Bookman Old Style" w:hAnsi="Bookman Old Style"/>
          <w:lang w:val="es-CO" w:eastAsia="es-CO"/>
        </w:rPr>
        <w:t xml:space="preserve"> y considerando l</w:t>
      </w:r>
      <w:r w:rsidR="00A74EC6" w:rsidRPr="00FB202D">
        <w:rPr>
          <w:rFonts w:ascii="Bookman Old Style" w:hAnsi="Bookman Old Style"/>
          <w:lang w:val="es-CO" w:eastAsia="es-CO"/>
        </w:rPr>
        <w:t xml:space="preserve">os </w:t>
      </w:r>
      <w:r w:rsidR="00FB202D" w:rsidRPr="00FB202D">
        <w:rPr>
          <w:rFonts w:ascii="Bookman Old Style" w:hAnsi="Bookman Old Style"/>
          <w:lang w:val="es-CO" w:eastAsia="es-CO"/>
        </w:rPr>
        <w:t xml:space="preserve">conceptos que </w:t>
      </w:r>
      <w:r w:rsidR="008B3A7A" w:rsidRPr="00FB202D">
        <w:rPr>
          <w:rFonts w:ascii="Bookman Old Style" w:hAnsi="Bookman Old Style"/>
          <w:lang w:val="es-CO" w:eastAsia="es-CO"/>
        </w:rPr>
        <w:t>integra</w:t>
      </w:r>
      <w:r w:rsidR="008B3A7A">
        <w:rPr>
          <w:rFonts w:ascii="Bookman Old Style" w:hAnsi="Bookman Old Style"/>
          <w:lang w:val="es-CO" w:eastAsia="es-CO"/>
        </w:rPr>
        <w:t>n</w:t>
      </w:r>
      <w:r w:rsidR="008B3A7A" w:rsidRPr="00FB202D">
        <w:rPr>
          <w:rFonts w:ascii="Bookman Old Style" w:hAnsi="Bookman Old Style"/>
          <w:lang w:val="es-CO" w:eastAsia="es-CO"/>
        </w:rPr>
        <w:t xml:space="preserve"> </w:t>
      </w:r>
      <w:r w:rsidR="00FB202D" w:rsidRPr="00FB202D">
        <w:rPr>
          <w:rFonts w:ascii="Bookman Old Style" w:hAnsi="Bookman Old Style"/>
          <w:lang w:val="es-CO" w:eastAsia="es-CO"/>
        </w:rPr>
        <w:t>la base gravable de la</w:t>
      </w:r>
      <w:r w:rsidR="00E0072B">
        <w:rPr>
          <w:rFonts w:ascii="Bookman Old Style" w:hAnsi="Bookman Old Style"/>
          <w:lang w:val="es-CO" w:eastAsia="es-CO"/>
        </w:rPr>
        <w:t xml:space="preserve"> </w:t>
      </w:r>
      <w:r w:rsidR="00FB202D" w:rsidRPr="00FB202D">
        <w:rPr>
          <w:rFonts w:ascii="Bookman Old Style" w:hAnsi="Bookman Old Style"/>
          <w:lang w:val="es-CO" w:eastAsia="es-CO"/>
        </w:rPr>
        <w:t xml:space="preserve">Contribución Especial para </w:t>
      </w:r>
      <w:r w:rsidR="00F43E8A">
        <w:rPr>
          <w:rFonts w:ascii="Bookman Old Style" w:hAnsi="Bookman Old Style"/>
          <w:lang w:val="es-CO" w:eastAsia="es-CO"/>
        </w:rPr>
        <w:t xml:space="preserve">la </w:t>
      </w:r>
      <w:r w:rsidR="00E0072B">
        <w:rPr>
          <w:rFonts w:ascii="Bookman Old Style" w:hAnsi="Bookman Old Style"/>
          <w:lang w:val="es-CO" w:eastAsia="es-CO"/>
        </w:rPr>
        <w:t>determinada vigencia</w:t>
      </w:r>
      <w:r w:rsidR="00F43E8A">
        <w:rPr>
          <w:rFonts w:ascii="Bookman Old Style" w:hAnsi="Bookman Old Style"/>
          <w:lang w:val="es-CO" w:eastAsia="es-CO"/>
        </w:rPr>
        <w:t>,</w:t>
      </w:r>
      <w:r w:rsidR="00FB202D" w:rsidRPr="00FB202D">
        <w:rPr>
          <w:rFonts w:ascii="Bookman Old Style" w:hAnsi="Bookman Old Style"/>
          <w:lang w:val="es-CO" w:eastAsia="es-CO"/>
        </w:rPr>
        <w:t xml:space="preserve"> </w:t>
      </w:r>
      <w:r w:rsidR="008B3A7A">
        <w:rPr>
          <w:rFonts w:ascii="Bookman Old Style" w:hAnsi="Bookman Old Style"/>
          <w:lang w:val="es-CO" w:eastAsia="es-CO"/>
        </w:rPr>
        <w:t xml:space="preserve">los cuales corresponden a </w:t>
      </w:r>
      <w:r w:rsidR="00FB202D" w:rsidRPr="00FB202D">
        <w:rPr>
          <w:rFonts w:ascii="Bookman Old Style" w:hAnsi="Bookman Old Style"/>
          <w:lang w:val="es-CO" w:eastAsia="es-CO"/>
        </w:rPr>
        <w:t>los gastos de funcionamiento asociados al servicio sometido a inspección, vigilancia y control de la S</w:t>
      </w:r>
      <w:r w:rsidR="00132CB3">
        <w:rPr>
          <w:rFonts w:ascii="Bookman Old Style" w:hAnsi="Bookman Old Style"/>
          <w:lang w:val="es-CO" w:eastAsia="es-CO"/>
        </w:rPr>
        <w:t>SPD</w:t>
      </w:r>
      <w:r w:rsidR="006B7F4F">
        <w:rPr>
          <w:rFonts w:ascii="Bookman Old Style" w:hAnsi="Bookman Old Style"/>
          <w:lang w:val="es-CO" w:eastAsia="es-CO"/>
        </w:rPr>
        <w:t>,</w:t>
      </w:r>
      <w:r w:rsidR="00132CB3">
        <w:rPr>
          <w:rFonts w:ascii="Bookman Old Style" w:hAnsi="Bookman Old Style"/>
          <w:lang w:val="es-CO" w:eastAsia="es-CO"/>
        </w:rPr>
        <w:t xml:space="preserve"> </w:t>
      </w:r>
      <w:r w:rsidR="00FB202D" w:rsidRPr="00FB202D">
        <w:rPr>
          <w:rFonts w:ascii="Bookman Old Style" w:hAnsi="Bookman Old Style"/>
          <w:lang w:val="es-CO" w:eastAsia="es-CO"/>
        </w:rPr>
        <w:t xml:space="preserve">y los gastos operativos </w:t>
      </w:r>
      <w:r w:rsidR="008B3A7A">
        <w:rPr>
          <w:rFonts w:ascii="Bookman Old Style" w:hAnsi="Bookman Old Style"/>
          <w:lang w:val="es-CO" w:eastAsia="es-CO"/>
        </w:rPr>
        <w:t>de conformidad con lo señalado en</w:t>
      </w:r>
      <w:r w:rsidR="00FB202D" w:rsidRPr="00FB202D">
        <w:rPr>
          <w:rFonts w:ascii="Bookman Old Style" w:hAnsi="Bookman Old Style"/>
          <w:lang w:val="es-CO" w:eastAsia="es-CO"/>
        </w:rPr>
        <w:t xml:space="preserve"> el </w:t>
      </w:r>
      <w:r w:rsidR="004A7EE3">
        <w:rPr>
          <w:rFonts w:ascii="Bookman Old Style" w:hAnsi="Bookman Old Style"/>
          <w:lang w:val="es-CO" w:eastAsia="es-CO"/>
        </w:rPr>
        <w:t xml:space="preserve">del </w:t>
      </w:r>
      <w:r w:rsidR="00FB202D" w:rsidRPr="00FB202D">
        <w:rPr>
          <w:rFonts w:ascii="Bookman Old Style" w:hAnsi="Bookman Old Style"/>
          <w:lang w:val="es-CO" w:eastAsia="es-CO"/>
        </w:rPr>
        <w:t>artículo 85</w:t>
      </w:r>
      <w:r w:rsidR="004A7EE3">
        <w:rPr>
          <w:rFonts w:ascii="Bookman Old Style" w:hAnsi="Bookman Old Style"/>
          <w:lang w:val="es-CO" w:eastAsia="es-CO"/>
        </w:rPr>
        <w:t>.2</w:t>
      </w:r>
      <w:r w:rsidR="00FB202D" w:rsidRPr="00FB202D">
        <w:rPr>
          <w:rFonts w:ascii="Bookman Old Style" w:hAnsi="Bookman Old Style"/>
          <w:lang w:val="es-CO" w:eastAsia="es-CO"/>
        </w:rPr>
        <w:t xml:space="preserve"> de la Ley 142 de 1994</w:t>
      </w:r>
      <w:r w:rsidR="00A35EEC">
        <w:rPr>
          <w:rFonts w:ascii="Bookman Old Style" w:hAnsi="Bookman Old Style"/>
          <w:lang w:val="es-CO" w:eastAsia="es-CO"/>
        </w:rPr>
        <w:t xml:space="preserve">: </w:t>
      </w:r>
    </w:p>
    <w:p w14:paraId="4CD1E7C6" w14:textId="2BB5805B" w:rsidR="00356810" w:rsidRDefault="00356810" w:rsidP="00356810">
      <w:pPr>
        <w:contextualSpacing/>
        <w:jc w:val="both"/>
        <w:rPr>
          <w:rFonts w:ascii="Bookman Old Style" w:hAnsi="Bookman Old Style"/>
          <w:lang w:val="es-CO" w:eastAsia="es-CO"/>
        </w:rPr>
      </w:pPr>
    </w:p>
    <w:p w14:paraId="6D09EC56" w14:textId="39316442" w:rsidR="00356810" w:rsidRPr="00356810" w:rsidRDefault="00F91E74" w:rsidP="00356810">
      <w:pPr>
        <w:ind w:left="567"/>
        <w:contextualSpacing/>
        <w:jc w:val="both"/>
        <w:rPr>
          <w:rFonts w:ascii="Bookman Old Style" w:hAnsi="Bookman Old Style"/>
          <w:i/>
          <w:iCs/>
          <w:sz w:val="22"/>
          <w:szCs w:val="22"/>
          <w:lang w:val="es-CO" w:eastAsia="es-CO"/>
        </w:rPr>
      </w:pPr>
      <w:r>
        <w:rPr>
          <w:rFonts w:ascii="Bookman Old Style" w:hAnsi="Bookman Old Style"/>
          <w:i/>
          <w:iCs/>
          <w:sz w:val="22"/>
          <w:szCs w:val="22"/>
          <w:lang w:val="es-CO" w:eastAsia="es-CO"/>
        </w:rPr>
        <w:t>“</w:t>
      </w:r>
      <w:r w:rsidR="00356810">
        <w:rPr>
          <w:rFonts w:ascii="Bookman Old Style" w:hAnsi="Bookman Old Style"/>
          <w:i/>
          <w:iCs/>
          <w:sz w:val="22"/>
          <w:szCs w:val="22"/>
          <w:lang w:val="es-CO" w:eastAsia="es-CO"/>
        </w:rPr>
        <w:t xml:space="preserve">85.2 </w:t>
      </w:r>
      <w:r w:rsidR="00356810" w:rsidRPr="00356810">
        <w:rPr>
          <w:rFonts w:ascii="Bookman Old Style" w:hAnsi="Bookman Old Style"/>
          <w:i/>
          <w:iCs/>
          <w:sz w:val="22"/>
          <w:szCs w:val="22"/>
          <w:lang w:val="es-CO" w:eastAsia="es-CO"/>
        </w:rPr>
        <w:t>La tarifa máxima de cada contribución no podrá ser superior al uno por ciento (1%) del valor de los gastos de funcionamiento, asociados al servicio sometido a regulación, de la entidad contribuyente en el año anterior a aquel en el que se haga el cobro, de acuerdo con los estados financieros puestos a disposición de la Superintendencia y de las Comisiones, cada una de las cuales e independientemente y con base en su estudio fijarán la tarifa correspondiente.</w:t>
      </w:r>
      <w:r>
        <w:rPr>
          <w:rFonts w:ascii="Bookman Old Style" w:hAnsi="Bookman Old Style"/>
          <w:i/>
          <w:iCs/>
          <w:sz w:val="22"/>
          <w:szCs w:val="22"/>
          <w:lang w:val="es-CO" w:eastAsia="es-CO"/>
        </w:rPr>
        <w:t>”</w:t>
      </w:r>
    </w:p>
    <w:p w14:paraId="1DBADA80" w14:textId="77777777" w:rsidR="00881F23" w:rsidRPr="00881F23" w:rsidRDefault="00881F23" w:rsidP="00F91E74">
      <w:pPr>
        <w:jc w:val="both"/>
        <w:rPr>
          <w:rFonts w:ascii="Bookman Old Style" w:hAnsi="Bookman Old Style"/>
          <w:lang w:val="es-CO"/>
        </w:rPr>
      </w:pPr>
    </w:p>
    <w:p w14:paraId="245D11BB" w14:textId="4F716675" w:rsidR="00881F23" w:rsidRPr="00881F23" w:rsidRDefault="00881F23" w:rsidP="005A68D1">
      <w:pPr>
        <w:ind w:left="284"/>
        <w:jc w:val="both"/>
        <w:rPr>
          <w:rFonts w:ascii="Bookman Old Style" w:hAnsi="Bookman Old Style"/>
          <w:lang w:val="es-CO"/>
        </w:rPr>
      </w:pPr>
      <w:r w:rsidRPr="0B2A2289">
        <w:rPr>
          <w:rFonts w:ascii="Bookman Old Style" w:hAnsi="Bookman Old Style"/>
          <w:lang w:val="es-CO"/>
        </w:rPr>
        <w:t xml:space="preserve">En definitiva, en lo que respecta a la solicitud de inclusión del concepto de CONTRIBUCIONES CREG Y SSPD, esta Comisión encuentra procedente este punto y </w:t>
      </w:r>
      <w:r w:rsidR="00CB39C3" w:rsidRPr="0B2A2289">
        <w:rPr>
          <w:rFonts w:ascii="Bookman Old Style" w:hAnsi="Bookman Old Style"/>
          <w:lang w:val="es-CO"/>
        </w:rPr>
        <w:t xml:space="preserve">efectuó el cálculo sobre la base del </w:t>
      </w:r>
      <w:r w:rsidR="00132CB3">
        <w:rPr>
          <w:rFonts w:ascii="Bookman Old Style" w:hAnsi="Bookman Old Style"/>
          <w:lang w:val="es-CO"/>
        </w:rPr>
        <w:t>2</w:t>
      </w:r>
      <w:r w:rsidR="00CB39C3" w:rsidRPr="0B2A2289">
        <w:rPr>
          <w:rFonts w:ascii="Bookman Old Style" w:hAnsi="Bookman Old Style"/>
          <w:lang w:val="es-CO"/>
        </w:rPr>
        <w:t xml:space="preserve">% de los costos de AOM de la tecnología </w:t>
      </w:r>
      <w:r w:rsidR="00607699" w:rsidRPr="0B2A2289">
        <w:rPr>
          <w:rFonts w:ascii="Bookman Old Style" w:hAnsi="Bookman Old Style"/>
          <w:lang w:val="es-CO"/>
        </w:rPr>
        <w:t>de Biomasa</w:t>
      </w:r>
      <w:r w:rsidR="00132CB3">
        <w:rPr>
          <w:rFonts w:ascii="Bookman Old Style" w:hAnsi="Bookman Old Style"/>
          <w:lang w:val="es-CO"/>
        </w:rPr>
        <w:t>, considerando de forma independiente la contribución</w:t>
      </w:r>
      <w:r w:rsidR="006B7F4F">
        <w:rPr>
          <w:rFonts w:ascii="Bookman Old Style" w:hAnsi="Bookman Old Style"/>
          <w:lang w:val="es-CO"/>
        </w:rPr>
        <w:t>,</w:t>
      </w:r>
      <w:r w:rsidR="00132CB3">
        <w:rPr>
          <w:rFonts w:ascii="Bookman Old Style" w:hAnsi="Bookman Old Style"/>
          <w:lang w:val="es-CO"/>
        </w:rPr>
        <w:t xml:space="preserve"> tanto para la CREG como para la SSPD</w:t>
      </w:r>
      <w:r w:rsidR="004A2548" w:rsidRPr="0B2A2289">
        <w:rPr>
          <w:rFonts w:ascii="Bookman Old Style" w:hAnsi="Bookman Old Style"/>
          <w:lang w:val="es-CO"/>
        </w:rPr>
        <w:t>. El ajuste ef</w:t>
      </w:r>
      <w:r w:rsidR="5F2CD9B9" w:rsidRPr="0B2A2289">
        <w:rPr>
          <w:rFonts w:ascii="Bookman Old Style" w:hAnsi="Bookman Old Style"/>
          <w:lang w:val="es-CO"/>
        </w:rPr>
        <w:t>e</w:t>
      </w:r>
      <w:r w:rsidR="004A2548" w:rsidRPr="0B2A2289">
        <w:rPr>
          <w:rFonts w:ascii="Bookman Old Style" w:hAnsi="Bookman Old Style"/>
          <w:lang w:val="es-CO"/>
        </w:rPr>
        <w:t xml:space="preserve">ctuado se puede observar en la memoria de cálculo que hace parte </w:t>
      </w:r>
      <w:r w:rsidR="00D14B7B" w:rsidRPr="0B2A2289">
        <w:rPr>
          <w:rFonts w:ascii="Bookman Old Style" w:hAnsi="Bookman Old Style"/>
          <w:lang w:val="es-CO"/>
        </w:rPr>
        <w:t xml:space="preserve">integral </w:t>
      </w:r>
      <w:r w:rsidR="001E6DAF">
        <w:rPr>
          <w:rFonts w:ascii="Bookman Old Style" w:hAnsi="Bookman Old Style"/>
          <w:lang w:val="es-CO"/>
        </w:rPr>
        <w:t>del presente acto administrativo</w:t>
      </w:r>
      <w:r w:rsidR="005D5D16">
        <w:rPr>
          <w:rFonts w:ascii="Bookman Old Style" w:hAnsi="Bookman Old Style"/>
          <w:lang w:val="es-CO"/>
        </w:rPr>
        <w:t>.</w:t>
      </w:r>
    </w:p>
    <w:p w14:paraId="217DF360" w14:textId="77777777" w:rsidR="00881F23" w:rsidRPr="00881F23" w:rsidRDefault="00881F23" w:rsidP="00881F23">
      <w:pPr>
        <w:jc w:val="both"/>
        <w:rPr>
          <w:rFonts w:ascii="Bookman Old Style" w:hAnsi="Bookman Old Style"/>
        </w:rPr>
      </w:pPr>
    </w:p>
    <w:p w14:paraId="77EE6571" w14:textId="77777777" w:rsidR="00881F23" w:rsidRPr="00881F23" w:rsidRDefault="00881F23" w:rsidP="005A68D1">
      <w:pPr>
        <w:ind w:left="284"/>
        <w:jc w:val="both"/>
        <w:rPr>
          <w:rFonts w:ascii="Bookman Old Style" w:hAnsi="Bookman Old Style"/>
          <w:b/>
          <w:bCs/>
          <w:i/>
          <w:iCs/>
        </w:rPr>
      </w:pPr>
      <w:r w:rsidRPr="00881F23">
        <w:rPr>
          <w:rFonts w:ascii="Bookman Old Style" w:hAnsi="Bookman Old Style"/>
          <w:b/>
          <w:bCs/>
          <w:i/>
          <w:iCs/>
        </w:rPr>
        <w:t>3.7. FORMULA DE ACTUALIZACION</w:t>
      </w:r>
    </w:p>
    <w:p w14:paraId="43FEBCE6" w14:textId="5F700753" w:rsidR="001627DC" w:rsidRDefault="001627DC" w:rsidP="005A68D1">
      <w:pPr>
        <w:ind w:left="284"/>
        <w:jc w:val="both"/>
        <w:rPr>
          <w:rFonts w:ascii="Bookman Old Style" w:hAnsi="Bookman Old Style"/>
          <w:i/>
          <w:iCs/>
        </w:rPr>
      </w:pPr>
    </w:p>
    <w:p w14:paraId="68C1F6E1" w14:textId="17D28934" w:rsidR="00881F23" w:rsidRPr="00D14B7B" w:rsidRDefault="001627DC" w:rsidP="00F012AC">
      <w:pPr>
        <w:ind w:left="567"/>
        <w:jc w:val="both"/>
        <w:rPr>
          <w:rFonts w:ascii="Bookman Old Style" w:hAnsi="Bookman Old Style"/>
          <w:i/>
          <w:iCs/>
          <w:sz w:val="22"/>
          <w:szCs w:val="22"/>
        </w:rPr>
      </w:pPr>
      <w:r w:rsidRPr="00D14B7B">
        <w:rPr>
          <w:rFonts w:ascii="Bookman Old Style" w:hAnsi="Bookman Old Style"/>
          <w:i/>
          <w:iCs/>
          <w:sz w:val="22"/>
          <w:szCs w:val="22"/>
        </w:rPr>
        <w:t>“</w:t>
      </w:r>
      <w:r w:rsidR="00881F23" w:rsidRPr="00D14B7B">
        <w:rPr>
          <w:rFonts w:ascii="Bookman Old Style" w:hAnsi="Bookman Old Style"/>
          <w:i/>
          <w:iCs/>
          <w:sz w:val="22"/>
          <w:szCs w:val="22"/>
        </w:rPr>
        <w:t>Se solicita que se aplique la definida en la Resolución CREG 135 de 2019, circular 020 de 2015 y circular 014 del 2021: IPP oferta interna.</w:t>
      </w:r>
      <w:r w:rsidR="00D14B7B">
        <w:rPr>
          <w:rFonts w:ascii="Bookman Old Style" w:hAnsi="Bookman Old Style"/>
          <w:i/>
          <w:iCs/>
          <w:sz w:val="22"/>
          <w:szCs w:val="22"/>
        </w:rPr>
        <w:t>”</w:t>
      </w:r>
    </w:p>
    <w:p w14:paraId="7428F3FF" w14:textId="77777777" w:rsidR="00881F23" w:rsidRPr="00881F23" w:rsidRDefault="00881F23" w:rsidP="00F012AC">
      <w:pPr>
        <w:ind w:left="567"/>
        <w:jc w:val="both"/>
        <w:rPr>
          <w:rFonts w:ascii="Bookman Old Style" w:hAnsi="Bookman Old Style"/>
          <w:i/>
          <w:iCs/>
        </w:rPr>
      </w:pPr>
    </w:p>
    <w:p w14:paraId="5C0A2D37" w14:textId="5489A20B" w:rsidR="00510E1A" w:rsidRDefault="000148F0" w:rsidP="005A68D1">
      <w:pPr>
        <w:ind w:left="284"/>
        <w:jc w:val="both"/>
        <w:rPr>
          <w:rFonts w:ascii="Bookman Old Style" w:hAnsi="Bookman Old Style"/>
        </w:rPr>
      </w:pPr>
      <w:r>
        <w:rPr>
          <w:rFonts w:ascii="Bookman Old Style" w:hAnsi="Bookman Old Style"/>
        </w:rPr>
        <w:t>Es importante señalar que la Comisión</w:t>
      </w:r>
      <w:r w:rsidR="006B7F4F">
        <w:rPr>
          <w:rFonts w:ascii="Bookman Old Style" w:hAnsi="Bookman Old Style"/>
        </w:rPr>
        <w:t>,</w:t>
      </w:r>
      <w:r>
        <w:rPr>
          <w:rFonts w:ascii="Bookman Old Style" w:hAnsi="Bookman Old Style"/>
        </w:rPr>
        <w:t xml:space="preserve"> en lo que tiene que ver con la actualización de la fórmula tarifaria, utilizó el Índice de Precios al Productor, IPP</w:t>
      </w:r>
      <w:r w:rsidR="009C330C">
        <w:rPr>
          <w:rFonts w:ascii="Bookman Old Style" w:hAnsi="Bookman Old Style"/>
        </w:rPr>
        <w:t>- Oferta Interna</w:t>
      </w:r>
      <w:r>
        <w:rPr>
          <w:rFonts w:ascii="Bookman Old Style" w:hAnsi="Bookman Old Style"/>
        </w:rPr>
        <w:t xml:space="preserve">, señalada en la </w:t>
      </w:r>
      <w:r w:rsidR="009C330C">
        <w:rPr>
          <w:rFonts w:ascii="Bookman Old Style" w:hAnsi="Bookman Old Style"/>
        </w:rPr>
        <w:t>Circular CREG 020 de</w:t>
      </w:r>
      <w:r w:rsidR="00AE330B">
        <w:rPr>
          <w:rFonts w:ascii="Bookman Old Style" w:hAnsi="Bookman Old Style"/>
        </w:rPr>
        <w:t xml:space="preserve"> 2007.</w:t>
      </w:r>
    </w:p>
    <w:p w14:paraId="08725534" w14:textId="253B65D0" w:rsidR="00B31B84" w:rsidRDefault="00B31B84" w:rsidP="005A68D1">
      <w:pPr>
        <w:ind w:left="284"/>
        <w:jc w:val="both"/>
        <w:rPr>
          <w:rFonts w:ascii="Bookman Old Style" w:hAnsi="Bookman Old Style"/>
        </w:rPr>
      </w:pPr>
    </w:p>
    <w:p w14:paraId="107EDA55" w14:textId="1064A90A" w:rsidR="00AE330B" w:rsidRPr="00D47228" w:rsidRDefault="00B31B84" w:rsidP="005A68D1">
      <w:pPr>
        <w:ind w:left="284"/>
        <w:jc w:val="both"/>
        <w:rPr>
          <w:rFonts w:ascii="Bookman Old Style" w:hAnsi="Bookman Old Style"/>
        </w:rPr>
      </w:pPr>
      <w:r>
        <w:rPr>
          <w:rFonts w:ascii="Bookman Old Style" w:hAnsi="Bookman Old Style"/>
        </w:rPr>
        <w:lastRenderedPageBreak/>
        <w:t xml:space="preserve">En lo que respecta a la solicitud de REFONERGY, </w:t>
      </w:r>
      <w:r w:rsidR="00E2584D">
        <w:rPr>
          <w:rFonts w:ascii="Bookman Old Style" w:hAnsi="Bookman Old Style"/>
        </w:rPr>
        <w:t>la Resoluci</w:t>
      </w:r>
      <w:r w:rsidR="006B7F4F">
        <w:rPr>
          <w:rFonts w:ascii="Bookman Old Style" w:hAnsi="Bookman Old Style"/>
        </w:rPr>
        <w:t>ón</w:t>
      </w:r>
      <w:r w:rsidR="00E2584D">
        <w:rPr>
          <w:rFonts w:ascii="Bookman Old Style" w:hAnsi="Bookman Old Style"/>
        </w:rPr>
        <w:t xml:space="preserve"> CREG </w:t>
      </w:r>
      <w:r w:rsidR="00E2584D" w:rsidRPr="00E2584D">
        <w:rPr>
          <w:rFonts w:ascii="Bookman Old Style" w:hAnsi="Bookman Old Style"/>
        </w:rPr>
        <w:t>135 de 2019</w:t>
      </w:r>
      <w:r w:rsidR="006B7F4F">
        <w:rPr>
          <w:rFonts w:ascii="Bookman Old Style" w:hAnsi="Bookman Old Style"/>
        </w:rPr>
        <w:t>,</w:t>
      </w:r>
      <w:r w:rsidR="006D54CC">
        <w:rPr>
          <w:rFonts w:ascii="Bookman Old Style" w:hAnsi="Bookman Old Style"/>
        </w:rPr>
        <w:t xml:space="preserve"> que modificó la </w:t>
      </w:r>
      <w:r w:rsidR="006D54CC" w:rsidRPr="00F17498">
        <w:rPr>
          <w:rFonts w:ascii="Bookman Old Style" w:hAnsi="Bookman Old Style"/>
        </w:rPr>
        <w:t>Resolución CREG 012 de 2018</w:t>
      </w:r>
      <w:r w:rsidR="006B7F4F">
        <w:rPr>
          <w:rFonts w:ascii="Bookman Old Style" w:hAnsi="Bookman Old Style"/>
        </w:rPr>
        <w:t>,</w:t>
      </w:r>
      <w:r w:rsidR="00132CB3">
        <w:rPr>
          <w:rFonts w:ascii="Bookman Old Style" w:hAnsi="Bookman Old Style"/>
        </w:rPr>
        <w:t xml:space="preserve"> </w:t>
      </w:r>
      <w:r w:rsidR="00E2584D">
        <w:rPr>
          <w:rFonts w:ascii="Bookman Old Style" w:hAnsi="Bookman Old Style"/>
        </w:rPr>
        <w:t xml:space="preserve">no </w:t>
      </w:r>
      <w:r w:rsidR="006D54CC">
        <w:rPr>
          <w:rFonts w:ascii="Bookman Old Style" w:hAnsi="Bookman Old Style"/>
        </w:rPr>
        <w:t>es</w:t>
      </w:r>
      <w:r w:rsidR="00301F0C">
        <w:rPr>
          <w:rFonts w:ascii="Bookman Old Style" w:hAnsi="Bookman Old Style"/>
        </w:rPr>
        <w:t xml:space="preserve"> aplicable</w:t>
      </w:r>
      <w:r w:rsidR="006D54CC">
        <w:rPr>
          <w:rFonts w:ascii="Bookman Old Style" w:hAnsi="Bookman Old Style"/>
        </w:rPr>
        <w:t xml:space="preserve"> </w:t>
      </w:r>
      <w:r w:rsidR="00301F0C">
        <w:rPr>
          <w:rFonts w:ascii="Bookman Old Style" w:hAnsi="Bookman Old Style"/>
        </w:rPr>
        <w:t xml:space="preserve">al componente de </w:t>
      </w:r>
      <w:r w:rsidR="00D06AA6">
        <w:rPr>
          <w:rFonts w:ascii="Bookman Old Style" w:hAnsi="Bookman Old Style"/>
        </w:rPr>
        <w:t>combustible</w:t>
      </w:r>
      <w:r w:rsidR="0052603A">
        <w:rPr>
          <w:rFonts w:ascii="Bookman Old Style" w:hAnsi="Bookman Old Style"/>
        </w:rPr>
        <w:t xml:space="preserve"> de Biomasa, objeto de la Resolución CREG 501 059</w:t>
      </w:r>
      <w:r w:rsidR="00D06AA6">
        <w:rPr>
          <w:rFonts w:ascii="Bookman Old Style" w:hAnsi="Bookman Old Style"/>
        </w:rPr>
        <w:t xml:space="preserve">, en el entendido </w:t>
      </w:r>
      <w:r w:rsidR="002E4042">
        <w:rPr>
          <w:rFonts w:ascii="Bookman Old Style" w:hAnsi="Bookman Old Style"/>
        </w:rPr>
        <w:t xml:space="preserve">que la </w:t>
      </w:r>
      <w:r w:rsidR="002E4042" w:rsidRPr="00F17498">
        <w:rPr>
          <w:rFonts w:ascii="Bookman Old Style" w:hAnsi="Bookman Old Style"/>
        </w:rPr>
        <w:t>Resolución CREG 012 de 2018</w:t>
      </w:r>
      <w:r w:rsidR="006D54CC">
        <w:rPr>
          <w:rFonts w:ascii="Bookman Old Style" w:hAnsi="Bookman Old Style"/>
        </w:rPr>
        <w:t xml:space="preserve">, </w:t>
      </w:r>
      <w:r w:rsidR="00D06AA6">
        <w:rPr>
          <w:rFonts w:ascii="Bookman Old Style" w:hAnsi="Bookman Old Style"/>
        </w:rPr>
        <w:t>resolvi</w:t>
      </w:r>
      <w:r w:rsidR="006D54CC">
        <w:rPr>
          <w:rFonts w:ascii="Bookman Old Style" w:hAnsi="Bookman Old Style"/>
        </w:rPr>
        <w:t>ó</w:t>
      </w:r>
      <w:r w:rsidR="00D06AA6">
        <w:rPr>
          <w:rFonts w:ascii="Bookman Old Style" w:hAnsi="Bookman Old Style"/>
        </w:rPr>
        <w:t xml:space="preserve"> </w:t>
      </w:r>
      <w:r w:rsidR="006D54CC">
        <w:rPr>
          <w:rFonts w:ascii="Bookman Old Style" w:hAnsi="Bookman Old Style"/>
        </w:rPr>
        <w:t xml:space="preserve">un </w:t>
      </w:r>
      <w:r w:rsidR="00D06AA6">
        <w:rPr>
          <w:rFonts w:ascii="Bookman Old Style" w:hAnsi="Bookman Old Style"/>
        </w:rPr>
        <w:t xml:space="preserve">cargo de generación para energía eléctrica </w:t>
      </w:r>
      <w:r w:rsidR="00A64719">
        <w:rPr>
          <w:rFonts w:ascii="Bookman Old Style" w:hAnsi="Bookman Old Style"/>
        </w:rPr>
        <w:t>a partir de recurso solar</w:t>
      </w:r>
      <w:r w:rsidR="00945195" w:rsidRPr="00D47228">
        <w:rPr>
          <w:rFonts w:ascii="Bookman Old Style" w:hAnsi="Bookman Old Style"/>
        </w:rPr>
        <w:t>.</w:t>
      </w:r>
    </w:p>
    <w:p w14:paraId="3CE23162" w14:textId="4C8D46EE" w:rsidR="00311815" w:rsidRPr="00D47228" w:rsidRDefault="00311815" w:rsidP="005A68D1">
      <w:pPr>
        <w:ind w:left="284"/>
        <w:jc w:val="both"/>
        <w:rPr>
          <w:rFonts w:ascii="Bookman Old Style" w:hAnsi="Bookman Old Style"/>
        </w:rPr>
      </w:pPr>
    </w:p>
    <w:p w14:paraId="62E6F97E" w14:textId="00B59351" w:rsidR="00311815" w:rsidRPr="00D47228" w:rsidRDefault="00311815" w:rsidP="005A68D1">
      <w:pPr>
        <w:ind w:left="284"/>
        <w:jc w:val="both"/>
        <w:rPr>
          <w:rFonts w:ascii="Bookman Old Style" w:hAnsi="Bookman Old Style"/>
        </w:rPr>
      </w:pPr>
      <w:r w:rsidRPr="00D47228">
        <w:rPr>
          <w:rFonts w:ascii="Bookman Old Style" w:hAnsi="Bookman Old Style"/>
        </w:rPr>
        <w:t>Con relación a las circulares citadas</w:t>
      </w:r>
      <w:r w:rsidR="00D47228" w:rsidRPr="00D47228">
        <w:rPr>
          <w:rFonts w:ascii="Bookman Old Style" w:hAnsi="Bookman Old Style"/>
        </w:rPr>
        <w:t xml:space="preserve"> por el recurrente, Circulares CREG 020 de 2015 y Circular CREG 014 del 2021</w:t>
      </w:r>
      <w:r w:rsidR="00D47228">
        <w:rPr>
          <w:rFonts w:ascii="Bookman Old Style" w:hAnsi="Bookman Old Style"/>
        </w:rPr>
        <w:t xml:space="preserve">, si bien son </w:t>
      </w:r>
      <w:r w:rsidR="00325FC7">
        <w:rPr>
          <w:rFonts w:ascii="Bookman Old Style" w:hAnsi="Bookman Old Style"/>
        </w:rPr>
        <w:t xml:space="preserve">precisiones sobre el uso del indexador IPP, serie Oferta Interna, éste indexador es de uso </w:t>
      </w:r>
      <w:r w:rsidR="004B4808">
        <w:rPr>
          <w:rFonts w:ascii="Bookman Old Style" w:hAnsi="Bookman Old Style"/>
        </w:rPr>
        <w:t xml:space="preserve">general sobre las metodologías tarifarias vigentes para los </w:t>
      </w:r>
      <w:r w:rsidR="004B4808" w:rsidRPr="004B4808">
        <w:rPr>
          <w:rFonts w:ascii="Bookman Old Style" w:hAnsi="Bookman Old Style"/>
        </w:rPr>
        <w:t>servicios públicos de energía eléctrica y gas combustible</w:t>
      </w:r>
      <w:r w:rsidR="006B7F4F">
        <w:rPr>
          <w:rFonts w:ascii="Bookman Old Style" w:hAnsi="Bookman Old Style"/>
        </w:rPr>
        <w:t>,</w:t>
      </w:r>
      <w:r w:rsidR="00982CB3">
        <w:rPr>
          <w:rFonts w:ascii="Bookman Old Style" w:hAnsi="Bookman Old Style"/>
        </w:rPr>
        <w:t xml:space="preserve"> y de aplicación sobre los componentes de los costos unitarios</w:t>
      </w:r>
      <w:r w:rsidR="007874F1">
        <w:rPr>
          <w:rFonts w:ascii="Bookman Old Style" w:hAnsi="Bookman Old Style"/>
        </w:rPr>
        <w:t xml:space="preserve">, sin que se haya definido como válido en lo que tiene que ver con </w:t>
      </w:r>
      <w:r w:rsidR="007E5A6C">
        <w:rPr>
          <w:rFonts w:ascii="Bookman Old Style" w:hAnsi="Bookman Old Style"/>
        </w:rPr>
        <w:t>las particularidades del combustible usado en cada tecnología.</w:t>
      </w:r>
    </w:p>
    <w:p w14:paraId="7C777839" w14:textId="34665F8A" w:rsidR="00AE330B" w:rsidRDefault="00AE330B" w:rsidP="00B31B84">
      <w:pPr>
        <w:jc w:val="both"/>
        <w:rPr>
          <w:rFonts w:ascii="Bookman Old Style" w:hAnsi="Bookman Old Style"/>
        </w:rPr>
      </w:pPr>
    </w:p>
    <w:p w14:paraId="7FFC7F2F" w14:textId="2EBDC60F" w:rsidR="00881F23" w:rsidRDefault="00E6032A" w:rsidP="008822DE">
      <w:pPr>
        <w:ind w:left="284"/>
        <w:jc w:val="both"/>
        <w:rPr>
          <w:rFonts w:ascii="Bookman Old Style" w:hAnsi="Bookman Old Style" w:cs="Arial"/>
        </w:rPr>
      </w:pPr>
      <w:r>
        <w:rPr>
          <w:rFonts w:ascii="Bookman Old Style" w:hAnsi="Bookman Old Style"/>
        </w:rPr>
        <w:t>En el caso de la remuneración del precio de combustible para generación con biomasa, ante la imposibilidad de contar con precios de mercado para referir a estos su actualización, esta Comisión definió que el mismo partiera de los valores soportado</w:t>
      </w:r>
      <w:r w:rsidR="006B7F4F">
        <w:rPr>
          <w:rFonts w:ascii="Bookman Old Style" w:hAnsi="Bookman Old Style"/>
        </w:rPr>
        <w:t>s</w:t>
      </w:r>
      <w:r>
        <w:rPr>
          <w:rFonts w:ascii="Bookman Old Style" w:hAnsi="Bookman Old Style"/>
        </w:rPr>
        <w:t xml:space="preserve"> por REFOENERGY en su solicitud</w:t>
      </w:r>
      <w:r w:rsidR="006B7F4F">
        <w:rPr>
          <w:rFonts w:ascii="Bookman Old Style" w:hAnsi="Bookman Old Style"/>
        </w:rPr>
        <w:t>,</w:t>
      </w:r>
      <w:r>
        <w:rPr>
          <w:rFonts w:ascii="Bookman Old Style" w:hAnsi="Bookman Old Style"/>
        </w:rPr>
        <w:t xml:space="preserve"> y posteriormente se actualizar</w:t>
      </w:r>
      <w:r w:rsidR="006B7F4F">
        <w:rPr>
          <w:rFonts w:ascii="Bookman Old Style" w:hAnsi="Bookman Old Style"/>
        </w:rPr>
        <w:t>á</w:t>
      </w:r>
      <w:r>
        <w:rPr>
          <w:rFonts w:ascii="Bookman Old Style" w:hAnsi="Bookman Old Style"/>
        </w:rPr>
        <w:t xml:space="preserve">n mediante </w:t>
      </w:r>
      <w:r w:rsidR="00881F23" w:rsidRPr="00881F23">
        <w:rPr>
          <w:rFonts w:ascii="Bookman Old Style" w:hAnsi="Bookman Old Style"/>
        </w:rPr>
        <w:t>el</w:t>
      </w:r>
      <w:r>
        <w:rPr>
          <w:rFonts w:ascii="Bookman Old Style" w:hAnsi="Bookman Old Style"/>
        </w:rPr>
        <w:t xml:space="preserve"> uso del </w:t>
      </w:r>
      <w:r w:rsidR="00881F23" w:rsidRPr="00881F23">
        <w:rPr>
          <w:rFonts w:ascii="Bookman Old Style" w:hAnsi="Bookman Old Style"/>
        </w:rPr>
        <w:t>“</w:t>
      </w:r>
      <w:r w:rsidR="00881F23" w:rsidRPr="00881F23">
        <w:rPr>
          <w:rFonts w:ascii="Bookman Old Style" w:hAnsi="Bookman Old Style" w:cs="Arial"/>
          <w:i/>
          <w:iCs/>
        </w:rPr>
        <w:t>Índice de precios del productor (IPP), procedencias especializadas según destino económico-</w:t>
      </w:r>
      <w:r w:rsidR="00881F23" w:rsidRPr="00881F23">
        <w:rPr>
          <w:i/>
          <w:iCs/>
        </w:rPr>
        <w:t xml:space="preserve"> </w:t>
      </w:r>
      <w:r w:rsidR="00881F23" w:rsidRPr="00881F23">
        <w:rPr>
          <w:rFonts w:ascii="Bookman Old Style" w:hAnsi="Bookman Old Style" w:cs="Arial"/>
          <w:i/>
          <w:iCs/>
        </w:rPr>
        <w:t>Consumo Final - Producidos para consumo interno- Silvicultura y extracción de madera”</w:t>
      </w:r>
      <w:r w:rsidR="00881F23" w:rsidRPr="00881F23">
        <w:rPr>
          <w:rFonts w:ascii="Bookman Old Style" w:hAnsi="Bookman Old Style" w:cs="Arial"/>
        </w:rPr>
        <w:t xml:space="preserve">, </w:t>
      </w:r>
      <w:r>
        <w:rPr>
          <w:rFonts w:ascii="Bookman Old Style" w:hAnsi="Bookman Old Style" w:cs="Arial"/>
        </w:rPr>
        <w:t>entendiendo que es la mejor información disponible con el fin de reflejar el comportamiento de precio de este componente</w:t>
      </w:r>
      <w:r w:rsidR="00881F23" w:rsidRPr="00881F23">
        <w:rPr>
          <w:rFonts w:ascii="Bookman Old Style" w:hAnsi="Bookman Old Style" w:cs="Arial"/>
        </w:rPr>
        <w:t>.</w:t>
      </w:r>
    </w:p>
    <w:p w14:paraId="07E989CE" w14:textId="77777777" w:rsidR="005A68D1" w:rsidRPr="00881F23" w:rsidRDefault="005A68D1" w:rsidP="005A68D1">
      <w:pPr>
        <w:ind w:left="284"/>
        <w:jc w:val="both"/>
        <w:rPr>
          <w:rFonts w:ascii="Bookman Old Style" w:hAnsi="Bookman Old Style" w:cs="Arial"/>
        </w:rPr>
      </w:pPr>
    </w:p>
    <w:p w14:paraId="14A82CB5" w14:textId="484F3F49" w:rsidR="00881F23" w:rsidRDefault="00881F23" w:rsidP="005A68D1">
      <w:pPr>
        <w:ind w:left="284"/>
        <w:jc w:val="both"/>
        <w:rPr>
          <w:rFonts w:ascii="Bookman Old Style" w:hAnsi="Bookman Old Style" w:cs="Arial"/>
        </w:rPr>
      </w:pPr>
      <w:r w:rsidRPr="00881F23">
        <w:rPr>
          <w:rFonts w:ascii="Bookman Old Style" w:hAnsi="Bookman Old Style" w:cs="Arial"/>
        </w:rPr>
        <w:t>Con lo anterior,</w:t>
      </w:r>
      <w:r w:rsidR="00F16F27">
        <w:rPr>
          <w:rFonts w:ascii="Bookman Old Style" w:hAnsi="Bookman Old Style" w:cs="Arial"/>
        </w:rPr>
        <w:t xml:space="preserve"> </w:t>
      </w:r>
      <w:r w:rsidR="00F16F27" w:rsidRPr="00881F23">
        <w:rPr>
          <w:rFonts w:ascii="Bookman Old Style" w:hAnsi="Bookman Old Style" w:cs="Arial"/>
        </w:rPr>
        <w:t>no procede</w:t>
      </w:r>
      <w:r w:rsidR="00E6032A">
        <w:rPr>
          <w:rFonts w:ascii="Bookman Old Style" w:hAnsi="Bookman Old Style" w:cs="Arial"/>
        </w:rPr>
        <w:t>n</w:t>
      </w:r>
      <w:r w:rsidR="00F16F27">
        <w:rPr>
          <w:rFonts w:ascii="Bookman Old Style" w:hAnsi="Bookman Old Style" w:cs="Arial"/>
        </w:rPr>
        <w:t xml:space="preserve"> los argumentos expuestos por el recurrente</w:t>
      </w:r>
      <w:r w:rsidRPr="00881F23">
        <w:rPr>
          <w:rFonts w:ascii="Bookman Old Style" w:hAnsi="Bookman Old Style" w:cs="Arial"/>
        </w:rPr>
        <w:t xml:space="preserve"> en lo que tiene que ver con el</w:t>
      </w:r>
      <w:r w:rsidR="00E6032A">
        <w:rPr>
          <w:rFonts w:ascii="Bookman Old Style" w:hAnsi="Bookman Old Style" w:cs="Arial"/>
        </w:rPr>
        <w:t xml:space="preserve"> uso de los </w:t>
      </w:r>
      <w:r w:rsidRPr="00881F23">
        <w:rPr>
          <w:rFonts w:ascii="Bookman Old Style" w:hAnsi="Bookman Old Style" w:cs="Arial"/>
        </w:rPr>
        <w:t>indexad</w:t>
      </w:r>
      <w:r w:rsidR="00E6032A">
        <w:rPr>
          <w:rFonts w:ascii="Bookman Old Style" w:hAnsi="Bookman Old Style" w:cs="Arial"/>
        </w:rPr>
        <w:t>o</w:t>
      </w:r>
      <w:r w:rsidRPr="00881F23">
        <w:rPr>
          <w:rFonts w:ascii="Bookman Old Style" w:hAnsi="Bookman Old Style" w:cs="Arial"/>
        </w:rPr>
        <w:t>r</w:t>
      </w:r>
      <w:r w:rsidR="00E6032A">
        <w:rPr>
          <w:rFonts w:ascii="Bookman Old Style" w:hAnsi="Bookman Old Style" w:cs="Arial"/>
        </w:rPr>
        <w:t xml:space="preserve">es para efecto </w:t>
      </w:r>
      <w:r w:rsidRPr="00881F23">
        <w:rPr>
          <w:rFonts w:ascii="Bookman Old Style" w:hAnsi="Bookman Old Style" w:cs="Arial"/>
        </w:rPr>
        <w:t xml:space="preserve">de la </w:t>
      </w:r>
      <w:r w:rsidR="00E6032A">
        <w:rPr>
          <w:rFonts w:ascii="Bookman Old Style" w:hAnsi="Bookman Old Style" w:cs="Arial"/>
        </w:rPr>
        <w:t>actualización de los cargos definidos.</w:t>
      </w:r>
    </w:p>
    <w:p w14:paraId="66D83241" w14:textId="0F0CC487" w:rsidR="00F15171" w:rsidRDefault="00F15171" w:rsidP="005A68D1">
      <w:pPr>
        <w:ind w:left="284"/>
        <w:jc w:val="both"/>
        <w:rPr>
          <w:rFonts w:ascii="Bookman Old Style" w:hAnsi="Bookman Old Style" w:cs="Arial"/>
        </w:rPr>
      </w:pPr>
    </w:p>
    <w:p w14:paraId="7245CF38" w14:textId="6962A80A" w:rsidR="00BC52A7" w:rsidRPr="004773A7" w:rsidRDefault="0018752C" w:rsidP="004773A7">
      <w:pPr>
        <w:ind w:left="284"/>
        <w:jc w:val="both"/>
        <w:rPr>
          <w:rFonts w:ascii="Bookman Old Style" w:hAnsi="Bookman Old Style"/>
        </w:rPr>
      </w:pPr>
      <w:r>
        <w:rPr>
          <w:rFonts w:ascii="Bookman Old Style" w:hAnsi="Bookman Old Style" w:cs="Arial"/>
        </w:rPr>
        <w:t>Teniendo en cuenta todo lo expuesto</w:t>
      </w:r>
      <w:r w:rsidR="00F52822">
        <w:rPr>
          <w:rFonts w:ascii="Bookman Old Style" w:hAnsi="Bookman Old Style" w:cs="Arial"/>
        </w:rPr>
        <w:t xml:space="preserve"> en la parte motiva de la presente resolución</w:t>
      </w:r>
      <w:r w:rsidR="006B7F4F">
        <w:rPr>
          <w:rFonts w:ascii="Bookman Old Style" w:hAnsi="Bookman Old Style" w:cs="Arial"/>
        </w:rPr>
        <w:t>,</w:t>
      </w:r>
      <w:r w:rsidR="00F52822">
        <w:rPr>
          <w:rFonts w:ascii="Bookman Old Style" w:hAnsi="Bookman Old Style" w:cs="Arial"/>
        </w:rPr>
        <w:t xml:space="preserve"> y una </w:t>
      </w:r>
      <w:proofErr w:type="gramStart"/>
      <w:r w:rsidR="00F52822">
        <w:rPr>
          <w:rFonts w:ascii="Bookman Old Style" w:hAnsi="Bookman Old Style" w:cs="Arial"/>
        </w:rPr>
        <w:t>vez</w:t>
      </w:r>
      <w:r w:rsidR="00F15171">
        <w:rPr>
          <w:rFonts w:ascii="Bookman Old Style" w:hAnsi="Bookman Old Style" w:cs="Arial"/>
        </w:rPr>
        <w:t xml:space="preserve"> </w:t>
      </w:r>
      <w:r w:rsidR="00645306">
        <w:rPr>
          <w:rFonts w:ascii="Bookman Old Style" w:hAnsi="Bookman Old Style" w:cs="Arial"/>
        </w:rPr>
        <w:t xml:space="preserve"> resueltas</w:t>
      </w:r>
      <w:proofErr w:type="gramEnd"/>
      <w:r w:rsidR="00645306">
        <w:rPr>
          <w:rFonts w:ascii="Bookman Old Style" w:hAnsi="Bookman Old Style" w:cs="Arial"/>
        </w:rPr>
        <w:t xml:space="preserve"> todas las </w:t>
      </w:r>
      <w:r w:rsidR="00060445">
        <w:rPr>
          <w:rFonts w:ascii="Bookman Old Style" w:hAnsi="Bookman Old Style" w:cs="Arial"/>
        </w:rPr>
        <w:t>c</w:t>
      </w:r>
      <w:r w:rsidR="00F15171" w:rsidRPr="00F15171">
        <w:rPr>
          <w:rFonts w:ascii="Bookman Old Style" w:hAnsi="Bookman Old Style" w:cs="Arial"/>
        </w:rPr>
        <w:t>uestiones que fueron planteadas a la administración, de forma que no qued</w:t>
      </w:r>
      <w:r w:rsidR="00F15171">
        <w:rPr>
          <w:rFonts w:ascii="Bookman Old Style" w:hAnsi="Bookman Old Style" w:cs="Arial"/>
        </w:rPr>
        <w:t>a</w:t>
      </w:r>
      <w:r w:rsidR="00F15171" w:rsidRPr="00F15171">
        <w:rPr>
          <w:rFonts w:ascii="Bookman Old Style" w:hAnsi="Bookman Old Style" w:cs="Arial"/>
        </w:rPr>
        <w:t xml:space="preserve"> ninguna sin resolverse</w:t>
      </w:r>
      <w:r w:rsidR="00060445">
        <w:rPr>
          <w:rFonts w:ascii="Bookman Old Style" w:hAnsi="Bookman Old Style" w:cs="Arial"/>
        </w:rPr>
        <w:t xml:space="preserve"> </w:t>
      </w:r>
      <w:r w:rsidR="006962C8">
        <w:rPr>
          <w:rFonts w:ascii="Bookman Old Style" w:hAnsi="Bookman Old Style" w:cs="Arial"/>
        </w:rPr>
        <w:t xml:space="preserve">de conformidad con lo previsto en </w:t>
      </w:r>
      <w:r w:rsidR="00514C6D">
        <w:rPr>
          <w:rFonts w:ascii="Bookman Old Style" w:hAnsi="Bookman Old Style" w:cs="Arial"/>
        </w:rPr>
        <w:t xml:space="preserve">el artículo </w:t>
      </w:r>
      <w:r w:rsidR="00F15171" w:rsidRPr="00F15171">
        <w:rPr>
          <w:rFonts w:ascii="Bookman Old Style" w:hAnsi="Bookman Old Style" w:cs="Arial"/>
        </w:rPr>
        <w:t>80 del C</w:t>
      </w:r>
      <w:r w:rsidR="00514C6D">
        <w:rPr>
          <w:rFonts w:ascii="Bookman Old Style" w:hAnsi="Bookman Old Style" w:cs="Arial"/>
        </w:rPr>
        <w:t xml:space="preserve">ódigo de </w:t>
      </w:r>
      <w:r w:rsidR="00F15171" w:rsidRPr="00F15171">
        <w:rPr>
          <w:rFonts w:ascii="Bookman Old Style" w:hAnsi="Bookman Old Style" w:cs="Arial"/>
        </w:rPr>
        <w:t>P</w:t>
      </w:r>
      <w:r w:rsidR="00514C6D">
        <w:rPr>
          <w:rFonts w:ascii="Bookman Old Style" w:hAnsi="Bookman Old Style" w:cs="Arial"/>
        </w:rPr>
        <w:t xml:space="preserve">rocedimiento </w:t>
      </w:r>
      <w:r w:rsidR="00F15171" w:rsidRPr="00F15171">
        <w:rPr>
          <w:rFonts w:ascii="Bookman Old Style" w:hAnsi="Bookman Old Style" w:cs="Arial"/>
        </w:rPr>
        <w:t>A</w:t>
      </w:r>
      <w:r w:rsidR="00514C6D">
        <w:rPr>
          <w:rFonts w:ascii="Bookman Old Style" w:hAnsi="Bookman Old Style" w:cs="Arial"/>
        </w:rPr>
        <w:t xml:space="preserve">dministrativo y de lo </w:t>
      </w:r>
      <w:r w:rsidR="00F15171" w:rsidRPr="00F15171">
        <w:rPr>
          <w:rFonts w:ascii="Bookman Old Style" w:hAnsi="Bookman Old Style" w:cs="Arial"/>
        </w:rPr>
        <w:t>C</w:t>
      </w:r>
      <w:r w:rsidR="00514C6D">
        <w:rPr>
          <w:rFonts w:ascii="Bookman Old Style" w:hAnsi="Bookman Old Style" w:cs="Arial"/>
        </w:rPr>
        <w:t xml:space="preserve">ontencioso </w:t>
      </w:r>
      <w:r w:rsidR="00F15171" w:rsidRPr="00F15171">
        <w:rPr>
          <w:rFonts w:ascii="Bookman Old Style" w:hAnsi="Bookman Old Style" w:cs="Arial"/>
        </w:rPr>
        <w:t>A</w:t>
      </w:r>
      <w:r w:rsidR="00514C6D">
        <w:rPr>
          <w:rFonts w:ascii="Bookman Old Style" w:hAnsi="Bookman Old Style" w:cs="Arial"/>
        </w:rPr>
        <w:t>dministrativo</w:t>
      </w:r>
      <w:r w:rsidR="006B7F4F">
        <w:rPr>
          <w:rFonts w:ascii="Bookman Old Style" w:hAnsi="Bookman Old Style" w:cs="Arial"/>
        </w:rPr>
        <w:t>,</w:t>
      </w:r>
      <w:r w:rsidR="00060445">
        <w:rPr>
          <w:rFonts w:ascii="Bookman Old Style" w:hAnsi="Bookman Old Style" w:cs="Arial"/>
        </w:rPr>
        <w:t xml:space="preserve"> </w:t>
      </w:r>
      <w:r w:rsidR="00060445">
        <w:rPr>
          <w:rFonts w:ascii="Bookman Old Style" w:hAnsi="Bookman Old Style"/>
        </w:rPr>
        <w:t>l</w:t>
      </w:r>
      <w:r w:rsidR="00BC52A7" w:rsidRPr="004773A7">
        <w:rPr>
          <w:rFonts w:ascii="Bookman Old Style" w:hAnsi="Bookman Old Style"/>
        </w:rPr>
        <w:t>a Comisión de Regulación de Energía y Gas, en su sesión No.</w:t>
      </w:r>
      <w:r w:rsidR="00EC20E0" w:rsidRPr="004773A7">
        <w:rPr>
          <w:rFonts w:ascii="Bookman Old Style" w:hAnsi="Bookman Old Style"/>
        </w:rPr>
        <w:t xml:space="preserve"> </w:t>
      </w:r>
      <w:r w:rsidR="0056094D" w:rsidRPr="004773A7">
        <w:rPr>
          <w:rFonts w:ascii="Bookman Old Style" w:hAnsi="Bookman Old Style"/>
        </w:rPr>
        <w:t>1208</w:t>
      </w:r>
      <w:r w:rsidR="00FE7196" w:rsidRPr="004773A7">
        <w:rPr>
          <w:rFonts w:ascii="Bookman Old Style" w:hAnsi="Bookman Old Style"/>
        </w:rPr>
        <w:t xml:space="preserve"> </w:t>
      </w:r>
      <w:r w:rsidR="00EC20E0" w:rsidRPr="004773A7">
        <w:rPr>
          <w:rFonts w:ascii="Bookman Old Style" w:hAnsi="Bookman Old Style"/>
        </w:rPr>
        <w:t>del</w:t>
      </w:r>
      <w:r w:rsidR="00060445" w:rsidRPr="004773A7">
        <w:rPr>
          <w:rFonts w:ascii="Bookman Old Style" w:hAnsi="Bookman Old Style"/>
        </w:rPr>
        <w:t xml:space="preserve"> </w:t>
      </w:r>
      <w:r w:rsidR="0056094D" w:rsidRPr="004773A7">
        <w:rPr>
          <w:rFonts w:ascii="Bookman Old Style" w:hAnsi="Bookman Old Style"/>
        </w:rPr>
        <w:t>09</w:t>
      </w:r>
      <w:r w:rsidR="0714A350" w:rsidRPr="004773A7">
        <w:rPr>
          <w:rFonts w:ascii="Bookman Old Style" w:hAnsi="Bookman Old Style"/>
        </w:rPr>
        <w:t xml:space="preserve"> </w:t>
      </w:r>
      <w:r w:rsidR="00BC52A7" w:rsidRPr="004773A7">
        <w:rPr>
          <w:rFonts w:ascii="Bookman Old Style" w:hAnsi="Bookman Old Style"/>
        </w:rPr>
        <w:t xml:space="preserve">de  </w:t>
      </w:r>
      <w:r w:rsidR="00F25930" w:rsidRPr="004773A7">
        <w:rPr>
          <w:rFonts w:ascii="Bookman Old Style" w:hAnsi="Bookman Old Style"/>
        </w:rPr>
        <w:t xml:space="preserve">noviembre </w:t>
      </w:r>
      <w:r w:rsidR="00BC52A7" w:rsidRPr="004773A7">
        <w:rPr>
          <w:rFonts w:ascii="Bookman Old Style" w:hAnsi="Bookman Old Style"/>
        </w:rPr>
        <w:t>de 2022, acordó expedir la presente resolución.</w:t>
      </w:r>
    </w:p>
    <w:p w14:paraId="2544F38F" w14:textId="03323904" w:rsidR="009F2871" w:rsidRDefault="009F2871" w:rsidP="005A68D1">
      <w:pPr>
        <w:pStyle w:val="Textodebloque"/>
        <w:ind w:left="284" w:right="6"/>
        <w:contextualSpacing/>
        <w:rPr>
          <w:rFonts w:ascii="Bookman Old Style" w:hAnsi="Bookman Old Style"/>
          <w:szCs w:val="24"/>
        </w:rPr>
      </w:pPr>
    </w:p>
    <w:p w14:paraId="25B34EBC" w14:textId="16A6B3F2" w:rsidR="008E5195" w:rsidRPr="00AD6B97" w:rsidRDefault="009F2871" w:rsidP="00AD6B97">
      <w:pPr>
        <w:pStyle w:val="Textodebloque"/>
        <w:ind w:left="284" w:right="6"/>
        <w:contextualSpacing/>
        <w:rPr>
          <w:rFonts w:ascii="Bookman Old Style" w:hAnsi="Bookman Old Style"/>
          <w:szCs w:val="24"/>
        </w:rPr>
      </w:pPr>
      <w:r>
        <w:rPr>
          <w:rFonts w:ascii="Bookman Old Style" w:hAnsi="Bookman Old Style"/>
          <w:szCs w:val="24"/>
        </w:rPr>
        <w:t xml:space="preserve">En consecuencia, </w:t>
      </w:r>
    </w:p>
    <w:p w14:paraId="7FF03D12" w14:textId="77777777" w:rsidR="008E5195" w:rsidRDefault="008E5195" w:rsidP="00DD5E79">
      <w:pPr>
        <w:pStyle w:val="Textodebloque"/>
        <w:ind w:left="284" w:right="6"/>
        <w:contextualSpacing/>
        <w:jc w:val="center"/>
        <w:rPr>
          <w:rFonts w:ascii="Bookman Old Style" w:hAnsi="Bookman Old Style"/>
          <w:b/>
          <w:szCs w:val="24"/>
        </w:rPr>
      </w:pPr>
    </w:p>
    <w:p w14:paraId="5AB2083F" w14:textId="408BD68A" w:rsidR="00BC52A7" w:rsidRPr="00DD5E79" w:rsidRDefault="00BC52A7" w:rsidP="00DD5E79">
      <w:pPr>
        <w:pStyle w:val="Textodebloque"/>
        <w:ind w:left="284" w:right="6"/>
        <w:contextualSpacing/>
        <w:jc w:val="center"/>
        <w:rPr>
          <w:rFonts w:ascii="Bookman Old Style" w:hAnsi="Bookman Old Style"/>
          <w:b/>
          <w:szCs w:val="24"/>
        </w:rPr>
      </w:pPr>
      <w:r w:rsidRPr="00DD5E79">
        <w:rPr>
          <w:rFonts w:ascii="Bookman Old Style" w:hAnsi="Bookman Old Style"/>
          <w:b/>
          <w:szCs w:val="24"/>
        </w:rPr>
        <w:t>RESUELVE:</w:t>
      </w:r>
    </w:p>
    <w:p w14:paraId="7AF3527E" w14:textId="77777777" w:rsidR="00BC52A7" w:rsidRPr="00BC52A7" w:rsidRDefault="00BC52A7" w:rsidP="00BC52A7">
      <w:pPr>
        <w:pStyle w:val="Textodebloque"/>
        <w:ind w:left="284" w:right="6"/>
        <w:contextualSpacing/>
        <w:rPr>
          <w:rFonts w:ascii="Bookman Old Style" w:hAnsi="Bookman Old Style"/>
          <w:szCs w:val="24"/>
        </w:rPr>
      </w:pPr>
    </w:p>
    <w:p w14:paraId="63B0A468" w14:textId="5B92AF78" w:rsidR="00BC52A7" w:rsidRPr="00447007" w:rsidRDefault="00BC52A7" w:rsidP="00BC52A7">
      <w:pPr>
        <w:pStyle w:val="Textodebloque"/>
        <w:ind w:left="284" w:right="6"/>
        <w:contextualSpacing/>
        <w:rPr>
          <w:rFonts w:ascii="Bookman Old Style" w:hAnsi="Bookman Old Style"/>
          <w:color w:val="000000" w:themeColor="text1"/>
          <w:szCs w:val="24"/>
        </w:rPr>
      </w:pPr>
      <w:r w:rsidRPr="00447007">
        <w:rPr>
          <w:rFonts w:ascii="Bookman Old Style" w:hAnsi="Bookman Old Style"/>
          <w:b/>
          <w:color w:val="000000" w:themeColor="text1"/>
          <w:szCs w:val="24"/>
        </w:rPr>
        <w:t>ARTÍCULO 1.</w:t>
      </w:r>
      <w:r w:rsidRPr="00447007">
        <w:rPr>
          <w:rFonts w:ascii="Bookman Old Style" w:hAnsi="Bookman Old Style"/>
          <w:color w:val="000000" w:themeColor="text1"/>
          <w:szCs w:val="24"/>
        </w:rPr>
        <w:t xml:space="preserve"> Reponer el </w:t>
      </w:r>
      <w:r w:rsidR="00447007" w:rsidRPr="00447007">
        <w:rPr>
          <w:rFonts w:ascii="Bookman Old Style" w:hAnsi="Bookman Old Style"/>
          <w:color w:val="000000" w:themeColor="text1"/>
          <w:szCs w:val="24"/>
        </w:rPr>
        <w:t xml:space="preserve">Artículo 1 </w:t>
      </w:r>
      <w:r w:rsidR="00D570D6" w:rsidRPr="00447007">
        <w:rPr>
          <w:rFonts w:ascii="Bookman Old Style" w:hAnsi="Bookman Old Style"/>
          <w:color w:val="000000" w:themeColor="text1"/>
          <w:szCs w:val="24"/>
        </w:rPr>
        <w:t>d</w:t>
      </w:r>
      <w:r w:rsidRPr="00447007">
        <w:rPr>
          <w:rFonts w:ascii="Bookman Old Style" w:hAnsi="Bookman Old Style"/>
          <w:color w:val="000000" w:themeColor="text1"/>
          <w:szCs w:val="24"/>
        </w:rPr>
        <w:t xml:space="preserve">e la </w:t>
      </w:r>
      <w:r w:rsidR="00B612D1" w:rsidRPr="00447007">
        <w:rPr>
          <w:rFonts w:ascii="Bookman Old Style" w:hAnsi="Bookman Old Style"/>
          <w:color w:val="000000" w:themeColor="text1"/>
          <w:szCs w:val="24"/>
        </w:rPr>
        <w:t>R</w:t>
      </w:r>
      <w:r w:rsidRPr="00447007">
        <w:rPr>
          <w:rFonts w:ascii="Bookman Old Style" w:hAnsi="Bookman Old Style"/>
          <w:color w:val="000000" w:themeColor="text1"/>
          <w:szCs w:val="24"/>
        </w:rPr>
        <w:t>esolución</w:t>
      </w:r>
      <w:r w:rsidR="00D9731A" w:rsidRPr="00447007">
        <w:rPr>
          <w:rFonts w:ascii="Bookman Old Style" w:hAnsi="Bookman Old Style"/>
          <w:color w:val="000000" w:themeColor="text1"/>
          <w:szCs w:val="24"/>
        </w:rPr>
        <w:t xml:space="preserve"> CREG</w:t>
      </w:r>
      <w:r w:rsidRPr="00447007">
        <w:rPr>
          <w:rFonts w:ascii="Bookman Old Style" w:hAnsi="Bookman Old Style"/>
          <w:color w:val="000000" w:themeColor="text1"/>
          <w:szCs w:val="24"/>
        </w:rPr>
        <w:t xml:space="preserve"> 501 0</w:t>
      </w:r>
      <w:r w:rsidR="00D570D6" w:rsidRPr="00447007">
        <w:rPr>
          <w:rFonts w:ascii="Bookman Old Style" w:hAnsi="Bookman Old Style"/>
          <w:color w:val="000000" w:themeColor="text1"/>
          <w:szCs w:val="24"/>
        </w:rPr>
        <w:t>59</w:t>
      </w:r>
      <w:r w:rsidRPr="00447007">
        <w:rPr>
          <w:rFonts w:ascii="Bookman Old Style" w:hAnsi="Bookman Old Style"/>
          <w:color w:val="000000" w:themeColor="text1"/>
          <w:szCs w:val="24"/>
        </w:rPr>
        <w:t xml:space="preserve"> de 2022,</w:t>
      </w:r>
      <w:r w:rsidR="00414B2E">
        <w:rPr>
          <w:rFonts w:ascii="Bookman Old Style" w:hAnsi="Bookman Old Style"/>
          <w:color w:val="000000" w:themeColor="text1"/>
          <w:szCs w:val="24"/>
        </w:rPr>
        <w:t xml:space="preserve"> de acuerdo con lo expuesto en la parte motiva de la presente resolución,</w:t>
      </w:r>
      <w:r w:rsidRPr="00447007">
        <w:rPr>
          <w:rFonts w:ascii="Bookman Old Style" w:hAnsi="Bookman Old Style"/>
          <w:color w:val="000000" w:themeColor="text1"/>
          <w:szCs w:val="24"/>
        </w:rPr>
        <w:t xml:space="preserve"> </w:t>
      </w:r>
      <w:r w:rsidR="000167C5" w:rsidRPr="00447007">
        <w:rPr>
          <w:rFonts w:ascii="Bookman Old Style" w:hAnsi="Bookman Old Style"/>
          <w:color w:val="000000" w:themeColor="text1"/>
          <w:szCs w:val="24"/>
        </w:rPr>
        <w:t>el</w:t>
      </w:r>
      <w:r w:rsidRPr="00447007">
        <w:rPr>
          <w:rFonts w:ascii="Bookman Old Style" w:hAnsi="Bookman Old Style"/>
          <w:color w:val="000000" w:themeColor="text1"/>
          <w:szCs w:val="24"/>
        </w:rPr>
        <w:t xml:space="preserve"> cual quedará así:</w:t>
      </w:r>
    </w:p>
    <w:p w14:paraId="0AA014B5" w14:textId="77777777" w:rsidR="00BC52A7" w:rsidRPr="00F9260D" w:rsidRDefault="00BC52A7" w:rsidP="00BC52A7">
      <w:pPr>
        <w:pStyle w:val="Textodebloque"/>
        <w:ind w:left="284" w:right="6"/>
        <w:contextualSpacing/>
        <w:rPr>
          <w:rFonts w:ascii="Bookman Old Style" w:hAnsi="Bookman Old Style"/>
          <w:color w:val="FF0000"/>
          <w:szCs w:val="24"/>
        </w:rPr>
      </w:pPr>
    </w:p>
    <w:p w14:paraId="1398E7AA" w14:textId="6C0DF44B" w:rsidR="00F012AC" w:rsidRPr="004A220F" w:rsidRDefault="005736DC" w:rsidP="00F012AC">
      <w:pPr>
        <w:pStyle w:val="Textodebloque"/>
        <w:ind w:right="6"/>
        <w:contextualSpacing/>
        <w:rPr>
          <w:rFonts w:ascii="Bookman Old Style" w:hAnsi="Bookman Old Style"/>
          <w:i/>
          <w:sz w:val="22"/>
          <w:szCs w:val="22"/>
        </w:rPr>
      </w:pPr>
      <w:r w:rsidRPr="005736DC">
        <w:rPr>
          <w:rFonts w:ascii="Bookman Old Style" w:hAnsi="Bookman Old Style"/>
          <w:b/>
          <w:i/>
          <w:iCs/>
          <w:color w:val="000000" w:themeColor="text1"/>
          <w:szCs w:val="24"/>
        </w:rPr>
        <w:t>ARTÍCULO 1. Remuneración de las componentes de inversión y de administración, operación y mantenimiento.</w:t>
      </w:r>
      <w:r w:rsidRPr="005736DC">
        <w:rPr>
          <w:rFonts w:ascii="Bookman Old Style" w:hAnsi="Bookman Old Style"/>
          <w:bCs/>
          <w:i/>
          <w:iCs/>
          <w:color w:val="000000" w:themeColor="text1"/>
          <w:szCs w:val="24"/>
        </w:rPr>
        <w:t xml:space="preserve"> Para sistemas híbridos diésel - biomasa, para el mercado relevante de Puerto Carreño en el Departamento del Vichada, las componentes que remuneran los costos de inversión y de administración, operación y mantenimiento son las siguientes:</w:t>
      </w:r>
    </w:p>
    <w:p w14:paraId="6BFC1229" w14:textId="77777777" w:rsidR="00F012AC" w:rsidRPr="004A220F" w:rsidRDefault="00F012AC" w:rsidP="00F012AC">
      <w:pPr>
        <w:pStyle w:val="Textodebloque"/>
        <w:ind w:right="6"/>
        <w:contextualSpacing/>
        <w:jc w:val="center"/>
        <w:rPr>
          <w:rFonts w:ascii="Bookman Old Style" w:hAnsi="Bookman Old Style"/>
          <w:b/>
          <w:i/>
          <w:sz w:val="22"/>
          <w:szCs w:val="22"/>
        </w:rPr>
      </w:pPr>
      <w:r w:rsidRPr="004A220F">
        <w:rPr>
          <w:rFonts w:ascii="Bookman Old Style" w:hAnsi="Bookman Old Style"/>
          <w:b/>
          <w:i/>
          <w:sz w:val="22"/>
          <w:szCs w:val="22"/>
        </w:rPr>
        <w:lastRenderedPageBreak/>
        <w:t>Tabla 1. Componentes de remuneración de costos de inversión y de administración, operación y mantenimiento para sistemas híbridos diésel - biomasa</w:t>
      </w:r>
    </w:p>
    <w:p w14:paraId="4051B1F2" w14:textId="77777777" w:rsidR="00F012AC" w:rsidRPr="004A220F" w:rsidRDefault="00F012AC" w:rsidP="00F012AC">
      <w:pPr>
        <w:pStyle w:val="Textodebloque"/>
        <w:ind w:right="6"/>
        <w:contextualSpacing/>
        <w:jc w:val="center"/>
        <w:rPr>
          <w:rFonts w:ascii="Bookman Old Style" w:hAnsi="Bookman Old Style"/>
          <w:b/>
          <w:i/>
          <w:sz w:val="22"/>
          <w:szCs w:val="22"/>
        </w:rPr>
      </w:pPr>
      <w:r w:rsidRPr="004A220F">
        <w:rPr>
          <w:rFonts w:ascii="Bookman Old Style" w:hAnsi="Bookman Old Style"/>
          <w:b/>
          <w:i/>
          <w:sz w:val="22"/>
          <w:szCs w:val="22"/>
        </w:rPr>
        <w:t>(pesos de diciembre de 2006)</w:t>
      </w:r>
    </w:p>
    <w:tbl>
      <w:tblPr>
        <w:tblStyle w:val="Tablaconcuadrcula"/>
        <w:tblW w:w="9203" w:type="dxa"/>
        <w:tblInd w:w="28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4"/>
        <w:gridCol w:w="3824"/>
        <w:gridCol w:w="3825"/>
      </w:tblGrid>
      <w:tr w:rsidR="00F012AC" w:rsidRPr="005736DC" w14:paraId="0294ACB1" w14:textId="77777777" w:rsidTr="00B2186F">
        <w:tc>
          <w:tcPr>
            <w:tcW w:w="1554" w:type="dxa"/>
            <w:vAlign w:val="center"/>
          </w:tcPr>
          <w:p w14:paraId="19245EEB" w14:textId="77777777" w:rsidR="00F012AC" w:rsidRPr="005736DC" w:rsidRDefault="00F012AC" w:rsidP="00B2186F">
            <w:pPr>
              <w:pStyle w:val="Piedepgina"/>
              <w:tabs>
                <w:tab w:val="clear" w:pos="4252"/>
                <w:tab w:val="clear" w:pos="8504"/>
                <w:tab w:val="center" w:pos="4845"/>
              </w:tabs>
              <w:ind w:right="6"/>
              <w:contextualSpacing/>
              <w:jc w:val="center"/>
              <w:rPr>
                <w:rFonts w:ascii="Bookman Old Style" w:hAnsi="Bookman Old Style" w:cs="Arial"/>
                <w:i/>
                <w:iCs/>
              </w:rPr>
            </w:pPr>
            <w:r w:rsidRPr="005736DC">
              <w:rPr>
                <w:rFonts w:ascii="Bookman Old Style" w:hAnsi="Bookman Old Style" w:cs="Arial"/>
                <w:i/>
                <w:iCs/>
              </w:rPr>
              <w:t>Tipo de recurso energético</w:t>
            </w:r>
          </w:p>
        </w:tc>
        <w:tc>
          <w:tcPr>
            <w:tcW w:w="3824" w:type="dxa"/>
            <w:vAlign w:val="center"/>
          </w:tcPr>
          <w:p w14:paraId="235A1438" w14:textId="77777777" w:rsidR="00F012AC" w:rsidRPr="005736DC" w:rsidRDefault="00F012AC" w:rsidP="00B2186F">
            <w:pPr>
              <w:pStyle w:val="Piedepgina"/>
              <w:tabs>
                <w:tab w:val="center" w:pos="4845"/>
              </w:tabs>
              <w:ind w:left="284" w:right="6"/>
              <w:contextualSpacing/>
              <w:jc w:val="center"/>
              <w:rPr>
                <w:rFonts w:ascii="Bookman Old Style" w:hAnsi="Bookman Old Style" w:cs="Arial"/>
                <w:i/>
                <w:iCs/>
              </w:rPr>
            </w:pPr>
            <w:r w:rsidRPr="005736DC">
              <w:rPr>
                <w:rFonts w:ascii="Bookman Old Style" w:hAnsi="Bookman Old Style" w:cs="Arial"/>
                <w:i/>
                <w:iCs/>
              </w:rPr>
              <w:t>Costo de inversión, CIj,0</w:t>
            </w:r>
          </w:p>
          <w:p w14:paraId="51C680AF" w14:textId="77777777" w:rsidR="00F012AC" w:rsidRPr="005736DC" w:rsidRDefault="00F012AC" w:rsidP="00B2186F">
            <w:pPr>
              <w:pStyle w:val="Piedepgina"/>
              <w:tabs>
                <w:tab w:val="clear" w:pos="4252"/>
                <w:tab w:val="clear" w:pos="8504"/>
                <w:tab w:val="center" w:pos="4845"/>
              </w:tabs>
              <w:ind w:right="6"/>
              <w:contextualSpacing/>
              <w:jc w:val="center"/>
              <w:rPr>
                <w:rFonts w:ascii="Bookman Old Style" w:hAnsi="Bookman Old Style" w:cs="Arial"/>
                <w:i/>
                <w:iCs/>
              </w:rPr>
            </w:pPr>
            <w:r w:rsidRPr="005736DC">
              <w:rPr>
                <w:rFonts w:ascii="Bookman Old Style" w:hAnsi="Bookman Old Style" w:cs="Arial"/>
                <w:i/>
                <w:iCs/>
              </w:rPr>
              <w:t>($/kWh)</w:t>
            </w:r>
          </w:p>
        </w:tc>
        <w:tc>
          <w:tcPr>
            <w:tcW w:w="3825" w:type="dxa"/>
            <w:vAlign w:val="center"/>
          </w:tcPr>
          <w:p w14:paraId="47439955" w14:textId="77777777" w:rsidR="00F012AC" w:rsidRPr="005736DC" w:rsidRDefault="00F012AC" w:rsidP="00B2186F">
            <w:pPr>
              <w:pStyle w:val="Piedepgina"/>
              <w:tabs>
                <w:tab w:val="center" w:pos="4845"/>
              </w:tabs>
              <w:ind w:left="284" w:right="6"/>
              <w:contextualSpacing/>
              <w:jc w:val="center"/>
              <w:rPr>
                <w:rFonts w:ascii="Bookman Old Style" w:hAnsi="Bookman Old Style" w:cs="Arial"/>
                <w:i/>
                <w:iCs/>
              </w:rPr>
            </w:pPr>
            <w:r w:rsidRPr="005736DC">
              <w:rPr>
                <w:rFonts w:ascii="Bookman Old Style" w:hAnsi="Bookman Old Style" w:cs="Arial"/>
                <w:i/>
                <w:iCs/>
              </w:rPr>
              <w:t>Costos de administración, operación y mantenimiento,</w:t>
            </w:r>
          </w:p>
          <w:p w14:paraId="075E30F7" w14:textId="77777777" w:rsidR="00F012AC" w:rsidRPr="005736DC" w:rsidRDefault="00F012AC" w:rsidP="00B2186F">
            <w:pPr>
              <w:pStyle w:val="Piedepgina"/>
              <w:tabs>
                <w:tab w:val="center" w:pos="4845"/>
              </w:tabs>
              <w:ind w:left="284" w:right="6"/>
              <w:contextualSpacing/>
              <w:jc w:val="center"/>
              <w:rPr>
                <w:rFonts w:ascii="Bookman Old Style" w:hAnsi="Bookman Old Style" w:cs="Arial"/>
                <w:i/>
                <w:iCs/>
              </w:rPr>
            </w:pPr>
            <w:r w:rsidRPr="005736DC">
              <w:rPr>
                <w:rFonts w:ascii="Bookman Old Style" w:hAnsi="Bookman Old Style" w:cs="Arial"/>
                <w:i/>
                <w:iCs/>
              </w:rPr>
              <w:t>CMj,0 ($/kWh)</w:t>
            </w:r>
          </w:p>
          <w:p w14:paraId="43893A76" w14:textId="77777777" w:rsidR="00F012AC" w:rsidRPr="005736DC" w:rsidRDefault="00F012AC" w:rsidP="00B2186F">
            <w:pPr>
              <w:pStyle w:val="Piedepgina"/>
              <w:tabs>
                <w:tab w:val="clear" w:pos="4252"/>
                <w:tab w:val="clear" w:pos="8504"/>
                <w:tab w:val="center" w:pos="4845"/>
              </w:tabs>
              <w:ind w:right="6"/>
              <w:contextualSpacing/>
              <w:jc w:val="center"/>
              <w:rPr>
                <w:rFonts w:ascii="Bookman Old Style" w:hAnsi="Bookman Old Style" w:cs="Arial"/>
                <w:i/>
                <w:iCs/>
              </w:rPr>
            </w:pPr>
          </w:p>
        </w:tc>
      </w:tr>
      <w:tr w:rsidR="00F012AC" w:rsidRPr="005736DC" w14:paraId="6941D065" w14:textId="77777777" w:rsidTr="00B2186F">
        <w:trPr>
          <w:trHeight w:val="548"/>
        </w:trPr>
        <w:tc>
          <w:tcPr>
            <w:tcW w:w="1554" w:type="dxa"/>
            <w:vAlign w:val="center"/>
          </w:tcPr>
          <w:p w14:paraId="1CB1C464" w14:textId="77777777" w:rsidR="00F012AC" w:rsidRPr="005736DC" w:rsidRDefault="00F012AC" w:rsidP="00B2186F">
            <w:pPr>
              <w:pStyle w:val="Piedepgina"/>
              <w:tabs>
                <w:tab w:val="clear" w:pos="4252"/>
                <w:tab w:val="clear" w:pos="8504"/>
                <w:tab w:val="center" w:pos="4845"/>
              </w:tabs>
              <w:ind w:right="6"/>
              <w:contextualSpacing/>
              <w:jc w:val="center"/>
              <w:rPr>
                <w:rFonts w:ascii="Bookman Old Style" w:hAnsi="Bookman Old Style" w:cs="Arial"/>
                <w:i/>
                <w:iCs/>
              </w:rPr>
            </w:pPr>
            <w:r w:rsidRPr="005736DC">
              <w:rPr>
                <w:rFonts w:ascii="Bookman Old Style" w:hAnsi="Bookman Old Style" w:cs="Arial"/>
                <w:i/>
                <w:iCs/>
              </w:rPr>
              <w:t>Biomasa</w:t>
            </w:r>
          </w:p>
        </w:tc>
        <w:tc>
          <w:tcPr>
            <w:tcW w:w="3824" w:type="dxa"/>
            <w:vAlign w:val="center"/>
          </w:tcPr>
          <w:p w14:paraId="6AC7EBBF" w14:textId="19A78573" w:rsidR="00F012AC" w:rsidRPr="005736DC" w:rsidRDefault="00F012AC" w:rsidP="00B2186F">
            <w:pPr>
              <w:pStyle w:val="Piedepgina"/>
              <w:tabs>
                <w:tab w:val="clear" w:pos="4252"/>
                <w:tab w:val="clear" w:pos="8504"/>
                <w:tab w:val="center" w:pos="4845"/>
              </w:tabs>
              <w:ind w:right="6"/>
              <w:contextualSpacing/>
              <w:jc w:val="center"/>
              <w:rPr>
                <w:rFonts w:ascii="Bookman Old Style" w:hAnsi="Bookman Old Style" w:cs="Arial"/>
                <w:i/>
                <w:iCs/>
              </w:rPr>
            </w:pPr>
            <w:r w:rsidRPr="005736DC">
              <w:rPr>
                <w:rFonts w:ascii="Bookman Old Style" w:hAnsi="Bookman Old Style" w:cs="Arial"/>
                <w:i/>
                <w:iCs/>
              </w:rPr>
              <w:t>24</w:t>
            </w:r>
            <w:r w:rsidR="00A65614" w:rsidRPr="005736DC">
              <w:rPr>
                <w:rFonts w:ascii="Bookman Old Style" w:hAnsi="Bookman Old Style" w:cs="Arial"/>
                <w:i/>
                <w:iCs/>
              </w:rPr>
              <w:t>9</w:t>
            </w:r>
            <w:r w:rsidRPr="005736DC">
              <w:rPr>
                <w:rFonts w:ascii="Bookman Old Style" w:hAnsi="Bookman Old Style" w:cs="Arial"/>
                <w:i/>
                <w:iCs/>
              </w:rPr>
              <w:t>,</w:t>
            </w:r>
            <w:r w:rsidR="00A65614" w:rsidRPr="005736DC">
              <w:rPr>
                <w:rFonts w:ascii="Bookman Old Style" w:hAnsi="Bookman Old Style" w:cs="Arial"/>
                <w:i/>
                <w:iCs/>
              </w:rPr>
              <w:t>70</w:t>
            </w:r>
          </w:p>
        </w:tc>
        <w:tc>
          <w:tcPr>
            <w:tcW w:w="3825" w:type="dxa"/>
            <w:vAlign w:val="center"/>
          </w:tcPr>
          <w:p w14:paraId="12ABF0CE" w14:textId="7C2092C0" w:rsidR="00F012AC" w:rsidRPr="005736DC" w:rsidRDefault="00F012AC" w:rsidP="00B2186F">
            <w:pPr>
              <w:pStyle w:val="Piedepgina"/>
              <w:tabs>
                <w:tab w:val="clear" w:pos="4252"/>
                <w:tab w:val="clear" w:pos="8504"/>
                <w:tab w:val="center" w:pos="4845"/>
              </w:tabs>
              <w:ind w:right="6"/>
              <w:contextualSpacing/>
              <w:jc w:val="center"/>
              <w:rPr>
                <w:rFonts w:ascii="Bookman Old Style" w:hAnsi="Bookman Old Style" w:cs="Arial"/>
                <w:i/>
                <w:iCs/>
              </w:rPr>
            </w:pPr>
            <w:r w:rsidRPr="005736DC">
              <w:rPr>
                <w:rFonts w:ascii="Bookman Old Style" w:hAnsi="Bookman Old Style" w:cs="Arial"/>
                <w:i/>
                <w:iCs/>
              </w:rPr>
              <w:t>4</w:t>
            </w:r>
            <w:r w:rsidR="0036159B" w:rsidRPr="005736DC">
              <w:rPr>
                <w:rFonts w:ascii="Bookman Old Style" w:hAnsi="Bookman Old Style" w:cs="Arial"/>
                <w:i/>
                <w:iCs/>
              </w:rPr>
              <w:t>2</w:t>
            </w:r>
            <w:r w:rsidRPr="005736DC">
              <w:rPr>
                <w:rFonts w:ascii="Bookman Old Style" w:hAnsi="Bookman Old Style" w:cs="Arial"/>
                <w:i/>
                <w:iCs/>
              </w:rPr>
              <w:t>,</w:t>
            </w:r>
            <w:r w:rsidR="0036159B" w:rsidRPr="005736DC">
              <w:rPr>
                <w:rFonts w:ascii="Bookman Old Style" w:hAnsi="Bookman Old Style" w:cs="Arial"/>
                <w:i/>
                <w:iCs/>
              </w:rPr>
              <w:t>37</w:t>
            </w:r>
          </w:p>
        </w:tc>
      </w:tr>
      <w:tr w:rsidR="00F012AC" w:rsidRPr="005736DC" w14:paraId="183F6D49" w14:textId="77777777" w:rsidTr="00B2186F">
        <w:trPr>
          <w:trHeight w:val="995"/>
        </w:trPr>
        <w:tc>
          <w:tcPr>
            <w:tcW w:w="1554" w:type="dxa"/>
            <w:vAlign w:val="center"/>
          </w:tcPr>
          <w:p w14:paraId="1CE4B06C" w14:textId="77777777" w:rsidR="00F012AC" w:rsidRPr="005736DC" w:rsidRDefault="00F012AC" w:rsidP="00B2186F">
            <w:pPr>
              <w:pStyle w:val="Piedepgina"/>
              <w:tabs>
                <w:tab w:val="clear" w:pos="4252"/>
                <w:tab w:val="clear" w:pos="8504"/>
                <w:tab w:val="center" w:pos="4845"/>
              </w:tabs>
              <w:ind w:right="6"/>
              <w:contextualSpacing/>
              <w:jc w:val="center"/>
              <w:rPr>
                <w:rFonts w:ascii="Bookman Old Style" w:hAnsi="Bookman Old Style" w:cs="Arial"/>
                <w:i/>
                <w:iCs/>
              </w:rPr>
            </w:pPr>
            <w:r w:rsidRPr="005736DC">
              <w:rPr>
                <w:rFonts w:ascii="Bookman Old Style" w:hAnsi="Bookman Old Style" w:cs="Arial"/>
                <w:i/>
                <w:iCs/>
              </w:rPr>
              <w:t>Diésel.</w:t>
            </w:r>
          </w:p>
        </w:tc>
        <w:tc>
          <w:tcPr>
            <w:tcW w:w="7649" w:type="dxa"/>
            <w:gridSpan w:val="2"/>
            <w:vAlign w:val="center"/>
          </w:tcPr>
          <w:p w14:paraId="0C50F122" w14:textId="77777777" w:rsidR="00F012AC" w:rsidRPr="005736DC" w:rsidRDefault="00F012AC" w:rsidP="00B2186F">
            <w:pPr>
              <w:pStyle w:val="Piedepgina"/>
              <w:tabs>
                <w:tab w:val="clear" w:pos="4252"/>
                <w:tab w:val="clear" w:pos="8504"/>
                <w:tab w:val="center" w:pos="4845"/>
              </w:tabs>
              <w:ind w:right="6"/>
              <w:contextualSpacing/>
              <w:jc w:val="center"/>
              <w:rPr>
                <w:rFonts w:ascii="Bookman Old Style" w:hAnsi="Bookman Old Style" w:cs="Arial"/>
                <w:i/>
                <w:iCs/>
                <w:highlight w:val="cyan"/>
              </w:rPr>
            </w:pPr>
            <w:r w:rsidRPr="005736DC">
              <w:rPr>
                <w:rFonts w:ascii="Bookman Old Style" w:hAnsi="Bookman Old Style" w:cs="Arial"/>
                <w:i/>
                <w:iCs/>
              </w:rPr>
              <w:t>Según lo previsto en el literal a), del artículo 22, de la Resolución CREG 091 de 2007, modificada mediante Resolución CREG 057 de 2009.</w:t>
            </w:r>
          </w:p>
        </w:tc>
      </w:tr>
    </w:tbl>
    <w:p w14:paraId="6098F268" w14:textId="77777777" w:rsidR="00D570D6" w:rsidRDefault="00D570D6" w:rsidP="00447007">
      <w:pPr>
        <w:pStyle w:val="Textodebloque"/>
        <w:tabs>
          <w:tab w:val="left" w:pos="567"/>
        </w:tabs>
        <w:ind w:left="0" w:right="6"/>
        <w:contextualSpacing/>
        <w:rPr>
          <w:rFonts w:ascii="Bookman Old Style" w:hAnsi="Bookman Old Style"/>
          <w:szCs w:val="24"/>
        </w:rPr>
      </w:pPr>
    </w:p>
    <w:p w14:paraId="35E77D6A" w14:textId="65BE1B51" w:rsidR="00D570D6" w:rsidRPr="00D570D6" w:rsidRDefault="00D570D6" w:rsidP="00BC52A7">
      <w:pPr>
        <w:pStyle w:val="Textodebloque"/>
        <w:ind w:left="284" w:right="6"/>
        <w:contextualSpacing/>
        <w:rPr>
          <w:rFonts w:ascii="Bookman Old Style" w:hAnsi="Bookman Old Style"/>
          <w:bCs/>
          <w:szCs w:val="24"/>
        </w:rPr>
      </w:pPr>
      <w:r>
        <w:rPr>
          <w:rFonts w:ascii="Bookman Old Style" w:hAnsi="Bookman Old Style"/>
          <w:b/>
          <w:bCs/>
          <w:szCs w:val="24"/>
        </w:rPr>
        <w:t xml:space="preserve">ARTÍCULO 2. </w:t>
      </w:r>
      <w:r w:rsidRPr="00D570D6">
        <w:rPr>
          <w:rFonts w:ascii="Bookman Old Style" w:hAnsi="Bookman Old Style"/>
          <w:bCs/>
          <w:szCs w:val="24"/>
        </w:rPr>
        <w:t>Los demás artículos de la Resolución CREG 501</w:t>
      </w:r>
      <w:r w:rsidR="005736DC">
        <w:rPr>
          <w:rFonts w:ascii="Bookman Old Style" w:hAnsi="Bookman Old Style"/>
          <w:bCs/>
          <w:szCs w:val="24"/>
        </w:rPr>
        <w:t xml:space="preserve"> </w:t>
      </w:r>
      <w:r w:rsidRPr="00D570D6">
        <w:rPr>
          <w:rFonts w:ascii="Bookman Old Style" w:hAnsi="Bookman Old Style"/>
          <w:bCs/>
          <w:szCs w:val="24"/>
        </w:rPr>
        <w:t xml:space="preserve">059 </w:t>
      </w:r>
      <w:r w:rsidR="006B7F4F">
        <w:rPr>
          <w:rFonts w:ascii="Bookman Old Style" w:hAnsi="Bookman Old Style"/>
          <w:bCs/>
          <w:szCs w:val="24"/>
        </w:rPr>
        <w:t>de</w:t>
      </w:r>
      <w:r w:rsidRPr="00D570D6">
        <w:rPr>
          <w:rFonts w:ascii="Bookman Old Style" w:hAnsi="Bookman Old Style"/>
          <w:bCs/>
          <w:szCs w:val="24"/>
        </w:rPr>
        <w:t xml:space="preserve"> 2022, continúan vigentes.</w:t>
      </w:r>
    </w:p>
    <w:p w14:paraId="1A0D4B87" w14:textId="77777777" w:rsidR="0036159B" w:rsidRDefault="0036159B" w:rsidP="00BC52A7">
      <w:pPr>
        <w:pStyle w:val="Textodebloque"/>
        <w:ind w:left="284" w:right="6"/>
        <w:contextualSpacing/>
        <w:rPr>
          <w:rFonts w:ascii="Bookman Old Style" w:hAnsi="Bookman Old Style"/>
          <w:b/>
          <w:bCs/>
          <w:szCs w:val="24"/>
        </w:rPr>
      </w:pPr>
    </w:p>
    <w:p w14:paraId="465B88F5" w14:textId="63C84B24" w:rsidR="00BC52A7" w:rsidRPr="00BC52A7" w:rsidRDefault="00BC52A7" w:rsidP="00BC52A7">
      <w:pPr>
        <w:pStyle w:val="Textodebloque"/>
        <w:ind w:left="284" w:right="6"/>
        <w:contextualSpacing/>
        <w:rPr>
          <w:rFonts w:ascii="Bookman Old Style" w:hAnsi="Bookman Old Style"/>
        </w:rPr>
      </w:pPr>
      <w:r w:rsidRPr="1E05A6B0">
        <w:rPr>
          <w:rFonts w:ascii="Bookman Old Style" w:hAnsi="Bookman Old Style"/>
          <w:b/>
        </w:rPr>
        <w:t xml:space="preserve">ARTÍCULO </w:t>
      </w:r>
      <w:r w:rsidR="00D570D6" w:rsidRPr="1E05A6B0">
        <w:rPr>
          <w:rFonts w:ascii="Bookman Old Style" w:hAnsi="Bookman Old Style"/>
          <w:b/>
        </w:rPr>
        <w:t>3</w:t>
      </w:r>
      <w:r w:rsidRPr="1E05A6B0">
        <w:rPr>
          <w:rFonts w:ascii="Bookman Old Style" w:hAnsi="Bookman Old Style"/>
          <w:b/>
        </w:rPr>
        <w:t>.</w:t>
      </w:r>
      <w:r w:rsidRPr="1E05A6B0">
        <w:rPr>
          <w:rFonts w:ascii="Bookman Old Style" w:hAnsi="Bookman Old Style"/>
        </w:rPr>
        <w:t xml:space="preserve"> </w:t>
      </w:r>
      <w:r w:rsidRPr="1E05A6B0">
        <w:rPr>
          <w:rFonts w:ascii="Bookman Old Style" w:hAnsi="Bookman Old Style"/>
          <w:b/>
        </w:rPr>
        <w:t>Notificación.</w:t>
      </w:r>
      <w:r w:rsidRPr="1E05A6B0">
        <w:rPr>
          <w:rFonts w:ascii="Bookman Old Style" w:hAnsi="Bookman Old Style"/>
        </w:rPr>
        <w:t xml:space="preserve"> </w:t>
      </w:r>
      <w:r w:rsidRPr="1E05A6B0">
        <w:rPr>
          <w:rFonts w:ascii="Bookman Old Style" w:eastAsia="Bookman Old Style" w:hAnsi="Bookman Old Style" w:cs="Bookman Old Style"/>
          <w:color w:val="000000" w:themeColor="text1"/>
          <w:szCs w:val="24"/>
          <w:lang w:val="es-ES"/>
        </w:rPr>
        <w:t xml:space="preserve">Notificar </w:t>
      </w:r>
      <w:r w:rsidR="245BBFD7" w:rsidRPr="1E05A6B0">
        <w:rPr>
          <w:rFonts w:ascii="Bookman Old Style" w:eastAsia="Bookman Old Style" w:hAnsi="Bookman Old Style" w:cs="Bookman Old Style"/>
          <w:color w:val="000000" w:themeColor="text1"/>
          <w:szCs w:val="24"/>
          <w:lang w:val="es-ES"/>
        </w:rPr>
        <w:t>a los representantes legales</w:t>
      </w:r>
      <w:r w:rsidRPr="1E05A6B0">
        <w:rPr>
          <w:rFonts w:ascii="Bookman Old Style" w:eastAsia="Bookman Old Style" w:hAnsi="Bookman Old Style" w:cs="Bookman Old Style"/>
          <w:color w:val="000000" w:themeColor="text1"/>
          <w:szCs w:val="24"/>
          <w:lang w:val="es-ES"/>
        </w:rPr>
        <w:t xml:space="preserve"> de </w:t>
      </w:r>
      <w:r w:rsidR="245BBFD7" w:rsidRPr="1E05A6B0">
        <w:rPr>
          <w:rFonts w:ascii="Bookman Old Style" w:eastAsia="Bookman Old Style" w:hAnsi="Bookman Old Style" w:cs="Bookman Old Style"/>
          <w:color w:val="000000" w:themeColor="text1"/>
          <w:szCs w:val="24"/>
          <w:lang w:val="es-ES"/>
        </w:rPr>
        <w:t xml:space="preserve">la empresa </w:t>
      </w:r>
      <w:r w:rsidR="00F9260D" w:rsidRPr="1E05A6B0">
        <w:rPr>
          <w:rFonts w:ascii="Bookman Old Style" w:eastAsia="Bookman Old Style" w:hAnsi="Bookman Old Style" w:cs="Bookman Old Style"/>
          <w:color w:val="000000" w:themeColor="text1"/>
          <w:szCs w:val="24"/>
          <w:lang w:val="es-ES"/>
        </w:rPr>
        <w:t>REFOENERGY</w:t>
      </w:r>
      <w:r w:rsidR="00F9260D" w:rsidRPr="1E05A6B0">
        <w:rPr>
          <w:rFonts w:ascii="Bookman Old Style" w:hAnsi="Bookman Old Style"/>
        </w:rPr>
        <w:t xml:space="preserve"> BITA S.A.</w:t>
      </w:r>
      <w:r w:rsidR="0036159B" w:rsidRPr="1E05A6B0">
        <w:rPr>
          <w:rFonts w:ascii="Bookman Old Style" w:hAnsi="Bookman Old Style"/>
        </w:rPr>
        <w:t xml:space="preserve">S. </w:t>
      </w:r>
      <w:r w:rsidR="00F9260D" w:rsidRPr="1E05A6B0">
        <w:rPr>
          <w:rFonts w:ascii="Bookman Old Style" w:hAnsi="Bookman Old Style"/>
        </w:rPr>
        <w:t>E.S.P</w:t>
      </w:r>
      <w:r w:rsidR="005736DC">
        <w:rPr>
          <w:rFonts w:ascii="Bookman Old Style" w:hAnsi="Bookman Old Style"/>
        </w:rPr>
        <w:t>.</w:t>
      </w:r>
      <w:r w:rsidR="245BBFD7" w:rsidRPr="1E05A6B0">
        <w:rPr>
          <w:rFonts w:ascii="Bookman Old Style" w:eastAsia="Bookman Old Style" w:hAnsi="Bookman Old Style" w:cs="Bookman Old Style"/>
          <w:color w:val="000000" w:themeColor="text1"/>
          <w:szCs w:val="24"/>
          <w:lang w:val="es-ES"/>
        </w:rPr>
        <w:t xml:space="preserve"> y a la Empresa de Energía Eléctrica del Departamento del Vichada S.A. E.S.P</w:t>
      </w:r>
      <w:r w:rsidR="00F9260D" w:rsidRPr="1E05A6B0">
        <w:rPr>
          <w:rFonts w:ascii="Bookman Old Style" w:eastAsia="Bookman Old Style" w:hAnsi="Bookman Old Style" w:cs="Bookman Old Style"/>
          <w:color w:val="000000" w:themeColor="text1"/>
          <w:szCs w:val="24"/>
          <w:lang w:val="es-ES"/>
        </w:rPr>
        <w:t>.</w:t>
      </w:r>
      <w:r w:rsidRPr="1E05A6B0">
        <w:rPr>
          <w:rFonts w:ascii="Bookman Old Style" w:hAnsi="Bookman Old Style"/>
        </w:rPr>
        <w:t>, el contenido de esta resolución. Contra lo aquí dispuesto no procede recurso alguno</w:t>
      </w:r>
      <w:r w:rsidR="008E5195" w:rsidRPr="1E05A6B0">
        <w:rPr>
          <w:rFonts w:ascii="Bookman Old Style" w:hAnsi="Bookman Old Style"/>
        </w:rPr>
        <w:t>,</w:t>
      </w:r>
      <w:r w:rsidRPr="1E05A6B0">
        <w:rPr>
          <w:rFonts w:ascii="Bookman Old Style" w:hAnsi="Bookman Old Style"/>
        </w:rPr>
        <w:t xml:space="preserve"> por haber finalizado la actuación administrativa correspondiente a la presentación de recursos previsto en la</w:t>
      </w:r>
      <w:r w:rsidR="005736DC">
        <w:rPr>
          <w:rFonts w:ascii="Bookman Old Style" w:hAnsi="Bookman Old Style"/>
        </w:rPr>
        <w:t xml:space="preserve"> </w:t>
      </w:r>
      <w:r w:rsidRPr="2D24D76A">
        <w:rPr>
          <w:rFonts w:ascii="Bookman Old Style" w:hAnsi="Bookman Old Style"/>
        </w:rPr>
        <w:t>Ley.</w:t>
      </w:r>
    </w:p>
    <w:p w14:paraId="55149022" w14:textId="5EB5044B" w:rsidR="00BC52A7" w:rsidRDefault="00BC52A7" w:rsidP="00BC52A7">
      <w:pPr>
        <w:pStyle w:val="Textodebloque"/>
        <w:ind w:left="284" w:right="6"/>
        <w:contextualSpacing/>
        <w:rPr>
          <w:szCs w:val="24"/>
          <w:lang w:val="es-ES"/>
        </w:rPr>
      </w:pPr>
    </w:p>
    <w:p w14:paraId="21895FFF" w14:textId="77777777" w:rsidR="00BC52A7" w:rsidRPr="00DD5E79" w:rsidRDefault="00BC52A7" w:rsidP="00DD5E79">
      <w:pPr>
        <w:pStyle w:val="Textodebloque"/>
        <w:ind w:left="284" w:right="6"/>
        <w:contextualSpacing/>
        <w:jc w:val="center"/>
        <w:rPr>
          <w:rFonts w:ascii="Bookman Old Style" w:hAnsi="Bookman Old Style"/>
          <w:b/>
          <w:szCs w:val="24"/>
        </w:rPr>
      </w:pPr>
      <w:r w:rsidRPr="00DD5E79">
        <w:rPr>
          <w:rFonts w:ascii="Bookman Old Style" w:hAnsi="Bookman Old Style"/>
          <w:b/>
          <w:szCs w:val="24"/>
        </w:rPr>
        <w:t>NOTIFÍQUESE Y CÚMPLASE</w:t>
      </w:r>
    </w:p>
    <w:p w14:paraId="78445F49" w14:textId="77777777" w:rsidR="00BC52A7" w:rsidRPr="00BC52A7" w:rsidRDefault="00BC52A7" w:rsidP="00BC52A7">
      <w:pPr>
        <w:pStyle w:val="Textodebloque"/>
        <w:ind w:left="284" w:right="6"/>
        <w:contextualSpacing/>
        <w:rPr>
          <w:rFonts w:ascii="Bookman Old Style" w:hAnsi="Bookman Old Style"/>
          <w:szCs w:val="24"/>
        </w:rPr>
      </w:pPr>
    </w:p>
    <w:p w14:paraId="72086C14" w14:textId="6353D2B5" w:rsidR="00BC52A7" w:rsidRPr="00DD5E79" w:rsidRDefault="00BC52A7" w:rsidP="00BC52A7">
      <w:pPr>
        <w:pStyle w:val="Textodebloque"/>
        <w:ind w:left="284" w:right="6"/>
        <w:contextualSpacing/>
        <w:rPr>
          <w:rFonts w:ascii="Bookman Old Style" w:hAnsi="Bookman Old Style"/>
          <w:b/>
          <w:szCs w:val="24"/>
        </w:rPr>
      </w:pPr>
      <w:r w:rsidRPr="00DD5E79">
        <w:rPr>
          <w:rFonts w:ascii="Bookman Old Style" w:hAnsi="Bookman Old Style"/>
          <w:b/>
          <w:szCs w:val="24"/>
        </w:rPr>
        <w:t>Dada en Bogotá, D.C.,</w:t>
      </w:r>
      <w:r w:rsidR="004773A7">
        <w:rPr>
          <w:rFonts w:ascii="Bookman Old Style" w:hAnsi="Bookman Old Style"/>
          <w:b/>
          <w:szCs w:val="24"/>
        </w:rPr>
        <w:t xml:space="preserve"> el día 09 de noviembre de 2022</w:t>
      </w:r>
    </w:p>
    <w:p w14:paraId="42F9B92A" w14:textId="3E63E3FC" w:rsidR="000C3428" w:rsidRDefault="000C3428" w:rsidP="00BC52A7">
      <w:pPr>
        <w:pStyle w:val="Textodebloque"/>
        <w:ind w:left="284" w:right="6"/>
        <w:contextualSpacing/>
        <w:rPr>
          <w:rFonts w:ascii="Bookman Old Style" w:hAnsi="Bookman Old Style"/>
          <w:b/>
          <w:szCs w:val="24"/>
        </w:rPr>
      </w:pPr>
    </w:p>
    <w:p w14:paraId="192E0B8C" w14:textId="492AD315" w:rsidR="008E5195" w:rsidRDefault="008E5195" w:rsidP="00BC52A7">
      <w:pPr>
        <w:pStyle w:val="Textodebloque"/>
        <w:ind w:left="284" w:right="6"/>
        <w:contextualSpacing/>
        <w:rPr>
          <w:rFonts w:ascii="Bookman Old Style" w:hAnsi="Bookman Old Style"/>
          <w:b/>
          <w:szCs w:val="24"/>
        </w:rPr>
      </w:pPr>
    </w:p>
    <w:p w14:paraId="0AF0B29C" w14:textId="77777777" w:rsidR="006B7F4F" w:rsidRDefault="006B7F4F" w:rsidP="00BC52A7">
      <w:pPr>
        <w:pStyle w:val="Textodebloque"/>
        <w:ind w:left="284" w:right="6"/>
        <w:contextualSpacing/>
        <w:rPr>
          <w:rFonts w:ascii="Bookman Old Style" w:hAnsi="Bookman Old Style"/>
          <w:b/>
          <w:szCs w:val="24"/>
        </w:rPr>
      </w:pPr>
    </w:p>
    <w:p w14:paraId="5F88883E" w14:textId="77777777" w:rsidR="00664968" w:rsidRDefault="00664968" w:rsidP="00BC52A7">
      <w:pPr>
        <w:pStyle w:val="Textodebloque"/>
        <w:ind w:left="284" w:right="6"/>
        <w:contextualSpacing/>
        <w:rPr>
          <w:rFonts w:ascii="Bookman Old Style" w:hAnsi="Bookman Old Style"/>
          <w:b/>
          <w:szCs w:val="24"/>
        </w:rPr>
      </w:pPr>
    </w:p>
    <w:tbl>
      <w:tblPr>
        <w:tblStyle w:val="Tablaconcuadrcula"/>
        <w:tblW w:w="92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961"/>
      </w:tblGrid>
      <w:tr w:rsidR="008B0B89" w14:paraId="6F281894" w14:textId="77777777" w:rsidTr="008B0B89">
        <w:tc>
          <w:tcPr>
            <w:tcW w:w="4252" w:type="dxa"/>
          </w:tcPr>
          <w:p w14:paraId="025ED202" w14:textId="1B6F965D" w:rsidR="00664968" w:rsidRDefault="005736DC" w:rsidP="00664968">
            <w:pPr>
              <w:pStyle w:val="Textodebloque"/>
              <w:ind w:left="0" w:right="6"/>
              <w:contextualSpacing/>
              <w:jc w:val="center"/>
              <w:rPr>
                <w:rFonts w:ascii="Bookman Old Style" w:hAnsi="Bookman Old Style"/>
                <w:b/>
                <w:szCs w:val="24"/>
              </w:rPr>
            </w:pPr>
            <w:r w:rsidRPr="005736DC">
              <w:rPr>
                <w:rFonts w:ascii="Bookman Old Style" w:hAnsi="Bookman Old Style"/>
                <w:b/>
                <w:szCs w:val="24"/>
              </w:rPr>
              <w:t>BELIZZA JANET RUIZ MENDOZA</w:t>
            </w:r>
          </w:p>
          <w:p w14:paraId="0D7A1451" w14:textId="77777777" w:rsidR="00664968" w:rsidRPr="005736DC" w:rsidRDefault="005736DC" w:rsidP="00664968">
            <w:pPr>
              <w:pStyle w:val="Textodebloque"/>
              <w:ind w:left="0" w:right="6"/>
              <w:contextualSpacing/>
              <w:jc w:val="center"/>
              <w:rPr>
                <w:rFonts w:ascii="Bookman Old Style" w:hAnsi="Bookman Old Style"/>
                <w:bCs/>
                <w:szCs w:val="24"/>
              </w:rPr>
            </w:pPr>
            <w:r w:rsidRPr="005736DC">
              <w:rPr>
                <w:rFonts w:ascii="Bookman Old Style" w:hAnsi="Bookman Old Style"/>
                <w:bCs/>
                <w:szCs w:val="24"/>
              </w:rPr>
              <w:t xml:space="preserve">Viceministra de Energía, delegada de la </w:t>
            </w:r>
            <w:proofErr w:type="gramStart"/>
            <w:r w:rsidRPr="005736DC">
              <w:rPr>
                <w:rFonts w:ascii="Bookman Old Style" w:hAnsi="Bookman Old Style"/>
                <w:bCs/>
                <w:szCs w:val="24"/>
              </w:rPr>
              <w:t>Ministra</w:t>
            </w:r>
            <w:proofErr w:type="gramEnd"/>
            <w:r w:rsidRPr="005736DC">
              <w:rPr>
                <w:rFonts w:ascii="Bookman Old Style" w:hAnsi="Bookman Old Style"/>
                <w:bCs/>
                <w:szCs w:val="24"/>
              </w:rPr>
              <w:t xml:space="preserve"> de Minas y Energía</w:t>
            </w:r>
          </w:p>
          <w:p w14:paraId="36199E7E" w14:textId="2F1698B6" w:rsidR="005736DC" w:rsidRDefault="005736DC" w:rsidP="00664968">
            <w:pPr>
              <w:pStyle w:val="Textodebloque"/>
              <w:ind w:left="0" w:right="6"/>
              <w:contextualSpacing/>
              <w:jc w:val="center"/>
              <w:rPr>
                <w:rFonts w:ascii="Bookman Old Style" w:hAnsi="Bookman Old Style"/>
                <w:b/>
                <w:szCs w:val="24"/>
              </w:rPr>
            </w:pPr>
            <w:r w:rsidRPr="005736DC">
              <w:rPr>
                <w:rFonts w:ascii="Bookman Old Style" w:hAnsi="Bookman Old Style"/>
                <w:bCs/>
                <w:szCs w:val="24"/>
              </w:rPr>
              <w:t>Presidente</w:t>
            </w:r>
          </w:p>
        </w:tc>
        <w:tc>
          <w:tcPr>
            <w:tcW w:w="4961" w:type="dxa"/>
          </w:tcPr>
          <w:p w14:paraId="02424C70" w14:textId="4BC0ECAC" w:rsidR="00664968" w:rsidRDefault="00664968" w:rsidP="00664968">
            <w:pPr>
              <w:pStyle w:val="Textodebloque"/>
              <w:ind w:left="284" w:right="6"/>
              <w:contextualSpacing/>
              <w:jc w:val="center"/>
              <w:rPr>
                <w:rFonts w:ascii="Bookman Old Style" w:hAnsi="Bookman Old Style"/>
                <w:b/>
                <w:szCs w:val="24"/>
              </w:rPr>
            </w:pPr>
            <w:r w:rsidRPr="00DD5E79">
              <w:rPr>
                <w:rFonts w:ascii="Bookman Old Style" w:hAnsi="Bookman Old Style"/>
                <w:b/>
                <w:szCs w:val="24"/>
              </w:rPr>
              <w:t>JORGE ALBERTO VALENCIA MARÍN</w:t>
            </w:r>
          </w:p>
          <w:p w14:paraId="43445761" w14:textId="2FD8F65C" w:rsidR="00664968" w:rsidRPr="005736DC" w:rsidRDefault="00664968" w:rsidP="00664968">
            <w:pPr>
              <w:pStyle w:val="Textodebloque"/>
              <w:ind w:left="284" w:right="6"/>
              <w:contextualSpacing/>
              <w:jc w:val="center"/>
              <w:rPr>
                <w:rFonts w:ascii="Bookman Old Style" w:hAnsi="Bookman Old Style"/>
                <w:bCs/>
                <w:szCs w:val="24"/>
              </w:rPr>
            </w:pPr>
            <w:r w:rsidRPr="005736DC">
              <w:rPr>
                <w:rFonts w:ascii="Bookman Old Style" w:hAnsi="Bookman Old Style"/>
                <w:bCs/>
                <w:szCs w:val="24"/>
              </w:rPr>
              <w:t>Director Ejecutivo</w:t>
            </w:r>
          </w:p>
          <w:p w14:paraId="0FE2140E" w14:textId="77777777" w:rsidR="00664968" w:rsidRDefault="00664968" w:rsidP="00664968">
            <w:pPr>
              <w:pStyle w:val="Textodebloque"/>
              <w:ind w:left="0" w:right="6"/>
              <w:contextualSpacing/>
              <w:jc w:val="center"/>
              <w:rPr>
                <w:rFonts w:ascii="Bookman Old Style" w:hAnsi="Bookman Old Style"/>
                <w:b/>
                <w:szCs w:val="24"/>
              </w:rPr>
            </w:pPr>
          </w:p>
        </w:tc>
      </w:tr>
      <w:bookmarkEnd w:id="0"/>
    </w:tbl>
    <w:p w14:paraId="44DC4F3A" w14:textId="77777777" w:rsidR="000C3428" w:rsidRPr="00DD5E79" w:rsidRDefault="000C3428" w:rsidP="008E5195">
      <w:pPr>
        <w:pStyle w:val="Textodebloque"/>
        <w:ind w:left="0" w:right="6"/>
        <w:contextualSpacing/>
        <w:rPr>
          <w:rFonts w:ascii="Bookman Old Style" w:hAnsi="Bookman Old Style"/>
          <w:b/>
          <w:szCs w:val="24"/>
        </w:rPr>
      </w:pPr>
    </w:p>
    <w:sectPr w:rsidR="000C3428" w:rsidRPr="00DD5E79" w:rsidSect="00CF067A">
      <w:headerReference w:type="default" r:id="rId13"/>
      <w:headerReference w:type="first" r:id="rId14"/>
      <w:type w:val="continuous"/>
      <w:pgSz w:w="12242" w:h="18722" w:code="123"/>
      <w:pgMar w:top="1440" w:right="1440" w:bottom="167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0DF54" w14:textId="77777777" w:rsidR="001B3E24" w:rsidRDefault="001B3E24">
      <w:r>
        <w:separator/>
      </w:r>
    </w:p>
  </w:endnote>
  <w:endnote w:type="continuationSeparator" w:id="0">
    <w:p w14:paraId="476DCFCB" w14:textId="77777777" w:rsidR="001B3E24" w:rsidRDefault="001B3E24">
      <w:r>
        <w:continuationSeparator/>
      </w:r>
    </w:p>
  </w:endnote>
  <w:endnote w:type="continuationNotice" w:id="1">
    <w:p w14:paraId="7D0FF093" w14:textId="77777777" w:rsidR="001B3E24" w:rsidRDefault="001B3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C1752" w14:textId="77777777" w:rsidR="001B3E24" w:rsidRDefault="001B3E24">
      <w:r>
        <w:separator/>
      </w:r>
    </w:p>
  </w:footnote>
  <w:footnote w:type="continuationSeparator" w:id="0">
    <w:p w14:paraId="7BA49E2E" w14:textId="77777777" w:rsidR="001B3E24" w:rsidRDefault="001B3E24">
      <w:r>
        <w:continuationSeparator/>
      </w:r>
    </w:p>
  </w:footnote>
  <w:footnote w:type="continuationNotice" w:id="1">
    <w:p w14:paraId="61AF6134" w14:textId="77777777" w:rsidR="001B3E24" w:rsidRDefault="001B3E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A9C5" w14:textId="77777777" w:rsidR="00666297" w:rsidRDefault="00666297" w:rsidP="00951F79">
    <w:pPr>
      <w:pStyle w:val="Ttulo1"/>
      <w:ind w:right="6"/>
      <w:jc w:val="left"/>
      <w:rPr>
        <w:rFonts w:ascii="Bookman Old Style" w:hAnsi="Bookman Old Style" w:cs="Arial"/>
        <w:b w:val="0"/>
        <w:sz w:val="22"/>
        <w:szCs w:val="22"/>
      </w:rPr>
    </w:pPr>
  </w:p>
  <w:p w14:paraId="36B1EA65" w14:textId="49A2CEC3" w:rsidR="00666297" w:rsidRPr="00951F79" w:rsidRDefault="00666297" w:rsidP="00951F79">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AD369B">
      <w:rPr>
        <w:rFonts w:ascii="Bookman Old Style" w:hAnsi="Bookman Old Style" w:cs="Arial"/>
        <w:b w:val="0"/>
        <w:szCs w:val="24"/>
      </w:rPr>
      <w:t>.</w:t>
    </w:r>
    <w:r w:rsidRPr="00AD369B">
      <w:rPr>
        <w:rFonts w:ascii="Bookman Old Style" w:hAnsi="Bookman Old Style" w:cs="Arial"/>
        <w:bCs/>
        <w:szCs w:val="24"/>
        <w:u w:val="single"/>
      </w:rPr>
      <w:t xml:space="preserve"> </w:t>
    </w:r>
    <w:r>
      <w:rPr>
        <w:rFonts w:ascii="Bookman Old Style" w:hAnsi="Bookman Old Style" w:cs="Arial"/>
        <w:bCs/>
        <w:szCs w:val="24"/>
        <w:u w:val="single"/>
      </w:rPr>
      <w:t xml:space="preserve">501 </w:t>
    </w:r>
    <w:r w:rsidR="004773A7">
      <w:rPr>
        <w:rFonts w:ascii="Bookman Old Style" w:hAnsi="Bookman Old Style" w:cs="Arial"/>
        <w:bCs/>
        <w:szCs w:val="24"/>
        <w:u w:val="single"/>
      </w:rPr>
      <w:t xml:space="preserve">064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Pr="00AD369B">
      <w:rPr>
        <w:rFonts w:ascii="Bookman Old Style" w:hAnsi="Bookman Old Style" w:cs="Arial"/>
        <w:b w:val="0"/>
        <w:sz w:val="22"/>
        <w:szCs w:val="22"/>
        <w:u w:val="single"/>
      </w:rPr>
      <w:t xml:space="preserve"> </w:t>
    </w:r>
    <w:r w:rsidR="004773A7">
      <w:rPr>
        <w:rFonts w:ascii="Bookman Old Style" w:hAnsi="Bookman Old Style" w:cs="Arial"/>
        <w:bCs/>
        <w:szCs w:val="24"/>
        <w:u w:val="single"/>
      </w:rPr>
      <w:t>09 NOV</w:t>
    </w:r>
    <w:r w:rsidRPr="00AD369B">
      <w:rPr>
        <w:rFonts w:ascii="Bookman Old Style" w:hAnsi="Bookman Old Style" w:cs="Arial"/>
        <w:bCs/>
        <w:szCs w:val="24"/>
        <w:u w:val="single"/>
      </w:rPr>
      <w:t>. 202</w:t>
    </w:r>
    <w:r>
      <w:rPr>
        <w:rFonts w:ascii="Bookman Old Style" w:hAnsi="Bookman Old Style" w:cs="Arial"/>
        <w:bCs/>
        <w:szCs w:val="24"/>
        <w:u w:val="single"/>
      </w:rPr>
      <w:t>2</w:t>
    </w:r>
    <w:r w:rsidRPr="00AD369B">
      <w:rPr>
        <w:rFonts w:ascii="Bookman Old Style" w:hAnsi="Bookman Old Style" w:cs="Arial"/>
        <w:b w:val="0"/>
        <w:sz w:val="22"/>
        <w:szCs w:val="22"/>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sz w:val="22"/>
        <w:szCs w:val="22"/>
      </w:rPr>
      <w:fldChar w:fldCharType="begin"/>
    </w:r>
    <w:r>
      <w:rPr>
        <w:rFonts w:ascii="Bookman Old Style" w:hAnsi="Bookman Old Style" w:cs="Arial"/>
        <w:b w:val="0"/>
        <w:sz w:val="22"/>
        <w:szCs w:val="22"/>
      </w:rPr>
      <w:instrText xml:space="preserve"> NUMPAGES  \* MERGEFORMAT </w:instrText>
    </w:r>
    <w:r>
      <w:rPr>
        <w:rFonts w:ascii="Bookman Old Style" w:hAnsi="Bookman Old Style" w:cs="Arial"/>
        <w:b w:val="0"/>
        <w:sz w:val="22"/>
        <w:szCs w:val="22"/>
      </w:rPr>
      <w:fldChar w:fldCharType="separate"/>
    </w:r>
    <w:r>
      <w:rPr>
        <w:rFonts w:ascii="Bookman Old Style" w:hAnsi="Bookman Old Style" w:cs="Arial"/>
        <w:b w:val="0"/>
        <w:noProof/>
        <w:sz w:val="22"/>
        <w:szCs w:val="22"/>
      </w:rPr>
      <w:t>22</w:t>
    </w:r>
    <w:r>
      <w:rPr>
        <w:rFonts w:ascii="Bookman Old Style" w:hAnsi="Bookman Old Style" w:cs="Arial"/>
        <w:b w:val="0"/>
        <w:sz w:val="22"/>
        <w:szCs w:val="22"/>
      </w:rPr>
      <w:fldChar w:fldCharType="end"/>
    </w:r>
  </w:p>
  <w:p w14:paraId="6279FA08" w14:textId="77777777" w:rsidR="00666297" w:rsidRDefault="00666297" w:rsidP="00053032">
    <w:pPr>
      <w:pStyle w:val="Textodebloque"/>
      <w:ind w:left="0" w:right="142"/>
      <w:rPr>
        <w:rFonts w:ascii="Bookman Old Style" w:hAnsi="Bookman Old Style" w:cs="Arial"/>
        <w:szCs w:val="24"/>
      </w:rPr>
    </w:pPr>
    <w:r>
      <w:rPr>
        <w:noProof/>
        <w:lang w:val="es-CO" w:eastAsia="es-CO"/>
      </w:rPr>
      <mc:AlternateContent>
        <mc:Choice Requires="wps">
          <w:drawing>
            <wp:anchor distT="0" distB="0" distL="114300" distR="114300" simplePos="0" relativeHeight="251658240" behindDoc="0" locked="0" layoutInCell="1" allowOverlap="1" wp14:anchorId="4489AA18" wp14:editId="2263EA59">
              <wp:simplePos x="0" y="0"/>
              <wp:positionH relativeFrom="column">
                <wp:posOffset>-9525</wp:posOffset>
              </wp:positionH>
              <wp:positionV relativeFrom="paragraph">
                <wp:posOffset>144145</wp:posOffset>
              </wp:positionV>
              <wp:extent cx="6342380" cy="9939600"/>
              <wp:effectExtent l="12700" t="12700" r="7620" b="1778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380" cy="993960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A48EB" id="Rectangle 4" o:spid="_x0000_s1026" style="position:absolute;margin-left:-.75pt;margin-top:11.35pt;width:499.4pt;height:78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" filled="f" strokeweight="1.5pt"/>
          </w:pict>
        </mc:Fallback>
      </mc:AlternateContent>
    </w:r>
    <w:r w:rsidRPr="00507115">
      <w:rPr>
        <w:rFonts w:ascii="Bookman Old Style" w:hAnsi="Bookman Old Style" w:cs="Arial"/>
        <w:szCs w:val="24"/>
      </w:rPr>
      <w:t xml:space="preserve"> </w:t>
    </w:r>
  </w:p>
  <w:p w14:paraId="088D54CB" w14:textId="3EF4B1E7" w:rsidR="00666297" w:rsidRDefault="00666297" w:rsidP="00AD369B">
    <w:pPr>
      <w:pStyle w:val="Textodebloque"/>
      <w:spacing w:after="0"/>
      <w:ind w:left="283" w:right="142"/>
      <w:rPr>
        <w:rFonts w:ascii="Bookman Old Style" w:hAnsi="Bookman Old Style"/>
      </w:rPr>
    </w:pPr>
    <w:r w:rsidRPr="00053032">
      <w:rPr>
        <w:rFonts w:ascii="Bookman Old Style" w:hAnsi="Bookman Old Style"/>
      </w:rPr>
      <w:t xml:space="preserve">Por la cual se </w:t>
    </w:r>
    <w:r>
      <w:rPr>
        <w:rFonts w:ascii="Bookman Old Style" w:hAnsi="Bookman Old Style"/>
      </w:rPr>
      <w:t>resuelve el recurso de reposición interpuesto por REFOENERGY BITA S.A.S. E.S.P. contra la Resolución CREG 501 059 de 2022.</w:t>
    </w:r>
  </w:p>
  <w:p w14:paraId="28F3F09E" w14:textId="0D17716A" w:rsidR="00666297" w:rsidRPr="00053032" w:rsidRDefault="00666297" w:rsidP="00AD369B">
    <w:pPr>
      <w:pStyle w:val="Textodebloque"/>
      <w:spacing w:after="0"/>
      <w:ind w:left="283" w:right="142"/>
      <w:rPr>
        <w:rFonts w:ascii="Bookman Old Style" w:hAnsi="Bookman Old Style"/>
      </w:rPr>
    </w:pPr>
    <w:r>
      <w:rPr>
        <w:rFonts w:ascii="Bookman Old Style" w:hAnsi="Bookman Old Style"/>
      </w:rPr>
      <w:t>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145D" w14:textId="77777777" w:rsidR="00666297" w:rsidRDefault="00666297">
    <w:pPr>
      <w:pStyle w:val="Encabezado"/>
      <w:jc w:val="center"/>
      <w:rPr>
        <w:rFonts w:ascii="Arial" w:hAnsi="Arial" w:cs="Arial"/>
        <w:spacing w:val="20"/>
        <w:sz w:val="20"/>
      </w:rPr>
    </w:pPr>
    <w:r>
      <w:rPr>
        <w:rFonts w:ascii="Arial" w:hAnsi="Arial" w:cs="Arial"/>
        <w:spacing w:val="20"/>
        <w:sz w:val="20"/>
      </w:rPr>
      <w:t>República de Colombia</w:t>
    </w:r>
  </w:p>
  <w:p w14:paraId="1DEBF43A" w14:textId="77777777" w:rsidR="00666297" w:rsidRDefault="00666297">
    <w:pPr>
      <w:pStyle w:val="Encabezado"/>
      <w:jc w:val="center"/>
      <w:rPr>
        <w:rFonts w:ascii="Arial" w:hAnsi="Arial" w:cs="Arial"/>
        <w:spacing w:val="20"/>
        <w:sz w:val="20"/>
      </w:rPr>
    </w:pPr>
  </w:p>
  <w:p w14:paraId="000510A4" w14:textId="77777777" w:rsidR="00666297" w:rsidRDefault="0066629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2B7A6E49" wp14:editId="12E5A430">
              <wp:simplePos x="0" y="0"/>
              <wp:positionH relativeFrom="column">
                <wp:posOffset>-8890</wp:posOffset>
              </wp:positionH>
              <wp:positionV relativeFrom="paragraph">
                <wp:posOffset>224790</wp:posOffset>
              </wp:positionV>
              <wp:extent cx="6308090" cy="9839325"/>
              <wp:effectExtent l="15240" t="14605" r="10795" b="139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983932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4F96B" id="Rectangle 5" o:spid="_x0000_s1026" style="position:absolute;margin-left:-.7pt;margin-top:17.7pt;width:496.7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" filled="f" strokeweight="1.5p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Ut9OshayRqMkGk" int2:id="J1qGaP2v">
      <int2:state int2:value="Rejected" int2:type="LegacyProofing"/>
    </int2:textHash>
    <int2:textHash int2:hashCode="+asN4NImkaYycL" int2:id="s4Vj5Ba8">
      <int2:state int2:value="Rejected" int2:type="LegacyProofing"/>
    </int2:textHash>
    <int2:bookmark int2:bookmarkName="_Int_sz6iUwbW" int2:invalidationBookmarkName="" int2:hashCode="oFh++U/suL03qX" int2:id="P5jfHDAS">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D478F"/>
    <w:multiLevelType w:val="hybridMultilevel"/>
    <w:tmpl w:val="CD5034E0"/>
    <w:lvl w:ilvl="0" w:tplc="79B0DE9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15:restartNumberingAfterBreak="0">
    <w:nsid w:val="7FB476EB"/>
    <w:multiLevelType w:val="hybridMultilevel"/>
    <w:tmpl w:val="CC5A55D6"/>
    <w:lvl w:ilvl="0" w:tplc="FA22B78A">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num w:numId="1" w16cid:durableId="1945915217">
    <w:abstractNumId w:val="1"/>
  </w:num>
  <w:num w:numId="2" w16cid:durableId="5644081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4B8"/>
    <w:rsid w:val="00000DD8"/>
    <w:rsid w:val="0000214C"/>
    <w:rsid w:val="000039B5"/>
    <w:rsid w:val="0000450D"/>
    <w:rsid w:val="00004A66"/>
    <w:rsid w:val="00005B58"/>
    <w:rsid w:val="000061AB"/>
    <w:rsid w:val="00006DEB"/>
    <w:rsid w:val="00007785"/>
    <w:rsid w:val="00007933"/>
    <w:rsid w:val="00007CB3"/>
    <w:rsid w:val="00010101"/>
    <w:rsid w:val="00010147"/>
    <w:rsid w:val="000105DB"/>
    <w:rsid w:val="000109EE"/>
    <w:rsid w:val="00011C16"/>
    <w:rsid w:val="00011D74"/>
    <w:rsid w:val="000127F4"/>
    <w:rsid w:val="00013425"/>
    <w:rsid w:val="000139E1"/>
    <w:rsid w:val="00013AAC"/>
    <w:rsid w:val="00013BBD"/>
    <w:rsid w:val="0001461E"/>
    <w:rsid w:val="000146C9"/>
    <w:rsid w:val="000148F0"/>
    <w:rsid w:val="00014ECC"/>
    <w:rsid w:val="000155AC"/>
    <w:rsid w:val="0001566F"/>
    <w:rsid w:val="0001567C"/>
    <w:rsid w:val="00015797"/>
    <w:rsid w:val="000159C0"/>
    <w:rsid w:val="00015A2B"/>
    <w:rsid w:val="000167C5"/>
    <w:rsid w:val="00016D92"/>
    <w:rsid w:val="00017089"/>
    <w:rsid w:val="000172BA"/>
    <w:rsid w:val="00017703"/>
    <w:rsid w:val="00017B7D"/>
    <w:rsid w:val="000217E8"/>
    <w:rsid w:val="00021CC9"/>
    <w:rsid w:val="00023F19"/>
    <w:rsid w:val="000240F0"/>
    <w:rsid w:val="00024BD3"/>
    <w:rsid w:val="00024C45"/>
    <w:rsid w:val="0002667C"/>
    <w:rsid w:val="0002753E"/>
    <w:rsid w:val="00030FA5"/>
    <w:rsid w:val="000314F5"/>
    <w:rsid w:val="00031A48"/>
    <w:rsid w:val="00031D55"/>
    <w:rsid w:val="00031FC7"/>
    <w:rsid w:val="00032331"/>
    <w:rsid w:val="0003304F"/>
    <w:rsid w:val="0003321C"/>
    <w:rsid w:val="000334BE"/>
    <w:rsid w:val="00034B16"/>
    <w:rsid w:val="00034B56"/>
    <w:rsid w:val="00034D3E"/>
    <w:rsid w:val="00035ED8"/>
    <w:rsid w:val="000360EB"/>
    <w:rsid w:val="0003645F"/>
    <w:rsid w:val="00037C6F"/>
    <w:rsid w:val="00040619"/>
    <w:rsid w:val="0004144B"/>
    <w:rsid w:val="00041C7C"/>
    <w:rsid w:val="00041DF3"/>
    <w:rsid w:val="00042EF3"/>
    <w:rsid w:val="00043EA4"/>
    <w:rsid w:val="00044955"/>
    <w:rsid w:val="00044D15"/>
    <w:rsid w:val="000463FE"/>
    <w:rsid w:val="00046C38"/>
    <w:rsid w:val="00047EF9"/>
    <w:rsid w:val="00052EC4"/>
    <w:rsid w:val="00053032"/>
    <w:rsid w:val="000532A7"/>
    <w:rsid w:val="000539E0"/>
    <w:rsid w:val="00055B77"/>
    <w:rsid w:val="00055F0D"/>
    <w:rsid w:val="00055F92"/>
    <w:rsid w:val="00056350"/>
    <w:rsid w:val="0005742C"/>
    <w:rsid w:val="00057BD8"/>
    <w:rsid w:val="00057EF3"/>
    <w:rsid w:val="00060445"/>
    <w:rsid w:val="00060DA4"/>
    <w:rsid w:val="000611BF"/>
    <w:rsid w:val="00061839"/>
    <w:rsid w:val="0006277F"/>
    <w:rsid w:val="000645B9"/>
    <w:rsid w:val="00064BE6"/>
    <w:rsid w:val="000653C2"/>
    <w:rsid w:val="00065665"/>
    <w:rsid w:val="00065952"/>
    <w:rsid w:val="000666B3"/>
    <w:rsid w:val="00067947"/>
    <w:rsid w:val="00073C36"/>
    <w:rsid w:val="00074119"/>
    <w:rsid w:val="000758BB"/>
    <w:rsid w:val="0007678D"/>
    <w:rsid w:val="00076D43"/>
    <w:rsid w:val="00076EFB"/>
    <w:rsid w:val="00077365"/>
    <w:rsid w:val="00077CB5"/>
    <w:rsid w:val="00077E1A"/>
    <w:rsid w:val="0008073E"/>
    <w:rsid w:val="00080E3B"/>
    <w:rsid w:val="00084FD1"/>
    <w:rsid w:val="000852D4"/>
    <w:rsid w:val="00085854"/>
    <w:rsid w:val="00091685"/>
    <w:rsid w:val="00091CDB"/>
    <w:rsid w:val="00092BCC"/>
    <w:rsid w:val="000935F8"/>
    <w:rsid w:val="00094181"/>
    <w:rsid w:val="00095E30"/>
    <w:rsid w:val="00096303"/>
    <w:rsid w:val="00096D77"/>
    <w:rsid w:val="000973AA"/>
    <w:rsid w:val="00097D6A"/>
    <w:rsid w:val="000A0304"/>
    <w:rsid w:val="000A0A80"/>
    <w:rsid w:val="000A15C1"/>
    <w:rsid w:val="000A19AC"/>
    <w:rsid w:val="000A2F2D"/>
    <w:rsid w:val="000A42D2"/>
    <w:rsid w:val="000A4E13"/>
    <w:rsid w:val="000A5DC6"/>
    <w:rsid w:val="000A7898"/>
    <w:rsid w:val="000B00E5"/>
    <w:rsid w:val="000B101F"/>
    <w:rsid w:val="000B22B8"/>
    <w:rsid w:val="000B23C4"/>
    <w:rsid w:val="000B24D7"/>
    <w:rsid w:val="000B28DE"/>
    <w:rsid w:val="000B2B65"/>
    <w:rsid w:val="000B3908"/>
    <w:rsid w:val="000B4CFD"/>
    <w:rsid w:val="000B4EFE"/>
    <w:rsid w:val="000B5851"/>
    <w:rsid w:val="000B66D5"/>
    <w:rsid w:val="000B6C01"/>
    <w:rsid w:val="000B7263"/>
    <w:rsid w:val="000B7A0B"/>
    <w:rsid w:val="000C0C0A"/>
    <w:rsid w:val="000C1564"/>
    <w:rsid w:val="000C28F8"/>
    <w:rsid w:val="000C3428"/>
    <w:rsid w:val="000C3CCD"/>
    <w:rsid w:val="000C41F8"/>
    <w:rsid w:val="000C529B"/>
    <w:rsid w:val="000C5C12"/>
    <w:rsid w:val="000C5DD0"/>
    <w:rsid w:val="000C7309"/>
    <w:rsid w:val="000C7E0E"/>
    <w:rsid w:val="000D137F"/>
    <w:rsid w:val="000D150E"/>
    <w:rsid w:val="000D1599"/>
    <w:rsid w:val="000D1646"/>
    <w:rsid w:val="000D190A"/>
    <w:rsid w:val="000D194E"/>
    <w:rsid w:val="000D20E4"/>
    <w:rsid w:val="000D26F8"/>
    <w:rsid w:val="000D2CC9"/>
    <w:rsid w:val="000D3C37"/>
    <w:rsid w:val="000D3D2A"/>
    <w:rsid w:val="000D40FF"/>
    <w:rsid w:val="000D54B6"/>
    <w:rsid w:val="000D6527"/>
    <w:rsid w:val="000D6F69"/>
    <w:rsid w:val="000D71CD"/>
    <w:rsid w:val="000D7CC7"/>
    <w:rsid w:val="000E0A85"/>
    <w:rsid w:val="000E1096"/>
    <w:rsid w:val="000E2590"/>
    <w:rsid w:val="000E266B"/>
    <w:rsid w:val="000E26BD"/>
    <w:rsid w:val="000E74A3"/>
    <w:rsid w:val="000F0A11"/>
    <w:rsid w:val="000F0C5F"/>
    <w:rsid w:val="000F1158"/>
    <w:rsid w:val="000F1CD5"/>
    <w:rsid w:val="000F3415"/>
    <w:rsid w:val="000F35E6"/>
    <w:rsid w:val="000F46BD"/>
    <w:rsid w:val="000F5520"/>
    <w:rsid w:val="000F5953"/>
    <w:rsid w:val="000F6002"/>
    <w:rsid w:val="000F67D3"/>
    <w:rsid w:val="000F69F2"/>
    <w:rsid w:val="0010003F"/>
    <w:rsid w:val="0010008F"/>
    <w:rsid w:val="001007E9"/>
    <w:rsid w:val="00100A81"/>
    <w:rsid w:val="00100FEA"/>
    <w:rsid w:val="00102975"/>
    <w:rsid w:val="00102BCB"/>
    <w:rsid w:val="001039AD"/>
    <w:rsid w:val="001044A2"/>
    <w:rsid w:val="001053F9"/>
    <w:rsid w:val="00105549"/>
    <w:rsid w:val="0010568F"/>
    <w:rsid w:val="001058F5"/>
    <w:rsid w:val="00105A55"/>
    <w:rsid w:val="00105C5E"/>
    <w:rsid w:val="001076A5"/>
    <w:rsid w:val="00107885"/>
    <w:rsid w:val="00107C3F"/>
    <w:rsid w:val="00110614"/>
    <w:rsid w:val="00110A41"/>
    <w:rsid w:val="00111860"/>
    <w:rsid w:val="0011199A"/>
    <w:rsid w:val="00111BCC"/>
    <w:rsid w:val="0011323F"/>
    <w:rsid w:val="00113916"/>
    <w:rsid w:val="00114523"/>
    <w:rsid w:val="0011468A"/>
    <w:rsid w:val="001148AC"/>
    <w:rsid w:val="00115547"/>
    <w:rsid w:val="00115E89"/>
    <w:rsid w:val="00116313"/>
    <w:rsid w:val="00117147"/>
    <w:rsid w:val="00117B7B"/>
    <w:rsid w:val="00121224"/>
    <w:rsid w:val="0012155C"/>
    <w:rsid w:val="00121840"/>
    <w:rsid w:val="00122504"/>
    <w:rsid w:val="00122CD7"/>
    <w:rsid w:val="0012349B"/>
    <w:rsid w:val="00123EB6"/>
    <w:rsid w:val="001244AE"/>
    <w:rsid w:val="00125180"/>
    <w:rsid w:val="0012569C"/>
    <w:rsid w:val="0012591E"/>
    <w:rsid w:val="00125B17"/>
    <w:rsid w:val="00125FAF"/>
    <w:rsid w:val="00126027"/>
    <w:rsid w:val="00126B7E"/>
    <w:rsid w:val="00127064"/>
    <w:rsid w:val="00127A5C"/>
    <w:rsid w:val="00127B41"/>
    <w:rsid w:val="00130534"/>
    <w:rsid w:val="001318D6"/>
    <w:rsid w:val="001318FF"/>
    <w:rsid w:val="00132CB3"/>
    <w:rsid w:val="00132F2C"/>
    <w:rsid w:val="00133B0C"/>
    <w:rsid w:val="001342BA"/>
    <w:rsid w:val="00134FFA"/>
    <w:rsid w:val="001354FE"/>
    <w:rsid w:val="00135697"/>
    <w:rsid w:val="00135A79"/>
    <w:rsid w:val="00135FEE"/>
    <w:rsid w:val="00136B3D"/>
    <w:rsid w:val="0013770E"/>
    <w:rsid w:val="00137C71"/>
    <w:rsid w:val="00137D54"/>
    <w:rsid w:val="00137E15"/>
    <w:rsid w:val="001405C6"/>
    <w:rsid w:val="00140684"/>
    <w:rsid w:val="00140ABF"/>
    <w:rsid w:val="00141013"/>
    <w:rsid w:val="00141079"/>
    <w:rsid w:val="0014124F"/>
    <w:rsid w:val="001415F3"/>
    <w:rsid w:val="001429E1"/>
    <w:rsid w:val="00143093"/>
    <w:rsid w:val="00143FD6"/>
    <w:rsid w:val="0014441A"/>
    <w:rsid w:val="001459AA"/>
    <w:rsid w:val="00145DE8"/>
    <w:rsid w:val="00147ADF"/>
    <w:rsid w:val="00147DF0"/>
    <w:rsid w:val="00150140"/>
    <w:rsid w:val="001503F7"/>
    <w:rsid w:val="00151C17"/>
    <w:rsid w:val="00152200"/>
    <w:rsid w:val="00152B46"/>
    <w:rsid w:val="00153E93"/>
    <w:rsid w:val="00153F91"/>
    <w:rsid w:val="00153FF0"/>
    <w:rsid w:val="00155143"/>
    <w:rsid w:val="00155936"/>
    <w:rsid w:val="00155D32"/>
    <w:rsid w:val="00156CE1"/>
    <w:rsid w:val="00157D39"/>
    <w:rsid w:val="00160009"/>
    <w:rsid w:val="00160621"/>
    <w:rsid w:val="0016125C"/>
    <w:rsid w:val="0016198F"/>
    <w:rsid w:val="00161E06"/>
    <w:rsid w:val="001627DC"/>
    <w:rsid w:val="00162AEA"/>
    <w:rsid w:val="00162C13"/>
    <w:rsid w:val="001636CB"/>
    <w:rsid w:val="00163721"/>
    <w:rsid w:val="00163CFA"/>
    <w:rsid w:val="00163E02"/>
    <w:rsid w:val="00166694"/>
    <w:rsid w:val="00166CED"/>
    <w:rsid w:val="001670A2"/>
    <w:rsid w:val="001670F4"/>
    <w:rsid w:val="00171009"/>
    <w:rsid w:val="00171024"/>
    <w:rsid w:val="001715A6"/>
    <w:rsid w:val="00172DAE"/>
    <w:rsid w:val="00172E1C"/>
    <w:rsid w:val="00173FE0"/>
    <w:rsid w:val="00175142"/>
    <w:rsid w:val="00175507"/>
    <w:rsid w:val="001758F9"/>
    <w:rsid w:val="0017605D"/>
    <w:rsid w:val="001766FB"/>
    <w:rsid w:val="001767C6"/>
    <w:rsid w:val="00176E35"/>
    <w:rsid w:val="0018001E"/>
    <w:rsid w:val="001831DE"/>
    <w:rsid w:val="00183463"/>
    <w:rsid w:val="001841B7"/>
    <w:rsid w:val="001851B6"/>
    <w:rsid w:val="00185968"/>
    <w:rsid w:val="0018752C"/>
    <w:rsid w:val="00187850"/>
    <w:rsid w:val="00191128"/>
    <w:rsid w:val="00192CBF"/>
    <w:rsid w:val="00192FF1"/>
    <w:rsid w:val="001935D0"/>
    <w:rsid w:val="001948E0"/>
    <w:rsid w:val="00194943"/>
    <w:rsid w:val="00194A24"/>
    <w:rsid w:val="00196088"/>
    <w:rsid w:val="00196225"/>
    <w:rsid w:val="00196853"/>
    <w:rsid w:val="00196917"/>
    <w:rsid w:val="001978B2"/>
    <w:rsid w:val="001A10CF"/>
    <w:rsid w:val="001A1A80"/>
    <w:rsid w:val="001A1D88"/>
    <w:rsid w:val="001A35DF"/>
    <w:rsid w:val="001A3A24"/>
    <w:rsid w:val="001A3C92"/>
    <w:rsid w:val="001A3EEA"/>
    <w:rsid w:val="001A5475"/>
    <w:rsid w:val="001A5AE8"/>
    <w:rsid w:val="001A5F1B"/>
    <w:rsid w:val="001A6946"/>
    <w:rsid w:val="001A74A7"/>
    <w:rsid w:val="001A7870"/>
    <w:rsid w:val="001A7F6E"/>
    <w:rsid w:val="001B08FA"/>
    <w:rsid w:val="001B0B09"/>
    <w:rsid w:val="001B0B2E"/>
    <w:rsid w:val="001B0D4D"/>
    <w:rsid w:val="001B128C"/>
    <w:rsid w:val="001B12C7"/>
    <w:rsid w:val="001B2746"/>
    <w:rsid w:val="001B3E24"/>
    <w:rsid w:val="001B458E"/>
    <w:rsid w:val="001B5377"/>
    <w:rsid w:val="001B5869"/>
    <w:rsid w:val="001B5E7C"/>
    <w:rsid w:val="001B6785"/>
    <w:rsid w:val="001B74BD"/>
    <w:rsid w:val="001C0CA7"/>
    <w:rsid w:val="001C10B5"/>
    <w:rsid w:val="001C1D1F"/>
    <w:rsid w:val="001C2573"/>
    <w:rsid w:val="001C2B80"/>
    <w:rsid w:val="001C2CE9"/>
    <w:rsid w:val="001C2F41"/>
    <w:rsid w:val="001C4173"/>
    <w:rsid w:val="001C4A9D"/>
    <w:rsid w:val="001C610C"/>
    <w:rsid w:val="001C668A"/>
    <w:rsid w:val="001C6F22"/>
    <w:rsid w:val="001C73F2"/>
    <w:rsid w:val="001D042A"/>
    <w:rsid w:val="001D0D88"/>
    <w:rsid w:val="001D0FCD"/>
    <w:rsid w:val="001D1744"/>
    <w:rsid w:val="001D374C"/>
    <w:rsid w:val="001D3BC6"/>
    <w:rsid w:val="001D41C5"/>
    <w:rsid w:val="001D4A86"/>
    <w:rsid w:val="001D5159"/>
    <w:rsid w:val="001D557F"/>
    <w:rsid w:val="001D5903"/>
    <w:rsid w:val="001D632A"/>
    <w:rsid w:val="001D6E7D"/>
    <w:rsid w:val="001D716C"/>
    <w:rsid w:val="001E04D1"/>
    <w:rsid w:val="001E18D3"/>
    <w:rsid w:val="001E2439"/>
    <w:rsid w:val="001E379A"/>
    <w:rsid w:val="001E3A22"/>
    <w:rsid w:val="001E41FF"/>
    <w:rsid w:val="001E43BA"/>
    <w:rsid w:val="001E4510"/>
    <w:rsid w:val="001E4D38"/>
    <w:rsid w:val="001E59E6"/>
    <w:rsid w:val="001E64AF"/>
    <w:rsid w:val="001E6DAF"/>
    <w:rsid w:val="001F0119"/>
    <w:rsid w:val="001F02FE"/>
    <w:rsid w:val="001F184C"/>
    <w:rsid w:val="001F1862"/>
    <w:rsid w:val="001F1A0C"/>
    <w:rsid w:val="001F35A9"/>
    <w:rsid w:val="001F41E5"/>
    <w:rsid w:val="001F6751"/>
    <w:rsid w:val="001F6946"/>
    <w:rsid w:val="001F6995"/>
    <w:rsid w:val="001F6997"/>
    <w:rsid w:val="001F6E53"/>
    <w:rsid w:val="001F726F"/>
    <w:rsid w:val="001F7DBA"/>
    <w:rsid w:val="002008AF"/>
    <w:rsid w:val="0020138C"/>
    <w:rsid w:val="00202AC1"/>
    <w:rsid w:val="00202B60"/>
    <w:rsid w:val="00203868"/>
    <w:rsid w:val="00204CEB"/>
    <w:rsid w:val="00204FF9"/>
    <w:rsid w:val="002050FA"/>
    <w:rsid w:val="00210345"/>
    <w:rsid w:val="00210C04"/>
    <w:rsid w:val="00210D1B"/>
    <w:rsid w:val="00210E16"/>
    <w:rsid w:val="00211F9F"/>
    <w:rsid w:val="00211FFE"/>
    <w:rsid w:val="00212455"/>
    <w:rsid w:val="00214892"/>
    <w:rsid w:val="00214B1D"/>
    <w:rsid w:val="002166F4"/>
    <w:rsid w:val="00216F51"/>
    <w:rsid w:val="0021740A"/>
    <w:rsid w:val="0022157F"/>
    <w:rsid w:val="002221EE"/>
    <w:rsid w:val="0022304C"/>
    <w:rsid w:val="00223319"/>
    <w:rsid w:val="00223B1C"/>
    <w:rsid w:val="00223DF4"/>
    <w:rsid w:val="00223EF5"/>
    <w:rsid w:val="00225188"/>
    <w:rsid w:val="00227DC3"/>
    <w:rsid w:val="00230908"/>
    <w:rsid w:val="00230DFD"/>
    <w:rsid w:val="00233148"/>
    <w:rsid w:val="002337A0"/>
    <w:rsid w:val="00233BE1"/>
    <w:rsid w:val="002343E3"/>
    <w:rsid w:val="0023730A"/>
    <w:rsid w:val="002373E5"/>
    <w:rsid w:val="0023757A"/>
    <w:rsid w:val="00237BA8"/>
    <w:rsid w:val="00240149"/>
    <w:rsid w:val="00240963"/>
    <w:rsid w:val="00240C1F"/>
    <w:rsid w:val="0024250F"/>
    <w:rsid w:val="00242624"/>
    <w:rsid w:val="00243627"/>
    <w:rsid w:val="002443E8"/>
    <w:rsid w:val="002467E6"/>
    <w:rsid w:val="00250773"/>
    <w:rsid w:val="002530AF"/>
    <w:rsid w:val="00255160"/>
    <w:rsid w:val="002552BF"/>
    <w:rsid w:val="00255620"/>
    <w:rsid w:val="00255AA6"/>
    <w:rsid w:val="00255DD9"/>
    <w:rsid w:val="002614F3"/>
    <w:rsid w:val="00261FAA"/>
    <w:rsid w:val="00262930"/>
    <w:rsid w:val="00262B85"/>
    <w:rsid w:val="00262D91"/>
    <w:rsid w:val="00264637"/>
    <w:rsid w:val="00264B42"/>
    <w:rsid w:val="00265543"/>
    <w:rsid w:val="00265A84"/>
    <w:rsid w:val="00267295"/>
    <w:rsid w:val="0026731C"/>
    <w:rsid w:val="00270541"/>
    <w:rsid w:val="0027254B"/>
    <w:rsid w:val="002728B7"/>
    <w:rsid w:val="00272D34"/>
    <w:rsid w:val="002739C6"/>
    <w:rsid w:val="00275208"/>
    <w:rsid w:val="002762AC"/>
    <w:rsid w:val="00276C78"/>
    <w:rsid w:val="00276F0B"/>
    <w:rsid w:val="00277A4F"/>
    <w:rsid w:val="00280386"/>
    <w:rsid w:val="00280716"/>
    <w:rsid w:val="002809FC"/>
    <w:rsid w:val="00280B7E"/>
    <w:rsid w:val="0028147B"/>
    <w:rsid w:val="00281F27"/>
    <w:rsid w:val="002825B6"/>
    <w:rsid w:val="00282A59"/>
    <w:rsid w:val="00282B9C"/>
    <w:rsid w:val="002830F4"/>
    <w:rsid w:val="00283DEE"/>
    <w:rsid w:val="00284144"/>
    <w:rsid w:val="002841E4"/>
    <w:rsid w:val="00284747"/>
    <w:rsid w:val="00284FF3"/>
    <w:rsid w:val="002857DF"/>
    <w:rsid w:val="00290AD7"/>
    <w:rsid w:val="00290B43"/>
    <w:rsid w:val="002919EC"/>
    <w:rsid w:val="00291A1D"/>
    <w:rsid w:val="0029263A"/>
    <w:rsid w:val="00292C7C"/>
    <w:rsid w:val="00293801"/>
    <w:rsid w:val="00293C67"/>
    <w:rsid w:val="002950E0"/>
    <w:rsid w:val="002955EC"/>
    <w:rsid w:val="002960F6"/>
    <w:rsid w:val="00297326"/>
    <w:rsid w:val="002A0135"/>
    <w:rsid w:val="002A193A"/>
    <w:rsid w:val="002A2967"/>
    <w:rsid w:val="002A3AC0"/>
    <w:rsid w:val="002A4580"/>
    <w:rsid w:val="002A4D38"/>
    <w:rsid w:val="002A4D8E"/>
    <w:rsid w:val="002A5636"/>
    <w:rsid w:val="002A5860"/>
    <w:rsid w:val="002A66C0"/>
    <w:rsid w:val="002A6844"/>
    <w:rsid w:val="002A6D85"/>
    <w:rsid w:val="002A6E15"/>
    <w:rsid w:val="002A76A4"/>
    <w:rsid w:val="002A7D05"/>
    <w:rsid w:val="002B0059"/>
    <w:rsid w:val="002B0AA1"/>
    <w:rsid w:val="002B20A9"/>
    <w:rsid w:val="002B24B8"/>
    <w:rsid w:val="002B2880"/>
    <w:rsid w:val="002B2DB1"/>
    <w:rsid w:val="002B2E01"/>
    <w:rsid w:val="002B30CD"/>
    <w:rsid w:val="002B4D42"/>
    <w:rsid w:val="002B4F2E"/>
    <w:rsid w:val="002B53ED"/>
    <w:rsid w:val="002B6FC0"/>
    <w:rsid w:val="002B714B"/>
    <w:rsid w:val="002B77DF"/>
    <w:rsid w:val="002C034A"/>
    <w:rsid w:val="002C04C0"/>
    <w:rsid w:val="002C0E42"/>
    <w:rsid w:val="002C1042"/>
    <w:rsid w:val="002C1343"/>
    <w:rsid w:val="002C1CA4"/>
    <w:rsid w:val="002C2D45"/>
    <w:rsid w:val="002C3224"/>
    <w:rsid w:val="002C3777"/>
    <w:rsid w:val="002C4385"/>
    <w:rsid w:val="002C48A3"/>
    <w:rsid w:val="002C59FA"/>
    <w:rsid w:val="002C5C1E"/>
    <w:rsid w:val="002C66A2"/>
    <w:rsid w:val="002C7E0E"/>
    <w:rsid w:val="002D1BC1"/>
    <w:rsid w:val="002D3809"/>
    <w:rsid w:val="002D3AE9"/>
    <w:rsid w:val="002D4620"/>
    <w:rsid w:val="002D4D69"/>
    <w:rsid w:val="002D5856"/>
    <w:rsid w:val="002D5902"/>
    <w:rsid w:val="002D609B"/>
    <w:rsid w:val="002D6299"/>
    <w:rsid w:val="002D6901"/>
    <w:rsid w:val="002D71D9"/>
    <w:rsid w:val="002D785C"/>
    <w:rsid w:val="002D7C34"/>
    <w:rsid w:val="002E02FD"/>
    <w:rsid w:val="002E0F5C"/>
    <w:rsid w:val="002E17FA"/>
    <w:rsid w:val="002E279F"/>
    <w:rsid w:val="002E3589"/>
    <w:rsid w:val="002E4042"/>
    <w:rsid w:val="002E408A"/>
    <w:rsid w:val="002E4D97"/>
    <w:rsid w:val="002E5175"/>
    <w:rsid w:val="002E55A2"/>
    <w:rsid w:val="002E5821"/>
    <w:rsid w:val="002E5C10"/>
    <w:rsid w:val="002E5D7F"/>
    <w:rsid w:val="002E62ED"/>
    <w:rsid w:val="002E74B8"/>
    <w:rsid w:val="002E759E"/>
    <w:rsid w:val="002E7B6D"/>
    <w:rsid w:val="002F0604"/>
    <w:rsid w:val="002F0957"/>
    <w:rsid w:val="002F0F11"/>
    <w:rsid w:val="002F1691"/>
    <w:rsid w:val="002F1C74"/>
    <w:rsid w:val="002F1D08"/>
    <w:rsid w:val="002F30C2"/>
    <w:rsid w:val="002F3203"/>
    <w:rsid w:val="002F46E7"/>
    <w:rsid w:val="002F46ED"/>
    <w:rsid w:val="002F4BF1"/>
    <w:rsid w:val="002F4D96"/>
    <w:rsid w:val="002F5054"/>
    <w:rsid w:val="002F56AF"/>
    <w:rsid w:val="002F59E4"/>
    <w:rsid w:val="002F59F8"/>
    <w:rsid w:val="002F5AD6"/>
    <w:rsid w:val="002F5BBB"/>
    <w:rsid w:val="002F6B4B"/>
    <w:rsid w:val="002F6CFD"/>
    <w:rsid w:val="002F6F81"/>
    <w:rsid w:val="0030069E"/>
    <w:rsid w:val="00300C96"/>
    <w:rsid w:val="00301011"/>
    <w:rsid w:val="00301603"/>
    <w:rsid w:val="003016E9"/>
    <w:rsid w:val="003019CE"/>
    <w:rsid w:val="00301A2D"/>
    <w:rsid w:val="00301C36"/>
    <w:rsid w:val="00301F0C"/>
    <w:rsid w:val="0030354E"/>
    <w:rsid w:val="00303695"/>
    <w:rsid w:val="00303EF7"/>
    <w:rsid w:val="00306F4C"/>
    <w:rsid w:val="00307E90"/>
    <w:rsid w:val="00310107"/>
    <w:rsid w:val="003107A9"/>
    <w:rsid w:val="00310DF0"/>
    <w:rsid w:val="003110D5"/>
    <w:rsid w:val="00311815"/>
    <w:rsid w:val="00311A3C"/>
    <w:rsid w:val="00312493"/>
    <w:rsid w:val="003128A1"/>
    <w:rsid w:val="00312B4F"/>
    <w:rsid w:val="003137BD"/>
    <w:rsid w:val="0031469D"/>
    <w:rsid w:val="00315CA8"/>
    <w:rsid w:val="00315E05"/>
    <w:rsid w:val="00316197"/>
    <w:rsid w:val="003169A9"/>
    <w:rsid w:val="00317D7F"/>
    <w:rsid w:val="0032072E"/>
    <w:rsid w:val="003211CE"/>
    <w:rsid w:val="00321605"/>
    <w:rsid w:val="00322AC4"/>
    <w:rsid w:val="00322C27"/>
    <w:rsid w:val="003235DA"/>
    <w:rsid w:val="00324671"/>
    <w:rsid w:val="00324744"/>
    <w:rsid w:val="00324F67"/>
    <w:rsid w:val="00325347"/>
    <w:rsid w:val="003257AA"/>
    <w:rsid w:val="00325FC7"/>
    <w:rsid w:val="0032687B"/>
    <w:rsid w:val="003268B5"/>
    <w:rsid w:val="0032784B"/>
    <w:rsid w:val="00331CA5"/>
    <w:rsid w:val="003338CE"/>
    <w:rsid w:val="00333B17"/>
    <w:rsid w:val="003348F8"/>
    <w:rsid w:val="003359BE"/>
    <w:rsid w:val="00336014"/>
    <w:rsid w:val="00336938"/>
    <w:rsid w:val="00336D2A"/>
    <w:rsid w:val="00337972"/>
    <w:rsid w:val="00337F75"/>
    <w:rsid w:val="00340CF0"/>
    <w:rsid w:val="00340D60"/>
    <w:rsid w:val="003410A6"/>
    <w:rsid w:val="00343268"/>
    <w:rsid w:val="0034326F"/>
    <w:rsid w:val="0034355F"/>
    <w:rsid w:val="0034361D"/>
    <w:rsid w:val="00343835"/>
    <w:rsid w:val="00345013"/>
    <w:rsid w:val="003450E2"/>
    <w:rsid w:val="00345CEE"/>
    <w:rsid w:val="003464F3"/>
    <w:rsid w:val="003479EF"/>
    <w:rsid w:val="00347B4D"/>
    <w:rsid w:val="0034C8C2"/>
    <w:rsid w:val="003500C4"/>
    <w:rsid w:val="00353674"/>
    <w:rsid w:val="00354029"/>
    <w:rsid w:val="0035461F"/>
    <w:rsid w:val="003549CE"/>
    <w:rsid w:val="00354C4D"/>
    <w:rsid w:val="003559E0"/>
    <w:rsid w:val="00356115"/>
    <w:rsid w:val="00356810"/>
    <w:rsid w:val="00356A02"/>
    <w:rsid w:val="0035705F"/>
    <w:rsid w:val="00357197"/>
    <w:rsid w:val="00357959"/>
    <w:rsid w:val="00357EC2"/>
    <w:rsid w:val="00360F8B"/>
    <w:rsid w:val="00361155"/>
    <w:rsid w:val="0036159B"/>
    <w:rsid w:val="00361BF0"/>
    <w:rsid w:val="0036240D"/>
    <w:rsid w:val="00362799"/>
    <w:rsid w:val="00363AD4"/>
    <w:rsid w:val="003656FF"/>
    <w:rsid w:val="003673AC"/>
    <w:rsid w:val="003701BA"/>
    <w:rsid w:val="003709B5"/>
    <w:rsid w:val="00370BFA"/>
    <w:rsid w:val="00371E42"/>
    <w:rsid w:val="00372DB2"/>
    <w:rsid w:val="0037538B"/>
    <w:rsid w:val="0037544D"/>
    <w:rsid w:val="003756F2"/>
    <w:rsid w:val="003759C2"/>
    <w:rsid w:val="0037650F"/>
    <w:rsid w:val="00376597"/>
    <w:rsid w:val="00376976"/>
    <w:rsid w:val="003775DA"/>
    <w:rsid w:val="00377848"/>
    <w:rsid w:val="00380489"/>
    <w:rsid w:val="00380808"/>
    <w:rsid w:val="0038081D"/>
    <w:rsid w:val="0038102C"/>
    <w:rsid w:val="00381892"/>
    <w:rsid w:val="003819B0"/>
    <w:rsid w:val="003824C1"/>
    <w:rsid w:val="00382F75"/>
    <w:rsid w:val="0038491F"/>
    <w:rsid w:val="00385CAA"/>
    <w:rsid w:val="003865E9"/>
    <w:rsid w:val="00386703"/>
    <w:rsid w:val="00386C86"/>
    <w:rsid w:val="00387997"/>
    <w:rsid w:val="00392688"/>
    <w:rsid w:val="00393035"/>
    <w:rsid w:val="003933A3"/>
    <w:rsid w:val="003947E6"/>
    <w:rsid w:val="0039503E"/>
    <w:rsid w:val="00395400"/>
    <w:rsid w:val="00395432"/>
    <w:rsid w:val="00395490"/>
    <w:rsid w:val="00395E9C"/>
    <w:rsid w:val="00397ABE"/>
    <w:rsid w:val="003A03E1"/>
    <w:rsid w:val="003A0E9E"/>
    <w:rsid w:val="003A2717"/>
    <w:rsid w:val="003A3D9D"/>
    <w:rsid w:val="003A424A"/>
    <w:rsid w:val="003A469F"/>
    <w:rsid w:val="003A519A"/>
    <w:rsid w:val="003A60FF"/>
    <w:rsid w:val="003A7B25"/>
    <w:rsid w:val="003A7BD2"/>
    <w:rsid w:val="003B0283"/>
    <w:rsid w:val="003B0A64"/>
    <w:rsid w:val="003B0FA8"/>
    <w:rsid w:val="003B19A3"/>
    <w:rsid w:val="003B2192"/>
    <w:rsid w:val="003B57F4"/>
    <w:rsid w:val="003B592B"/>
    <w:rsid w:val="003B617B"/>
    <w:rsid w:val="003B7594"/>
    <w:rsid w:val="003C07DA"/>
    <w:rsid w:val="003C0828"/>
    <w:rsid w:val="003C0A53"/>
    <w:rsid w:val="003C2DE2"/>
    <w:rsid w:val="003C3033"/>
    <w:rsid w:val="003C3447"/>
    <w:rsid w:val="003C3C13"/>
    <w:rsid w:val="003C420E"/>
    <w:rsid w:val="003C4355"/>
    <w:rsid w:val="003C51AD"/>
    <w:rsid w:val="003C5490"/>
    <w:rsid w:val="003C59FA"/>
    <w:rsid w:val="003C7208"/>
    <w:rsid w:val="003C7C59"/>
    <w:rsid w:val="003D076C"/>
    <w:rsid w:val="003D0FB2"/>
    <w:rsid w:val="003D179E"/>
    <w:rsid w:val="003D1C23"/>
    <w:rsid w:val="003D1DA7"/>
    <w:rsid w:val="003D2062"/>
    <w:rsid w:val="003D21D8"/>
    <w:rsid w:val="003D2A0D"/>
    <w:rsid w:val="003D3571"/>
    <w:rsid w:val="003D48B9"/>
    <w:rsid w:val="003D4B93"/>
    <w:rsid w:val="003D4FFA"/>
    <w:rsid w:val="003D523E"/>
    <w:rsid w:val="003D56DD"/>
    <w:rsid w:val="003D5A67"/>
    <w:rsid w:val="003D7230"/>
    <w:rsid w:val="003D7604"/>
    <w:rsid w:val="003E005C"/>
    <w:rsid w:val="003E0E08"/>
    <w:rsid w:val="003E105D"/>
    <w:rsid w:val="003E13DD"/>
    <w:rsid w:val="003E1858"/>
    <w:rsid w:val="003E4212"/>
    <w:rsid w:val="003E4C8B"/>
    <w:rsid w:val="003E6138"/>
    <w:rsid w:val="003E6E93"/>
    <w:rsid w:val="003E709F"/>
    <w:rsid w:val="003E7605"/>
    <w:rsid w:val="003F0220"/>
    <w:rsid w:val="003F0A0E"/>
    <w:rsid w:val="003F1A81"/>
    <w:rsid w:val="003F337F"/>
    <w:rsid w:val="003F5157"/>
    <w:rsid w:val="003F5F33"/>
    <w:rsid w:val="003F7981"/>
    <w:rsid w:val="003F7B17"/>
    <w:rsid w:val="003F7EAC"/>
    <w:rsid w:val="00400015"/>
    <w:rsid w:val="00400E05"/>
    <w:rsid w:val="00400F66"/>
    <w:rsid w:val="00401E97"/>
    <w:rsid w:val="00402154"/>
    <w:rsid w:val="00402BED"/>
    <w:rsid w:val="00404054"/>
    <w:rsid w:val="00404AA5"/>
    <w:rsid w:val="00404E84"/>
    <w:rsid w:val="004051E4"/>
    <w:rsid w:val="00405C35"/>
    <w:rsid w:val="00407DAA"/>
    <w:rsid w:val="0041000E"/>
    <w:rsid w:val="0041082F"/>
    <w:rsid w:val="004120A1"/>
    <w:rsid w:val="0041287A"/>
    <w:rsid w:val="004129FD"/>
    <w:rsid w:val="00413526"/>
    <w:rsid w:val="00413C38"/>
    <w:rsid w:val="00413D60"/>
    <w:rsid w:val="00414998"/>
    <w:rsid w:val="00414B2E"/>
    <w:rsid w:val="0041526D"/>
    <w:rsid w:val="004159E2"/>
    <w:rsid w:val="004168C4"/>
    <w:rsid w:val="004175D5"/>
    <w:rsid w:val="00417896"/>
    <w:rsid w:val="00417EEE"/>
    <w:rsid w:val="0042036D"/>
    <w:rsid w:val="00420B31"/>
    <w:rsid w:val="00421482"/>
    <w:rsid w:val="004222C3"/>
    <w:rsid w:val="00422ADD"/>
    <w:rsid w:val="00422C44"/>
    <w:rsid w:val="00422C8E"/>
    <w:rsid w:val="00422D43"/>
    <w:rsid w:val="00422D86"/>
    <w:rsid w:val="004237DF"/>
    <w:rsid w:val="00423A53"/>
    <w:rsid w:val="004256BB"/>
    <w:rsid w:val="00426287"/>
    <w:rsid w:val="004264C5"/>
    <w:rsid w:val="004277FE"/>
    <w:rsid w:val="00431EF4"/>
    <w:rsid w:val="0043541E"/>
    <w:rsid w:val="004408A8"/>
    <w:rsid w:val="004409AE"/>
    <w:rsid w:val="00440D5D"/>
    <w:rsid w:val="00440F63"/>
    <w:rsid w:val="00442E60"/>
    <w:rsid w:val="00442E69"/>
    <w:rsid w:val="00442E88"/>
    <w:rsid w:val="004439EC"/>
    <w:rsid w:val="00445EF7"/>
    <w:rsid w:val="00446675"/>
    <w:rsid w:val="00447007"/>
    <w:rsid w:val="00450A30"/>
    <w:rsid w:val="00451522"/>
    <w:rsid w:val="00451919"/>
    <w:rsid w:val="00452530"/>
    <w:rsid w:val="004526B2"/>
    <w:rsid w:val="00452BCD"/>
    <w:rsid w:val="00453107"/>
    <w:rsid w:val="00453AF5"/>
    <w:rsid w:val="00454FD6"/>
    <w:rsid w:val="00455A85"/>
    <w:rsid w:val="00456BE7"/>
    <w:rsid w:val="00457EA1"/>
    <w:rsid w:val="00460059"/>
    <w:rsid w:val="00460275"/>
    <w:rsid w:val="004604AC"/>
    <w:rsid w:val="00460837"/>
    <w:rsid w:val="004611DB"/>
    <w:rsid w:val="00461B89"/>
    <w:rsid w:val="004635BE"/>
    <w:rsid w:val="00464859"/>
    <w:rsid w:val="00464E49"/>
    <w:rsid w:val="00465269"/>
    <w:rsid w:val="004652F8"/>
    <w:rsid w:val="004667B7"/>
    <w:rsid w:val="00466DD5"/>
    <w:rsid w:val="004708D8"/>
    <w:rsid w:val="0047122B"/>
    <w:rsid w:val="00471DB5"/>
    <w:rsid w:val="004727FE"/>
    <w:rsid w:val="00472B65"/>
    <w:rsid w:val="00473244"/>
    <w:rsid w:val="00473B7A"/>
    <w:rsid w:val="0047432C"/>
    <w:rsid w:val="00475A0D"/>
    <w:rsid w:val="004765C2"/>
    <w:rsid w:val="00476652"/>
    <w:rsid w:val="004773A7"/>
    <w:rsid w:val="00477920"/>
    <w:rsid w:val="0047793A"/>
    <w:rsid w:val="00480375"/>
    <w:rsid w:val="00480378"/>
    <w:rsid w:val="00480389"/>
    <w:rsid w:val="00480A11"/>
    <w:rsid w:val="0048195A"/>
    <w:rsid w:val="00482C82"/>
    <w:rsid w:val="0048364D"/>
    <w:rsid w:val="0048369C"/>
    <w:rsid w:val="0048396A"/>
    <w:rsid w:val="00483AAF"/>
    <w:rsid w:val="004843D0"/>
    <w:rsid w:val="004844A1"/>
    <w:rsid w:val="004844DB"/>
    <w:rsid w:val="00484BC3"/>
    <w:rsid w:val="004867E4"/>
    <w:rsid w:val="00487875"/>
    <w:rsid w:val="00487C55"/>
    <w:rsid w:val="0049047A"/>
    <w:rsid w:val="00492229"/>
    <w:rsid w:val="004924F8"/>
    <w:rsid w:val="0049282D"/>
    <w:rsid w:val="00493613"/>
    <w:rsid w:val="00493B41"/>
    <w:rsid w:val="004943EE"/>
    <w:rsid w:val="004951D8"/>
    <w:rsid w:val="004952AF"/>
    <w:rsid w:val="004956B4"/>
    <w:rsid w:val="00496578"/>
    <w:rsid w:val="00497CDF"/>
    <w:rsid w:val="004A0B3B"/>
    <w:rsid w:val="004A19D4"/>
    <w:rsid w:val="004A1D1E"/>
    <w:rsid w:val="004A220F"/>
    <w:rsid w:val="004A2373"/>
    <w:rsid w:val="004A2548"/>
    <w:rsid w:val="004A2A36"/>
    <w:rsid w:val="004A2E88"/>
    <w:rsid w:val="004A3942"/>
    <w:rsid w:val="004A3E62"/>
    <w:rsid w:val="004A41B9"/>
    <w:rsid w:val="004A49B0"/>
    <w:rsid w:val="004A5305"/>
    <w:rsid w:val="004A5999"/>
    <w:rsid w:val="004A7EE3"/>
    <w:rsid w:val="004B03D3"/>
    <w:rsid w:val="004B0AFE"/>
    <w:rsid w:val="004B0B28"/>
    <w:rsid w:val="004B2B06"/>
    <w:rsid w:val="004B4590"/>
    <w:rsid w:val="004B4808"/>
    <w:rsid w:val="004B4F2F"/>
    <w:rsid w:val="004B5882"/>
    <w:rsid w:val="004B5DAA"/>
    <w:rsid w:val="004B6F15"/>
    <w:rsid w:val="004C0119"/>
    <w:rsid w:val="004C0A31"/>
    <w:rsid w:val="004C1E0B"/>
    <w:rsid w:val="004C23E6"/>
    <w:rsid w:val="004C285C"/>
    <w:rsid w:val="004C2B0A"/>
    <w:rsid w:val="004C3986"/>
    <w:rsid w:val="004C39CF"/>
    <w:rsid w:val="004C3C03"/>
    <w:rsid w:val="004C4AFE"/>
    <w:rsid w:val="004C5418"/>
    <w:rsid w:val="004C63CD"/>
    <w:rsid w:val="004C66D4"/>
    <w:rsid w:val="004D04CE"/>
    <w:rsid w:val="004D071B"/>
    <w:rsid w:val="004D07F7"/>
    <w:rsid w:val="004D0BF2"/>
    <w:rsid w:val="004D17CE"/>
    <w:rsid w:val="004D1B09"/>
    <w:rsid w:val="004D28B1"/>
    <w:rsid w:val="004D2AB8"/>
    <w:rsid w:val="004D335B"/>
    <w:rsid w:val="004D377E"/>
    <w:rsid w:val="004D380A"/>
    <w:rsid w:val="004D4433"/>
    <w:rsid w:val="004D6DF9"/>
    <w:rsid w:val="004D7020"/>
    <w:rsid w:val="004E05C8"/>
    <w:rsid w:val="004E13A9"/>
    <w:rsid w:val="004E2FCE"/>
    <w:rsid w:val="004E3FA7"/>
    <w:rsid w:val="004E45E5"/>
    <w:rsid w:val="004E4C5A"/>
    <w:rsid w:val="004E5151"/>
    <w:rsid w:val="004E5E63"/>
    <w:rsid w:val="004E6234"/>
    <w:rsid w:val="004E6C6C"/>
    <w:rsid w:val="004E7878"/>
    <w:rsid w:val="004F017B"/>
    <w:rsid w:val="004F184C"/>
    <w:rsid w:val="004F22F9"/>
    <w:rsid w:val="004F23F7"/>
    <w:rsid w:val="004F2711"/>
    <w:rsid w:val="004F31F7"/>
    <w:rsid w:val="004F44AD"/>
    <w:rsid w:val="004F4591"/>
    <w:rsid w:val="004F5BE4"/>
    <w:rsid w:val="004F6050"/>
    <w:rsid w:val="004F60C9"/>
    <w:rsid w:val="004F6226"/>
    <w:rsid w:val="004F639C"/>
    <w:rsid w:val="005006B9"/>
    <w:rsid w:val="00500A77"/>
    <w:rsid w:val="005022A8"/>
    <w:rsid w:val="0050330A"/>
    <w:rsid w:val="0050336E"/>
    <w:rsid w:val="005037B8"/>
    <w:rsid w:val="0050415F"/>
    <w:rsid w:val="005041EE"/>
    <w:rsid w:val="00504783"/>
    <w:rsid w:val="005047B4"/>
    <w:rsid w:val="00504DB1"/>
    <w:rsid w:val="005057A2"/>
    <w:rsid w:val="0050594C"/>
    <w:rsid w:val="0050697E"/>
    <w:rsid w:val="00507115"/>
    <w:rsid w:val="0051014E"/>
    <w:rsid w:val="00510513"/>
    <w:rsid w:val="00510E1A"/>
    <w:rsid w:val="005110EB"/>
    <w:rsid w:val="00511227"/>
    <w:rsid w:val="00511308"/>
    <w:rsid w:val="005128AE"/>
    <w:rsid w:val="00512B15"/>
    <w:rsid w:val="00513849"/>
    <w:rsid w:val="0051388A"/>
    <w:rsid w:val="00514C6D"/>
    <w:rsid w:val="00514E0C"/>
    <w:rsid w:val="00517BED"/>
    <w:rsid w:val="00520B75"/>
    <w:rsid w:val="00520BB1"/>
    <w:rsid w:val="00521B17"/>
    <w:rsid w:val="0052240C"/>
    <w:rsid w:val="00522955"/>
    <w:rsid w:val="005233B5"/>
    <w:rsid w:val="005235E4"/>
    <w:rsid w:val="00523A7E"/>
    <w:rsid w:val="0052418F"/>
    <w:rsid w:val="0052432E"/>
    <w:rsid w:val="005245F0"/>
    <w:rsid w:val="0052468A"/>
    <w:rsid w:val="0052583D"/>
    <w:rsid w:val="00525937"/>
    <w:rsid w:val="0052603A"/>
    <w:rsid w:val="00526CEA"/>
    <w:rsid w:val="00526D1C"/>
    <w:rsid w:val="00527D9B"/>
    <w:rsid w:val="00527F6E"/>
    <w:rsid w:val="005300D3"/>
    <w:rsid w:val="0053063C"/>
    <w:rsid w:val="00530B8D"/>
    <w:rsid w:val="00530CDD"/>
    <w:rsid w:val="0053254A"/>
    <w:rsid w:val="0053257C"/>
    <w:rsid w:val="00532C17"/>
    <w:rsid w:val="005330B4"/>
    <w:rsid w:val="00533124"/>
    <w:rsid w:val="00533D93"/>
    <w:rsid w:val="00534EB4"/>
    <w:rsid w:val="00535170"/>
    <w:rsid w:val="00535608"/>
    <w:rsid w:val="00535847"/>
    <w:rsid w:val="0053585B"/>
    <w:rsid w:val="00535E68"/>
    <w:rsid w:val="005363AD"/>
    <w:rsid w:val="0053697D"/>
    <w:rsid w:val="00536BD9"/>
    <w:rsid w:val="00537049"/>
    <w:rsid w:val="00537674"/>
    <w:rsid w:val="0054083F"/>
    <w:rsid w:val="005418B9"/>
    <w:rsid w:val="00541948"/>
    <w:rsid w:val="00542743"/>
    <w:rsid w:val="00542B7F"/>
    <w:rsid w:val="005451E8"/>
    <w:rsid w:val="0054541F"/>
    <w:rsid w:val="005457EC"/>
    <w:rsid w:val="00546DE9"/>
    <w:rsid w:val="005472FB"/>
    <w:rsid w:val="00547C4A"/>
    <w:rsid w:val="005506E8"/>
    <w:rsid w:val="00550FB0"/>
    <w:rsid w:val="00552D58"/>
    <w:rsid w:val="00552F05"/>
    <w:rsid w:val="00554656"/>
    <w:rsid w:val="00555B02"/>
    <w:rsid w:val="00555C2F"/>
    <w:rsid w:val="00557029"/>
    <w:rsid w:val="005571EA"/>
    <w:rsid w:val="00557359"/>
    <w:rsid w:val="00557672"/>
    <w:rsid w:val="0056094D"/>
    <w:rsid w:val="00560ACC"/>
    <w:rsid w:val="00560C9C"/>
    <w:rsid w:val="0056108C"/>
    <w:rsid w:val="00561ED5"/>
    <w:rsid w:val="005627CF"/>
    <w:rsid w:val="00562E5B"/>
    <w:rsid w:val="0056303E"/>
    <w:rsid w:val="005632EE"/>
    <w:rsid w:val="00563CA4"/>
    <w:rsid w:val="00563FAE"/>
    <w:rsid w:val="005641D8"/>
    <w:rsid w:val="0056551B"/>
    <w:rsid w:val="00565C93"/>
    <w:rsid w:val="00567057"/>
    <w:rsid w:val="00567151"/>
    <w:rsid w:val="005674B2"/>
    <w:rsid w:val="00567500"/>
    <w:rsid w:val="00567755"/>
    <w:rsid w:val="00567BCF"/>
    <w:rsid w:val="00570AC3"/>
    <w:rsid w:val="00571528"/>
    <w:rsid w:val="00571A8C"/>
    <w:rsid w:val="0057245B"/>
    <w:rsid w:val="00572A4F"/>
    <w:rsid w:val="00573344"/>
    <w:rsid w:val="005736DC"/>
    <w:rsid w:val="005741F4"/>
    <w:rsid w:val="005741F8"/>
    <w:rsid w:val="00574750"/>
    <w:rsid w:val="00574922"/>
    <w:rsid w:val="00575372"/>
    <w:rsid w:val="00576535"/>
    <w:rsid w:val="0057665D"/>
    <w:rsid w:val="00576E4E"/>
    <w:rsid w:val="00577F61"/>
    <w:rsid w:val="005800E7"/>
    <w:rsid w:val="00580E7B"/>
    <w:rsid w:val="0058100B"/>
    <w:rsid w:val="00581CA0"/>
    <w:rsid w:val="00581F4D"/>
    <w:rsid w:val="00582201"/>
    <w:rsid w:val="00582588"/>
    <w:rsid w:val="0058298E"/>
    <w:rsid w:val="00582F13"/>
    <w:rsid w:val="00583A43"/>
    <w:rsid w:val="00583ED4"/>
    <w:rsid w:val="005843EA"/>
    <w:rsid w:val="00584B0E"/>
    <w:rsid w:val="00584E17"/>
    <w:rsid w:val="00584F15"/>
    <w:rsid w:val="00585F7F"/>
    <w:rsid w:val="00586737"/>
    <w:rsid w:val="00587735"/>
    <w:rsid w:val="00587826"/>
    <w:rsid w:val="005878BF"/>
    <w:rsid w:val="00587A21"/>
    <w:rsid w:val="005912BD"/>
    <w:rsid w:val="0059150E"/>
    <w:rsid w:val="00591686"/>
    <w:rsid w:val="00592399"/>
    <w:rsid w:val="005927DD"/>
    <w:rsid w:val="00592D3B"/>
    <w:rsid w:val="00593085"/>
    <w:rsid w:val="00593176"/>
    <w:rsid w:val="00593565"/>
    <w:rsid w:val="005936BD"/>
    <w:rsid w:val="00593C4F"/>
    <w:rsid w:val="005946A8"/>
    <w:rsid w:val="005947EA"/>
    <w:rsid w:val="00594B18"/>
    <w:rsid w:val="005960EB"/>
    <w:rsid w:val="0059688C"/>
    <w:rsid w:val="00596AF6"/>
    <w:rsid w:val="00596E09"/>
    <w:rsid w:val="00597471"/>
    <w:rsid w:val="005A0069"/>
    <w:rsid w:val="005A03F5"/>
    <w:rsid w:val="005A083E"/>
    <w:rsid w:val="005A08DA"/>
    <w:rsid w:val="005A0C3C"/>
    <w:rsid w:val="005A14C7"/>
    <w:rsid w:val="005A14E6"/>
    <w:rsid w:val="005A1576"/>
    <w:rsid w:val="005A187C"/>
    <w:rsid w:val="005A1B43"/>
    <w:rsid w:val="005A1B5E"/>
    <w:rsid w:val="005A1E93"/>
    <w:rsid w:val="005A1EF8"/>
    <w:rsid w:val="005A2319"/>
    <w:rsid w:val="005A27F9"/>
    <w:rsid w:val="005A2D18"/>
    <w:rsid w:val="005A377B"/>
    <w:rsid w:val="005A3F2D"/>
    <w:rsid w:val="005A4377"/>
    <w:rsid w:val="005A4407"/>
    <w:rsid w:val="005A50D2"/>
    <w:rsid w:val="005A522D"/>
    <w:rsid w:val="005A68D1"/>
    <w:rsid w:val="005A6B00"/>
    <w:rsid w:val="005A6B63"/>
    <w:rsid w:val="005A6F4F"/>
    <w:rsid w:val="005A7E7A"/>
    <w:rsid w:val="005B0088"/>
    <w:rsid w:val="005B04DE"/>
    <w:rsid w:val="005B1122"/>
    <w:rsid w:val="005B18A5"/>
    <w:rsid w:val="005B1EB0"/>
    <w:rsid w:val="005B2CD6"/>
    <w:rsid w:val="005B31D5"/>
    <w:rsid w:val="005B32F8"/>
    <w:rsid w:val="005B3476"/>
    <w:rsid w:val="005B3E11"/>
    <w:rsid w:val="005B53C3"/>
    <w:rsid w:val="005B5C99"/>
    <w:rsid w:val="005B5FCB"/>
    <w:rsid w:val="005B787C"/>
    <w:rsid w:val="005B7B83"/>
    <w:rsid w:val="005C06A9"/>
    <w:rsid w:val="005C1FC1"/>
    <w:rsid w:val="005C2043"/>
    <w:rsid w:val="005C2688"/>
    <w:rsid w:val="005C2C89"/>
    <w:rsid w:val="005C2EE9"/>
    <w:rsid w:val="005C62A9"/>
    <w:rsid w:val="005C64D6"/>
    <w:rsid w:val="005D0AE3"/>
    <w:rsid w:val="005D1310"/>
    <w:rsid w:val="005D1C3A"/>
    <w:rsid w:val="005D2B03"/>
    <w:rsid w:val="005D3BAF"/>
    <w:rsid w:val="005D5315"/>
    <w:rsid w:val="005D5810"/>
    <w:rsid w:val="005D5D16"/>
    <w:rsid w:val="005D6AFF"/>
    <w:rsid w:val="005D6BB7"/>
    <w:rsid w:val="005D7B40"/>
    <w:rsid w:val="005E0857"/>
    <w:rsid w:val="005E0A4E"/>
    <w:rsid w:val="005E19EA"/>
    <w:rsid w:val="005E22FC"/>
    <w:rsid w:val="005E2565"/>
    <w:rsid w:val="005E28E4"/>
    <w:rsid w:val="005E30D0"/>
    <w:rsid w:val="005E35A4"/>
    <w:rsid w:val="005E42A5"/>
    <w:rsid w:val="005E4A47"/>
    <w:rsid w:val="005E532F"/>
    <w:rsid w:val="005E565B"/>
    <w:rsid w:val="005E588F"/>
    <w:rsid w:val="005E5AA4"/>
    <w:rsid w:val="005E6450"/>
    <w:rsid w:val="005E673E"/>
    <w:rsid w:val="005E7460"/>
    <w:rsid w:val="005F01FC"/>
    <w:rsid w:val="005F153F"/>
    <w:rsid w:val="005F1628"/>
    <w:rsid w:val="005F1728"/>
    <w:rsid w:val="005F1A19"/>
    <w:rsid w:val="005F2B6B"/>
    <w:rsid w:val="005F3433"/>
    <w:rsid w:val="005F39B6"/>
    <w:rsid w:val="005F4D82"/>
    <w:rsid w:val="005F51FD"/>
    <w:rsid w:val="005F5CDB"/>
    <w:rsid w:val="005F6C16"/>
    <w:rsid w:val="005F6DE7"/>
    <w:rsid w:val="005F7A74"/>
    <w:rsid w:val="00600691"/>
    <w:rsid w:val="006018D9"/>
    <w:rsid w:val="00601B13"/>
    <w:rsid w:val="00601D7A"/>
    <w:rsid w:val="006025DF"/>
    <w:rsid w:val="006026A2"/>
    <w:rsid w:val="00604161"/>
    <w:rsid w:val="00604859"/>
    <w:rsid w:val="00604901"/>
    <w:rsid w:val="00604DC6"/>
    <w:rsid w:val="0060618C"/>
    <w:rsid w:val="00607360"/>
    <w:rsid w:val="00607699"/>
    <w:rsid w:val="006100D0"/>
    <w:rsid w:val="00610319"/>
    <w:rsid w:val="006125DF"/>
    <w:rsid w:val="00612C05"/>
    <w:rsid w:val="0061316B"/>
    <w:rsid w:val="00613AB6"/>
    <w:rsid w:val="00614324"/>
    <w:rsid w:val="00614DE8"/>
    <w:rsid w:val="00615F41"/>
    <w:rsid w:val="00617C03"/>
    <w:rsid w:val="006203BF"/>
    <w:rsid w:val="006207C7"/>
    <w:rsid w:val="00620A2D"/>
    <w:rsid w:val="00620B94"/>
    <w:rsid w:val="0062226A"/>
    <w:rsid w:val="006235E0"/>
    <w:rsid w:val="00623A39"/>
    <w:rsid w:val="00624DCE"/>
    <w:rsid w:val="0062540E"/>
    <w:rsid w:val="006259F6"/>
    <w:rsid w:val="00625DC6"/>
    <w:rsid w:val="006276AB"/>
    <w:rsid w:val="0062781E"/>
    <w:rsid w:val="00627CCF"/>
    <w:rsid w:val="0063061A"/>
    <w:rsid w:val="00630660"/>
    <w:rsid w:val="006313B3"/>
    <w:rsid w:val="006314FC"/>
    <w:rsid w:val="0063150A"/>
    <w:rsid w:val="00631812"/>
    <w:rsid w:val="006338A0"/>
    <w:rsid w:val="00633AFE"/>
    <w:rsid w:val="0063486C"/>
    <w:rsid w:val="00634FDB"/>
    <w:rsid w:val="0063572C"/>
    <w:rsid w:val="00635EEB"/>
    <w:rsid w:val="00636534"/>
    <w:rsid w:val="00637604"/>
    <w:rsid w:val="006406D7"/>
    <w:rsid w:val="00640B96"/>
    <w:rsid w:val="00641014"/>
    <w:rsid w:val="00642FF0"/>
    <w:rsid w:val="0064377C"/>
    <w:rsid w:val="00643867"/>
    <w:rsid w:val="006450A4"/>
    <w:rsid w:val="00645306"/>
    <w:rsid w:val="0064553C"/>
    <w:rsid w:val="006466F2"/>
    <w:rsid w:val="00646B56"/>
    <w:rsid w:val="00646FAB"/>
    <w:rsid w:val="006471E6"/>
    <w:rsid w:val="006476F8"/>
    <w:rsid w:val="00647724"/>
    <w:rsid w:val="006477F4"/>
    <w:rsid w:val="00647E76"/>
    <w:rsid w:val="006508A8"/>
    <w:rsid w:val="006515EA"/>
    <w:rsid w:val="00651821"/>
    <w:rsid w:val="00651A0C"/>
    <w:rsid w:val="0065201C"/>
    <w:rsid w:val="00652EA9"/>
    <w:rsid w:val="00652F47"/>
    <w:rsid w:val="00653337"/>
    <w:rsid w:val="00653931"/>
    <w:rsid w:val="00653A16"/>
    <w:rsid w:val="006540B8"/>
    <w:rsid w:val="00654131"/>
    <w:rsid w:val="006542BA"/>
    <w:rsid w:val="006542DE"/>
    <w:rsid w:val="00654370"/>
    <w:rsid w:val="00654384"/>
    <w:rsid w:val="0066037F"/>
    <w:rsid w:val="00660803"/>
    <w:rsid w:val="00660B17"/>
    <w:rsid w:val="00660B18"/>
    <w:rsid w:val="00660DCB"/>
    <w:rsid w:val="00660EA5"/>
    <w:rsid w:val="00662657"/>
    <w:rsid w:val="00663099"/>
    <w:rsid w:val="006631A6"/>
    <w:rsid w:val="00663790"/>
    <w:rsid w:val="00663FEE"/>
    <w:rsid w:val="0066466E"/>
    <w:rsid w:val="00664968"/>
    <w:rsid w:val="00664C39"/>
    <w:rsid w:val="0066619E"/>
    <w:rsid w:val="00666297"/>
    <w:rsid w:val="0066683A"/>
    <w:rsid w:val="006669AA"/>
    <w:rsid w:val="006676AF"/>
    <w:rsid w:val="00670669"/>
    <w:rsid w:val="006706F8"/>
    <w:rsid w:val="0067077F"/>
    <w:rsid w:val="0067115A"/>
    <w:rsid w:val="006713D4"/>
    <w:rsid w:val="0067162D"/>
    <w:rsid w:val="00671F53"/>
    <w:rsid w:val="00673CF5"/>
    <w:rsid w:val="00673D40"/>
    <w:rsid w:val="00673E3C"/>
    <w:rsid w:val="006748D2"/>
    <w:rsid w:val="00676420"/>
    <w:rsid w:val="0067647F"/>
    <w:rsid w:val="00676EF8"/>
    <w:rsid w:val="0067736B"/>
    <w:rsid w:val="00677D74"/>
    <w:rsid w:val="00677DD7"/>
    <w:rsid w:val="00680980"/>
    <w:rsid w:val="00680EDD"/>
    <w:rsid w:val="00681486"/>
    <w:rsid w:val="006819A7"/>
    <w:rsid w:val="006824DC"/>
    <w:rsid w:val="00682B63"/>
    <w:rsid w:val="00684435"/>
    <w:rsid w:val="00684D9B"/>
    <w:rsid w:val="006852F2"/>
    <w:rsid w:val="00685E54"/>
    <w:rsid w:val="00686A49"/>
    <w:rsid w:val="00687A55"/>
    <w:rsid w:val="00690043"/>
    <w:rsid w:val="00690836"/>
    <w:rsid w:val="006912F0"/>
    <w:rsid w:val="0069185E"/>
    <w:rsid w:val="006926AA"/>
    <w:rsid w:val="006931CD"/>
    <w:rsid w:val="00694060"/>
    <w:rsid w:val="006947B6"/>
    <w:rsid w:val="006947F4"/>
    <w:rsid w:val="006957EA"/>
    <w:rsid w:val="00695859"/>
    <w:rsid w:val="00695F53"/>
    <w:rsid w:val="006962C8"/>
    <w:rsid w:val="006967B7"/>
    <w:rsid w:val="00696AA5"/>
    <w:rsid w:val="00697556"/>
    <w:rsid w:val="00697A2C"/>
    <w:rsid w:val="006A0844"/>
    <w:rsid w:val="006A0D4E"/>
    <w:rsid w:val="006A1D8F"/>
    <w:rsid w:val="006A1E31"/>
    <w:rsid w:val="006A26E2"/>
    <w:rsid w:val="006A43C7"/>
    <w:rsid w:val="006A472D"/>
    <w:rsid w:val="006A4D1E"/>
    <w:rsid w:val="006A6639"/>
    <w:rsid w:val="006A6F79"/>
    <w:rsid w:val="006A6FC5"/>
    <w:rsid w:val="006A723A"/>
    <w:rsid w:val="006A73A7"/>
    <w:rsid w:val="006A7A24"/>
    <w:rsid w:val="006B25AF"/>
    <w:rsid w:val="006B2E8F"/>
    <w:rsid w:val="006B2F13"/>
    <w:rsid w:val="006B464D"/>
    <w:rsid w:val="006B4C2B"/>
    <w:rsid w:val="006B50AF"/>
    <w:rsid w:val="006B50DC"/>
    <w:rsid w:val="006B5201"/>
    <w:rsid w:val="006B52BF"/>
    <w:rsid w:val="006B5F58"/>
    <w:rsid w:val="006B7F4F"/>
    <w:rsid w:val="006C0147"/>
    <w:rsid w:val="006C1658"/>
    <w:rsid w:val="006C1C25"/>
    <w:rsid w:val="006C2495"/>
    <w:rsid w:val="006C28B8"/>
    <w:rsid w:val="006C2A6B"/>
    <w:rsid w:val="006C40CE"/>
    <w:rsid w:val="006C446C"/>
    <w:rsid w:val="006C4ABC"/>
    <w:rsid w:val="006C5166"/>
    <w:rsid w:val="006C5853"/>
    <w:rsid w:val="006C5B50"/>
    <w:rsid w:val="006C5C08"/>
    <w:rsid w:val="006C736D"/>
    <w:rsid w:val="006C7414"/>
    <w:rsid w:val="006C7EB6"/>
    <w:rsid w:val="006D03D7"/>
    <w:rsid w:val="006D061B"/>
    <w:rsid w:val="006D0AA8"/>
    <w:rsid w:val="006D1E68"/>
    <w:rsid w:val="006D1F9F"/>
    <w:rsid w:val="006D26C7"/>
    <w:rsid w:val="006D301C"/>
    <w:rsid w:val="006D49F9"/>
    <w:rsid w:val="006D5195"/>
    <w:rsid w:val="006D54CC"/>
    <w:rsid w:val="006D5C0A"/>
    <w:rsid w:val="006D692B"/>
    <w:rsid w:val="006D6D78"/>
    <w:rsid w:val="006D78CA"/>
    <w:rsid w:val="006D790B"/>
    <w:rsid w:val="006D7D8C"/>
    <w:rsid w:val="006E04C7"/>
    <w:rsid w:val="006E0529"/>
    <w:rsid w:val="006E0894"/>
    <w:rsid w:val="006E1DB3"/>
    <w:rsid w:val="006E219C"/>
    <w:rsid w:val="006E2A43"/>
    <w:rsid w:val="006E2DC4"/>
    <w:rsid w:val="006E5595"/>
    <w:rsid w:val="006E5F1D"/>
    <w:rsid w:val="006E691E"/>
    <w:rsid w:val="006E6A62"/>
    <w:rsid w:val="006E75B7"/>
    <w:rsid w:val="006E7AEF"/>
    <w:rsid w:val="006F04B9"/>
    <w:rsid w:val="006F105C"/>
    <w:rsid w:val="006F1910"/>
    <w:rsid w:val="006F271C"/>
    <w:rsid w:val="006F3167"/>
    <w:rsid w:val="006F34E2"/>
    <w:rsid w:val="006F5609"/>
    <w:rsid w:val="006F57B4"/>
    <w:rsid w:val="006F5F0E"/>
    <w:rsid w:val="006F6BFF"/>
    <w:rsid w:val="006F6D95"/>
    <w:rsid w:val="006F7BCD"/>
    <w:rsid w:val="007002AC"/>
    <w:rsid w:val="00700553"/>
    <w:rsid w:val="007008EC"/>
    <w:rsid w:val="0070226D"/>
    <w:rsid w:val="00702434"/>
    <w:rsid w:val="00702AB8"/>
    <w:rsid w:val="00705245"/>
    <w:rsid w:val="00706F13"/>
    <w:rsid w:val="00707596"/>
    <w:rsid w:val="00707C62"/>
    <w:rsid w:val="00707C70"/>
    <w:rsid w:val="00710BEC"/>
    <w:rsid w:val="00711BD5"/>
    <w:rsid w:val="00712633"/>
    <w:rsid w:val="007140CF"/>
    <w:rsid w:val="0071420C"/>
    <w:rsid w:val="0071442B"/>
    <w:rsid w:val="00714C53"/>
    <w:rsid w:val="00715697"/>
    <w:rsid w:val="00716D02"/>
    <w:rsid w:val="007204A7"/>
    <w:rsid w:val="00720799"/>
    <w:rsid w:val="007208AF"/>
    <w:rsid w:val="007208D2"/>
    <w:rsid w:val="00720BF4"/>
    <w:rsid w:val="00721831"/>
    <w:rsid w:val="00721BB4"/>
    <w:rsid w:val="00721FE8"/>
    <w:rsid w:val="0072306A"/>
    <w:rsid w:val="007231E6"/>
    <w:rsid w:val="00723BBC"/>
    <w:rsid w:val="00724573"/>
    <w:rsid w:val="00724A53"/>
    <w:rsid w:val="0072554A"/>
    <w:rsid w:val="00725C0F"/>
    <w:rsid w:val="00725FA4"/>
    <w:rsid w:val="00727040"/>
    <w:rsid w:val="007279FA"/>
    <w:rsid w:val="00727B77"/>
    <w:rsid w:val="00730C82"/>
    <w:rsid w:val="0073119B"/>
    <w:rsid w:val="007318CC"/>
    <w:rsid w:val="00731E86"/>
    <w:rsid w:val="00733AD7"/>
    <w:rsid w:val="00733E3B"/>
    <w:rsid w:val="00735D75"/>
    <w:rsid w:val="00735F1C"/>
    <w:rsid w:val="00740085"/>
    <w:rsid w:val="00740F91"/>
    <w:rsid w:val="0074106E"/>
    <w:rsid w:val="007414F7"/>
    <w:rsid w:val="00741663"/>
    <w:rsid w:val="00741818"/>
    <w:rsid w:val="00742F35"/>
    <w:rsid w:val="007438A9"/>
    <w:rsid w:val="007446ED"/>
    <w:rsid w:val="0074491E"/>
    <w:rsid w:val="00745EF3"/>
    <w:rsid w:val="007465BA"/>
    <w:rsid w:val="00747890"/>
    <w:rsid w:val="00747BF4"/>
    <w:rsid w:val="0075003D"/>
    <w:rsid w:val="00750E2C"/>
    <w:rsid w:val="00751007"/>
    <w:rsid w:val="00751525"/>
    <w:rsid w:val="00752020"/>
    <w:rsid w:val="00753383"/>
    <w:rsid w:val="00753A32"/>
    <w:rsid w:val="007542EF"/>
    <w:rsid w:val="00754DE5"/>
    <w:rsid w:val="007570D3"/>
    <w:rsid w:val="007573C4"/>
    <w:rsid w:val="00757E76"/>
    <w:rsid w:val="00760146"/>
    <w:rsid w:val="0076155E"/>
    <w:rsid w:val="00763D60"/>
    <w:rsid w:val="0076507A"/>
    <w:rsid w:val="00765C62"/>
    <w:rsid w:val="00765D9C"/>
    <w:rsid w:val="00771027"/>
    <w:rsid w:val="00771386"/>
    <w:rsid w:val="007719AE"/>
    <w:rsid w:val="0077349E"/>
    <w:rsid w:val="00773605"/>
    <w:rsid w:val="0077400A"/>
    <w:rsid w:val="0077427C"/>
    <w:rsid w:val="00774A36"/>
    <w:rsid w:val="00775CAE"/>
    <w:rsid w:val="00775E77"/>
    <w:rsid w:val="00775FCC"/>
    <w:rsid w:val="00776BDE"/>
    <w:rsid w:val="00776F52"/>
    <w:rsid w:val="00777F7B"/>
    <w:rsid w:val="00780F5E"/>
    <w:rsid w:val="00780FD1"/>
    <w:rsid w:val="007812A7"/>
    <w:rsid w:val="00781E26"/>
    <w:rsid w:val="0078249C"/>
    <w:rsid w:val="00784693"/>
    <w:rsid w:val="007850CC"/>
    <w:rsid w:val="007854AD"/>
    <w:rsid w:val="00785748"/>
    <w:rsid w:val="007859B1"/>
    <w:rsid w:val="00785B93"/>
    <w:rsid w:val="007860CA"/>
    <w:rsid w:val="007874F1"/>
    <w:rsid w:val="0079048D"/>
    <w:rsid w:val="0079059D"/>
    <w:rsid w:val="007915E0"/>
    <w:rsid w:val="00791CA1"/>
    <w:rsid w:val="00792297"/>
    <w:rsid w:val="00792404"/>
    <w:rsid w:val="00792999"/>
    <w:rsid w:val="00793B66"/>
    <w:rsid w:val="00793F52"/>
    <w:rsid w:val="00794917"/>
    <w:rsid w:val="00794BB4"/>
    <w:rsid w:val="0079518C"/>
    <w:rsid w:val="00795BFB"/>
    <w:rsid w:val="00795FFB"/>
    <w:rsid w:val="007963DD"/>
    <w:rsid w:val="00797A54"/>
    <w:rsid w:val="00797DA8"/>
    <w:rsid w:val="007A04FA"/>
    <w:rsid w:val="007A0B17"/>
    <w:rsid w:val="007A1624"/>
    <w:rsid w:val="007A2ABF"/>
    <w:rsid w:val="007A38A7"/>
    <w:rsid w:val="007A5599"/>
    <w:rsid w:val="007A78D6"/>
    <w:rsid w:val="007B001D"/>
    <w:rsid w:val="007B005B"/>
    <w:rsid w:val="007B04CB"/>
    <w:rsid w:val="007B06AD"/>
    <w:rsid w:val="007B0AA4"/>
    <w:rsid w:val="007B1C74"/>
    <w:rsid w:val="007B21C8"/>
    <w:rsid w:val="007B2528"/>
    <w:rsid w:val="007B2EBC"/>
    <w:rsid w:val="007B4B43"/>
    <w:rsid w:val="007B5740"/>
    <w:rsid w:val="007B5C77"/>
    <w:rsid w:val="007B6561"/>
    <w:rsid w:val="007B79DB"/>
    <w:rsid w:val="007B7A14"/>
    <w:rsid w:val="007C2250"/>
    <w:rsid w:val="007C2835"/>
    <w:rsid w:val="007C35DB"/>
    <w:rsid w:val="007C3672"/>
    <w:rsid w:val="007C4294"/>
    <w:rsid w:val="007C43D0"/>
    <w:rsid w:val="007C4A9B"/>
    <w:rsid w:val="007C6B3E"/>
    <w:rsid w:val="007C7355"/>
    <w:rsid w:val="007C7AF7"/>
    <w:rsid w:val="007D1AC8"/>
    <w:rsid w:val="007D1C65"/>
    <w:rsid w:val="007D1C93"/>
    <w:rsid w:val="007D2074"/>
    <w:rsid w:val="007D2A2F"/>
    <w:rsid w:val="007D2E75"/>
    <w:rsid w:val="007D31E0"/>
    <w:rsid w:val="007D3224"/>
    <w:rsid w:val="007D336B"/>
    <w:rsid w:val="007D337E"/>
    <w:rsid w:val="007D5F6B"/>
    <w:rsid w:val="007D63FF"/>
    <w:rsid w:val="007D6866"/>
    <w:rsid w:val="007E07AC"/>
    <w:rsid w:val="007E0C35"/>
    <w:rsid w:val="007E0EF6"/>
    <w:rsid w:val="007E1E32"/>
    <w:rsid w:val="007E39F4"/>
    <w:rsid w:val="007E3C4B"/>
    <w:rsid w:val="007E458F"/>
    <w:rsid w:val="007E533B"/>
    <w:rsid w:val="007E5A6C"/>
    <w:rsid w:val="007E5E6C"/>
    <w:rsid w:val="007E601E"/>
    <w:rsid w:val="007E6A4E"/>
    <w:rsid w:val="007E72DF"/>
    <w:rsid w:val="007E7AD1"/>
    <w:rsid w:val="007E7DD9"/>
    <w:rsid w:val="007E7E56"/>
    <w:rsid w:val="007F04C8"/>
    <w:rsid w:val="007F0FF2"/>
    <w:rsid w:val="007F196E"/>
    <w:rsid w:val="007F1F18"/>
    <w:rsid w:val="007F390C"/>
    <w:rsid w:val="007F5FEA"/>
    <w:rsid w:val="007F69C5"/>
    <w:rsid w:val="007F71FA"/>
    <w:rsid w:val="008001E0"/>
    <w:rsid w:val="00800BF7"/>
    <w:rsid w:val="00800DC3"/>
    <w:rsid w:val="00800FDA"/>
    <w:rsid w:val="008019DD"/>
    <w:rsid w:val="00801AC6"/>
    <w:rsid w:val="00801F28"/>
    <w:rsid w:val="0080272D"/>
    <w:rsid w:val="00803251"/>
    <w:rsid w:val="00803499"/>
    <w:rsid w:val="008034B2"/>
    <w:rsid w:val="008039E9"/>
    <w:rsid w:val="0080494D"/>
    <w:rsid w:val="00805205"/>
    <w:rsid w:val="008058F6"/>
    <w:rsid w:val="008063E2"/>
    <w:rsid w:val="00806AEE"/>
    <w:rsid w:val="008078F9"/>
    <w:rsid w:val="0081111F"/>
    <w:rsid w:val="0081237D"/>
    <w:rsid w:val="00812AE1"/>
    <w:rsid w:val="008146D5"/>
    <w:rsid w:val="008148CC"/>
    <w:rsid w:val="00814CEC"/>
    <w:rsid w:val="00815B80"/>
    <w:rsid w:val="008177F5"/>
    <w:rsid w:val="00820F61"/>
    <w:rsid w:val="008211A4"/>
    <w:rsid w:val="008233F8"/>
    <w:rsid w:val="00823679"/>
    <w:rsid w:val="00823D51"/>
    <w:rsid w:val="008246CD"/>
    <w:rsid w:val="008253C3"/>
    <w:rsid w:val="008261CA"/>
    <w:rsid w:val="00826D87"/>
    <w:rsid w:val="00826DF1"/>
    <w:rsid w:val="00827725"/>
    <w:rsid w:val="0083085F"/>
    <w:rsid w:val="00830923"/>
    <w:rsid w:val="00830BC1"/>
    <w:rsid w:val="00830D80"/>
    <w:rsid w:val="00831D4F"/>
    <w:rsid w:val="008326AB"/>
    <w:rsid w:val="008327CD"/>
    <w:rsid w:val="0083324C"/>
    <w:rsid w:val="0083380E"/>
    <w:rsid w:val="00834A26"/>
    <w:rsid w:val="00834F8E"/>
    <w:rsid w:val="00835C5D"/>
    <w:rsid w:val="008363B7"/>
    <w:rsid w:val="00836E26"/>
    <w:rsid w:val="008374D0"/>
    <w:rsid w:val="00837A1B"/>
    <w:rsid w:val="00840725"/>
    <w:rsid w:val="00841735"/>
    <w:rsid w:val="00841C21"/>
    <w:rsid w:val="0084204C"/>
    <w:rsid w:val="00843746"/>
    <w:rsid w:val="00844F2D"/>
    <w:rsid w:val="008459DE"/>
    <w:rsid w:val="0084642C"/>
    <w:rsid w:val="008464B5"/>
    <w:rsid w:val="00846650"/>
    <w:rsid w:val="00846692"/>
    <w:rsid w:val="008478F7"/>
    <w:rsid w:val="00847951"/>
    <w:rsid w:val="008505B9"/>
    <w:rsid w:val="00850762"/>
    <w:rsid w:val="00850BAA"/>
    <w:rsid w:val="00851448"/>
    <w:rsid w:val="00851946"/>
    <w:rsid w:val="008523D0"/>
    <w:rsid w:val="008532C7"/>
    <w:rsid w:val="008533B1"/>
    <w:rsid w:val="00854309"/>
    <w:rsid w:val="008544CC"/>
    <w:rsid w:val="00854E71"/>
    <w:rsid w:val="0085510C"/>
    <w:rsid w:val="00855549"/>
    <w:rsid w:val="0085624A"/>
    <w:rsid w:val="008568DC"/>
    <w:rsid w:val="0085765A"/>
    <w:rsid w:val="00857F45"/>
    <w:rsid w:val="00860360"/>
    <w:rsid w:val="00860701"/>
    <w:rsid w:val="0086078E"/>
    <w:rsid w:val="00861560"/>
    <w:rsid w:val="008621FD"/>
    <w:rsid w:val="008630C1"/>
    <w:rsid w:val="00863268"/>
    <w:rsid w:val="00863A29"/>
    <w:rsid w:val="0086440A"/>
    <w:rsid w:val="00864CBE"/>
    <w:rsid w:val="0086545E"/>
    <w:rsid w:val="008656D1"/>
    <w:rsid w:val="00865C62"/>
    <w:rsid w:val="00866562"/>
    <w:rsid w:val="008667ED"/>
    <w:rsid w:val="0086719C"/>
    <w:rsid w:val="008671C2"/>
    <w:rsid w:val="00867B3C"/>
    <w:rsid w:val="0086B678"/>
    <w:rsid w:val="00870C22"/>
    <w:rsid w:val="0087120A"/>
    <w:rsid w:val="00871A42"/>
    <w:rsid w:val="00872556"/>
    <w:rsid w:val="00872884"/>
    <w:rsid w:val="00873150"/>
    <w:rsid w:val="00873392"/>
    <w:rsid w:val="00873804"/>
    <w:rsid w:val="00873E56"/>
    <w:rsid w:val="00874016"/>
    <w:rsid w:val="00874328"/>
    <w:rsid w:val="008758A0"/>
    <w:rsid w:val="0087642E"/>
    <w:rsid w:val="0087657D"/>
    <w:rsid w:val="00876645"/>
    <w:rsid w:val="0087683E"/>
    <w:rsid w:val="008773CA"/>
    <w:rsid w:val="00877C77"/>
    <w:rsid w:val="00877D07"/>
    <w:rsid w:val="0088039C"/>
    <w:rsid w:val="00880832"/>
    <w:rsid w:val="00880C60"/>
    <w:rsid w:val="00881DFA"/>
    <w:rsid w:val="00881EB1"/>
    <w:rsid w:val="00881F23"/>
    <w:rsid w:val="008822DE"/>
    <w:rsid w:val="00882834"/>
    <w:rsid w:val="00882C4A"/>
    <w:rsid w:val="008837B7"/>
    <w:rsid w:val="008837F4"/>
    <w:rsid w:val="00883A56"/>
    <w:rsid w:val="008840AA"/>
    <w:rsid w:val="00884A97"/>
    <w:rsid w:val="0088567C"/>
    <w:rsid w:val="008862CF"/>
    <w:rsid w:val="00886EE1"/>
    <w:rsid w:val="00887D10"/>
    <w:rsid w:val="00890203"/>
    <w:rsid w:val="00890A22"/>
    <w:rsid w:val="00892E39"/>
    <w:rsid w:val="0089308A"/>
    <w:rsid w:val="00894076"/>
    <w:rsid w:val="00894C55"/>
    <w:rsid w:val="00894D64"/>
    <w:rsid w:val="00895107"/>
    <w:rsid w:val="0089544B"/>
    <w:rsid w:val="008954AA"/>
    <w:rsid w:val="00896378"/>
    <w:rsid w:val="0089727F"/>
    <w:rsid w:val="00897C75"/>
    <w:rsid w:val="008A0196"/>
    <w:rsid w:val="008A0382"/>
    <w:rsid w:val="008A0A45"/>
    <w:rsid w:val="008A0AA9"/>
    <w:rsid w:val="008A15B6"/>
    <w:rsid w:val="008A17E8"/>
    <w:rsid w:val="008A18DA"/>
    <w:rsid w:val="008A1E0F"/>
    <w:rsid w:val="008A26EE"/>
    <w:rsid w:val="008A2DA0"/>
    <w:rsid w:val="008A2F9A"/>
    <w:rsid w:val="008A3715"/>
    <w:rsid w:val="008A3BF2"/>
    <w:rsid w:val="008A3DAF"/>
    <w:rsid w:val="008A452B"/>
    <w:rsid w:val="008A4F84"/>
    <w:rsid w:val="008A56BA"/>
    <w:rsid w:val="008A5B22"/>
    <w:rsid w:val="008A6CC4"/>
    <w:rsid w:val="008A738D"/>
    <w:rsid w:val="008A7BC4"/>
    <w:rsid w:val="008B0268"/>
    <w:rsid w:val="008B0485"/>
    <w:rsid w:val="008B0B41"/>
    <w:rsid w:val="008B0B89"/>
    <w:rsid w:val="008B0E5D"/>
    <w:rsid w:val="008B128B"/>
    <w:rsid w:val="008B16B3"/>
    <w:rsid w:val="008B1E07"/>
    <w:rsid w:val="008B2C31"/>
    <w:rsid w:val="008B3548"/>
    <w:rsid w:val="008B35A8"/>
    <w:rsid w:val="008B3876"/>
    <w:rsid w:val="008B3A7A"/>
    <w:rsid w:val="008B415B"/>
    <w:rsid w:val="008B4609"/>
    <w:rsid w:val="008B4B35"/>
    <w:rsid w:val="008B5755"/>
    <w:rsid w:val="008B618A"/>
    <w:rsid w:val="008B6985"/>
    <w:rsid w:val="008B6AE2"/>
    <w:rsid w:val="008B6CE5"/>
    <w:rsid w:val="008B6F1B"/>
    <w:rsid w:val="008B7BBA"/>
    <w:rsid w:val="008C014C"/>
    <w:rsid w:val="008C0253"/>
    <w:rsid w:val="008C0FF9"/>
    <w:rsid w:val="008C180F"/>
    <w:rsid w:val="008C1B94"/>
    <w:rsid w:val="008C20B4"/>
    <w:rsid w:val="008C2298"/>
    <w:rsid w:val="008C2E6B"/>
    <w:rsid w:val="008C41F2"/>
    <w:rsid w:val="008C436B"/>
    <w:rsid w:val="008C6689"/>
    <w:rsid w:val="008C7152"/>
    <w:rsid w:val="008C7B31"/>
    <w:rsid w:val="008D04DD"/>
    <w:rsid w:val="008D05B7"/>
    <w:rsid w:val="008D0A06"/>
    <w:rsid w:val="008D0A8F"/>
    <w:rsid w:val="008D0EB6"/>
    <w:rsid w:val="008D14D1"/>
    <w:rsid w:val="008D18E6"/>
    <w:rsid w:val="008D2A93"/>
    <w:rsid w:val="008D3118"/>
    <w:rsid w:val="008D32AF"/>
    <w:rsid w:val="008D38DF"/>
    <w:rsid w:val="008D491B"/>
    <w:rsid w:val="008D54E2"/>
    <w:rsid w:val="008D5F17"/>
    <w:rsid w:val="008D64EB"/>
    <w:rsid w:val="008D673A"/>
    <w:rsid w:val="008D678D"/>
    <w:rsid w:val="008D6849"/>
    <w:rsid w:val="008D6A5A"/>
    <w:rsid w:val="008D7775"/>
    <w:rsid w:val="008E09A3"/>
    <w:rsid w:val="008E0D6D"/>
    <w:rsid w:val="008E0E1A"/>
    <w:rsid w:val="008E2D1C"/>
    <w:rsid w:val="008E2D1E"/>
    <w:rsid w:val="008E331A"/>
    <w:rsid w:val="008E3473"/>
    <w:rsid w:val="008E37EB"/>
    <w:rsid w:val="008E4AD2"/>
    <w:rsid w:val="008E5103"/>
    <w:rsid w:val="008E5195"/>
    <w:rsid w:val="008E5296"/>
    <w:rsid w:val="008E5A9F"/>
    <w:rsid w:val="008E6FC7"/>
    <w:rsid w:val="008E7755"/>
    <w:rsid w:val="008F0710"/>
    <w:rsid w:val="008F0CAC"/>
    <w:rsid w:val="008F0D58"/>
    <w:rsid w:val="008F196D"/>
    <w:rsid w:val="008F21F6"/>
    <w:rsid w:val="008F288A"/>
    <w:rsid w:val="008F2B7E"/>
    <w:rsid w:val="008F2BEA"/>
    <w:rsid w:val="008F3260"/>
    <w:rsid w:val="008F38CF"/>
    <w:rsid w:val="008F408A"/>
    <w:rsid w:val="008F4E99"/>
    <w:rsid w:val="008F62E1"/>
    <w:rsid w:val="008F790D"/>
    <w:rsid w:val="008F7DEA"/>
    <w:rsid w:val="0090049E"/>
    <w:rsid w:val="00900768"/>
    <w:rsid w:val="00900C2A"/>
    <w:rsid w:val="00902198"/>
    <w:rsid w:val="00902875"/>
    <w:rsid w:val="00902905"/>
    <w:rsid w:val="009029D7"/>
    <w:rsid w:val="00902C09"/>
    <w:rsid w:val="00903C58"/>
    <w:rsid w:val="0090507E"/>
    <w:rsid w:val="00905611"/>
    <w:rsid w:val="00905ABC"/>
    <w:rsid w:val="00907189"/>
    <w:rsid w:val="009076B4"/>
    <w:rsid w:val="00907A60"/>
    <w:rsid w:val="00907D4C"/>
    <w:rsid w:val="00910077"/>
    <w:rsid w:val="00910B86"/>
    <w:rsid w:val="00911122"/>
    <w:rsid w:val="009113FB"/>
    <w:rsid w:val="009114F7"/>
    <w:rsid w:val="00911656"/>
    <w:rsid w:val="00911767"/>
    <w:rsid w:val="0091185C"/>
    <w:rsid w:val="00911CF9"/>
    <w:rsid w:val="00912CF3"/>
    <w:rsid w:val="00916275"/>
    <w:rsid w:val="009165B4"/>
    <w:rsid w:val="00917C37"/>
    <w:rsid w:val="0091B91E"/>
    <w:rsid w:val="00920178"/>
    <w:rsid w:val="009202D6"/>
    <w:rsid w:val="009208D2"/>
    <w:rsid w:val="00920D90"/>
    <w:rsid w:val="00921267"/>
    <w:rsid w:val="00921B91"/>
    <w:rsid w:val="00921CF1"/>
    <w:rsid w:val="009220B0"/>
    <w:rsid w:val="009221E1"/>
    <w:rsid w:val="00922271"/>
    <w:rsid w:val="00922FA1"/>
    <w:rsid w:val="00923FE5"/>
    <w:rsid w:val="00925021"/>
    <w:rsid w:val="0092503E"/>
    <w:rsid w:val="009262A4"/>
    <w:rsid w:val="009273A3"/>
    <w:rsid w:val="0093026D"/>
    <w:rsid w:val="009302A6"/>
    <w:rsid w:val="009305B2"/>
    <w:rsid w:val="00930B31"/>
    <w:rsid w:val="00931C45"/>
    <w:rsid w:val="0093232B"/>
    <w:rsid w:val="00932F07"/>
    <w:rsid w:val="009363DC"/>
    <w:rsid w:val="00936F56"/>
    <w:rsid w:val="0093745B"/>
    <w:rsid w:val="00937527"/>
    <w:rsid w:val="009409E1"/>
    <w:rsid w:val="00940CDF"/>
    <w:rsid w:val="009410EF"/>
    <w:rsid w:val="00941610"/>
    <w:rsid w:val="00941B91"/>
    <w:rsid w:val="00941D3F"/>
    <w:rsid w:val="00942419"/>
    <w:rsid w:val="00942938"/>
    <w:rsid w:val="00944C7B"/>
    <w:rsid w:val="00945195"/>
    <w:rsid w:val="00945715"/>
    <w:rsid w:val="00945B72"/>
    <w:rsid w:val="009477AB"/>
    <w:rsid w:val="00947DE1"/>
    <w:rsid w:val="00947F5A"/>
    <w:rsid w:val="00950212"/>
    <w:rsid w:val="009514A1"/>
    <w:rsid w:val="009519CF"/>
    <w:rsid w:val="00951A2A"/>
    <w:rsid w:val="00951F79"/>
    <w:rsid w:val="00952440"/>
    <w:rsid w:val="0095301B"/>
    <w:rsid w:val="0095303A"/>
    <w:rsid w:val="00954164"/>
    <w:rsid w:val="009542F7"/>
    <w:rsid w:val="0095461B"/>
    <w:rsid w:val="00956D9E"/>
    <w:rsid w:val="009579C8"/>
    <w:rsid w:val="00957B92"/>
    <w:rsid w:val="0096017C"/>
    <w:rsid w:val="009606F2"/>
    <w:rsid w:val="0096178B"/>
    <w:rsid w:val="009632EE"/>
    <w:rsid w:val="009633FD"/>
    <w:rsid w:val="00963A25"/>
    <w:rsid w:val="00963EBB"/>
    <w:rsid w:val="00965E27"/>
    <w:rsid w:val="009664B3"/>
    <w:rsid w:val="00966CA8"/>
    <w:rsid w:val="00967714"/>
    <w:rsid w:val="00967A25"/>
    <w:rsid w:val="00967C0E"/>
    <w:rsid w:val="00967D8F"/>
    <w:rsid w:val="00970D6D"/>
    <w:rsid w:val="00971BFA"/>
    <w:rsid w:val="0097211B"/>
    <w:rsid w:val="00972E6F"/>
    <w:rsid w:val="00972FF6"/>
    <w:rsid w:val="00973840"/>
    <w:rsid w:val="00974367"/>
    <w:rsid w:val="00974FFD"/>
    <w:rsid w:val="00975881"/>
    <w:rsid w:val="00975EDB"/>
    <w:rsid w:val="009763C7"/>
    <w:rsid w:val="00976901"/>
    <w:rsid w:val="00977CE3"/>
    <w:rsid w:val="009802B3"/>
    <w:rsid w:val="0098032A"/>
    <w:rsid w:val="009807C6"/>
    <w:rsid w:val="009811C0"/>
    <w:rsid w:val="00982956"/>
    <w:rsid w:val="00982A77"/>
    <w:rsid w:val="00982AA8"/>
    <w:rsid w:val="00982CB3"/>
    <w:rsid w:val="0098321A"/>
    <w:rsid w:val="0098394C"/>
    <w:rsid w:val="00983CDC"/>
    <w:rsid w:val="00983F5C"/>
    <w:rsid w:val="0098412B"/>
    <w:rsid w:val="009851D8"/>
    <w:rsid w:val="0098560E"/>
    <w:rsid w:val="00985BB0"/>
    <w:rsid w:val="00986853"/>
    <w:rsid w:val="00986A69"/>
    <w:rsid w:val="00986AA1"/>
    <w:rsid w:val="0098706D"/>
    <w:rsid w:val="009871F8"/>
    <w:rsid w:val="00987B44"/>
    <w:rsid w:val="009900EE"/>
    <w:rsid w:val="00990284"/>
    <w:rsid w:val="009910CA"/>
    <w:rsid w:val="0099194A"/>
    <w:rsid w:val="00991DFF"/>
    <w:rsid w:val="0099264B"/>
    <w:rsid w:val="00992E17"/>
    <w:rsid w:val="009935FB"/>
    <w:rsid w:val="00994621"/>
    <w:rsid w:val="00994EC2"/>
    <w:rsid w:val="0099606D"/>
    <w:rsid w:val="009962FB"/>
    <w:rsid w:val="00996792"/>
    <w:rsid w:val="00996A27"/>
    <w:rsid w:val="00997188"/>
    <w:rsid w:val="00997E46"/>
    <w:rsid w:val="009A06FB"/>
    <w:rsid w:val="009A0F0B"/>
    <w:rsid w:val="009A0F14"/>
    <w:rsid w:val="009A12EE"/>
    <w:rsid w:val="009A1556"/>
    <w:rsid w:val="009A38DF"/>
    <w:rsid w:val="009A3E1B"/>
    <w:rsid w:val="009A498E"/>
    <w:rsid w:val="009A4EE1"/>
    <w:rsid w:val="009A51A3"/>
    <w:rsid w:val="009A5703"/>
    <w:rsid w:val="009A59BD"/>
    <w:rsid w:val="009A6236"/>
    <w:rsid w:val="009A720B"/>
    <w:rsid w:val="009B0006"/>
    <w:rsid w:val="009B0712"/>
    <w:rsid w:val="009B09C6"/>
    <w:rsid w:val="009B155F"/>
    <w:rsid w:val="009B1AEA"/>
    <w:rsid w:val="009B1BD1"/>
    <w:rsid w:val="009B1E49"/>
    <w:rsid w:val="009B28EA"/>
    <w:rsid w:val="009B44A9"/>
    <w:rsid w:val="009B4CF6"/>
    <w:rsid w:val="009B4FC1"/>
    <w:rsid w:val="009B55BC"/>
    <w:rsid w:val="009B5958"/>
    <w:rsid w:val="009B5A32"/>
    <w:rsid w:val="009B5B01"/>
    <w:rsid w:val="009B6038"/>
    <w:rsid w:val="009B6146"/>
    <w:rsid w:val="009B62AD"/>
    <w:rsid w:val="009B6719"/>
    <w:rsid w:val="009B6906"/>
    <w:rsid w:val="009B6D17"/>
    <w:rsid w:val="009B7376"/>
    <w:rsid w:val="009B7766"/>
    <w:rsid w:val="009B77C7"/>
    <w:rsid w:val="009C0229"/>
    <w:rsid w:val="009C0D9F"/>
    <w:rsid w:val="009C0FEE"/>
    <w:rsid w:val="009C100E"/>
    <w:rsid w:val="009C209F"/>
    <w:rsid w:val="009C20DE"/>
    <w:rsid w:val="009C21F8"/>
    <w:rsid w:val="009C330C"/>
    <w:rsid w:val="009C3A86"/>
    <w:rsid w:val="009C3B99"/>
    <w:rsid w:val="009C41C2"/>
    <w:rsid w:val="009C4585"/>
    <w:rsid w:val="009C5484"/>
    <w:rsid w:val="009C600C"/>
    <w:rsid w:val="009C627B"/>
    <w:rsid w:val="009C65FA"/>
    <w:rsid w:val="009D01B5"/>
    <w:rsid w:val="009D0297"/>
    <w:rsid w:val="009D02D6"/>
    <w:rsid w:val="009D04D7"/>
    <w:rsid w:val="009D0964"/>
    <w:rsid w:val="009D0AF6"/>
    <w:rsid w:val="009D215B"/>
    <w:rsid w:val="009D264F"/>
    <w:rsid w:val="009D2EC9"/>
    <w:rsid w:val="009D2EF3"/>
    <w:rsid w:val="009D40B9"/>
    <w:rsid w:val="009D47D0"/>
    <w:rsid w:val="009D4ADD"/>
    <w:rsid w:val="009D4F73"/>
    <w:rsid w:val="009D5ACC"/>
    <w:rsid w:val="009D61ED"/>
    <w:rsid w:val="009D79D7"/>
    <w:rsid w:val="009D7C4E"/>
    <w:rsid w:val="009E032A"/>
    <w:rsid w:val="009E122D"/>
    <w:rsid w:val="009E1C54"/>
    <w:rsid w:val="009E2D28"/>
    <w:rsid w:val="009E32F5"/>
    <w:rsid w:val="009E3606"/>
    <w:rsid w:val="009E42BD"/>
    <w:rsid w:val="009E4C05"/>
    <w:rsid w:val="009E5874"/>
    <w:rsid w:val="009E5C09"/>
    <w:rsid w:val="009E5F56"/>
    <w:rsid w:val="009E6611"/>
    <w:rsid w:val="009E6956"/>
    <w:rsid w:val="009E7003"/>
    <w:rsid w:val="009F048B"/>
    <w:rsid w:val="009F05D1"/>
    <w:rsid w:val="009F0D9A"/>
    <w:rsid w:val="009F2226"/>
    <w:rsid w:val="009F27A8"/>
    <w:rsid w:val="009F2871"/>
    <w:rsid w:val="009F41ED"/>
    <w:rsid w:val="009F45B7"/>
    <w:rsid w:val="009F51F6"/>
    <w:rsid w:val="009F5267"/>
    <w:rsid w:val="009F572E"/>
    <w:rsid w:val="009F5A85"/>
    <w:rsid w:val="009F600D"/>
    <w:rsid w:val="009F6BAC"/>
    <w:rsid w:val="009F74C4"/>
    <w:rsid w:val="009F78C3"/>
    <w:rsid w:val="009F7AA6"/>
    <w:rsid w:val="00A010D0"/>
    <w:rsid w:val="00A01416"/>
    <w:rsid w:val="00A01DFD"/>
    <w:rsid w:val="00A0300E"/>
    <w:rsid w:val="00A0321E"/>
    <w:rsid w:val="00A0381B"/>
    <w:rsid w:val="00A04B79"/>
    <w:rsid w:val="00A05048"/>
    <w:rsid w:val="00A0696C"/>
    <w:rsid w:val="00A06E14"/>
    <w:rsid w:val="00A07BC5"/>
    <w:rsid w:val="00A11049"/>
    <w:rsid w:val="00A118B0"/>
    <w:rsid w:val="00A11EB4"/>
    <w:rsid w:val="00A11F2A"/>
    <w:rsid w:val="00A12451"/>
    <w:rsid w:val="00A125DE"/>
    <w:rsid w:val="00A129E5"/>
    <w:rsid w:val="00A13421"/>
    <w:rsid w:val="00A13A10"/>
    <w:rsid w:val="00A13E29"/>
    <w:rsid w:val="00A14156"/>
    <w:rsid w:val="00A14495"/>
    <w:rsid w:val="00A147D1"/>
    <w:rsid w:val="00A149D1"/>
    <w:rsid w:val="00A1509D"/>
    <w:rsid w:val="00A16576"/>
    <w:rsid w:val="00A16E16"/>
    <w:rsid w:val="00A16EBB"/>
    <w:rsid w:val="00A1702A"/>
    <w:rsid w:val="00A171CF"/>
    <w:rsid w:val="00A17B23"/>
    <w:rsid w:val="00A17D3F"/>
    <w:rsid w:val="00A17E7D"/>
    <w:rsid w:val="00A20F8A"/>
    <w:rsid w:val="00A21A3A"/>
    <w:rsid w:val="00A21CF7"/>
    <w:rsid w:val="00A2214E"/>
    <w:rsid w:val="00A224C9"/>
    <w:rsid w:val="00A22713"/>
    <w:rsid w:val="00A236DD"/>
    <w:rsid w:val="00A238E6"/>
    <w:rsid w:val="00A24A6B"/>
    <w:rsid w:val="00A250F5"/>
    <w:rsid w:val="00A25C84"/>
    <w:rsid w:val="00A25FD7"/>
    <w:rsid w:val="00A261EC"/>
    <w:rsid w:val="00A26253"/>
    <w:rsid w:val="00A27C6C"/>
    <w:rsid w:val="00A27D38"/>
    <w:rsid w:val="00A30052"/>
    <w:rsid w:val="00A3160F"/>
    <w:rsid w:val="00A3164D"/>
    <w:rsid w:val="00A31AD1"/>
    <w:rsid w:val="00A31C0A"/>
    <w:rsid w:val="00A3212C"/>
    <w:rsid w:val="00A32651"/>
    <w:rsid w:val="00A32DD9"/>
    <w:rsid w:val="00A32E55"/>
    <w:rsid w:val="00A33177"/>
    <w:rsid w:val="00A332E7"/>
    <w:rsid w:val="00A33607"/>
    <w:rsid w:val="00A337D7"/>
    <w:rsid w:val="00A33D94"/>
    <w:rsid w:val="00A3466A"/>
    <w:rsid w:val="00A354D5"/>
    <w:rsid w:val="00A35829"/>
    <w:rsid w:val="00A35B97"/>
    <w:rsid w:val="00A35EEC"/>
    <w:rsid w:val="00A364E1"/>
    <w:rsid w:val="00A36582"/>
    <w:rsid w:val="00A366C7"/>
    <w:rsid w:val="00A36D37"/>
    <w:rsid w:val="00A37A2B"/>
    <w:rsid w:val="00A40740"/>
    <w:rsid w:val="00A409E1"/>
    <w:rsid w:val="00A41BD2"/>
    <w:rsid w:val="00A41C21"/>
    <w:rsid w:val="00A43AFF"/>
    <w:rsid w:val="00A43C5B"/>
    <w:rsid w:val="00A43E0C"/>
    <w:rsid w:val="00A4498B"/>
    <w:rsid w:val="00A44D5B"/>
    <w:rsid w:val="00A44E9B"/>
    <w:rsid w:val="00A4535E"/>
    <w:rsid w:val="00A45A02"/>
    <w:rsid w:val="00A45AE1"/>
    <w:rsid w:val="00A47799"/>
    <w:rsid w:val="00A47CFB"/>
    <w:rsid w:val="00A50E58"/>
    <w:rsid w:val="00A50F13"/>
    <w:rsid w:val="00A513FC"/>
    <w:rsid w:val="00A519AA"/>
    <w:rsid w:val="00A52503"/>
    <w:rsid w:val="00A5293C"/>
    <w:rsid w:val="00A52EF7"/>
    <w:rsid w:val="00A53A88"/>
    <w:rsid w:val="00A54473"/>
    <w:rsid w:val="00A5529C"/>
    <w:rsid w:val="00A555BD"/>
    <w:rsid w:val="00A558DD"/>
    <w:rsid w:val="00A55B3B"/>
    <w:rsid w:val="00A572B7"/>
    <w:rsid w:val="00A61E5E"/>
    <w:rsid w:val="00A62387"/>
    <w:rsid w:val="00A632C8"/>
    <w:rsid w:val="00A64719"/>
    <w:rsid w:val="00A6549D"/>
    <w:rsid w:val="00A654F9"/>
    <w:rsid w:val="00A65614"/>
    <w:rsid w:val="00A657D1"/>
    <w:rsid w:val="00A659C7"/>
    <w:rsid w:val="00A660CC"/>
    <w:rsid w:val="00A6610A"/>
    <w:rsid w:val="00A67867"/>
    <w:rsid w:val="00A67D77"/>
    <w:rsid w:val="00A712E7"/>
    <w:rsid w:val="00A7155A"/>
    <w:rsid w:val="00A72B18"/>
    <w:rsid w:val="00A72C5C"/>
    <w:rsid w:val="00A72D3B"/>
    <w:rsid w:val="00A7321B"/>
    <w:rsid w:val="00A734AD"/>
    <w:rsid w:val="00A73A4D"/>
    <w:rsid w:val="00A73E8C"/>
    <w:rsid w:val="00A74E1B"/>
    <w:rsid w:val="00A74E66"/>
    <w:rsid w:val="00A74EC6"/>
    <w:rsid w:val="00A75B2F"/>
    <w:rsid w:val="00A7659E"/>
    <w:rsid w:val="00A77185"/>
    <w:rsid w:val="00A772EF"/>
    <w:rsid w:val="00A777EC"/>
    <w:rsid w:val="00A77888"/>
    <w:rsid w:val="00A7793A"/>
    <w:rsid w:val="00A77C6C"/>
    <w:rsid w:val="00A82818"/>
    <w:rsid w:val="00A82F3F"/>
    <w:rsid w:val="00A83753"/>
    <w:rsid w:val="00A8418B"/>
    <w:rsid w:val="00A844B6"/>
    <w:rsid w:val="00A847E1"/>
    <w:rsid w:val="00A850BB"/>
    <w:rsid w:val="00A85D08"/>
    <w:rsid w:val="00A87024"/>
    <w:rsid w:val="00A906D2"/>
    <w:rsid w:val="00A90BA7"/>
    <w:rsid w:val="00A90C94"/>
    <w:rsid w:val="00A90D98"/>
    <w:rsid w:val="00A91B41"/>
    <w:rsid w:val="00A91C7A"/>
    <w:rsid w:val="00A931AC"/>
    <w:rsid w:val="00A936BE"/>
    <w:rsid w:val="00A93715"/>
    <w:rsid w:val="00A93746"/>
    <w:rsid w:val="00A93C29"/>
    <w:rsid w:val="00A93D8C"/>
    <w:rsid w:val="00A940D5"/>
    <w:rsid w:val="00A94E6E"/>
    <w:rsid w:val="00A9562B"/>
    <w:rsid w:val="00A95ADE"/>
    <w:rsid w:val="00A9708B"/>
    <w:rsid w:val="00A974B8"/>
    <w:rsid w:val="00A977D3"/>
    <w:rsid w:val="00AA0872"/>
    <w:rsid w:val="00AA1FBA"/>
    <w:rsid w:val="00AA27B0"/>
    <w:rsid w:val="00AA2ED2"/>
    <w:rsid w:val="00AA3165"/>
    <w:rsid w:val="00AA42D8"/>
    <w:rsid w:val="00AA45AF"/>
    <w:rsid w:val="00AA55E4"/>
    <w:rsid w:val="00AA5FDF"/>
    <w:rsid w:val="00AA6396"/>
    <w:rsid w:val="00AA6A88"/>
    <w:rsid w:val="00AB012D"/>
    <w:rsid w:val="00AB13BC"/>
    <w:rsid w:val="00AB1559"/>
    <w:rsid w:val="00AB2734"/>
    <w:rsid w:val="00AB31E5"/>
    <w:rsid w:val="00AB3511"/>
    <w:rsid w:val="00AB4A76"/>
    <w:rsid w:val="00AB5871"/>
    <w:rsid w:val="00AB662D"/>
    <w:rsid w:val="00AB6C3D"/>
    <w:rsid w:val="00AB75CD"/>
    <w:rsid w:val="00AB7A1E"/>
    <w:rsid w:val="00AB7FD9"/>
    <w:rsid w:val="00AC0128"/>
    <w:rsid w:val="00AC045B"/>
    <w:rsid w:val="00AC12B1"/>
    <w:rsid w:val="00AC1BF4"/>
    <w:rsid w:val="00AC249B"/>
    <w:rsid w:val="00AC2ADA"/>
    <w:rsid w:val="00AC3211"/>
    <w:rsid w:val="00AC5890"/>
    <w:rsid w:val="00AC5973"/>
    <w:rsid w:val="00AC6419"/>
    <w:rsid w:val="00AC7433"/>
    <w:rsid w:val="00AC7543"/>
    <w:rsid w:val="00AD01E4"/>
    <w:rsid w:val="00AD14CA"/>
    <w:rsid w:val="00AD1542"/>
    <w:rsid w:val="00AD28B8"/>
    <w:rsid w:val="00AD2DAD"/>
    <w:rsid w:val="00AD369B"/>
    <w:rsid w:val="00AD4C73"/>
    <w:rsid w:val="00AD6B97"/>
    <w:rsid w:val="00AD6E2A"/>
    <w:rsid w:val="00AE0AEB"/>
    <w:rsid w:val="00AE2A73"/>
    <w:rsid w:val="00AE330B"/>
    <w:rsid w:val="00AE35B6"/>
    <w:rsid w:val="00AE4237"/>
    <w:rsid w:val="00AE5897"/>
    <w:rsid w:val="00AE5939"/>
    <w:rsid w:val="00AE5B22"/>
    <w:rsid w:val="00AE5F8E"/>
    <w:rsid w:val="00AE665D"/>
    <w:rsid w:val="00AE67FD"/>
    <w:rsid w:val="00AE7398"/>
    <w:rsid w:val="00AE787F"/>
    <w:rsid w:val="00AF0298"/>
    <w:rsid w:val="00AF0358"/>
    <w:rsid w:val="00AF0FC4"/>
    <w:rsid w:val="00AF1D01"/>
    <w:rsid w:val="00AF31AD"/>
    <w:rsid w:val="00AF4505"/>
    <w:rsid w:val="00AF5E1C"/>
    <w:rsid w:val="00AF6908"/>
    <w:rsid w:val="00AF74AE"/>
    <w:rsid w:val="00AF7CBD"/>
    <w:rsid w:val="00AF7E58"/>
    <w:rsid w:val="00B00E37"/>
    <w:rsid w:val="00B01954"/>
    <w:rsid w:val="00B01A96"/>
    <w:rsid w:val="00B0291F"/>
    <w:rsid w:val="00B0299E"/>
    <w:rsid w:val="00B031BD"/>
    <w:rsid w:val="00B0451B"/>
    <w:rsid w:val="00B04F9A"/>
    <w:rsid w:val="00B050BA"/>
    <w:rsid w:val="00B051D8"/>
    <w:rsid w:val="00B0563E"/>
    <w:rsid w:val="00B069E4"/>
    <w:rsid w:val="00B0736B"/>
    <w:rsid w:val="00B10903"/>
    <w:rsid w:val="00B10CFE"/>
    <w:rsid w:val="00B110B9"/>
    <w:rsid w:val="00B116BD"/>
    <w:rsid w:val="00B118A6"/>
    <w:rsid w:val="00B11990"/>
    <w:rsid w:val="00B119F4"/>
    <w:rsid w:val="00B11CF1"/>
    <w:rsid w:val="00B12818"/>
    <w:rsid w:val="00B133C6"/>
    <w:rsid w:val="00B141E7"/>
    <w:rsid w:val="00B14CDD"/>
    <w:rsid w:val="00B14E7E"/>
    <w:rsid w:val="00B15031"/>
    <w:rsid w:val="00B1619C"/>
    <w:rsid w:val="00B16669"/>
    <w:rsid w:val="00B16695"/>
    <w:rsid w:val="00B168E1"/>
    <w:rsid w:val="00B17070"/>
    <w:rsid w:val="00B17868"/>
    <w:rsid w:val="00B20BAA"/>
    <w:rsid w:val="00B20F16"/>
    <w:rsid w:val="00B2123C"/>
    <w:rsid w:val="00B213F2"/>
    <w:rsid w:val="00B2186F"/>
    <w:rsid w:val="00B21C9B"/>
    <w:rsid w:val="00B22053"/>
    <w:rsid w:val="00B22F4F"/>
    <w:rsid w:val="00B236CE"/>
    <w:rsid w:val="00B240E0"/>
    <w:rsid w:val="00B2626A"/>
    <w:rsid w:val="00B27F86"/>
    <w:rsid w:val="00B306D7"/>
    <w:rsid w:val="00B30DEF"/>
    <w:rsid w:val="00B31216"/>
    <w:rsid w:val="00B31B84"/>
    <w:rsid w:val="00B31F0F"/>
    <w:rsid w:val="00B327EF"/>
    <w:rsid w:val="00B32D18"/>
    <w:rsid w:val="00B33CEC"/>
    <w:rsid w:val="00B33E8E"/>
    <w:rsid w:val="00B35372"/>
    <w:rsid w:val="00B362D5"/>
    <w:rsid w:val="00B3780A"/>
    <w:rsid w:val="00B404D2"/>
    <w:rsid w:val="00B4201F"/>
    <w:rsid w:val="00B444B0"/>
    <w:rsid w:val="00B44709"/>
    <w:rsid w:val="00B45AB8"/>
    <w:rsid w:val="00B45EC2"/>
    <w:rsid w:val="00B46BCA"/>
    <w:rsid w:val="00B503D9"/>
    <w:rsid w:val="00B50937"/>
    <w:rsid w:val="00B51E41"/>
    <w:rsid w:val="00B53ABF"/>
    <w:rsid w:val="00B54D44"/>
    <w:rsid w:val="00B553E6"/>
    <w:rsid w:val="00B55785"/>
    <w:rsid w:val="00B56082"/>
    <w:rsid w:val="00B560A6"/>
    <w:rsid w:val="00B56906"/>
    <w:rsid w:val="00B60158"/>
    <w:rsid w:val="00B606A2"/>
    <w:rsid w:val="00B60BFB"/>
    <w:rsid w:val="00B612C4"/>
    <w:rsid w:val="00B612D1"/>
    <w:rsid w:val="00B61A30"/>
    <w:rsid w:val="00B61BCF"/>
    <w:rsid w:val="00B6326F"/>
    <w:rsid w:val="00B63A12"/>
    <w:rsid w:val="00B63D2D"/>
    <w:rsid w:val="00B64CDD"/>
    <w:rsid w:val="00B65018"/>
    <w:rsid w:val="00B65728"/>
    <w:rsid w:val="00B65828"/>
    <w:rsid w:val="00B6595A"/>
    <w:rsid w:val="00B66162"/>
    <w:rsid w:val="00B665BD"/>
    <w:rsid w:val="00B67034"/>
    <w:rsid w:val="00B6716A"/>
    <w:rsid w:val="00B6724D"/>
    <w:rsid w:val="00B67FCA"/>
    <w:rsid w:val="00B73F31"/>
    <w:rsid w:val="00B7425B"/>
    <w:rsid w:val="00B74E22"/>
    <w:rsid w:val="00B74F72"/>
    <w:rsid w:val="00B767EE"/>
    <w:rsid w:val="00B768D0"/>
    <w:rsid w:val="00B77BD3"/>
    <w:rsid w:val="00B803A8"/>
    <w:rsid w:val="00B80510"/>
    <w:rsid w:val="00B808E6"/>
    <w:rsid w:val="00B80B89"/>
    <w:rsid w:val="00B81844"/>
    <w:rsid w:val="00B82A06"/>
    <w:rsid w:val="00B82F8B"/>
    <w:rsid w:val="00B83275"/>
    <w:rsid w:val="00B833F7"/>
    <w:rsid w:val="00B83992"/>
    <w:rsid w:val="00B8578B"/>
    <w:rsid w:val="00B85ABA"/>
    <w:rsid w:val="00B85F36"/>
    <w:rsid w:val="00B868A2"/>
    <w:rsid w:val="00B87806"/>
    <w:rsid w:val="00B87EC9"/>
    <w:rsid w:val="00B90174"/>
    <w:rsid w:val="00B9052A"/>
    <w:rsid w:val="00B90E7B"/>
    <w:rsid w:val="00B91141"/>
    <w:rsid w:val="00B92512"/>
    <w:rsid w:val="00B92840"/>
    <w:rsid w:val="00B954ED"/>
    <w:rsid w:val="00B96102"/>
    <w:rsid w:val="00B9781A"/>
    <w:rsid w:val="00B9788F"/>
    <w:rsid w:val="00B97A53"/>
    <w:rsid w:val="00BA0719"/>
    <w:rsid w:val="00BA0B36"/>
    <w:rsid w:val="00BA1A7E"/>
    <w:rsid w:val="00BA1CD7"/>
    <w:rsid w:val="00BA2676"/>
    <w:rsid w:val="00BA2B65"/>
    <w:rsid w:val="00BA2DAB"/>
    <w:rsid w:val="00BA36A1"/>
    <w:rsid w:val="00BA3ECB"/>
    <w:rsid w:val="00BA49A9"/>
    <w:rsid w:val="00BA4EAA"/>
    <w:rsid w:val="00BA4FF0"/>
    <w:rsid w:val="00BA5A27"/>
    <w:rsid w:val="00BA5AC6"/>
    <w:rsid w:val="00BA5E47"/>
    <w:rsid w:val="00BA62DC"/>
    <w:rsid w:val="00BA6C08"/>
    <w:rsid w:val="00BB0F1B"/>
    <w:rsid w:val="00BB36D6"/>
    <w:rsid w:val="00BB38E6"/>
    <w:rsid w:val="00BB38F8"/>
    <w:rsid w:val="00BB38FA"/>
    <w:rsid w:val="00BB3D1F"/>
    <w:rsid w:val="00BB6425"/>
    <w:rsid w:val="00BB6E8F"/>
    <w:rsid w:val="00BB75AC"/>
    <w:rsid w:val="00BC1C4B"/>
    <w:rsid w:val="00BC2726"/>
    <w:rsid w:val="00BC3758"/>
    <w:rsid w:val="00BC38FD"/>
    <w:rsid w:val="00BC4285"/>
    <w:rsid w:val="00BC435D"/>
    <w:rsid w:val="00BC52A7"/>
    <w:rsid w:val="00BC67E9"/>
    <w:rsid w:val="00BC7EC2"/>
    <w:rsid w:val="00BD11B5"/>
    <w:rsid w:val="00BD15FE"/>
    <w:rsid w:val="00BD1C99"/>
    <w:rsid w:val="00BD1F4B"/>
    <w:rsid w:val="00BD21FA"/>
    <w:rsid w:val="00BD24F5"/>
    <w:rsid w:val="00BD2964"/>
    <w:rsid w:val="00BD2A6B"/>
    <w:rsid w:val="00BD2D41"/>
    <w:rsid w:val="00BD38DC"/>
    <w:rsid w:val="00BD3B09"/>
    <w:rsid w:val="00BD46FB"/>
    <w:rsid w:val="00BD759F"/>
    <w:rsid w:val="00BD75DA"/>
    <w:rsid w:val="00BE199A"/>
    <w:rsid w:val="00BE2613"/>
    <w:rsid w:val="00BE30D3"/>
    <w:rsid w:val="00BE31BB"/>
    <w:rsid w:val="00BE3260"/>
    <w:rsid w:val="00BE338B"/>
    <w:rsid w:val="00BE3A17"/>
    <w:rsid w:val="00BE3F26"/>
    <w:rsid w:val="00BE4108"/>
    <w:rsid w:val="00BE466D"/>
    <w:rsid w:val="00BE4D0C"/>
    <w:rsid w:val="00BE5D54"/>
    <w:rsid w:val="00BE5DDF"/>
    <w:rsid w:val="00BE5FE4"/>
    <w:rsid w:val="00BE614E"/>
    <w:rsid w:val="00BE631D"/>
    <w:rsid w:val="00BE64A0"/>
    <w:rsid w:val="00BE66D6"/>
    <w:rsid w:val="00BE75A9"/>
    <w:rsid w:val="00BF0A9B"/>
    <w:rsid w:val="00BF1B50"/>
    <w:rsid w:val="00BF278D"/>
    <w:rsid w:val="00BF2A3B"/>
    <w:rsid w:val="00BF2F63"/>
    <w:rsid w:val="00BF5CB1"/>
    <w:rsid w:val="00BF6201"/>
    <w:rsid w:val="00BF67CD"/>
    <w:rsid w:val="00C00D6C"/>
    <w:rsid w:val="00C01043"/>
    <w:rsid w:val="00C015E9"/>
    <w:rsid w:val="00C02F48"/>
    <w:rsid w:val="00C0359A"/>
    <w:rsid w:val="00C03842"/>
    <w:rsid w:val="00C03E83"/>
    <w:rsid w:val="00C0434A"/>
    <w:rsid w:val="00C0440A"/>
    <w:rsid w:val="00C04A34"/>
    <w:rsid w:val="00C054BC"/>
    <w:rsid w:val="00C05FEC"/>
    <w:rsid w:val="00C060C0"/>
    <w:rsid w:val="00C06E13"/>
    <w:rsid w:val="00C06FD4"/>
    <w:rsid w:val="00C07BB0"/>
    <w:rsid w:val="00C1017C"/>
    <w:rsid w:val="00C101D1"/>
    <w:rsid w:val="00C10464"/>
    <w:rsid w:val="00C11528"/>
    <w:rsid w:val="00C1153B"/>
    <w:rsid w:val="00C129F4"/>
    <w:rsid w:val="00C12E8A"/>
    <w:rsid w:val="00C1425C"/>
    <w:rsid w:val="00C14C5E"/>
    <w:rsid w:val="00C14E95"/>
    <w:rsid w:val="00C14EB5"/>
    <w:rsid w:val="00C158C6"/>
    <w:rsid w:val="00C15EA7"/>
    <w:rsid w:val="00C16273"/>
    <w:rsid w:val="00C16C98"/>
    <w:rsid w:val="00C1757B"/>
    <w:rsid w:val="00C1760D"/>
    <w:rsid w:val="00C17897"/>
    <w:rsid w:val="00C21506"/>
    <w:rsid w:val="00C21AD5"/>
    <w:rsid w:val="00C2251E"/>
    <w:rsid w:val="00C237C4"/>
    <w:rsid w:val="00C23BEB"/>
    <w:rsid w:val="00C25876"/>
    <w:rsid w:val="00C2631B"/>
    <w:rsid w:val="00C270D7"/>
    <w:rsid w:val="00C27105"/>
    <w:rsid w:val="00C27B9D"/>
    <w:rsid w:val="00C27DF0"/>
    <w:rsid w:val="00C31898"/>
    <w:rsid w:val="00C31E0A"/>
    <w:rsid w:val="00C32BE9"/>
    <w:rsid w:val="00C32FBD"/>
    <w:rsid w:val="00C33809"/>
    <w:rsid w:val="00C33F5F"/>
    <w:rsid w:val="00C33FDD"/>
    <w:rsid w:val="00C3491B"/>
    <w:rsid w:val="00C34963"/>
    <w:rsid w:val="00C369F9"/>
    <w:rsid w:val="00C37859"/>
    <w:rsid w:val="00C409D5"/>
    <w:rsid w:val="00C40CC2"/>
    <w:rsid w:val="00C41558"/>
    <w:rsid w:val="00C41BF4"/>
    <w:rsid w:val="00C4235E"/>
    <w:rsid w:val="00C429F8"/>
    <w:rsid w:val="00C42D86"/>
    <w:rsid w:val="00C43318"/>
    <w:rsid w:val="00C455F0"/>
    <w:rsid w:val="00C4699B"/>
    <w:rsid w:val="00C46EA7"/>
    <w:rsid w:val="00C47191"/>
    <w:rsid w:val="00C47510"/>
    <w:rsid w:val="00C501F3"/>
    <w:rsid w:val="00C50B9D"/>
    <w:rsid w:val="00C519A8"/>
    <w:rsid w:val="00C52178"/>
    <w:rsid w:val="00C526ED"/>
    <w:rsid w:val="00C52740"/>
    <w:rsid w:val="00C52C13"/>
    <w:rsid w:val="00C52E45"/>
    <w:rsid w:val="00C5350F"/>
    <w:rsid w:val="00C535CA"/>
    <w:rsid w:val="00C54862"/>
    <w:rsid w:val="00C551D0"/>
    <w:rsid w:val="00C55682"/>
    <w:rsid w:val="00C563DF"/>
    <w:rsid w:val="00C575EB"/>
    <w:rsid w:val="00C6049E"/>
    <w:rsid w:val="00C60999"/>
    <w:rsid w:val="00C6234B"/>
    <w:rsid w:val="00C6300C"/>
    <w:rsid w:val="00C63C4A"/>
    <w:rsid w:val="00C63EAE"/>
    <w:rsid w:val="00C64263"/>
    <w:rsid w:val="00C65126"/>
    <w:rsid w:val="00C652C3"/>
    <w:rsid w:val="00C66CDB"/>
    <w:rsid w:val="00C67300"/>
    <w:rsid w:val="00C67BD3"/>
    <w:rsid w:val="00C67D85"/>
    <w:rsid w:val="00C67E29"/>
    <w:rsid w:val="00C70AB9"/>
    <w:rsid w:val="00C726ED"/>
    <w:rsid w:val="00C72DDA"/>
    <w:rsid w:val="00C73359"/>
    <w:rsid w:val="00C7366B"/>
    <w:rsid w:val="00C73BB4"/>
    <w:rsid w:val="00C73F9B"/>
    <w:rsid w:val="00C74E84"/>
    <w:rsid w:val="00C753EA"/>
    <w:rsid w:val="00C75571"/>
    <w:rsid w:val="00C75A03"/>
    <w:rsid w:val="00C76004"/>
    <w:rsid w:val="00C7629F"/>
    <w:rsid w:val="00C76552"/>
    <w:rsid w:val="00C76CD4"/>
    <w:rsid w:val="00C76CDD"/>
    <w:rsid w:val="00C76F4C"/>
    <w:rsid w:val="00C77D37"/>
    <w:rsid w:val="00C805CB"/>
    <w:rsid w:val="00C80A55"/>
    <w:rsid w:val="00C814E1"/>
    <w:rsid w:val="00C81620"/>
    <w:rsid w:val="00C8181C"/>
    <w:rsid w:val="00C81D2E"/>
    <w:rsid w:val="00C8322D"/>
    <w:rsid w:val="00C83821"/>
    <w:rsid w:val="00C838AF"/>
    <w:rsid w:val="00C838F9"/>
    <w:rsid w:val="00C83958"/>
    <w:rsid w:val="00C85ED4"/>
    <w:rsid w:val="00C860D6"/>
    <w:rsid w:val="00C8661B"/>
    <w:rsid w:val="00C86D7A"/>
    <w:rsid w:val="00C8724B"/>
    <w:rsid w:val="00C873D6"/>
    <w:rsid w:val="00C87742"/>
    <w:rsid w:val="00C87CFD"/>
    <w:rsid w:val="00C90853"/>
    <w:rsid w:val="00C93722"/>
    <w:rsid w:val="00C93A1A"/>
    <w:rsid w:val="00C93D0A"/>
    <w:rsid w:val="00C93DF5"/>
    <w:rsid w:val="00C94CE2"/>
    <w:rsid w:val="00C94F1A"/>
    <w:rsid w:val="00C94FA3"/>
    <w:rsid w:val="00C95417"/>
    <w:rsid w:val="00C95693"/>
    <w:rsid w:val="00C958E7"/>
    <w:rsid w:val="00C95BE6"/>
    <w:rsid w:val="00C964B0"/>
    <w:rsid w:val="00C96DA8"/>
    <w:rsid w:val="00CA0209"/>
    <w:rsid w:val="00CA04B7"/>
    <w:rsid w:val="00CA04E8"/>
    <w:rsid w:val="00CA10DA"/>
    <w:rsid w:val="00CA1158"/>
    <w:rsid w:val="00CA15AA"/>
    <w:rsid w:val="00CA1931"/>
    <w:rsid w:val="00CA1D22"/>
    <w:rsid w:val="00CA1F9E"/>
    <w:rsid w:val="00CA28A5"/>
    <w:rsid w:val="00CA2E36"/>
    <w:rsid w:val="00CA3334"/>
    <w:rsid w:val="00CA3D06"/>
    <w:rsid w:val="00CA4542"/>
    <w:rsid w:val="00CA4A4B"/>
    <w:rsid w:val="00CA4AA2"/>
    <w:rsid w:val="00CA5ED8"/>
    <w:rsid w:val="00CA60F1"/>
    <w:rsid w:val="00CA6EF4"/>
    <w:rsid w:val="00CA6FEA"/>
    <w:rsid w:val="00CA77FB"/>
    <w:rsid w:val="00CB03A0"/>
    <w:rsid w:val="00CB087A"/>
    <w:rsid w:val="00CB1963"/>
    <w:rsid w:val="00CB22F6"/>
    <w:rsid w:val="00CB27B8"/>
    <w:rsid w:val="00CB2B94"/>
    <w:rsid w:val="00CB2DEE"/>
    <w:rsid w:val="00CB3143"/>
    <w:rsid w:val="00CB3693"/>
    <w:rsid w:val="00CB379B"/>
    <w:rsid w:val="00CB39C3"/>
    <w:rsid w:val="00CB4C66"/>
    <w:rsid w:val="00CB5751"/>
    <w:rsid w:val="00CB5B20"/>
    <w:rsid w:val="00CB5CD7"/>
    <w:rsid w:val="00CB5D3D"/>
    <w:rsid w:val="00CB5DD0"/>
    <w:rsid w:val="00CB5EE4"/>
    <w:rsid w:val="00CB5F63"/>
    <w:rsid w:val="00CB681D"/>
    <w:rsid w:val="00CB7FBF"/>
    <w:rsid w:val="00CC03B7"/>
    <w:rsid w:val="00CC071C"/>
    <w:rsid w:val="00CC297D"/>
    <w:rsid w:val="00CC2A6F"/>
    <w:rsid w:val="00CC3CE0"/>
    <w:rsid w:val="00CC412B"/>
    <w:rsid w:val="00CC453F"/>
    <w:rsid w:val="00CC4970"/>
    <w:rsid w:val="00CC4B91"/>
    <w:rsid w:val="00CC4C03"/>
    <w:rsid w:val="00CC51D4"/>
    <w:rsid w:val="00CC5A50"/>
    <w:rsid w:val="00CC5DFF"/>
    <w:rsid w:val="00CC6398"/>
    <w:rsid w:val="00CC65DA"/>
    <w:rsid w:val="00CC6B86"/>
    <w:rsid w:val="00CD0063"/>
    <w:rsid w:val="00CD0083"/>
    <w:rsid w:val="00CD0B63"/>
    <w:rsid w:val="00CD16FF"/>
    <w:rsid w:val="00CD195F"/>
    <w:rsid w:val="00CD1F5B"/>
    <w:rsid w:val="00CD45CE"/>
    <w:rsid w:val="00CD5970"/>
    <w:rsid w:val="00CD75F7"/>
    <w:rsid w:val="00CE0142"/>
    <w:rsid w:val="00CE020E"/>
    <w:rsid w:val="00CE0285"/>
    <w:rsid w:val="00CE074F"/>
    <w:rsid w:val="00CE09DF"/>
    <w:rsid w:val="00CE13EF"/>
    <w:rsid w:val="00CE15AC"/>
    <w:rsid w:val="00CE1964"/>
    <w:rsid w:val="00CE1CA3"/>
    <w:rsid w:val="00CE1FD6"/>
    <w:rsid w:val="00CE2C32"/>
    <w:rsid w:val="00CE3059"/>
    <w:rsid w:val="00CE38C0"/>
    <w:rsid w:val="00CE5745"/>
    <w:rsid w:val="00CE675E"/>
    <w:rsid w:val="00CE6CFD"/>
    <w:rsid w:val="00CE6FEE"/>
    <w:rsid w:val="00CF03C7"/>
    <w:rsid w:val="00CF067A"/>
    <w:rsid w:val="00CF21B9"/>
    <w:rsid w:val="00CF22CD"/>
    <w:rsid w:val="00CF403A"/>
    <w:rsid w:val="00CF48AE"/>
    <w:rsid w:val="00CF50BF"/>
    <w:rsid w:val="00CF5EF3"/>
    <w:rsid w:val="00CF62A3"/>
    <w:rsid w:val="00CF6767"/>
    <w:rsid w:val="00CF6BF9"/>
    <w:rsid w:val="00CF6EFD"/>
    <w:rsid w:val="00CF79A2"/>
    <w:rsid w:val="00CF7EC3"/>
    <w:rsid w:val="00CF7FED"/>
    <w:rsid w:val="00D00166"/>
    <w:rsid w:val="00D0056C"/>
    <w:rsid w:val="00D01587"/>
    <w:rsid w:val="00D02570"/>
    <w:rsid w:val="00D02A10"/>
    <w:rsid w:val="00D032B5"/>
    <w:rsid w:val="00D03800"/>
    <w:rsid w:val="00D03F29"/>
    <w:rsid w:val="00D045C7"/>
    <w:rsid w:val="00D04EAE"/>
    <w:rsid w:val="00D04F90"/>
    <w:rsid w:val="00D058C7"/>
    <w:rsid w:val="00D065D3"/>
    <w:rsid w:val="00D06AA6"/>
    <w:rsid w:val="00D06E77"/>
    <w:rsid w:val="00D0765E"/>
    <w:rsid w:val="00D10057"/>
    <w:rsid w:val="00D109DE"/>
    <w:rsid w:val="00D1141B"/>
    <w:rsid w:val="00D11908"/>
    <w:rsid w:val="00D11B4E"/>
    <w:rsid w:val="00D127D0"/>
    <w:rsid w:val="00D13138"/>
    <w:rsid w:val="00D13297"/>
    <w:rsid w:val="00D13C1E"/>
    <w:rsid w:val="00D14B7B"/>
    <w:rsid w:val="00D1630A"/>
    <w:rsid w:val="00D163A8"/>
    <w:rsid w:val="00D16D05"/>
    <w:rsid w:val="00D1752C"/>
    <w:rsid w:val="00D17F07"/>
    <w:rsid w:val="00D20B1E"/>
    <w:rsid w:val="00D2185A"/>
    <w:rsid w:val="00D218B3"/>
    <w:rsid w:val="00D22462"/>
    <w:rsid w:val="00D23266"/>
    <w:rsid w:val="00D23460"/>
    <w:rsid w:val="00D23527"/>
    <w:rsid w:val="00D238B3"/>
    <w:rsid w:val="00D238CB"/>
    <w:rsid w:val="00D24427"/>
    <w:rsid w:val="00D2489F"/>
    <w:rsid w:val="00D26683"/>
    <w:rsid w:val="00D26AFB"/>
    <w:rsid w:val="00D26B33"/>
    <w:rsid w:val="00D26BBC"/>
    <w:rsid w:val="00D300DD"/>
    <w:rsid w:val="00D30C15"/>
    <w:rsid w:val="00D30C66"/>
    <w:rsid w:val="00D3145F"/>
    <w:rsid w:val="00D31B41"/>
    <w:rsid w:val="00D31EA2"/>
    <w:rsid w:val="00D31EE7"/>
    <w:rsid w:val="00D320C4"/>
    <w:rsid w:val="00D32E62"/>
    <w:rsid w:val="00D3333B"/>
    <w:rsid w:val="00D333DE"/>
    <w:rsid w:val="00D335B0"/>
    <w:rsid w:val="00D336B1"/>
    <w:rsid w:val="00D353C9"/>
    <w:rsid w:val="00D36033"/>
    <w:rsid w:val="00D369C3"/>
    <w:rsid w:val="00D373CB"/>
    <w:rsid w:val="00D3771C"/>
    <w:rsid w:val="00D37C84"/>
    <w:rsid w:val="00D4024D"/>
    <w:rsid w:val="00D40294"/>
    <w:rsid w:val="00D40DD6"/>
    <w:rsid w:val="00D45180"/>
    <w:rsid w:val="00D451C0"/>
    <w:rsid w:val="00D45E9A"/>
    <w:rsid w:val="00D464BF"/>
    <w:rsid w:val="00D47228"/>
    <w:rsid w:val="00D47542"/>
    <w:rsid w:val="00D47DE8"/>
    <w:rsid w:val="00D50A58"/>
    <w:rsid w:val="00D511FA"/>
    <w:rsid w:val="00D51345"/>
    <w:rsid w:val="00D527F4"/>
    <w:rsid w:val="00D52B00"/>
    <w:rsid w:val="00D52FBD"/>
    <w:rsid w:val="00D53E26"/>
    <w:rsid w:val="00D5401E"/>
    <w:rsid w:val="00D547EF"/>
    <w:rsid w:val="00D5482F"/>
    <w:rsid w:val="00D55DC7"/>
    <w:rsid w:val="00D560F7"/>
    <w:rsid w:val="00D562E1"/>
    <w:rsid w:val="00D570D6"/>
    <w:rsid w:val="00D57F49"/>
    <w:rsid w:val="00D606CA"/>
    <w:rsid w:val="00D60C2C"/>
    <w:rsid w:val="00D61985"/>
    <w:rsid w:val="00D61CAB"/>
    <w:rsid w:val="00D6225C"/>
    <w:rsid w:val="00D62329"/>
    <w:rsid w:val="00D627AD"/>
    <w:rsid w:val="00D63029"/>
    <w:rsid w:val="00D6311E"/>
    <w:rsid w:val="00D63405"/>
    <w:rsid w:val="00D6537B"/>
    <w:rsid w:val="00D657BE"/>
    <w:rsid w:val="00D65EC7"/>
    <w:rsid w:val="00D6752E"/>
    <w:rsid w:val="00D67851"/>
    <w:rsid w:val="00D70AC1"/>
    <w:rsid w:val="00D726F0"/>
    <w:rsid w:val="00D728D6"/>
    <w:rsid w:val="00D72BC8"/>
    <w:rsid w:val="00D73E4C"/>
    <w:rsid w:val="00D73F96"/>
    <w:rsid w:val="00D7404F"/>
    <w:rsid w:val="00D76772"/>
    <w:rsid w:val="00D77436"/>
    <w:rsid w:val="00D7748E"/>
    <w:rsid w:val="00D77988"/>
    <w:rsid w:val="00D80AC5"/>
    <w:rsid w:val="00D80BE3"/>
    <w:rsid w:val="00D80E82"/>
    <w:rsid w:val="00D81392"/>
    <w:rsid w:val="00D81432"/>
    <w:rsid w:val="00D81E42"/>
    <w:rsid w:val="00D82A48"/>
    <w:rsid w:val="00D82E7F"/>
    <w:rsid w:val="00D83874"/>
    <w:rsid w:val="00D8394C"/>
    <w:rsid w:val="00D83C2C"/>
    <w:rsid w:val="00D8403F"/>
    <w:rsid w:val="00D8465A"/>
    <w:rsid w:val="00D84855"/>
    <w:rsid w:val="00D850E9"/>
    <w:rsid w:val="00D8675A"/>
    <w:rsid w:val="00D86ACD"/>
    <w:rsid w:val="00D8713F"/>
    <w:rsid w:val="00D90497"/>
    <w:rsid w:val="00D90679"/>
    <w:rsid w:val="00D9085E"/>
    <w:rsid w:val="00D90B73"/>
    <w:rsid w:val="00D915C5"/>
    <w:rsid w:val="00D9206F"/>
    <w:rsid w:val="00D927B0"/>
    <w:rsid w:val="00D92849"/>
    <w:rsid w:val="00D92C96"/>
    <w:rsid w:val="00D93573"/>
    <w:rsid w:val="00D93779"/>
    <w:rsid w:val="00D93818"/>
    <w:rsid w:val="00D94920"/>
    <w:rsid w:val="00D94F88"/>
    <w:rsid w:val="00D9523E"/>
    <w:rsid w:val="00D95BAE"/>
    <w:rsid w:val="00D96F67"/>
    <w:rsid w:val="00D96F6B"/>
    <w:rsid w:val="00D9731A"/>
    <w:rsid w:val="00D9795B"/>
    <w:rsid w:val="00D97A7D"/>
    <w:rsid w:val="00D97B4A"/>
    <w:rsid w:val="00D97E7C"/>
    <w:rsid w:val="00DA00CD"/>
    <w:rsid w:val="00DA0B6E"/>
    <w:rsid w:val="00DA1407"/>
    <w:rsid w:val="00DA17AA"/>
    <w:rsid w:val="00DA1850"/>
    <w:rsid w:val="00DA1F39"/>
    <w:rsid w:val="00DA1F9B"/>
    <w:rsid w:val="00DA254E"/>
    <w:rsid w:val="00DA30E1"/>
    <w:rsid w:val="00DA3A45"/>
    <w:rsid w:val="00DA3F77"/>
    <w:rsid w:val="00DA494F"/>
    <w:rsid w:val="00DA4B78"/>
    <w:rsid w:val="00DA52FD"/>
    <w:rsid w:val="00DA5844"/>
    <w:rsid w:val="00DA5A0E"/>
    <w:rsid w:val="00DA5F25"/>
    <w:rsid w:val="00DA79F7"/>
    <w:rsid w:val="00DB0124"/>
    <w:rsid w:val="00DB0425"/>
    <w:rsid w:val="00DB0689"/>
    <w:rsid w:val="00DB230D"/>
    <w:rsid w:val="00DB3870"/>
    <w:rsid w:val="00DB468D"/>
    <w:rsid w:val="00DB4B44"/>
    <w:rsid w:val="00DB5492"/>
    <w:rsid w:val="00DB559B"/>
    <w:rsid w:val="00DB5B98"/>
    <w:rsid w:val="00DB66C5"/>
    <w:rsid w:val="00DB68ED"/>
    <w:rsid w:val="00DB6D76"/>
    <w:rsid w:val="00DB73DD"/>
    <w:rsid w:val="00DB744D"/>
    <w:rsid w:val="00DB7CC5"/>
    <w:rsid w:val="00DB7DC3"/>
    <w:rsid w:val="00DB7E73"/>
    <w:rsid w:val="00DC049C"/>
    <w:rsid w:val="00DC0975"/>
    <w:rsid w:val="00DC0A27"/>
    <w:rsid w:val="00DC1227"/>
    <w:rsid w:val="00DC1B38"/>
    <w:rsid w:val="00DC27CE"/>
    <w:rsid w:val="00DC301F"/>
    <w:rsid w:val="00DC30AC"/>
    <w:rsid w:val="00DC38B8"/>
    <w:rsid w:val="00DC39E2"/>
    <w:rsid w:val="00DC6BF6"/>
    <w:rsid w:val="00DC6FA9"/>
    <w:rsid w:val="00DC7233"/>
    <w:rsid w:val="00DC7FA9"/>
    <w:rsid w:val="00DD088C"/>
    <w:rsid w:val="00DD1B49"/>
    <w:rsid w:val="00DD2CBE"/>
    <w:rsid w:val="00DD35EE"/>
    <w:rsid w:val="00DD38E6"/>
    <w:rsid w:val="00DD393C"/>
    <w:rsid w:val="00DD4D31"/>
    <w:rsid w:val="00DD4F0E"/>
    <w:rsid w:val="00DD5E79"/>
    <w:rsid w:val="00DD6567"/>
    <w:rsid w:val="00DD69F2"/>
    <w:rsid w:val="00DD6FA0"/>
    <w:rsid w:val="00DD7CA4"/>
    <w:rsid w:val="00DD7E68"/>
    <w:rsid w:val="00DE056C"/>
    <w:rsid w:val="00DE0C57"/>
    <w:rsid w:val="00DE114F"/>
    <w:rsid w:val="00DE1880"/>
    <w:rsid w:val="00DE18C7"/>
    <w:rsid w:val="00DE1A06"/>
    <w:rsid w:val="00DE1A62"/>
    <w:rsid w:val="00DE263D"/>
    <w:rsid w:val="00DE26D6"/>
    <w:rsid w:val="00DE3498"/>
    <w:rsid w:val="00DE3E92"/>
    <w:rsid w:val="00DE41F3"/>
    <w:rsid w:val="00DE4857"/>
    <w:rsid w:val="00DE4BF8"/>
    <w:rsid w:val="00DE4C18"/>
    <w:rsid w:val="00DE4FB0"/>
    <w:rsid w:val="00DE5853"/>
    <w:rsid w:val="00DE5B4F"/>
    <w:rsid w:val="00DE6A3B"/>
    <w:rsid w:val="00DE79A3"/>
    <w:rsid w:val="00DF06C5"/>
    <w:rsid w:val="00DF0A30"/>
    <w:rsid w:val="00DF1EF8"/>
    <w:rsid w:val="00DF2957"/>
    <w:rsid w:val="00DF38CE"/>
    <w:rsid w:val="00DF3BF9"/>
    <w:rsid w:val="00DF3C4A"/>
    <w:rsid w:val="00DF3E60"/>
    <w:rsid w:val="00DF5013"/>
    <w:rsid w:val="00DF55E0"/>
    <w:rsid w:val="00DF611B"/>
    <w:rsid w:val="00DF6BB4"/>
    <w:rsid w:val="00DF763D"/>
    <w:rsid w:val="00DF79E5"/>
    <w:rsid w:val="00DF7A28"/>
    <w:rsid w:val="00E003FF"/>
    <w:rsid w:val="00E0072B"/>
    <w:rsid w:val="00E00C30"/>
    <w:rsid w:val="00E00E80"/>
    <w:rsid w:val="00E03843"/>
    <w:rsid w:val="00E03E72"/>
    <w:rsid w:val="00E04385"/>
    <w:rsid w:val="00E044A7"/>
    <w:rsid w:val="00E046CE"/>
    <w:rsid w:val="00E04C05"/>
    <w:rsid w:val="00E070E5"/>
    <w:rsid w:val="00E079E5"/>
    <w:rsid w:val="00E11573"/>
    <w:rsid w:val="00E1243F"/>
    <w:rsid w:val="00E12509"/>
    <w:rsid w:val="00E133A6"/>
    <w:rsid w:val="00E14D72"/>
    <w:rsid w:val="00E1539D"/>
    <w:rsid w:val="00E15E36"/>
    <w:rsid w:val="00E17342"/>
    <w:rsid w:val="00E174C2"/>
    <w:rsid w:val="00E21C91"/>
    <w:rsid w:val="00E225DE"/>
    <w:rsid w:val="00E22ACD"/>
    <w:rsid w:val="00E24E84"/>
    <w:rsid w:val="00E2584D"/>
    <w:rsid w:val="00E25C2E"/>
    <w:rsid w:val="00E26CA4"/>
    <w:rsid w:val="00E26D62"/>
    <w:rsid w:val="00E27BEE"/>
    <w:rsid w:val="00E33082"/>
    <w:rsid w:val="00E3315D"/>
    <w:rsid w:val="00E338D4"/>
    <w:rsid w:val="00E3518A"/>
    <w:rsid w:val="00E353F6"/>
    <w:rsid w:val="00E354DF"/>
    <w:rsid w:val="00E35542"/>
    <w:rsid w:val="00E35581"/>
    <w:rsid w:val="00E371D8"/>
    <w:rsid w:val="00E37E6E"/>
    <w:rsid w:val="00E41921"/>
    <w:rsid w:val="00E42591"/>
    <w:rsid w:val="00E42852"/>
    <w:rsid w:val="00E43320"/>
    <w:rsid w:val="00E446D3"/>
    <w:rsid w:val="00E449AE"/>
    <w:rsid w:val="00E44A02"/>
    <w:rsid w:val="00E44B14"/>
    <w:rsid w:val="00E44B45"/>
    <w:rsid w:val="00E44EC2"/>
    <w:rsid w:val="00E44F4F"/>
    <w:rsid w:val="00E453D6"/>
    <w:rsid w:val="00E45615"/>
    <w:rsid w:val="00E46062"/>
    <w:rsid w:val="00E4614C"/>
    <w:rsid w:val="00E4637C"/>
    <w:rsid w:val="00E46AE8"/>
    <w:rsid w:val="00E479C0"/>
    <w:rsid w:val="00E47C5A"/>
    <w:rsid w:val="00E506A9"/>
    <w:rsid w:val="00E50FEF"/>
    <w:rsid w:val="00E513DD"/>
    <w:rsid w:val="00E5157E"/>
    <w:rsid w:val="00E52792"/>
    <w:rsid w:val="00E52A7D"/>
    <w:rsid w:val="00E52BDA"/>
    <w:rsid w:val="00E530FF"/>
    <w:rsid w:val="00E534CF"/>
    <w:rsid w:val="00E538F4"/>
    <w:rsid w:val="00E54BB6"/>
    <w:rsid w:val="00E54C70"/>
    <w:rsid w:val="00E56080"/>
    <w:rsid w:val="00E5724F"/>
    <w:rsid w:val="00E57CF2"/>
    <w:rsid w:val="00E57DBE"/>
    <w:rsid w:val="00E6032A"/>
    <w:rsid w:val="00E606B7"/>
    <w:rsid w:val="00E60D28"/>
    <w:rsid w:val="00E60D38"/>
    <w:rsid w:val="00E616D4"/>
    <w:rsid w:val="00E61E92"/>
    <w:rsid w:val="00E624EA"/>
    <w:rsid w:val="00E62FA5"/>
    <w:rsid w:val="00E63E5A"/>
    <w:rsid w:val="00E64559"/>
    <w:rsid w:val="00E652BF"/>
    <w:rsid w:val="00E6549A"/>
    <w:rsid w:val="00E65BDC"/>
    <w:rsid w:val="00E674B3"/>
    <w:rsid w:val="00E67571"/>
    <w:rsid w:val="00E67A9F"/>
    <w:rsid w:val="00E7168A"/>
    <w:rsid w:val="00E71BAA"/>
    <w:rsid w:val="00E71C5E"/>
    <w:rsid w:val="00E71D32"/>
    <w:rsid w:val="00E72857"/>
    <w:rsid w:val="00E73529"/>
    <w:rsid w:val="00E73E51"/>
    <w:rsid w:val="00E74985"/>
    <w:rsid w:val="00E751AC"/>
    <w:rsid w:val="00E75716"/>
    <w:rsid w:val="00E777F1"/>
    <w:rsid w:val="00E77D95"/>
    <w:rsid w:val="00E806A0"/>
    <w:rsid w:val="00E80DC1"/>
    <w:rsid w:val="00E822B5"/>
    <w:rsid w:val="00E8388C"/>
    <w:rsid w:val="00E83D51"/>
    <w:rsid w:val="00E84936"/>
    <w:rsid w:val="00E84990"/>
    <w:rsid w:val="00E85E70"/>
    <w:rsid w:val="00E86530"/>
    <w:rsid w:val="00E86C4E"/>
    <w:rsid w:val="00E86FE3"/>
    <w:rsid w:val="00E87470"/>
    <w:rsid w:val="00E87D23"/>
    <w:rsid w:val="00E87D54"/>
    <w:rsid w:val="00E90559"/>
    <w:rsid w:val="00E90E22"/>
    <w:rsid w:val="00E91946"/>
    <w:rsid w:val="00E91D8E"/>
    <w:rsid w:val="00E91FB2"/>
    <w:rsid w:val="00E9299F"/>
    <w:rsid w:val="00E929F5"/>
    <w:rsid w:val="00E937C9"/>
    <w:rsid w:val="00E93A92"/>
    <w:rsid w:val="00E96D4C"/>
    <w:rsid w:val="00E97117"/>
    <w:rsid w:val="00E978C4"/>
    <w:rsid w:val="00E97EC2"/>
    <w:rsid w:val="00EA0752"/>
    <w:rsid w:val="00EA1826"/>
    <w:rsid w:val="00EA1B76"/>
    <w:rsid w:val="00EA384F"/>
    <w:rsid w:val="00EA471F"/>
    <w:rsid w:val="00EA4A44"/>
    <w:rsid w:val="00EA60A8"/>
    <w:rsid w:val="00EA71E8"/>
    <w:rsid w:val="00EA7B7C"/>
    <w:rsid w:val="00EB000A"/>
    <w:rsid w:val="00EB137F"/>
    <w:rsid w:val="00EB2450"/>
    <w:rsid w:val="00EB256C"/>
    <w:rsid w:val="00EB31C1"/>
    <w:rsid w:val="00EB373C"/>
    <w:rsid w:val="00EB37BE"/>
    <w:rsid w:val="00EB3874"/>
    <w:rsid w:val="00EB3FEF"/>
    <w:rsid w:val="00EB5BDC"/>
    <w:rsid w:val="00EB5E0B"/>
    <w:rsid w:val="00EB6B06"/>
    <w:rsid w:val="00EB6D82"/>
    <w:rsid w:val="00EB7106"/>
    <w:rsid w:val="00EC0AEA"/>
    <w:rsid w:val="00EC118C"/>
    <w:rsid w:val="00EC159C"/>
    <w:rsid w:val="00EC208F"/>
    <w:rsid w:val="00EC20E0"/>
    <w:rsid w:val="00EC25D8"/>
    <w:rsid w:val="00EC2917"/>
    <w:rsid w:val="00EC2D13"/>
    <w:rsid w:val="00EC3439"/>
    <w:rsid w:val="00EC3723"/>
    <w:rsid w:val="00EC4044"/>
    <w:rsid w:val="00EC444E"/>
    <w:rsid w:val="00EC4691"/>
    <w:rsid w:val="00EC4862"/>
    <w:rsid w:val="00EC4D6D"/>
    <w:rsid w:val="00EC5128"/>
    <w:rsid w:val="00EC52D4"/>
    <w:rsid w:val="00EC6414"/>
    <w:rsid w:val="00EC65B7"/>
    <w:rsid w:val="00EC7750"/>
    <w:rsid w:val="00ED17C8"/>
    <w:rsid w:val="00ED19F9"/>
    <w:rsid w:val="00ED20D2"/>
    <w:rsid w:val="00ED2AF3"/>
    <w:rsid w:val="00ED2BE3"/>
    <w:rsid w:val="00ED385B"/>
    <w:rsid w:val="00ED3F1E"/>
    <w:rsid w:val="00ED514A"/>
    <w:rsid w:val="00ED55C6"/>
    <w:rsid w:val="00ED5F82"/>
    <w:rsid w:val="00ED6319"/>
    <w:rsid w:val="00ED6FBF"/>
    <w:rsid w:val="00ED776D"/>
    <w:rsid w:val="00ED782F"/>
    <w:rsid w:val="00ED7C90"/>
    <w:rsid w:val="00ED7F05"/>
    <w:rsid w:val="00EE0523"/>
    <w:rsid w:val="00EE1284"/>
    <w:rsid w:val="00EE1EB4"/>
    <w:rsid w:val="00EE20E8"/>
    <w:rsid w:val="00EE21FC"/>
    <w:rsid w:val="00EE28AB"/>
    <w:rsid w:val="00EE2E6E"/>
    <w:rsid w:val="00EE2EFB"/>
    <w:rsid w:val="00EE3D3B"/>
    <w:rsid w:val="00EE3EA3"/>
    <w:rsid w:val="00EE431C"/>
    <w:rsid w:val="00EE46C7"/>
    <w:rsid w:val="00EE48C6"/>
    <w:rsid w:val="00EE4C04"/>
    <w:rsid w:val="00EE4E64"/>
    <w:rsid w:val="00EE5170"/>
    <w:rsid w:val="00EE77CE"/>
    <w:rsid w:val="00EE7889"/>
    <w:rsid w:val="00EF1076"/>
    <w:rsid w:val="00EF1415"/>
    <w:rsid w:val="00EF1A72"/>
    <w:rsid w:val="00EF25BC"/>
    <w:rsid w:val="00EF35B3"/>
    <w:rsid w:val="00EF38F6"/>
    <w:rsid w:val="00EF3A99"/>
    <w:rsid w:val="00EF55A4"/>
    <w:rsid w:val="00EF55E7"/>
    <w:rsid w:val="00EF59A6"/>
    <w:rsid w:val="00EF7207"/>
    <w:rsid w:val="00EF73D9"/>
    <w:rsid w:val="00EF751F"/>
    <w:rsid w:val="00EF778E"/>
    <w:rsid w:val="00EF79B9"/>
    <w:rsid w:val="00F0017D"/>
    <w:rsid w:val="00F01017"/>
    <w:rsid w:val="00F0103D"/>
    <w:rsid w:val="00F012AC"/>
    <w:rsid w:val="00F01D99"/>
    <w:rsid w:val="00F0207C"/>
    <w:rsid w:val="00F031CF"/>
    <w:rsid w:val="00F0393C"/>
    <w:rsid w:val="00F0435A"/>
    <w:rsid w:val="00F04930"/>
    <w:rsid w:val="00F04D65"/>
    <w:rsid w:val="00F057C7"/>
    <w:rsid w:val="00F059FB"/>
    <w:rsid w:val="00F05E15"/>
    <w:rsid w:val="00F06AB8"/>
    <w:rsid w:val="00F06B20"/>
    <w:rsid w:val="00F0759E"/>
    <w:rsid w:val="00F0763B"/>
    <w:rsid w:val="00F076F4"/>
    <w:rsid w:val="00F077F6"/>
    <w:rsid w:val="00F105E5"/>
    <w:rsid w:val="00F119E7"/>
    <w:rsid w:val="00F11B23"/>
    <w:rsid w:val="00F149D0"/>
    <w:rsid w:val="00F15171"/>
    <w:rsid w:val="00F15DE3"/>
    <w:rsid w:val="00F16731"/>
    <w:rsid w:val="00F16F27"/>
    <w:rsid w:val="00F17498"/>
    <w:rsid w:val="00F176D8"/>
    <w:rsid w:val="00F17804"/>
    <w:rsid w:val="00F20106"/>
    <w:rsid w:val="00F20C4E"/>
    <w:rsid w:val="00F212B8"/>
    <w:rsid w:val="00F225AF"/>
    <w:rsid w:val="00F24347"/>
    <w:rsid w:val="00F2456F"/>
    <w:rsid w:val="00F24848"/>
    <w:rsid w:val="00F25930"/>
    <w:rsid w:val="00F259BF"/>
    <w:rsid w:val="00F26551"/>
    <w:rsid w:val="00F304FA"/>
    <w:rsid w:val="00F305B5"/>
    <w:rsid w:val="00F30A1E"/>
    <w:rsid w:val="00F30F24"/>
    <w:rsid w:val="00F314C2"/>
    <w:rsid w:val="00F3163A"/>
    <w:rsid w:val="00F317D2"/>
    <w:rsid w:val="00F32A72"/>
    <w:rsid w:val="00F33BB0"/>
    <w:rsid w:val="00F33E2F"/>
    <w:rsid w:val="00F33E94"/>
    <w:rsid w:val="00F33F45"/>
    <w:rsid w:val="00F34157"/>
    <w:rsid w:val="00F34194"/>
    <w:rsid w:val="00F3537F"/>
    <w:rsid w:val="00F35646"/>
    <w:rsid w:val="00F3567B"/>
    <w:rsid w:val="00F35F18"/>
    <w:rsid w:val="00F401C3"/>
    <w:rsid w:val="00F40A90"/>
    <w:rsid w:val="00F4135E"/>
    <w:rsid w:val="00F4192E"/>
    <w:rsid w:val="00F41E77"/>
    <w:rsid w:val="00F4201E"/>
    <w:rsid w:val="00F424E7"/>
    <w:rsid w:val="00F429F8"/>
    <w:rsid w:val="00F42F5A"/>
    <w:rsid w:val="00F43E8A"/>
    <w:rsid w:val="00F442DD"/>
    <w:rsid w:val="00F45935"/>
    <w:rsid w:val="00F47321"/>
    <w:rsid w:val="00F477CA"/>
    <w:rsid w:val="00F47951"/>
    <w:rsid w:val="00F47BC1"/>
    <w:rsid w:val="00F51E3D"/>
    <w:rsid w:val="00F52822"/>
    <w:rsid w:val="00F53D63"/>
    <w:rsid w:val="00F54393"/>
    <w:rsid w:val="00F54BE8"/>
    <w:rsid w:val="00F5695C"/>
    <w:rsid w:val="00F5696E"/>
    <w:rsid w:val="00F5742C"/>
    <w:rsid w:val="00F57710"/>
    <w:rsid w:val="00F5776A"/>
    <w:rsid w:val="00F57E6A"/>
    <w:rsid w:val="00F60B56"/>
    <w:rsid w:val="00F60C1B"/>
    <w:rsid w:val="00F61319"/>
    <w:rsid w:val="00F61A01"/>
    <w:rsid w:val="00F62149"/>
    <w:rsid w:val="00F622A3"/>
    <w:rsid w:val="00F628E1"/>
    <w:rsid w:val="00F63C7A"/>
    <w:rsid w:val="00F63D53"/>
    <w:rsid w:val="00F63F0F"/>
    <w:rsid w:val="00F64618"/>
    <w:rsid w:val="00F64630"/>
    <w:rsid w:val="00F6465E"/>
    <w:rsid w:val="00F646BF"/>
    <w:rsid w:val="00F6568B"/>
    <w:rsid w:val="00F656EA"/>
    <w:rsid w:val="00F65D02"/>
    <w:rsid w:val="00F65EE2"/>
    <w:rsid w:val="00F66398"/>
    <w:rsid w:val="00F6645C"/>
    <w:rsid w:val="00F67F44"/>
    <w:rsid w:val="00F713A3"/>
    <w:rsid w:val="00F71C1E"/>
    <w:rsid w:val="00F72288"/>
    <w:rsid w:val="00F722CA"/>
    <w:rsid w:val="00F72365"/>
    <w:rsid w:val="00F727C7"/>
    <w:rsid w:val="00F72D61"/>
    <w:rsid w:val="00F73531"/>
    <w:rsid w:val="00F7418C"/>
    <w:rsid w:val="00F743E7"/>
    <w:rsid w:val="00F74864"/>
    <w:rsid w:val="00F767B8"/>
    <w:rsid w:val="00F767CA"/>
    <w:rsid w:val="00F76A7D"/>
    <w:rsid w:val="00F7707C"/>
    <w:rsid w:val="00F77872"/>
    <w:rsid w:val="00F80340"/>
    <w:rsid w:val="00F81C46"/>
    <w:rsid w:val="00F81EF3"/>
    <w:rsid w:val="00F8209F"/>
    <w:rsid w:val="00F82339"/>
    <w:rsid w:val="00F82FF6"/>
    <w:rsid w:val="00F84530"/>
    <w:rsid w:val="00F84811"/>
    <w:rsid w:val="00F85D49"/>
    <w:rsid w:val="00F85D83"/>
    <w:rsid w:val="00F85E27"/>
    <w:rsid w:val="00F864B5"/>
    <w:rsid w:val="00F86A1A"/>
    <w:rsid w:val="00F8701B"/>
    <w:rsid w:val="00F877C9"/>
    <w:rsid w:val="00F87834"/>
    <w:rsid w:val="00F907BA"/>
    <w:rsid w:val="00F90FD0"/>
    <w:rsid w:val="00F91D79"/>
    <w:rsid w:val="00F91E74"/>
    <w:rsid w:val="00F92181"/>
    <w:rsid w:val="00F9260D"/>
    <w:rsid w:val="00F92735"/>
    <w:rsid w:val="00F92AAF"/>
    <w:rsid w:val="00F930D4"/>
    <w:rsid w:val="00F94DB6"/>
    <w:rsid w:val="00F94FEB"/>
    <w:rsid w:val="00F96337"/>
    <w:rsid w:val="00F96AB7"/>
    <w:rsid w:val="00F96EC0"/>
    <w:rsid w:val="00FA0000"/>
    <w:rsid w:val="00FA08DD"/>
    <w:rsid w:val="00FA0B92"/>
    <w:rsid w:val="00FA0D66"/>
    <w:rsid w:val="00FA1155"/>
    <w:rsid w:val="00FA1533"/>
    <w:rsid w:val="00FA2779"/>
    <w:rsid w:val="00FA27A4"/>
    <w:rsid w:val="00FA28B5"/>
    <w:rsid w:val="00FA2E6C"/>
    <w:rsid w:val="00FA3038"/>
    <w:rsid w:val="00FA3575"/>
    <w:rsid w:val="00FA605A"/>
    <w:rsid w:val="00FA7786"/>
    <w:rsid w:val="00FB0507"/>
    <w:rsid w:val="00FB087C"/>
    <w:rsid w:val="00FB1D05"/>
    <w:rsid w:val="00FB202D"/>
    <w:rsid w:val="00FB2B38"/>
    <w:rsid w:val="00FB3762"/>
    <w:rsid w:val="00FB44F1"/>
    <w:rsid w:val="00FB483F"/>
    <w:rsid w:val="00FB52E3"/>
    <w:rsid w:val="00FB5427"/>
    <w:rsid w:val="00FB562A"/>
    <w:rsid w:val="00FB5ECF"/>
    <w:rsid w:val="00FB65FA"/>
    <w:rsid w:val="00FB6A47"/>
    <w:rsid w:val="00FB6D31"/>
    <w:rsid w:val="00FB75BA"/>
    <w:rsid w:val="00FC0400"/>
    <w:rsid w:val="00FC0DDC"/>
    <w:rsid w:val="00FC2450"/>
    <w:rsid w:val="00FC25A3"/>
    <w:rsid w:val="00FC3A23"/>
    <w:rsid w:val="00FC3A71"/>
    <w:rsid w:val="00FC3C5D"/>
    <w:rsid w:val="00FC45B0"/>
    <w:rsid w:val="00FC55A7"/>
    <w:rsid w:val="00FC58EF"/>
    <w:rsid w:val="00FC65B2"/>
    <w:rsid w:val="00FC697D"/>
    <w:rsid w:val="00FC709C"/>
    <w:rsid w:val="00FD0570"/>
    <w:rsid w:val="00FD1664"/>
    <w:rsid w:val="00FD1876"/>
    <w:rsid w:val="00FD1D52"/>
    <w:rsid w:val="00FD2225"/>
    <w:rsid w:val="00FD2445"/>
    <w:rsid w:val="00FD3F8F"/>
    <w:rsid w:val="00FD51AE"/>
    <w:rsid w:val="00FD5EA1"/>
    <w:rsid w:val="00FE027C"/>
    <w:rsid w:val="00FE0B76"/>
    <w:rsid w:val="00FE0FDD"/>
    <w:rsid w:val="00FE1EBB"/>
    <w:rsid w:val="00FE24A4"/>
    <w:rsid w:val="00FE2EB4"/>
    <w:rsid w:val="00FE51D8"/>
    <w:rsid w:val="00FE553A"/>
    <w:rsid w:val="00FE5B4D"/>
    <w:rsid w:val="00FE5C9B"/>
    <w:rsid w:val="00FE6DC1"/>
    <w:rsid w:val="00FE714F"/>
    <w:rsid w:val="00FE7196"/>
    <w:rsid w:val="00FE72A8"/>
    <w:rsid w:val="00FF07FD"/>
    <w:rsid w:val="00FF182B"/>
    <w:rsid w:val="00FF1E47"/>
    <w:rsid w:val="00FF28CA"/>
    <w:rsid w:val="00FF355A"/>
    <w:rsid w:val="00FF39C7"/>
    <w:rsid w:val="00FF4A6D"/>
    <w:rsid w:val="00FF54B4"/>
    <w:rsid w:val="00FF5746"/>
    <w:rsid w:val="00FF60A0"/>
    <w:rsid w:val="00FF692A"/>
    <w:rsid w:val="00FF7392"/>
    <w:rsid w:val="0110846A"/>
    <w:rsid w:val="0131A41C"/>
    <w:rsid w:val="01B686B5"/>
    <w:rsid w:val="01E2417A"/>
    <w:rsid w:val="01ED77FA"/>
    <w:rsid w:val="02024D3A"/>
    <w:rsid w:val="0212593C"/>
    <w:rsid w:val="021E0151"/>
    <w:rsid w:val="0224057D"/>
    <w:rsid w:val="0225EED7"/>
    <w:rsid w:val="02302A54"/>
    <w:rsid w:val="0244AAC5"/>
    <w:rsid w:val="02620BD1"/>
    <w:rsid w:val="02818C86"/>
    <w:rsid w:val="02E499D2"/>
    <w:rsid w:val="02FB97F5"/>
    <w:rsid w:val="0300368F"/>
    <w:rsid w:val="031E1F2E"/>
    <w:rsid w:val="034A1D7C"/>
    <w:rsid w:val="03CFB63B"/>
    <w:rsid w:val="040A0947"/>
    <w:rsid w:val="043474C5"/>
    <w:rsid w:val="0452E583"/>
    <w:rsid w:val="04647395"/>
    <w:rsid w:val="050F273D"/>
    <w:rsid w:val="05424145"/>
    <w:rsid w:val="060EBEA6"/>
    <w:rsid w:val="064FF5B1"/>
    <w:rsid w:val="0652EB09"/>
    <w:rsid w:val="070E68F5"/>
    <w:rsid w:val="0714A350"/>
    <w:rsid w:val="07BA8CD6"/>
    <w:rsid w:val="07FB19F0"/>
    <w:rsid w:val="0827931E"/>
    <w:rsid w:val="0864578D"/>
    <w:rsid w:val="08C8BE88"/>
    <w:rsid w:val="090491EF"/>
    <w:rsid w:val="09BE79B9"/>
    <w:rsid w:val="09C09C7B"/>
    <w:rsid w:val="09CC28BB"/>
    <w:rsid w:val="0A508E80"/>
    <w:rsid w:val="0A568D73"/>
    <w:rsid w:val="0B16FB49"/>
    <w:rsid w:val="0B2A2289"/>
    <w:rsid w:val="0B9470AE"/>
    <w:rsid w:val="0BA257AD"/>
    <w:rsid w:val="0BF6B626"/>
    <w:rsid w:val="0C19F6A6"/>
    <w:rsid w:val="0D139ED5"/>
    <w:rsid w:val="0D1A4423"/>
    <w:rsid w:val="0D238E9F"/>
    <w:rsid w:val="0D2410B0"/>
    <w:rsid w:val="0D2E9003"/>
    <w:rsid w:val="0D4FB0D8"/>
    <w:rsid w:val="0D5713C9"/>
    <w:rsid w:val="0E4CD261"/>
    <w:rsid w:val="0E50CC21"/>
    <w:rsid w:val="0E9EA520"/>
    <w:rsid w:val="0EAFE8E0"/>
    <w:rsid w:val="0EFB605B"/>
    <w:rsid w:val="0F2E109C"/>
    <w:rsid w:val="0F350347"/>
    <w:rsid w:val="0FAA63EE"/>
    <w:rsid w:val="0FB04D71"/>
    <w:rsid w:val="0FC667F2"/>
    <w:rsid w:val="0FFFC19C"/>
    <w:rsid w:val="101C7ED8"/>
    <w:rsid w:val="11025B10"/>
    <w:rsid w:val="116C0E94"/>
    <w:rsid w:val="11A9A5A6"/>
    <w:rsid w:val="11B8D0C8"/>
    <w:rsid w:val="12026EAF"/>
    <w:rsid w:val="1222EA44"/>
    <w:rsid w:val="1240A2CE"/>
    <w:rsid w:val="127A7DCB"/>
    <w:rsid w:val="1316AD37"/>
    <w:rsid w:val="139FE07C"/>
    <w:rsid w:val="13A2D4D9"/>
    <w:rsid w:val="13D99512"/>
    <w:rsid w:val="140E17A5"/>
    <w:rsid w:val="14F26069"/>
    <w:rsid w:val="14FDE255"/>
    <w:rsid w:val="157332CC"/>
    <w:rsid w:val="159EEF63"/>
    <w:rsid w:val="15ED466A"/>
    <w:rsid w:val="16B4D4A2"/>
    <w:rsid w:val="16CAD7BE"/>
    <w:rsid w:val="16DDB238"/>
    <w:rsid w:val="172EA757"/>
    <w:rsid w:val="1778C647"/>
    <w:rsid w:val="178DCA5C"/>
    <w:rsid w:val="17955D0A"/>
    <w:rsid w:val="17C473EE"/>
    <w:rsid w:val="17EAED89"/>
    <w:rsid w:val="182D4140"/>
    <w:rsid w:val="187C307A"/>
    <w:rsid w:val="19AA2BE0"/>
    <w:rsid w:val="1B2FB61F"/>
    <w:rsid w:val="1B37431B"/>
    <w:rsid w:val="1B53187D"/>
    <w:rsid w:val="1B63C041"/>
    <w:rsid w:val="1B992C67"/>
    <w:rsid w:val="1C153AE5"/>
    <w:rsid w:val="1C646EE4"/>
    <w:rsid w:val="1C73173A"/>
    <w:rsid w:val="1C9E40FD"/>
    <w:rsid w:val="1CDA8FCD"/>
    <w:rsid w:val="1D4819B9"/>
    <w:rsid w:val="1D4E12CE"/>
    <w:rsid w:val="1D9BF351"/>
    <w:rsid w:val="1E05A6B0"/>
    <w:rsid w:val="1E7F9468"/>
    <w:rsid w:val="1EBFE687"/>
    <w:rsid w:val="1ED0E3F5"/>
    <w:rsid w:val="1EFBDC75"/>
    <w:rsid w:val="1F486741"/>
    <w:rsid w:val="1FB9BFEF"/>
    <w:rsid w:val="1FE75F9B"/>
    <w:rsid w:val="200A6929"/>
    <w:rsid w:val="200D6163"/>
    <w:rsid w:val="20347F83"/>
    <w:rsid w:val="20646D14"/>
    <w:rsid w:val="20A4624A"/>
    <w:rsid w:val="20CBD4A7"/>
    <w:rsid w:val="20CD7888"/>
    <w:rsid w:val="20D159AB"/>
    <w:rsid w:val="20D81B4F"/>
    <w:rsid w:val="215889C3"/>
    <w:rsid w:val="21F78749"/>
    <w:rsid w:val="22456AFF"/>
    <w:rsid w:val="226C2EFE"/>
    <w:rsid w:val="226EA970"/>
    <w:rsid w:val="2290A195"/>
    <w:rsid w:val="22918BA6"/>
    <w:rsid w:val="22DB6F5F"/>
    <w:rsid w:val="22E1C190"/>
    <w:rsid w:val="22FF73BE"/>
    <w:rsid w:val="2313C8E4"/>
    <w:rsid w:val="23437B6E"/>
    <w:rsid w:val="239E65B1"/>
    <w:rsid w:val="23D4590D"/>
    <w:rsid w:val="23DCCBF5"/>
    <w:rsid w:val="23EAB1B3"/>
    <w:rsid w:val="23F7DA82"/>
    <w:rsid w:val="245BBFD7"/>
    <w:rsid w:val="24CDC93A"/>
    <w:rsid w:val="24D2AA49"/>
    <w:rsid w:val="2572A531"/>
    <w:rsid w:val="25789C56"/>
    <w:rsid w:val="25881EF9"/>
    <w:rsid w:val="25B421D8"/>
    <w:rsid w:val="25C4BB68"/>
    <w:rsid w:val="25CCF261"/>
    <w:rsid w:val="25DA88CB"/>
    <w:rsid w:val="25EFB9DA"/>
    <w:rsid w:val="25F965D8"/>
    <w:rsid w:val="264FB3FF"/>
    <w:rsid w:val="26A7944B"/>
    <w:rsid w:val="26E785EA"/>
    <w:rsid w:val="2721BAFD"/>
    <w:rsid w:val="273127D1"/>
    <w:rsid w:val="27981787"/>
    <w:rsid w:val="280A755B"/>
    <w:rsid w:val="282F754D"/>
    <w:rsid w:val="28612B68"/>
    <w:rsid w:val="28A04BE9"/>
    <w:rsid w:val="28A26C74"/>
    <w:rsid w:val="28AF1D3C"/>
    <w:rsid w:val="28BE341B"/>
    <w:rsid w:val="28CED27E"/>
    <w:rsid w:val="2963D8E0"/>
    <w:rsid w:val="29B1F70E"/>
    <w:rsid w:val="29F9A6CC"/>
    <w:rsid w:val="2A0EE497"/>
    <w:rsid w:val="2B176A5C"/>
    <w:rsid w:val="2B7FB33D"/>
    <w:rsid w:val="2BD0B5C5"/>
    <w:rsid w:val="2BE60576"/>
    <w:rsid w:val="2BE7DDDA"/>
    <w:rsid w:val="2C300F2E"/>
    <w:rsid w:val="2C4FDFA4"/>
    <w:rsid w:val="2C52604D"/>
    <w:rsid w:val="2CA038D1"/>
    <w:rsid w:val="2CB5FD44"/>
    <w:rsid w:val="2D0A09AD"/>
    <w:rsid w:val="2D24D76A"/>
    <w:rsid w:val="2D2D2683"/>
    <w:rsid w:val="2D3108AE"/>
    <w:rsid w:val="2D334BC8"/>
    <w:rsid w:val="2D485C4E"/>
    <w:rsid w:val="2D83AE3B"/>
    <w:rsid w:val="2D9763EC"/>
    <w:rsid w:val="2E0571F7"/>
    <w:rsid w:val="2E0C720F"/>
    <w:rsid w:val="2E14D486"/>
    <w:rsid w:val="2E33B5B2"/>
    <w:rsid w:val="2E7587A5"/>
    <w:rsid w:val="2E856831"/>
    <w:rsid w:val="2E99008B"/>
    <w:rsid w:val="2EB8E033"/>
    <w:rsid w:val="2F031234"/>
    <w:rsid w:val="2F06FD67"/>
    <w:rsid w:val="2F1F7E9C"/>
    <w:rsid w:val="2F2C683B"/>
    <w:rsid w:val="2FDEBC35"/>
    <w:rsid w:val="2FEF410A"/>
    <w:rsid w:val="3002A21B"/>
    <w:rsid w:val="3006E145"/>
    <w:rsid w:val="301A0410"/>
    <w:rsid w:val="3049BF33"/>
    <w:rsid w:val="304CE8DB"/>
    <w:rsid w:val="30814162"/>
    <w:rsid w:val="30A1C6DF"/>
    <w:rsid w:val="30BB4EFD"/>
    <w:rsid w:val="31618318"/>
    <w:rsid w:val="31769B13"/>
    <w:rsid w:val="31EC7DFF"/>
    <w:rsid w:val="327B9DC3"/>
    <w:rsid w:val="32DCB6B9"/>
    <w:rsid w:val="32E44DB7"/>
    <w:rsid w:val="330C166B"/>
    <w:rsid w:val="3324DA21"/>
    <w:rsid w:val="33D8EB1A"/>
    <w:rsid w:val="341DBE82"/>
    <w:rsid w:val="343629EE"/>
    <w:rsid w:val="344D227A"/>
    <w:rsid w:val="34874707"/>
    <w:rsid w:val="352F6FB8"/>
    <w:rsid w:val="3565A694"/>
    <w:rsid w:val="357477E7"/>
    <w:rsid w:val="358EC020"/>
    <w:rsid w:val="35C51686"/>
    <w:rsid w:val="35EE8C50"/>
    <w:rsid w:val="36695AB6"/>
    <w:rsid w:val="3669BE37"/>
    <w:rsid w:val="36A94D0D"/>
    <w:rsid w:val="36F3E744"/>
    <w:rsid w:val="37025D42"/>
    <w:rsid w:val="370F9F90"/>
    <w:rsid w:val="3713A95E"/>
    <w:rsid w:val="371666E9"/>
    <w:rsid w:val="37EDAD32"/>
    <w:rsid w:val="37F560B6"/>
    <w:rsid w:val="37FD3D91"/>
    <w:rsid w:val="3805C775"/>
    <w:rsid w:val="382C4A77"/>
    <w:rsid w:val="387C1773"/>
    <w:rsid w:val="388CBFFB"/>
    <w:rsid w:val="390D8A51"/>
    <w:rsid w:val="39212B15"/>
    <w:rsid w:val="392D570D"/>
    <w:rsid w:val="396CDF9F"/>
    <w:rsid w:val="3976644D"/>
    <w:rsid w:val="3980BCD6"/>
    <w:rsid w:val="3981ACF8"/>
    <w:rsid w:val="39DF9E59"/>
    <w:rsid w:val="3A0D66FF"/>
    <w:rsid w:val="3A22B769"/>
    <w:rsid w:val="3A623143"/>
    <w:rsid w:val="3AB2E2E1"/>
    <w:rsid w:val="3ABD6FE0"/>
    <w:rsid w:val="3AE93461"/>
    <w:rsid w:val="3B26B190"/>
    <w:rsid w:val="3B40A03E"/>
    <w:rsid w:val="3B50B5BE"/>
    <w:rsid w:val="3BC537D0"/>
    <w:rsid w:val="3BE252DA"/>
    <w:rsid w:val="3BE878CA"/>
    <w:rsid w:val="3C32BEC1"/>
    <w:rsid w:val="3C4C8E06"/>
    <w:rsid w:val="3C553F07"/>
    <w:rsid w:val="3C9CE0DB"/>
    <w:rsid w:val="3CD0AEB4"/>
    <w:rsid w:val="3D13E934"/>
    <w:rsid w:val="3D625C2D"/>
    <w:rsid w:val="3D6E5315"/>
    <w:rsid w:val="3D8FF127"/>
    <w:rsid w:val="3DC71262"/>
    <w:rsid w:val="3DF3841E"/>
    <w:rsid w:val="3DF3D1EF"/>
    <w:rsid w:val="3E55D078"/>
    <w:rsid w:val="3E9E1536"/>
    <w:rsid w:val="3EA60D3B"/>
    <w:rsid w:val="3EDBC6CB"/>
    <w:rsid w:val="3F51CE9E"/>
    <w:rsid w:val="3F7C9B25"/>
    <w:rsid w:val="400F1D20"/>
    <w:rsid w:val="403ADC9E"/>
    <w:rsid w:val="403F7306"/>
    <w:rsid w:val="4044D212"/>
    <w:rsid w:val="409A2FC0"/>
    <w:rsid w:val="409D4561"/>
    <w:rsid w:val="40CBB172"/>
    <w:rsid w:val="411BDD15"/>
    <w:rsid w:val="41366C76"/>
    <w:rsid w:val="41773936"/>
    <w:rsid w:val="4204B8CC"/>
    <w:rsid w:val="42249279"/>
    <w:rsid w:val="429FD050"/>
    <w:rsid w:val="42CC32AA"/>
    <w:rsid w:val="42D78E13"/>
    <w:rsid w:val="42FAFF2A"/>
    <w:rsid w:val="4306CAA9"/>
    <w:rsid w:val="43474B2C"/>
    <w:rsid w:val="436AB5B0"/>
    <w:rsid w:val="43D90409"/>
    <w:rsid w:val="4506F859"/>
    <w:rsid w:val="450729CC"/>
    <w:rsid w:val="451A2BC3"/>
    <w:rsid w:val="45362625"/>
    <w:rsid w:val="45E56815"/>
    <w:rsid w:val="45F78EC1"/>
    <w:rsid w:val="461A0F07"/>
    <w:rsid w:val="461ECC57"/>
    <w:rsid w:val="46320874"/>
    <w:rsid w:val="464707A3"/>
    <w:rsid w:val="4655F44A"/>
    <w:rsid w:val="46943419"/>
    <w:rsid w:val="46AB84C9"/>
    <w:rsid w:val="46FC4DDD"/>
    <w:rsid w:val="47189251"/>
    <w:rsid w:val="4727F676"/>
    <w:rsid w:val="4754F3F8"/>
    <w:rsid w:val="4769C53C"/>
    <w:rsid w:val="4781BEA9"/>
    <w:rsid w:val="479DA63C"/>
    <w:rsid w:val="47AEEEFC"/>
    <w:rsid w:val="47F3E5EB"/>
    <w:rsid w:val="47FF93A7"/>
    <w:rsid w:val="4813346B"/>
    <w:rsid w:val="482333FD"/>
    <w:rsid w:val="48A4B551"/>
    <w:rsid w:val="48B81AAB"/>
    <w:rsid w:val="48EB9ABE"/>
    <w:rsid w:val="490637DF"/>
    <w:rsid w:val="49163FA9"/>
    <w:rsid w:val="4916D16F"/>
    <w:rsid w:val="4953EE80"/>
    <w:rsid w:val="4988C5E0"/>
    <w:rsid w:val="49D431E3"/>
    <w:rsid w:val="49ED0B4F"/>
    <w:rsid w:val="4A020F64"/>
    <w:rsid w:val="4A32023E"/>
    <w:rsid w:val="4A427B42"/>
    <w:rsid w:val="4A503313"/>
    <w:rsid w:val="4AAAB44A"/>
    <w:rsid w:val="4ACA8CD1"/>
    <w:rsid w:val="4AE15FD9"/>
    <w:rsid w:val="4B227CE6"/>
    <w:rsid w:val="4B22E67A"/>
    <w:rsid w:val="4B52EFA3"/>
    <w:rsid w:val="4BBACBBD"/>
    <w:rsid w:val="4C10E19A"/>
    <w:rsid w:val="4C17CD0A"/>
    <w:rsid w:val="4C65AC79"/>
    <w:rsid w:val="4C7AD83B"/>
    <w:rsid w:val="4C7D303A"/>
    <w:rsid w:val="4CB98243"/>
    <w:rsid w:val="4D11EE30"/>
    <w:rsid w:val="4D2B1E2C"/>
    <w:rsid w:val="4DC595C0"/>
    <w:rsid w:val="4DCA8E70"/>
    <w:rsid w:val="4DD2E934"/>
    <w:rsid w:val="4EC8FB8F"/>
    <w:rsid w:val="4EE7A30B"/>
    <w:rsid w:val="4F0C7F27"/>
    <w:rsid w:val="4F29D99F"/>
    <w:rsid w:val="4F430317"/>
    <w:rsid w:val="4FAC44EC"/>
    <w:rsid w:val="4FB4D0FC"/>
    <w:rsid w:val="4FB5552F"/>
    <w:rsid w:val="4FD6307C"/>
    <w:rsid w:val="503D8099"/>
    <w:rsid w:val="507F3C8A"/>
    <w:rsid w:val="50A64C3A"/>
    <w:rsid w:val="50E99E4D"/>
    <w:rsid w:val="51290D23"/>
    <w:rsid w:val="5188D001"/>
    <w:rsid w:val="519E4BEE"/>
    <w:rsid w:val="51C79DAC"/>
    <w:rsid w:val="51CD872F"/>
    <w:rsid w:val="523C7CAB"/>
    <w:rsid w:val="524A2BAD"/>
    <w:rsid w:val="525EFCF1"/>
    <w:rsid w:val="528F7846"/>
    <w:rsid w:val="529677AF"/>
    <w:rsid w:val="532CB1A0"/>
    <w:rsid w:val="5388A12A"/>
    <w:rsid w:val="53B7C706"/>
    <w:rsid w:val="53DDECFC"/>
    <w:rsid w:val="53F71559"/>
    <w:rsid w:val="5420FBBB"/>
    <w:rsid w:val="548B75C0"/>
    <w:rsid w:val="54959160"/>
    <w:rsid w:val="555BBF59"/>
    <w:rsid w:val="55A0B648"/>
    <w:rsid w:val="55A1251D"/>
    <w:rsid w:val="55B7BCC9"/>
    <w:rsid w:val="55BA7F54"/>
    <w:rsid w:val="55CDB3CA"/>
    <w:rsid w:val="55E2850E"/>
    <w:rsid w:val="55F33850"/>
    <w:rsid w:val="563663BE"/>
    <w:rsid w:val="564E8FFC"/>
    <w:rsid w:val="5673FAD0"/>
    <w:rsid w:val="56B25ABA"/>
    <w:rsid w:val="56BC53E7"/>
    <w:rsid w:val="56C82F72"/>
    <w:rsid w:val="57062364"/>
    <w:rsid w:val="5737C603"/>
    <w:rsid w:val="57A757DD"/>
    <w:rsid w:val="57E95974"/>
    <w:rsid w:val="57F30C67"/>
    <w:rsid w:val="5820A161"/>
    <w:rsid w:val="5846B796"/>
    <w:rsid w:val="584DD1B4"/>
    <w:rsid w:val="5863FFD3"/>
    <w:rsid w:val="5865CB21"/>
    <w:rsid w:val="588084D4"/>
    <w:rsid w:val="58B15E1F"/>
    <w:rsid w:val="58C97918"/>
    <w:rsid w:val="58F60EBB"/>
    <w:rsid w:val="5906B89D"/>
    <w:rsid w:val="5910EEC7"/>
    <w:rsid w:val="5913A7E9"/>
    <w:rsid w:val="59301EF2"/>
    <w:rsid w:val="59344F06"/>
    <w:rsid w:val="59685394"/>
    <w:rsid w:val="599ADC83"/>
    <w:rsid w:val="5A2F6A26"/>
    <w:rsid w:val="5A4700E7"/>
    <w:rsid w:val="5A6EE5BB"/>
    <w:rsid w:val="5A8170CB"/>
    <w:rsid w:val="5A964FED"/>
    <w:rsid w:val="5AD1E744"/>
    <w:rsid w:val="5AFAC4CB"/>
    <w:rsid w:val="5AFDE278"/>
    <w:rsid w:val="5B1A1438"/>
    <w:rsid w:val="5B6C3CDA"/>
    <w:rsid w:val="5C12D535"/>
    <w:rsid w:val="5C43AE03"/>
    <w:rsid w:val="5C9C38B1"/>
    <w:rsid w:val="5D0E5AE4"/>
    <w:rsid w:val="5D2875BE"/>
    <w:rsid w:val="5D361EE5"/>
    <w:rsid w:val="5DC25FD9"/>
    <w:rsid w:val="5DF04ADB"/>
    <w:rsid w:val="5E097093"/>
    <w:rsid w:val="5E90BEE3"/>
    <w:rsid w:val="5E971400"/>
    <w:rsid w:val="5EB35C7E"/>
    <w:rsid w:val="5ECFD959"/>
    <w:rsid w:val="5F15BDC0"/>
    <w:rsid w:val="5F2CD9B9"/>
    <w:rsid w:val="5F8E918F"/>
    <w:rsid w:val="5F973FD8"/>
    <w:rsid w:val="5FBCA156"/>
    <w:rsid w:val="5FC0B478"/>
    <w:rsid w:val="60526202"/>
    <w:rsid w:val="607B149A"/>
    <w:rsid w:val="60D59861"/>
    <w:rsid w:val="61393BDB"/>
    <w:rsid w:val="627168C2"/>
    <w:rsid w:val="62BC45B0"/>
    <w:rsid w:val="63411BF6"/>
    <w:rsid w:val="63878183"/>
    <w:rsid w:val="6396E819"/>
    <w:rsid w:val="6398E1D6"/>
    <w:rsid w:val="640D3923"/>
    <w:rsid w:val="6427EA10"/>
    <w:rsid w:val="6434FDE7"/>
    <w:rsid w:val="648E4583"/>
    <w:rsid w:val="64A03BCF"/>
    <w:rsid w:val="64D7B68D"/>
    <w:rsid w:val="64F934F4"/>
    <w:rsid w:val="6534B237"/>
    <w:rsid w:val="65AD95F4"/>
    <w:rsid w:val="65BB96D9"/>
    <w:rsid w:val="66081E42"/>
    <w:rsid w:val="6610E320"/>
    <w:rsid w:val="662493BA"/>
    <w:rsid w:val="6628FB73"/>
    <w:rsid w:val="6690B1B5"/>
    <w:rsid w:val="66B18D71"/>
    <w:rsid w:val="67277CF6"/>
    <w:rsid w:val="673885F7"/>
    <w:rsid w:val="6755D753"/>
    <w:rsid w:val="67AC743B"/>
    <w:rsid w:val="68463A95"/>
    <w:rsid w:val="6929D866"/>
    <w:rsid w:val="692C49CC"/>
    <w:rsid w:val="69FD9EA8"/>
    <w:rsid w:val="6A5550FB"/>
    <w:rsid w:val="6B654A72"/>
    <w:rsid w:val="6B7FEDE5"/>
    <w:rsid w:val="6B989C02"/>
    <w:rsid w:val="6B9ED94B"/>
    <w:rsid w:val="6BB698B9"/>
    <w:rsid w:val="6BCDDDD8"/>
    <w:rsid w:val="6C584DE6"/>
    <w:rsid w:val="6C9B4EB0"/>
    <w:rsid w:val="6CADAB94"/>
    <w:rsid w:val="6CEED103"/>
    <w:rsid w:val="6D310465"/>
    <w:rsid w:val="6D39DC10"/>
    <w:rsid w:val="6D7B6837"/>
    <w:rsid w:val="6D8FAC4F"/>
    <w:rsid w:val="6DB5C258"/>
    <w:rsid w:val="6DC518D7"/>
    <w:rsid w:val="6DC5E70B"/>
    <w:rsid w:val="6E0DCD1A"/>
    <w:rsid w:val="6E19F88C"/>
    <w:rsid w:val="6E340D58"/>
    <w:rsid w:val="6E73E1B4"/>
    <w:rsid w:val="6E81F884"/>
    <w:rsid w:val="6EFE17EB"/>
    <w:rsid w:val="6EFE1ABA"/>
    <w:rsid w:val="6F3FC7A9"/>
    <w:rsid w:val="6F4FAED1"/>
    <w:rsid w:val="6F6E0F21"/>
    <w:rsid w:val="6FA390CE"/>
    <w:rsid w:val="6FF24143"/>
    <w:rsid w:val="70115E03"/>
    <w:rsid w:val="70316682"/>
    <w:rsid w:val="703958BF"/>
    <w:rsid w:val="70403116"/>
    <w:rsid w:val="70717D7D"/>
    <w:rsid w:val="70BFF874"/>
    <w:rsid w:val="70DCEE03"/>
    <w:rsid w:val="7104ED15"/>
    <w:rsid w:val="71154F64"/>
    <w:rsid w:val="716BAE1A"/>
    <w:rsid w:val="7177A5C8"/>
    <w:rsid w:val="7180526E"/>
    <w:rsid w:val="71BB966A"/>
    <w:rsid w:val="71D49624"/>
    <w:rsid w:val="71FA4E6A"/>
    <w:rsid w:val="7245CA9A"/>
    <w:rsid w:val="726E642F"/>
    <w:rsid w:val="7293D7F5"/>
    <w:rsid w:val="72CD0927"/>
    <w:rsid w:val="72F4E7C4"/>
    <w:rsid w:val="733FDCCF"/>
    <w:rsid w:val="7350438E"/>
    <w:rsid w:val="739D4A55"/>
    <w:rsid w:val="73CAC630"/>
    <w:rsid w:val="73D1B31B"/>
    <w:rsid w:val="73D95DE0"/>
    <w:rsid w:val="7471D3FE"/>
    <w:rsid w:val="747CBB53"/>
    <w:rsid w:val="749FA767"/>
    <w:rsid w:val="7537E132"/>
    <w:rsid w:val="756B2781"/>
    <w:rsid w:val="760830D3"/>
    <w:rsid w:val="76242998"/>
    <w:rsid w:val="7628ACA4"/>
    <w:rsid w:val="770D9674"/>
    <w:rsid w:val="772FE852"/>
    <w:rsid w:val="77AA6B2D"/>
    <w:rsid w:val="77B12291"/>
    <w:rsid w:val="77CFD835"/>
    <w:rsid w:val="788D9D02"/>
    <w:rsid w:val="792F3E40"/>
    <w:rsid w:val="798455ED"/>
    <w:rsid w:val="798879C5"/>
    <w:rsid w:val="79A0A603"/>
    <w:rsid w:val="79BDDD84"/>
    <w:rsid w:val="7A607537"/>
    <w:rsid w:val="7A68D4D2"/>
    <w:rsid w:val="7AF96DE4"/>
    <w:rsid w:val="7B427F4E"/>
    <w:rsid w:val="7B533617"/>
    <w:rsid w:val="7B5DCEAD"/>
    <w:rsid w:val="7C2643E3"/>
    <w:rsid w:val="7C595DEB"/>
    <w:rsid w:val="7C60FBFA"/>
    <w:rsid w:val="7C83D09D"/>
    <w:rsid w:val="7CCB0857"/>
    <w:rsid w:val="7D046EC7"/>
    <w:rsid w:val="7D161D88"/>
    <w:rsid w:val="7DDB1980"/>
    <w:rsid w:val="7DF96B45"/>
    <w:rsid w:val="7E01DD7F"/>
    <w:rsid w:val="7E21A36A"/>
    <w:rsid w:val="7E2A23EC"/>
    <w:rsid w:val="7E4FF87F"/>
    <w:rsid w:val="7E8BB16C"/>
    <w:rsid w:val="7E9FECE9"/>
    <w:rsid w:val="7ED6F8D0"/>
    <w:rsid w:val="7EEE4E14"/>
    <w:rsid w:val="7F2E30E5"/>
    <w:rsid w:val="7FF848F2"/>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F5728"/>
  <w15:docId w15:val="{E3A6A674-D5AC-43DE-A18E-BC4AA602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881F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qFormat/>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rFonts w:ascii="CG Times" w:hAnsi="CG Times"/>
      <w:szCs w:val="20"/>
      <w:lang w:val="es-CO" w:eastAsia="x-none"/>
    </w:rPr>
  </w:style>
  <w:style w:type="paragraph" w:styleId="Piedepgina">
    <w:name w:val="footer"/>
    <w:basedOn w:val="Normal"/>
    <w:link w:val="PiedepginaCar"/>
    <w:semiHidden/>
    <w:pPr>
      <w:tabs>
        <w:tab w:val="center" w:pos="4252"/>
        <w:tab w:val="right" w:pos="8504"/>
      </w:tabs>
    </w:pPr>
  </w:style>
  <w:style w:type="paragraph" w:customStyle="1" w:styleId="Estilo1">
    <w:name w:val="Estilo1"/>
    <w:basedOn w:val="Normal"/>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style>
  <w:style w:type="paragraph" w:styleId="Textoindependiente">
    <w:name w:val="Body Text"/>
    <w:basedOn w:val="Normal"/>
    <w:link w:val="TextoindependienteCar"/>
    <w:semiHidden/>
    <w:pPr>
      <w:jc w:val="center"/>
    </w:pPr>
    <w:rPr>
      <w:rFonts w:ascii="Arial" w:hAnsi="Arial"/>
      <w:b/>
      <w:bCs/>
      <w:lang w:val="x-none" w:eastAsia="x-none"/>
    </w:rPr>
  </w:style>
  <w:style w:type="paragraph" w:styleId="Textoindependiente3">
    <w:name w:val="Body Text 3"/>
    <w:basedOn w:val="Normal"/>
    <w:link w:val="Textoindependiente3Car"/>
    <w:semiHidden/>
    <w:pPr>
      <w:jc w:val="center"/>
      <w:outlineLvl w:val="0"/>
    </w:pPr>
    <w:rPr>
      <w:rFonts w:ascii="Arial" w:hAnsi="Arial"/>
      <w:b/>
      <w:bCs/>
      <w:spacing w:val="-3"/>
      <w:lang w:val="x-none" w:eastAsia="x-none"/>
    </w:rPr>
  </w:style>
  <w:style w:type="paragraph" w:styleId="Textodeglobo">
    <w:name w:val="Balloon Text"/>
    <w:basedOn w:val="Normal"/>
    <w:link w:val="TextodegloboCar"/>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semiHidden/>
    <w:rsid w:val="00D03800"/>
    <w:pPr>
      <w:suppressAutoHyphens/>
      <w:spacing w:after="240"/>
      <w:ind w:left="567"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DE4BF8"/>
    <w:pPr>
      <w:spacing w:after="120" w:line="480" w:lineRule="auto"/>
    </w:pPr>
    <w:rPr>
      <w:lang w:val="x-none" w:eastAsia="x-none"/>
    </w:rPr>
  </w:style>
  <w:style w:type="character" w:customStyle="1" w:styleId="Textoindependiente2Car">
    <w:name w:val="Texto independiente 2 Car"/>
    <w:link w:val="Textoindependiente2"/>
    <w:uiPriority w:val="99"/>
    <w:rsid w:val="00DE4BF8"/>
    <w:rPr>
      <w:sz w:val="24"/>
      <w:szCs w:val="24"/>
    </w:rPr>
  </w:style>
  <w:style w:type="paragraph" w:customStyle="1" w:styleId="Textoindependiente21">
    <w:name w:val="Texto independiente 21"/>
    <w:basedOn w:val="Normal"/>
    <w:rsid w:val="00DE4BF8"/>
    <w:pPr>
      <w:overflowPunct w:val="0"/>
      <w:autoSpaceDE w:val="0"/>
      <w:autoSpaceDN w:val="0"/>
      <w:adjustRightInd w:val="0"/>
      <w:jc w:val="both"/>
      <w:textAlignment w:val="baseline"/>
    </w:pPr>
    <w:rPr>
      <w:rFonts w:ascii="Arial" w:hAnsi="Arial"/>
      <w:sz w:val="22"/>
      <w:szCs w:val="20"/>
      <w:lang w:val="es-ES_tradnl"/>
    </w:rPr>
  </w:style>
  <w:style w:type="character" w:styleId="Refdecomentario">
    <w:name w:val="annotation reference"/>
    <w:semiHidden/>
    <w:rsid w:val="00404E84"/>
    <w:rPr>
      <w:sz w:val="16"/>
    </w:rPr>
  </w:style>
  <w:style w:type="paragraph" w:styleId="Textocomentario">
    <w:name w:val="annotation text"/>
    <w:basedOn w:val="Normal"/>
    <w:link w:val="TextocomentarioCar"/>
    <w:semiHidden/>
    <w:rsid w:val="00404E84"/>
    <w:rPr>
      <w:rFonts w:ascii="CG Times" w:hAnsi="CG Times"/>
      <w:sz w:val="20"/>
      <w:szCs w:val="20"/>
      <w:lang w:val="x-none"/>
    </w:rPr>
  </w:style>
  <w:style w:type="character" w:customStyle="1" w:styleId="TextocomentarioCar">
    <w:name w:val="Texto comentario Car"/>
    <w:link w:val="Textocomentario"/>
    <w:semiHidden/>
    <w:rsid w:val="00404E84"/>
    <w:rPr>
      <w:rFonts w:ascii="CG Times" w:hAnsi="CG Times"/>
      <w:lang w:eastAsia="es-ES"/>
    </w:rPr>
  </w:style>
  <w:style w:type="paragraph" w:styleId="Asuntodelcomentario">
    <w:name w:val="annotation subject"/>
    <w:basedOn w:val="Textocomentario"/>
    <w:next w:val="Textocomentario"/>
    <w:link w:val="AsuntodelcomentarioCar"/>
    <w:uiPriority w:val="99"/>
    <w:semiHidden/>
    <w:unhideWhenUsed/>
    <w:rsid w:val="00D57F49"/>
    <w:rPr>
      <w:rFonts w:ascii="Times New Roman" w:hAnsi="Times New Roman"/>
      <w:b/>
      <w:bCs/>
      <w:lang w:val="es-ES"/>
    </w:rPr>
  </w:style>
  <w:style w:type="character" w:customStyle="1" w:styleId="AsuntodelcomentarioCar">
    <w:name w:val="Asunto del comentario Car"/>
    <w:link w:val="Asuntodelcomentario"/>
    <w:uiPriority w:val="99"/>
    <w:semiHidden/>
    <w:rsid w:val="00D57F49"/>
    <w:rPr>
      <w:rFonts w:ascii="CG Times" w:hAnsi="CG Times"/>
      <w:b/>
      <w:bCs/>
      <w:lang w:val="es-ES" w:eastAsia="es-ES"/>
    </w:rPr>
  </w:style>
  <w:style w:type="paragraph" w:customStyle="1" w:styleId="Textoindependiente22">
    <w:name w:val="Texto independiente 22"/>
    <w:basedOn w:val="Normal"/>
    <w:rsid w:val="005878BF"/>
    <w:pPr>
      <w:overflowPunct w:val="0"/>
      <w:autoSpaceDE w:val="0"/>
      <w:autoSpaceDN w:val="0"/>
      <w:adjustRightInd w:val="0"/>
      <w:jc w:val="both"/>
      <w:textAlignment w:val="baseline"/>
    </w:pPr>
    <w:rPr>
      <w:rFonts w:ascii="Arial" w:hAnsi="Arial"/>
      <w:sz w:val="22"/>
      <w:szCs w:val="20"/>
      <w:lang w:val="es-ES_tradnl"/>
    </w:rPr>
  </w:style>
  <w:style w:type="paragraph" w:styleId="Textonotapie">
    <w:name w:val="footnote text"/>
    <w:basedOn w:val="Normal"/>
    <w:link w:val="TextonotapieCar"/>
    <w:semiHidden/>
    <w:rsid w:val="007F0FF2"/>
    <w:pPr>
      <w:overflowPunct w:val="0"/>
      <w:autoSpaceDE w:val="0"/>
      <w:autoSpaceDN w:val="0"/>
      <w:adjustRightInd w:val="0"/>
      <w:jc w:val="both"/>
      <w:textAlignment w:val="baseline"/>
    </w:pPr>
    <w:rPr>
      <w:rFonts w:ascii="Arial" w:hAnsi="Arial"/>
      <w:sz w:val="20"/>
      <w:szCs w:val="20"/>
      <w:lang w:val="es-ES_tradnl"/>
    </w:rPr>
  </w:style>
  <w:style w:type="character" w:customStyle="1" w:styleId="TextonotapieCar">
    <w:name w:val="Texto nota pie Car"/>
    <w:link w:val="Textonotapie"/>
    <w:semiHidden/>
    <w:rsid w:val="007F0FF2"/>
    <w:rPr>
      <w:rFonts w:ascii="Arial" w:hAnsi="Arial"/>
      <w:lang w:val="es-ES_tradnl" w:eastAsia="es-ES"/>
    </w:rPr>
  </w:style>
  <w:style w:type="character" w:styleId="Refdenotaalpie">
    <w:name w:val="footnote reference"/>
    <w:uiPriority w:val="99"/>
    <w:semiHidden/>
    <w:rsid w:val="007F0FF2"/>
    <w:rPr>
      <w:vertAlign w:val="superscript"/>
    </w:rPr>
  </w:style>
  <w:style w:type="paragraph" w:styleId="Descripcin">
    <w:name w:val="caption"/>
    <w:basedOn w:val="Normal"/>
    <w:next w:val="Normal"/>
    <w:qFormat/>
    <w:rsid w:val="00B213F2"/>
    <w:pPr>
      <w:overflowPunct w:val="0"/>
      <w:autoSpaceDE w:val="0"/>
      <w:autoSpaceDN w:val="0"/>
      <w:adjustRightInd w:val="0"/>
      <w:spacing w:before="120" w:after="120"/>
      <w:jc w:val="both"/>
      <w:textAlignment w:val="baseline"/>
    </w:pPr>
    <w:rPr>
      <w:rFonts w:ascii="Arial Narrow" w:hAnsi="Arial Narrow"/>
      <w:b/>
      <w:bCs/>
      <w:sz w:val="20"/>
      <w:szCs w:val="20"/>
      <w:lang w:val="es-ES_tradnl"/>
    </w:rPr>
  </w:style>
  <w:style w:type="character" w:customStyle="1" w:styleId="CharStyle9">
    <w:name w:val="Char Style 9"/>
    <w:link w:val="Style2"/>
    <w:uiPriority w:val="99"/>
    <w:locked/>
    <w:rsid w:val="00270541"/>
    <w:rPr>
      <w:rFonts w:ascii="Arial" w:hAnsi="Arial" w:cs="Arial"/>
      <w:sz w:val="14"/>
      <w:szCs w:val="14"/>
      <w:shd w:val="clear" w:color="auto" w:fill="FFFFFF"/>
      <w:lang w:val="es-ES"/>
    </w:rPr>
  </w:style>
  <w:style w:type="paragraph" w:customStyle="1" w:styleId="Style2">
    <w:name w:val="Style 2"/>
    <w:basedOn w:val="Normal"/>
    <w:link w:val="CharStyle9"/>
    <w:uiPriority w:val="99"/>
    <w:rsid w:val="00270541"/>
    <w:pPr>
      <w:widowControl w:val="0"/>
      <w:shd w:val="clear" w:color="auto" w:fill="FFFFFF"/>
      <w:spacing w:before="120" w:line="240" w:lineRule="atLeast"/>
      <w:ind w:hanging="1420"/>
    </w:pPr>
    <w:rPr>
      <w:rFonts w:ascii="Arial" w:hAnsi="Arial" w:cs="Arial"/>
      <w:sz w:val="14"/>
      <w:szCs w:val="14"/>
      <w:lang w:eastAsia="es-CO"/>
    </w:rPr>
  </w:style>
  <w:style w:type="paragraph" w:styleId="NormalWeb">
    <w:name w:val="Normal (Web)"/>
    <w:basedOn w:val="Normal"/>
    <w:uiPriority w:val="99"/>
    <w:rsid w:val="0047432C"/>
    <w:pPr>
      <w:jc w:val="both"/>
    </w:pPr>
    <w:rPr>
      <w:spacing w:val="-5"/>
      <w:lang w:val="es-CO" w:eastAsia="en-US"/>
    </w:rPr>
  </w:style>
  <w:style w:type="paragraph" w:customStyle="1" w:styleId="Default">
    <w:name w:val="Default"/>
    <w:rsid w:val="0047432C"/>
    <w:pPr>
      <w:autoSpaceDE w:val="0"/>
      <w:autoSpaceDN w:val="0"/>
      <w:adjustRightInd w:val="0"/>
    </w:pPr>
    <w:rPr>
      <w:rFonts w:ascii="Arial" w:eastAsia="SimSun" w:hAnsi="Arial" w:cs="Arial"/>
      <w:color w:val="000000"/>
      <w:sz w:val="24"/>
      <w:szCs w:val="24"/>
    </w:rPr>
  </w:style>
  <w:style w:type="paragraph" w:customStyle="1" w:styleId="xl27">
    <w:name w:val="xl27"/>
    <w:basedOn w:val="Normal"/>
    <w:rsid w:val="00D02A10"/>
    <w:pPr>
      <w:spacing w:before="100" w:after="100"/>
      <w:jc w:val="both"/>
    </w:pPr>
    <w:rPr>
      <w:rFonts w:ascii="Bookman Old Style" w:eastAsia="Arial Unicode MS" w:hAnsi="Bookman Old Style"/>
      <w:szCs w:val="20"/>
    </w:rPr>
  </w:style>
  <w:style w:type="character" w:customStyle="1" w:styleId="apple-converted-space">
    <w:name w:val="apple-converted-space"/>
    <w:basedOn w:val="Fuentedeprrafopredeter"/>
    <w:rsid w:val="00CE09DF"/>
  </w:style>
  <w:style w:type="character" w:styleId="Textodelmarcadordeposicin">
    <w:name w:val="Placeholder Text"/>
    <w:basedOn w:val="Fuentedeprrafopredeter"/>
    <w:uiPriority w:val="99"/>
    <w:semiHidden/>
    <w:rsid w:val="00AF1D01"/>
    <w:rPr>
      <w:color w:val="808080"/>
    </w:rPr>
  </w:style>
  <w:style w:type="paragraph" w:customStyle="1" w:styleId="Pliego-Normal">
    <w:name w:val="Pliego-Normal"/>
    <w:basedOn w:val="Normal"/>
    <w:rsid w:val="007D3224"/>
    <w:pPr>
      <w:widowControl w:val="0"/>
      <w:adjustRightInd w:val="0"/>
      <w:spacing w:line="360" w:lineRule="atLeast"/>
      <w:jc w:val="both"/>
      <w:textAlignment w:val="baseline"/>
    </w:pPr>
    <w:rPr>
      <w:rFonts w:ascii="Garamond" w:hAnsi="Garamond"/>
      <w:bCs/>
      <w:sz w:val="22"/>
      <w:szCs w:val="20"/>
      <w:lang w:val="es-ES_tradnl"/>
    </w:rPr>
  </w:style>
  <w:style w:type="paragraph" w:styleId="Revisin">
    <w:name w:val="Revision"/>
    <w:hidden/>
    <w:uiPriority w:val="99"/>
    <w:semiHidden/>
    <w:rsid w:val="005E673E"/>
    <w:rPr>
      <w:sz w:val="24"/>
      <w:szCs w:val="24"/>
      <w:lang w:val="es-ES" w:eastAsia="es-ES"/>
    </w:rPr>
  </w:style>
  <w:style w:type="character" w:customStyle="1" w:styleId="CharStyle3Exact">
    <w:name w:val="Char Style 3 Exact"/>
    <w:basedOn w:val="Fuentedeprrafopredeter"/>
    <w:uiPriority w:val="99"/>
    <w:rsid w:val="00032331"/>
    <w:rPr>
      <w:rFonts w:ascii="Arial" w:eastAsiaTheme="minorEastAsia" w:hAnsi="Arial" w:cs="Arial"/>
      <w:sz w:val="12"/>
      <w:szCs w:val="12"/>
      <w:u w:val="none"/>
      <w:lang w:val="en-US" w:eastAsia="en-US" w:bidi="ar-SA"/>
    </w:rPr>
  </w:style>
  <w:style w:type="paragraph" w:customStyle="1" w:styleId="paragraph">
    <w:name w:val="paragraph"/>
    <w:basedOn w:val="Normal"/>
    <w:uiPriority w:val="1"/>
    <w:rsid w:val="00032331"/>
    <w:pPr>
      <w:spacing w:beforeAutospacing="1" w:afterAutospacing="1"/>
    </w:pPr>
    <w:rPr>
      <w:lang w:eastAsia="es-CO"/>
    </w:rPr>
  </w:style>
  <w:style w:type="character" w:customStyle="1" w:styleId="normaltextrun">
    <w:name w:val="normaltextrun"/>
    <w:basedOn w:val="Fuentedeprrafopredeter"/>
    <w:uiPriority w:val="1"/>
    <w:rsid w:val="00032331"/>
  </w:style>
  <w:style w:type="table" w:customStyle="1" w:styleId="Tablaconcuadrcula10">
    <w:name w:val="Tabla con cuadrícula10"/>
    <w:basedOn w:val="Tablanormal"/>
    <w:next w:val="Tablaconcuadrcula"/>
    <w:uiPriority w:val="59"/>
    <w:rsid w:val="00DD5E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8D77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Fuentedeprrafopredeter"/>
    <w:uiPriority w:val="99"/>
    <w:unhideWhenUsed/>
    <w:rsid w:val="0001461E"/>
    <w:rPr>
      <w:color w:val="605E5C"/>
      <w:shd w:val="clear" w:color="auto" w:fill="E1DFDD"/>
    </w:rPr>
  </w:style>
  <w:style w:type="character" w:customStyle="1" w:styleId="PiedepginaCar">
    <w:name w:val="Pie de página Car"/>
    <w:basedOn w:val="Fuentedeprrafopredeter"/>
    <w:link w:val="Piedepgina"/>
    <w:semiHidden/>
    <w:rsid w:val="004A220F"/>
    <w:rPr>
      <w:sz w:val="24"/>
      <w:szCs w:val="24"/>
      <w:lang w:val="es-ES" w:eastAsia="es-ES"/>
    </w:rPr>
  </w:style>
  <w:style w:type="character" w:customStyle="1" w:styleId="Ttulo2Car">
    <w:name w:val="Título 2 Car"/>
    <w:basedOn w:val="Fuentedeprrafopredeter"/>
    <w:link w:val="Ttulo2"/>
    <w:uiPriority w:val="9"/>
    <w:semiHidden/>
    <w:rsid w:val="00881F23"/>
    <w:rPr>
      <w:rFonts w:asciiTheme="majorHAnsi" w:eastAsiaTheme="majorEastAsia" w:hAnsiTheme="majorHAnsi" w:cstheme="majorBidi"/>
      <w:color w:val="365F91" w:themeColor="accent1" w:themeShade="BF"/>
      <w:sz w:val="26"/>
      <w:szCs w:val="26"/>
      <w:lang w:val="es-ES" w:eastAsia="es-ES"/>
    </w:rPr>
  </w:style>
  <w:style w:type="table" w:customStyle="1" w:styleId="TableNormal1">
    <w:name w:val="Table Normal1"/>
    <w:uiPriority w:val="2"/>
    <w:semiHidden/>
    <w:unhideWhenUsed/>
    <w:qFormat/>
    <w:rsid w:val="00881F23"/>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4810">
      <w:bodyDiv w:val="1"/>
      <w:marLeft w:val="0"/>
      <w:marRight w:val="0"/>
      <w:marTop w:val="0"/>
      <w:marBottom w:val="0"/>
      <w:divBdr>
        <w:top w:val="none" w:sz="0" w:space="0" w:color="auto"/>
        <w:left w:val="none" w:sz="0" w:space="0" w:color="auto"/>
        <w:bottom w:val="none" w:sz="0" w:space="0" w:color="auto"/>
        <w:right w:val="none" w:sz="0" w:space="0" w:color="auto"/>
      </w:divBdr>
    </w:div>
    <w:div w:id="177087638">
      <w:bodyDiv w:val="1"/>
      <w:marLeft w:val="0"/>
      <w:marRight w:val="0"/>
      <w:marTop w:val="0"/>
      <w:marBottom w:val="0"/>
      <w:divBdr>
        <w:top w:val="none" w:sz="0" w:space="0" w:color="auto"/>
        <w:left w:val="none" w:sz="0" w:space="0" w:color="auto"/>
        <w:bottom w:val="none" w:sz="0" w:space="0" w:color="auto"/>
        <w:right w:val="none" w:sz="0" w:space="0" w:color="auto"/>
      </w:divBdr>
      <w:divsChild>
        <w:div w:id="375012877">
          <w:marLeft w:val="0"/>
          <w:marRight w:val="0"/>
          <w:marTop w:val="0"/>
          <w:marBottom w:val="0"/>
          <w:divBdr>
            <w:top w:val="none" w:sz="0" w:space="0" w:color="auto"/>
            <w:left w:val="none" w:sz="0" w:space="0" w:color="auto"/>
            <w:bottom w:val="none" w:sz="0" w:space="0" w:color="auto"/>
            <w:right w:val="none" w:sz="0" w:space="0" w:color="auto"/>
          </w:divBdr>
          <w:divsChild>
            <w:div w:id="1129711777">
              <w:marLeft w:val="0"/>
              <w:marRight w:val="0"/>
              <w:marTop w:val="0"/>
              <w:marBottom w:val="0"/>
              <w:divBdr>
                <w:top w:val="none" w:sz="0" w:space="0" w:color="auto"/>
                <w:left w:val="none" w:sz="0" w:space="0" w:color="auto"/>
                <w:bottom w:val="none" w:sz="0" w:space="0" w:color="auto"/>
                <w:right w:val="none" w:sz="0" w:space="0" w:color="auto"/>
              </w:divBdr>
              <w:divsChild>
                <w:div w:id="662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822239">
      <w:bodyDiv w:val="1"/>
      <w:marLeft w:val="0"/>
      <w:marRight w:val="0"/>
      <w:marTop w:val="0"/>
      <w:marBottom w:val="0"/>
      <w:divBdr>
        <w:top w:val="none" w:sz="0" w:space="0" w:color="auto"/>
        <w:left w:val="none" w:sz="0" w:space="0" w:color="auto"/>
        <w:bottom w:val="none" w:sz="0" w:space="0" w:color="auto"/>
        <w:right w:val="none" w:sz="0" w:space="0" w:color="auto"/>
      </w:divBdr>
    </w:div>
    <w:div w:id="413555168">
      <w:bodyDiv w:val="1"/>
      <w:marLeft w:val="0"/>
      <w:marRight w:val="0"/>
      <w:marTop w:val="0"/>
      <w:marBottom w:val="0"/>
      <w:divBdr>
        <w:top w:val="none" w:sz="0" w:space="0" w:color="auto"/>
        <w:left w:val="none" w:sz="0" w:space="0" w:color="auto"/>
        <w:bottom w:val="none" w:sz="0" w:space="0" w:color="auto"/>
        <w:right w:val="none" w:sz="0" w:space="0" w:color="auto"/>
      </w:divBdr>
    </w:div>
    <w:div w:id="447430438">
      <w:bodyDiv w:val="1"/>
      <w:marLeft w:val="0"/>
      <w:marRight w:val="0"/>
      <w:marTop w:val="0"/>
      <w:marBottom w:val="0"/>
      <w:divBdr>
        <w:top w:val="none" w:sz="0" w:space="0" w:color="auto"/>
        <w:left w:val="none" w:sz="0" w:space="0" w:color="auto"/>
        <w:bottom w:val="none" w:sz="0" w:space="0" w:color="auto"/>
        <w:right w:val="none" w:sz="0" w:space="0" w:color="auto"/>
      </w:divBdr>
      <w:divsChild>
        <w:div w:id="2781986">
          <w:marLeft w:val="547"/>
          <w:marRight w:val="0"/>
          <w:marTop w:val="0"/>
          <w:marBottom w:val="0"/>
          <w:divBdr>
            <w:top w:val="none" w:sz="0" w:space="0" w:color="auto"/>
            <w:left w:val="none" w:sz="0" w:space="0" w:color="auto"/>
            <w:bottom w:val="none" w:sz="0" w:space="0" w:color="auto"/>
            <w:right w:val="none" w:sz="0" w:space="0" w:color="auto"/>
          </w:divBdr>
        </w:div>
      </w:divsChild>
    </w:div>
    <w:div w:id="487593984">
      <w:bodyDiv w:val="1"/>
      <w:marLeft w:val="0"/>
      <w:marRight w:val="0"/>
      <w:marTop w:val="0"/>
      <w:marBottom w:val="0"/>
      <w:divBdr>
        <w:top w:val="none" w:sz="0" w:space="0" w:color="auto"/>
        <w:left w:val="none" w:sz="0" w:space="0" w:color="auto"/>
        <w:bottom w:val="none" w:sz="0" w:space="0" w:color="auto"/>
        <w:right w:val="none" w:sz="0" w:space="0" w:color="auto"/>
      </w:divBdr>
    </w:div>
    <w:div w:id="710114339">
      <w:bodyDiv w:val="1"/>
      <w:marLeft w:val="0"/>
      <w:marRight w:val="0"/>
      <w:marTop w:val="0"/>
      <w:marBottom w:val="0"/>
      <w:divBdr>
        <w:top w:val="none" w:sz="0" w:space="0" w:color="auto"/>
        <w:left w:val="none" w:sz="0" w:space="0" w:color="auto"/>
        <w:bottom w:val="none" w:sz="0" w:space="0" w:color="auto"/>
        <w:right w:val="none" w:sz="0" w:space="0" w:color="auto"/>
      </w:divBdr>
    </w:div>
    <w:div w:id="725489698">
      <w:bodyDiv w:val="1"/>
      <w:marLeft w:val="0"/>
      <w:marRight w:val="0"/>
      <w:marTop w:val="0"/>
      <w:marBottom w:val="0"/>
      <w:divBdr>
        <w:top w:val="none" w:sz="0" w:space="0" w:color="auto"/>
        <w:left w:val="none" w:sz="0" w:space="0" w:color="auto"/>
        <w:bottom w:val="none" w:sz="0" w:space="0" w:color="auto"/>
        <w:right w:val="none" w:sz="0" w:space="0" w:color="auto"/>
      </w:divBdr>
    </w:div>
    <w:div w:id="804274791">
      <w:bodyDiv w:val="1"/>
      <w:marLeft w:val="0"/>
      <w:marRight w:val="0"/>
      <w:marTop w:val="0"/>
      <w:marBottom w:val="0"/>
      <w:divBdr>
        <w:top w:val="none" w:sz="0" w:space="0" w:color="auto"/>
        <w:left w:val="none" w:sz="0" w:space="0" w:color="auto"/>
        <w:bottom w:val="none" w:sz="0" w:space="0" w:color="auto"/>
        <w:right w:val="none" w:sz="0" w:space="0" w:color="auto"/>
      </w:divBdr>
    </w:div>
    <w:div w:id="836312373">
      <w:bodyDiv w:val="1"/>
      <w:marLeft w:val="0"/>
      <w:marRight w:val="0"/>
      <w:marTop w:val="0"/>
      <w:marBottom w:val="0"/>
      <w:divBdr>
        <w:top w:val="none" w:sz="0" w:space="0" w:color="auto"/>
        <w:left w:val="none" w:sz="0" w:space="0" w:color="auto"/>
        <w:bottom w:val="none" w:sz="0" w:space="0" w:color="auto"/>
        <w:right w:val="none" w:sz="0" w:space="0" w:color="auto"/>
      </w:divBdr>
    </w:div>
    <w:div w:id="937718912">
      <w:bodyDiv w:val="1"/>
      <w:marLeft w:val="0"/>
      <w:marRight w:val="0"/>
      <w:marTop w:val="0"/>
      <w:marBottom w:val="0"/>
      <w:divBdr>
        <w:top w:val="none" w:sz="0" w:space="0" w:color="auto"/>
        <w:left w:val="none" w:sz="0" w:space="0" w:color="auto"/>
        <w:bottom w:val="none" w:sz="0" w:space="0" w:color="auto"/>
        <w:right w:val="none" w:sz="0" w:space="0" w:color="auto"/>
      </w:divBdr>
      <w:divsChild>
        <w:div w:id="1771464202">
          <w:marLeft w:val="547"/>
          <w:marRight w:val="0"/>
          <w:marTop w:val="0"/>
          <w:marBottom w:val="0"/>
          <w:divBdr>
            <w:top w:val="none" w:sz="0" w:space="0" w:color="auto"/>
            <w:left w:val="none" w:sz="0" w:space="0" w:color="auto"/>
            <w:bottom w:val="none" w:sz="0" w:space="0" w:color="auto"/>
            <w:right w:val="none" w:sz="0" w:space="0" w:color="auto"/>
          </w:divBdr>
        </w:div>
      </w:divsChild>
    </w:div>
    <w:div w:id="997342814">
      <w:bodyDiv w:val="1"/>
      <w:marLeft w:val="0"/>
      <w:marRight w:val="0"/>
      <w:marTop w:val="0"/>
      <w:marBottom w:val="0"/>
      <w:divBdr>
        <w:top w:val="none" w:sz="0" w:space="0" w:color="auto"/>
        <w:left w:val="none" w:sz="0" w:space="0" w:color="auto"/>
        <w:bottom w:val="none" w:sz="0" w:space="0" w:color="auto"/>
        <w:right w:val="none" w:sz="0" w:space="0" w:color="auto"/>
      </w:divBdr>
    </w:div>
    <w:div w:id="1040784384">
      <w:bodyDiv w:val="1"/>
      <w:marLeft w:val="0"/>
      <w:marRight w:val="0"/>
      <w:marTop w:val="0"/>
      <w:marBottom w:val="0"/>
      <w:divBdr>
        <w:top w:val="none" w:sz="0" w:space="0" w:color="auto"/>
        <w:left w:val="none" w:sz="0" w:space="0" w:color="auto"/>
        <w:bottom w:val="none" w:sz="0" w:space="0" w:color="auto"/>
        <w:right w:val="none" w:sz="0" w:space="0" w:color="auto"/>
      </w:divBdr>
    </w:div>
    <w:div w:id="1107121285">
      <w:bodyDiv w:val="1"/>
      <w:marLeft w:val="0"/>
      <w:marRight w:val="0"/>
      <w:marTop w:val="0"/>
      <w:marBottom w:val="0"/>
      <w:divBdr>
        <w:top w:val="none" w:sz="0" w:space="0" w:color="auto"/>
        <w:left w:val="none" w:sz="0" w:space="0" w:color="auto"/>
        <w:bottom w:val="none" w:sz="0" w:space="0" w:color="auto"/>
        <w:right w:val="none" w:sz="0" w:space="0" w:color="auto"/>
      </w:divBdr>
    </w:div>
    <w:div w:id="1169566138">
      <w:bodyDiv w:val="1"/>
      <w:marLeft w:val="0"/>
      <w:marRight w:val="0"/>
      <w:marTop w:val="0"/>
      <w:marBottom w:val="0"/>
      <w:divBdr>
        <w:top w:val="none" w:sz="0" w:space="0" w:color="auto"/>
        <w:left w:val="none" w:sz="0" w:space="0" w:color="auto"/>
        <w:bottom w:val="none" w:sz="0" w:space="0" w:color="auto"/>
        <w:right w:val="none" w:sz="0" w:space="0" w:color="auto"/>
      </w:divBdr>
    </w:div>
    <w:div w:id="1236017368">
      <w:bodyDiv w:val="1"/>
      <w:marLeft w:val="0"/>
      <w:marRight w:val="0"/>
      <w:marTop w:val="0"/>
      <w:marBottom w:val="0"/>
      <w:divBdr>
        <w:top w:val="none" w:sz="0" w:space="0" w:color="auto"/>
        <w:left w:val="none" w:sz="0" w:space="0" w:color="auto"/>
        <w:bottom w:val="none" w:sz="0" w:space="0" w:color="auto"/>
        <w:right w:val="none" w:sz="0" w:space="0" w:color="auto"/>
      </w:divBdr>
      <w:divsChild>
        <w:div w:id="1251040164">
          <w:marLeft w:val="547"/>
          <w:marRight w:val="0"/>
          <w:marTop w:val="0"/>
          <w:marBottom w:val="0"/>
          <w:divBdr>
            <w:top w:val="none" w:sz="0" w:space="0" w:color="auto"/>
            <w:left w:val="none" w:sz="0" w:space="0" w:color="auto"/>
            <w:bottom w:val="none" w:sz="0" w:space="0" w:color="auto"/>
            <w:right w:val="none" w:sz="0" w:space="0" w:color="auto"/>
          </w:divBdr>
        </w:div>
      </w:divsChild>
    </w:div>
    <w:div w:id="1236210951">
      <w:bodyDiv w:val="1"/>
      <w:marLeft w:val="0"/>
      <w:marRight w:val="0"/>
      <w:marTop w:val="0"/>
      <w:marBottom w:val="0"/>
      <w:divBdr>
        <w:top w:val="none" w:sz="0" w:space="0" w:color="auto"/>
        <w:left w:val="none" w:sz="0" w:space="0" w:color="auto"/>
        <w:bottom w:val="none" w:sz="0" w:space="0" w:color="auto"/>
        <w:right w:val="none" w:sz="0" w:space="0" w:color="auto"/>
      </w:divBdr>
      <w:divsChild>
        <w:div w:id="336618575">
          <w:marLeft w:val="547"/>
          <w:marRight w:val="0"/>
          <w:marTop w:val="0"/>
          <w:marBottom w:val="0"/>
          <w:divBdr>
            <w:top w:val="none" w:sz="0" w:space="0" w:color="auto"/>
            <w:left w:val="none" w:sz="0" w:space="0" w:color="auto"/>
            <w:bottom w:val="none" w:sz="0" w:space="0" w:color="auto"/>
            <w:right w:val="none" w:sz="0" w:space="0" w:color="auto"/>
          </w:divBdr>
        </w:div>
      </w:divsChild>
    </w:div>
    <w:div w:id="1287076730">
      <w:bodyDiv w:val="1"/>
      <w:marLeft w:val="0"/>
      <w:marRight w:val="0"/>
      <w:marTop w:val="0"/>
      <w:marBottom w:val="0"/>
      <w:divBdr>
        <w:top w:val="none" w:sz="0" w:space="0" w:color="auto"/>
        <w:left w:val="none" w:sz="0" w:space="0" w:color="auto"/>
        <w:bottom w:val="none" w:sz="0" w:space="0" w:color="auto"/>
        <w:right w:val="none" w:sz="0" w:space="0" w:color="auto"/>
      </w:divBdr>
      <w:divsChild>
        <w:div w:id="1677229557">
          <w:marLeft w:val="547"/>
          <w:marRight w:val="0"/>
          <w:marTop w:val="0"/>
          <w:marBottom w:val="0"/>
          <w:divBdr>
            <w:top w:val="none" w:sz="0" w:space="0" w:color="auto"/>
            <w:left w:val="none" w:sz="0" w:space="0" w:color="auto"/>
            <w:bottom w:val="none" w:sz="0" w:space="0" w:color="auto"/>
            <w:right w:val="none" w:sz="0" w:space="0" w:color="auto"/>
          </w:divBdr>
        </w:div>
      </w:divsChild>
    </w:div>
    <w:div w:id="1356736911">
      <w:bodyDiv w:val="1"/>
      <w:marLeft w:val="0"/>
      <w:marRight w:val="0"/>
      <w:marTop w:val="0"/>
      <w:marBottom w:val="0"/>
      <w:divBdr>
        <w:top w:val="none" w:sz="0" w:space="0" w:color="auto"/>
        <w:left w:val="none" w:sz="0" w:space="0" w:color="auto"/>
        <w:bottom w:val="none" w:sz="0" w:space="0" w:color="auto"/>
        <w:right w:val="none" w:sz="0" w:space="0" w:color="auto"/>
      </w:divBdr>
    </w:div>
    <w:div w:id="1431122471">
      <w:bodyDiv w:val="1"/>
      <w:marLeft w:val="0"/>
      <w:marRight w:val="0"/>
      <w:marTop w:val="0"/>
      <w:marBottom w:val="0"/>
      <w:divBdr>
        <w:top w:val="none" w:sz="0" w:space="0" w:color="auto"/>
        <w:left w:val="none" w:sz="0" w:space="0" w:color="auto"/>
        <w:bottom w:val="none" w:sz="0" w:space="0" w:color="auto"/>
        <w:right w:val="none" w:sz="0" w:space="0" w:color="auto"/>
      </w:divBdr>
    </w:div>
    <w:div w:id="1563714998">
      <w:bodyDiv w:val="1"/>
      <w:marLeft w:val="0"/>
      <w:marRight w:val="0"/>
      <w:marTop w:val="0"/>
      <w:marBottom w:val="0"/>
      <w:divBdr>
        <w:top w:val="none" w:sz="0" w:space="0" w:color="auto"/>
        <w:left w:val="none" w:sz="0" w:space="0" w:color="auto"/>
        <w:bottom w:val="none" w:sz="0" w:space="0" w:color="auto"/>
        <w:right w:val="none" w:sz="0" w:space="0" w:color="auto"/>
      </w:divBdr>
    </w:div>
    <w:div w:id="1631327079">
      <w:bodyDiv w:val="1"/>
      <w:marLeft w:val="0"/>
      <w:marRight w:val="0"/>
      <w:marTop w:val="0"/>
      <w:marBottom w:val="0"/>
      <w:divBdr>
        <w:top w:val="none" w:sz="0" w:space="0" w:color="auto"/>
        <w:left w:val="none" w:sz="0" w:space="0" w:color="auto"/>
        <w:bottom w:val="none" w:sz="0" w:space="0" w:color="auto"/>
        <w:right w:val="none" w:sz="0" w:space="0" w:color="auto"/>
      </w:divBdr>
    </w:div>
    <w:div w:id="1857185876">
      <w:bodyDiv w:val="1"/>
      <w:marLeft w:val="0"/>
      <w:marRight w:val="0"/>
      <w:marTop w:val="0"/>
      <w:marBottom w:val="0"/>
      <w:divBdr>
        <w:top w:val="none" w:sz="0" w:space="0" w:color="auto"/>
        <w:left w:val="none" w:sz="0" w:space="0" w:color="auto"/>
        <w:bottom w:val="none" w:sz="0" w:space="0" w:color="auto"/>
        <w:right w:val="none" w:sz="0" w:space="0" w:color="auto"/>
      </w:divBdr>
    </w:div>
    <w:div w:id="1926651726">
      <w:bodyDiv w:val="1"/>
      <w:marLeft w:val="0"/>
      <w:marRight w:val="0"/>
      <w:marTop w:val="0"/>
      <w:marBottom w:val="0"/>
      <w:divBdr>
        <w:top w:val="none" w:sz="0" w:space="0" w:color="auto"/>
        <w:left w:val="none" w:sz="0" w:space="0" w:color="auto"/>
        <w:bottom w:val="none" w:sz="0" w:space="0" w:color="auto"/>
        <w:right w:val="none" w:sz="0" w:space="0" w:color="auto"/>
      </w:divBdr>
    </w:div>
    <w:div w:id="1950232101">
      <w:bodyDiv w:val="1"/>
      <w:marLeft w:val="0"/>
      <w:marRight w:val="0"/>
      <w:marTop w:val="0"/>
      <w:marBottom w:val="0"/>
      <w:divBdr>
        <w:top w:val="none" w:sz="0" w:space="0" w:color="auto"/>
        <w:left w:val="none" w:sz="0" w:space="0" w:color="auto"/>
        <w:bottom w:val="none" w:sz="0" w:space="0" w:color="auto"/>
        <w:right w:val="none" w:sz="0" w:space="0" w:color="auto"/>
      </w:divBdr>
    </w:div>
    <w:div w:id="207234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lebarragan\plantilla\resolucion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15" ma:contentTypeDescription="Crear nuevo documento." ma:contentTypeScope="" ma:versionID="6b5bdc1cce74b137d2e69d8153d0a8fb">
  <xsd:schema xmlns:xsd="http://www.w3.org/2001/XMLSchema" xmlns:xs="http://www.w3.org/2001/XMLSchema" xmlns:p="http://schemas.microsoft.com/office/2006/metadata/properties" xmlns:ns2="0f90cc45-9d06-4234-8034-eeec6c0c7cc1" xmlns:ns3="309f6219-a73f-4366-a00d-6bacb1e9f8e0" targetNamespace="http://schemas.microsoft.com/office/2006/metadata/properties" ma:root="true" ma:fieldsID="5901425aba8cf683fa08dc6686d9dc6d" ns2:_="" ns3:_="">
    <xsd:import namespace="0f90cc45-9d06-4234-8034-eeec6c0c7cc1"/>
    <xsd:import namespace="309f6219-a73f-4366-a00d-6bacb1e9f8e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9f6219-a73f-4366-a00d-6bacb1e9f8e0"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6ce1057a-84f0-41ef-9c26-068fafd6c4b9}" ma:internalName="TaxCatchAll" ma:showField="CatchAllData" ma:web="309f6219-a73f-4366-a00d-6bacb1e9f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90cc45-9d06-4234-8034-eeec6c0c7cc1">
      <Terms xmlns="http://schemas.microsoft.com/office/infopath/2007/PartnerControls"/>
    </lcf76f155ced4ddcb4097134ff3c332f>
    <TaxCatchAll xmlns="309f6219-a73f-4366-a00d-6bacb1e9f8e0" xsi:nil="true"/>
    <SharedWithUsers xmlns="309f6219-a73f-4366-a00d-6bacb1e9f8e0">
      <UserInfo>
        <DisplayName>Carlos Andres Castellanos Gamboa</DisplayName>
        <AccountId>9</AccountId>
        <AccountType/>
      </UserInfo>
      <UserInfo>
        <DisplayName>Andrea Paola Ahumada Forigua</DisplayName>
        <AccountId>17</AccountId>
        <AccountType/>
      </UserInfo>
      <UserInfo>
        <DisplayName>Oscar Andres Zabaleta Montenegro</DisplayName>
        <AccountId>18</AccountId>
        <AccountType/>
      </UserInfo>
      <UserInfo>
        <DisplayName>Juan Carlos Bonilla Borda</DisplayName>
        <AccountId>15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0E783F-00C0-41A1-88DD-EA57CCB84E43}">
  <ds:schemaRefs>
    <ds:schemaRef ds:uri="http://schemas.openxmlformats.org/officeDocument/2006/bibliography"/>
  </ds:schemaRefs>
</ds:datastoreItem>
</file>

<file path=customXml/itemProps2.xml><?xml version="1.0" encoding="utf-8"?>
<ds:datastoreItem xmlns:ds="http://schemas.openxmlformats.org/officeDocument/2006/customXml" ds:itemID="{1D1EA291-3B66-445B-BEE7-1A955368F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309f6219-a73f-4366-a00d-6bacb1e9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E2197-47FA-4565-9BAD-19733390382E}">
  <ds:schemaRefs>
    <ds:schemaRef ds:uri="http://www.w3.org/XML/1998/namespace"/>
    <ds:schemaRef ds:uri="http://purl.org/dc/elements/1.1/"/>
    <ds:schemaRef ds:uri="http://purl.org/dc/terms/"/>
    <ds:schemaRef ds:uri="0f90cc45-9d06-4234-8034-eeec6c0c7cc1"/>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309f6219-a73f-4366-a00d-6bacb1e9f8e0"/>
  </ds:schemaRefs>
</ds:datastoreItem>
</file>

<file path=customXml/itemProps4.xml><?xml version="1.0" encoding="utf-8"?>
<ds:datastoreItem xmlns:ds="http://schemas.openxmlformats.org/officeDocument/2006/customXml" ds:itemID="{B8328D52-C6AD-4CC0-A6BB-B54527BD7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resoluciones</Template>
  <TotalTime>1</TotalTime>
  <Pages>30</Pages>
  <Words>14095</Words>
  <Characters>77523</Characters>
  <Application>Microsoft Office Word</Application>
  <DocSecurity>0</DocSecurity>
  <Lines>646</Lines>
  <Paragraphs>182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Ramos;Carlos Castellanos</dc:creator>
  <cp:keywords/>
  <cp:lastModifiedBy>Luz Stella Rojas Macias</cp:lastModifiedBy>
  <cp:revision>2</cp:revision>
  <cp:lastPrinted>2022-11-25T17:12:00Z</cp:lastPrinted>
  <dcterms:created xsi:type="dcterms:W3CDTF">2022-12-15T14:35:00Z</dcterms:created>
  <dcterms:modified xsi:type="dcterms:W3CDTF">2022-12-15T14:35:00Z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y fmtid="{D5CDD505-2E9C-101B-9397-08002B2CF9AE}" pid="3" name="MediaServiceImageTags">
    <vt:lpwstr/>
  </property>
</Properties>
</file>