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1A73F4"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2966"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4259AA">
        <w:rPr>
          <w:rFonts w:ascii="Bookman Old Style" w:hAnsi="Bookman Old Style"/>
          <w:bCs/>
          <w:lang w:val="es-CO"/>
        </w:rPr>
        <w:t>Gas</w:t>
      </w:r>
      <w:r w:rsidR="00CC6793">
        <w:rPr>
          <w:rFonts w:ascii="Bookman Old Style" w:hAnsi="Bookman Old Style"/>
          <w:bCs/>
          <w:lang w:val="es-CO"/>
        </w:rPr>
        <w:t>es</w:t>
      </w:r>
      <w:r w:rsidR="004259AA">
        <w:rPr>
          <w:rFonts w:ascii="Bookman Old Style" w:hAnsi="Bookman Old Style"/>
          <w:bCs/>
          <w:lang w:val="es-CO"/>
        </w:rPr>
        <w:t xml:space="preserve"> de </w:t>
      </w:r>
      <w:r w:rsidR="00CC6793">
        <w:rPr>
          <w:rFonts w:ascii="Bookman Old Style" w:hAnsi="Bookman Old Style"/>
          <w:bCs/>
          <w:lang w:val="es-CO"/>
        </w:rPr>
        <w:t>Antioquia</w:t>
      </w:r>
      <w:r w:rsidR="008A5DBB">
        <w:rPr>
          <w:rFonts w:ascii="Bookman Old Style" w:hAnsi="Bookman Old Style"/>
          <w:bCs/>
          <w:lang w:val="es-CO"/>
        </w:rPr>
        <w:t xml:space="preserve"> </w:t>
      </w:r>
      <w:r w:rsidR="005F3077">
        <w:rPr>
          <w:rFonts w:ascii="Bookman Old Style" w:hAnsi="Bookman Old Style"/>
          <w:bCs/>
          <w:lang w:val="es-CO"/>
        </w:rPr>
        <w:t>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1A73F4"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1A73F4"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1A73F4"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1A73F4"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1A73F4"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1A73F4"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Default="006D45B0" w:rsidP="0066171D">
            <w:pPr>
              <w:ind w:left="0"/>
              <w:jc w:val="both"/>
              <w:rPr>
                <w:rFonts w:ascii="Bookman Old Style" w:hAnsi="Bookman Old Style"/>
                <w:color w:val="000000"/>
                <w:kern w:val="24"/>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p w:rsidR="00A303B0" w:rsidRPr="00EA33A0" w:rsidRDefault="00A303B0" w:rsidP="0066171D">
            <w:pPr>
              <w:ind w:left="0"/>
              <w:jc w:val="both"/>
              <w:rPr>
                <w:rFonts w:ascii="Bookman Old Style" w:hAnsi="Bookman Old Style" w:cs="Arial"/>
                <w:sz w:val="22"/>
                <w:szCs w:val="22"/>
                <w:lang w:val="es-CO" w:eastAsia="es-CO"/>
              </w:rPr>
            </w:pP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A303B0">
        <w:rPr>
          <w:rFonts w:ascii="Bookman Old Style" w:hAnsi="Bookman Old Style"/>
          <w:lang w:val="es-ES_tradnl"/>
        </w:rPr>
        <w:t>ntregada por la interventoría A</w:t>
      </w:r>
      <w:r w:rsidRPr="00EA33A0">
        <w:rPr>
          <w:rFonts w:ascii="Bookman Old Style" w:hAnsi="Bookman Old Style"/>
          <w:lang w:val="es-ES_tradnl"/>
        </w:rPr>
        <w:t>C</w:t>
      </w:r>
      <w:r w:rsidR="00A303B0">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proofErr w:type="spellStart"/>
      <w:r w:rsidRPr="00EA33A0">
        <w:rPr>
          <w:rFonts w:ascii="Bookman Old Style" w:hAnsi="Bookman Old Style"/>
          <w:lang w:val="es-ES_tradnl"/>
        </w:rPr>
        <w:t>icha</w:t>
      </w:r>
      <w:proofErr w:type="spellEnd"/>
      <w:r w:rsidRPr="00EA33A0">
        <w:rPr>
          <w:rFonts w:ascii="Bookman Old Style" w:hAnsi="Bookman Old Style"/>
          <w:lang w:val="es-ES_tradnl"/>
        </w:rPr>
        <w:t xml:space="preserve">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w:t>
      </w:r>
      <w:r w:rsidR="00A303B0">
        <w:rPr>
          <w:rFonts w:ascii="Bookman Old Style" w:hAnsi="Bookman Old Style"/>
          <w:lang w:val="es-ES_tradnl"/>
        </w:rPr>
        <w:t>r la interventoría A</w:t>
      </w:r>
      <w:r w:rsidRPr="00EA33A0">
        <w:rPr>
          <w:rFonts w:ascii="Bookman Old Style" w:hAnsi="Bookman Old Style"/>
          <w:lang w:val="es-ES_tradnl"/>
        </w:rPr>
        <w:t>C</w:t>
      </w:r>
      <w:r w:rsidR="00A303B0">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w:t>
      </w:r>
      <w:r w:rsidRPr="00EA33A0">
        <w:rPr>
          <w:rFonts w:ascii="Bookman Old Style" w:hAnsi="Bookman Old Style"/>
          <w:i/>
          <w:sz w:val="22"/>
          <w:szCs w:val="22"/>
        </w:rPr>
        <w:lastRenderedPageBreak/>
        <w:t xml:space="preserve">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lastRenderedPageBreak/>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604" w:type="dxa"/>
        <w:jc w:val="center"/>
        <w:tblCellMar>
          <w:left w:w="70" w:type="dxa"/>
          <w:right w:w="70" w:type="dxa"/>
        </w:tblCellMar>
        <w:tblLook w:val="04A0" w:firstRow="1" w:lastRow="0" w:firstColumn="1" w:lastColumn="0" w:noHBand="0" w:noVBand="1"/>
      </w:tblPr>
      <w:tblGrid>
        <w:gridCol w:w="1414"/>
        <w:gridCol w:w="5244"/>
        <w:gridCol w:w="1946"/>
      </w:tblGrid>
      <w:tr w:rsidR="006D45B0" w:rsidRPr="001F7F3A" w:rsidTr="00A303B0">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946"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CC6793" w:rsidRPr="004B2371" w:rsidTr="00A303B0">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793" w:rsidRPr="00CC6793" w:rsidRDefault="00CC6793" w:rsidP="00A303B0">
            <w:pPr>
              <w:ind w:left="0"/>
              <w:rPr>
                <w:rFonts w:ascii="Bookman Old Style" w:hAnsi="Bookman Old Style"/>
                <w:sz w:val="22"/>
                <w:szCs w:val="22"/>
              </w:rPr>
            </w:pPr>
            <w:r w:rsidRPr="00CC6793">
              <w:rPr>
                <w:rFonts w:ascii="Bookman Old Style" w:hAnsi="Bookman Old Style"/>
                <w:sz w:val="22"/>
                <w:szCs w:val="22"/>
              </w:rPr>
              <w:t>479</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CC6793" w:rsidRPr="00CC6793" w:rsidRDefault="00CC6793" w:rsidP="00A303B0">
            <w:pPr>
              <w:ind w:left="70"/>
              <w:rPr>
                <w:rFonts w:ascii="Bookman Old Style" w:hAnsi="Bookman Old Style"/>
                <w:sz w:val="22"/>
                <w:szCs w:val="22"/>
              </w:rPr>
            </w:pPr>
            <w:r w:rsidRPr="00CC6793">
              <w:rPr>
                <w:rFonts w:ascii="Bookman Old Style" w:hAnsi="Bookman Old Style"/>
                <w:sz w:val="22"/>
                <w:szCs w:val="22"/>
              </w:rPr>
              <w:t>GASES DE ANTIOQUIA S.A. E.S.P.</w:t>
            </w:r>
          </w:p>
        </w:tc>
        <w:tc>
          <w:tcPr>
            <w:tcW w:w="1946" w:type="dxa"/>
            <w:tcBorders>
              <w:top w:val="single" w:sz="4" w:space="0" w:color="auto"/>
              <w:left w:val="nil"/>
              <w:bottom w:val="single" w:sz="4" w:space="0" w:color="auto"/>
              <w:right w:val="single" w:sz="4" w:space="0" w:color="auto"/>
            </w:tcBorders>
            <w:shd w:val="clear" w:color="auto" w:fill="auto"/>
            <w:noWrap/>
            <w:vAlign w:val="center"/>
          </w:tcPr>
          <w:p w:rsidR="00CC6793" w:rsidRPr="00CC6793" w:rsidRDefault="00CC6793" w:rsidP="00CC6793">
            <w:pPr>
              <w:rPr>
                <w:rFonts w:ascii="Bookman Old Style" w:hAnsi="Bookman Old Style"/>
                <w:sz w:val="22"/>
                <w:szCs w:val="22"/>
              </w:rPr>
            </w:pPr>
            <w:r w:rsidRPr="00CC6793">
              <w:rPr>
                <w:rFonts w:ascii="Bookman Old Style" w:hAnsi="Bookman Old Style"/>
                <w:sz w:val="22"/>
                <w:szCs w:val="22"/>
              </w:rPr>
              <w:t>26.679.086</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 xml:space="preserve">a través de </w:t>
      </w:r>
      <w:r w:rsidR="00CC6793">
        <w:rPr>
          <w:rFonts w:ascii="Bookman Old Style" w:hAnsi="Bookman Old Style" w:cs="Arial"/>
          <w:spacing w:val="-5"/>
          <w:lang w:val="es-CO" w:eastAsia="en-US"/>
        </w:rPr>
        <w:t>comunicaciones</w:t>
      </w:r>
      <w:r>
        <w:rPr>
          <w:rFonts w:ascii="Bookman Old Style" w:hAnsi="Bookman Old Style" w:cs="Arial"/>
          <w:spacing w:val="-5"/>
          <w:lang w:val="es-CO" w:eastAsia="en-US"/>
        </w:rPr>
        <w:t xml:space="preserve"> con radicado</w:t>
      </w:r>
      <w:r w:rsidR="00CC6793">
        <w:rPr>
          <w:rFonts w:ascii="Bookman Old Style" w:hAnsi="Bookman Old Style" w:cs="Arial"/>
          <w:spacing w:val="-5"/>
          <w:lang w:val="es-CO" w:eastAsia="en-US"/>
        </w:rPr>
        <w:t>s</w:t>
      </w:r>
      <w:r>
        <w:rPr>
          <w:rFonts w:ascii="Bookman Old Style" w:hAnsi="Bookman Old Style" w:cs="Arial"/>
          <w:spacing w:val="-5"/>
          <w:lang w:val="es-CO" w:eastAsia="en-US"/>
        </w:rPr>
        <w:t xml:space="preserve"> número E-2017-</w:t>
      </w:r>
      <w:r w:rsidR="009B0CFD">
        <w:rPr>
          <w:rFonts w:ascii="Bookman Old Style" w:hAnsi="Bookman Old Style" w:cs="Arial"/>
          <w:spacing w:val="-5"/>
          <w:lang w:val="es-CO" w:eastAsia="en-US"/>
        </w:rPr>
        <w:t>0</w:t>
      </w:r>
      <w:r w:rsidR="00CC6793">
        <w:rPr>
          <w:rFonts w:ascii="Bookman Old Style" w:hAnsi="Bookman Old Style" w:cs="Arial"/>
          <w:spacing w:val="-5"/>
          <w:lang w:val="es-CO" w:eastAsia="en-US"/>
        </w:rPr>
        <w:t>11155 y E-2017-011200</w:t>
      </w:r>
      <w:r w:rsidR="005F3077">
        <w:rPr>
          <w:rFonts w:ascii="Bookman Old Style" w:hAnsi="Bookman Old Style" w:cs="Arial"/>
          <w:spacing w:val="-5"/>
          <w:lang w:val="es-CO" w:eastAsia="en-US"/>
        </w:rPr>
        <w:t xml:space="preserve"> de </w:t>
      </w:r>
      <w:r w:rsidR="00EA2C20">
        <w:rPr>
          <w:rFonts w:ascii="Bookman Old Style" w:hAnsi="Bookman Old Style" w:cs="Arial"/>
          <w:spacing w:val="-5"/>
          <w:lang w:val="es-CO" w:eastAsia="en-US"/>
        </w:rPr>
        <w:t>1</w:t>
      </w:r>
      <w:r w:rsidR="002D569D">
        <w:rPr>
          <w:rFonts w:ascii="Bookman Old Style" w:hAnsi="Bookman Old Style" w:cs="Arial"/>
          <w:spacing w:val="-5"/>
          <w:lang w:val="es-CO" w:eastAsia="en-US"/>
        </w:rPr>
        <w:t xml:space="preserve"> de </w:t>
      </w:r>
      <w:r w:rsidR="00EA2C20">
        <w:rPr>
          <w:rFonts w:ascii="Bookman Old Style" w:hAnsi="Bookman Old Style" w:cs="Arial"/>
          <w:spacing w:val="-5"/>
          <w:lang w:val="es-CO" w:eastAsia="en-US"/>
        </w:rPr>
        <w:t>diciembre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9B0CFD">
        <w:rPr>
          <w:rFonts w:ascii="Bookman Old Style" w:hAnsi="Bookman Old Style" w:cs="Arial"/>
          <w:spacing w:val="-5"/>
          <w:lang w:val="es-CO" w:eastAsia="en-US"/>
        </w:rPr>
        <w:t>presentante legal de la empresa Gas</w:t>
      </w:r>
      <w:r w:rsidR="00CC6793">
        <w:rPr>
          <w:rFonts w:ascii="Bookman Old Style" w:hAnsi="Bookman Old Style" w:cs="Arial"/>
          <w:spacing w:val="-5"/>
          <w:lang w:val="es-CO" w:eastAsia="en-US"/>
        </w:rPr>
        <w:t>es</w:t>
      </w:r>
      <w:r w:rsidR="009B0CFD">
        <w:rPr>
          <w:rFonts w:ascii="Bookman Old Style" w:hAnsi="Bookman Old Style" w:cs="Arial"/>
          <w:spacing w:val="-5"/>
          <w:lang w:val="es-CO" w:eastAsia="en-US"/>
        </w:rPr>
        <w:t xml:space="preserve"> de </w:t>
      </w:r>
      <w:r w:rsidR="00CC6793">
        <w:rPr>
          <w:rFonts w:ascii="Bookman Old Style" w:hAnsi="Bookman Old Style" w:cs="Arial"/>
          <w:spacing w:val="-5"/>
          <w:lang w:val="es-CO" w:eastAsia="en-US"/>
        </w:rPr>
        <w:t>Antioquia</w:t>
      </w:r>
      <w:r w:rsidR="005F307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9B0CFD">
        <w:rPr>
          <w:rFonts w:ascii="Bookman Old Style" w:hAnsi="Bookman Old Style" w:cs="Arial"/>
          <w:i/>
          <w:sz w:val="20"/>
          <w:szCs w:val="20"/>
        </w:rPr>
        <w:t xml:space="preserve">Por este medio respetuosamente solicitamos se modifique la parte resolutiva de la Resolución 168 de 2017, para Gas de </w:t>
      </w:r>
      <w:r w:rsidR="009131FE">
        <w:rPr>
          <w:rFonts w:ascii="Bookman Old Style" w:hAnsi="Bookman Old Style" w:cs="Arial"/>
          <w:i/>
          <w:sz w:val="20"/>
          <w:szCs w:val="20"/>
        </w:rPr>
        <w:t>Antioquia</w:t>
      </w:r>
      <w:r w:rsidR="009B0CFD">
        <w:rPr>
          <w:rFonts w:ascii="Bookman Old Style" w:hAnsi="Bookman Old Style" w:cs="Arial"/>
          <w:i/>
          <w:sz w:val="20"/>
          <w:szCs w:val="20"/>
        </w:rPr>
        <w:t xml:space="preserve"> S.A. E.S.P., Usuario SUI </w:t>
      </w:r>
      <w:r w:rsidR="009131FE">
        <w:rPr>
          <w:rFonts w:ascii="Bookman Old Style" w:hAnsi="Bookman Old Style" w:cs="Arial"/>
          <w:i/>
          <w:sz w:val="20"/>
          <w:szCs w:val="20"/>
        </w:rPr>
        <w:t>479</w:t>
      </w:r>
      <w:r w:rsidR="009B0CFD">
        <w:rPr>
          <w:rFonts w:ascii="Bookman Old Style" w:hAnsi="Bookman Old Style" w:cs="Arial"/>
          <w:i/>
          <w:sz w:val="20"/>
          <w:szCs w:val="20"/>
        </w:rPr>
        <w:t xml:space="preserve"> y por lo menos se mantenga la capacidad de compra prevista en la Circular 35 DE</w:t>
      </w:r>
      <w:r w:rsidR="009131FE">
        <w:rPr>
          <w:rFonts w:ascii="Bookman Old Style" w:hAnsi="Bookman Old Style" w:cs="Arial"/>
          <w:i/>
          <w:sz w:val="20"/>
          <w:szCs w:val="20"/>
        </w:rPr>
        <w:t xml:space="preserve"> 2016, ES DECIR 27.375.061</w:t>
      </w:r>
      <w:r w:rsidR="009B0CFD">
        <w:rPr>
          <w:rFonts w:ascii="Bookman Old Style" w:hAnsi="Bookman Old Style" w:cs="Arial"/>
          <w:i/>
          <w:sz w:val="20"/>
          <w:szCs w:val="20"/>
        </w:rPr>
        <w:t xml:space="preserve"> KILOGRAMOS</w:t>
      </w:r>
      <w:r w:rsidR="00B83F23" w:rsidRPr="00B83F23">
        <w:rPr>
          <w:rFonts w:ascii="Bookman Old Style" w:hAnsi="Bookman Old Style" w:cs="Arial"/>
          <w:i/>
          <w:sz w:val="20"/>
          <w:szCs w:val="20"/>
        </w:rPr>
        <w:t>.</w:t>
      </w:r>
      <w:r w:rsidR="00B83F23">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83F23">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172F7B">
        <w:rPr>
          <w:rFonts w:ascii="Bookman Old Style" w:hAnsi="Bookman Old Style" w:cs="Arial"/>
          <w:spacing w:val="-5"/>
          <w:lang w:val="es-CO" w:eastAsia="en-US"/>
        </w:rPr>
        <w:t>Gases de Antioquia</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9131FE">
        <w:rPr>
          <w:rFonts w:ascii="Bookman Old Style" w:hAnsi="Bookman Old Style" w:cs="Arial"/>
          <w:spacing w:val="-5"/>
          <w:lang w:val="es-CO" w:eastAsia="en-US"/>
        </w:rPr>
        <w:t>006200</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24</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9B0CFD">
        <w:rPr>
          <w:rFonts w:ascii="Bookman Old Style" w:hAnsi="Bookman Old Style" w:cs="Arial"/>
          <w:spacing w:val="-5"/>
          <w:lang w:val="es-CO" w:eastAsia="en-US"/>
        </w:rPr>
        <w:t>1</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diciembre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9B0CFD">
        <w:rPr>
          <w:rFonts w:ascii="Bookman Old Style" w:hAnsi="Bookman Old Style"/>
          <w:szCs w:val="27"/>
        </w:rPr>
        <w:t>G</w:t>
      </w:r>
      <w:r w:rsidR="00EA2C20">
        <w:rPr>
          <w:rFonts w:ascii="Bookman Old Style" w:hAnsi="Bookman Old Style"/>
          <w:szCs w:val="27"/>
        </w:rPr>
        <w:t xml:space="preserve">ases de Antioquia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EA2C20" w:rsidRPr="00EA2C20" w:rsidRDefault="00EA2C20" w:rsidP="00EA2C20">
      <w:pPr>
        <w:pStyle w:val="Style4"/>
        <w:framePr w:w="8028" w:wrap="notBeside" w:vAnchor="text" w:hAnchor="page" w:x="2624" w:y="1614"/>
        <w:shd w:val="clear" w:color="auto" w:fill="auto"/>
        <w:spacing w:line="220" w:lineRule="exact"/>
        <w:jc w:val="center"/>
        <w:rPr>
          <w:rFonts w:ascii="Bookman Old Style" w:hAnsi="Bookman Old Style"/>
          <w:sz w:val="16"/>
          <w:szCs w:val="16"/>
        </w:rPr>
      </w:pPr>
      <w:r w:rsidRPr="00EA2C20">
        <w:rPr>
          <w:rStyle w:val="CharStyle5"/>
          <w:rFonts w:ascii="Bookman Old Style" w:hAnsi="Bookman Old Style"/>
          <w:b/>
          <w:bCs/>
          <w:sz w:val="16"/>
          <w:szCs w:val="16"/>
          <w:lang w:eastAsia="es-ES_tradnl"/>
        </w:rPr>
        <w:t>Capacidad disponible de compra resolución 168 de 2017</w:t>
      </w:r>
    </w:p>
    <w:tbl>
      <w:tblPr>
        <w:tblW w:w="0" w:type="auto"/>
        <w:tblInd w:w="5" w:type="dxa"/>
        <w:tblLayout w:type="fixed"/>
        <w:tblCellMar>
          <w:left w:w="0" w:type="dxa"/>
          <w:right w:w="0" w:type="dxa"/>
        </w:tblCellMar>
        <w:tblLook w:val="0000" w:firstRow="0" w:lastRow="0" w:firstColumn="0" w:lastColumn="0" w:noHBand="0" w:noVBand="0"/>
      </w:tblPr>
      <w:tblGrid>
        <w:gridCol w:w="1202"/>
        <w:gridCol w:w="2318"/>
        <w:gridCol w:w="1757"/>
        <w:gridCol w:w="1822"/>
        <w:gridCol w:w="929"/>
      </w:tblGrid>
      <w:tr w:rsidR="00EA2C20" w:rsidRPr="00EA2C20" w:rsidTr="00EA2C20">
        <w:trPr>
          <w:trHeight w:hRule="exact" w:val="1354"/>
        </w:trPr>
        <w:tc>
          <w:tcPr>
            <w:tcW w:w="1202" w:type="dxa"/>
            <w:tcBorders>
              <w:top w:val="single" w:sz="4" w:space="0" w:color="auto"/>
              <w:left w:val="single" w:sz="4" w:space="0" w:color="auto"/>
              <w:bottom w:val="nil"/>
              <w:right w:val="nil"/>
            </w:tcBorders>
            <w:shd w:val="clear" w:color="auto" w:fill="FFFFFF"/>
            <w:vAlign w:val="center"/>
          </w:tcPr>
          <w:p w:rsidR="00EA2C20" w:rsidRPr="00EA2C20" w:rsidRDefault="00EA2C20" w:rsidP="00EA2C20">
            <w:pPr>
              <w:pStyle w:val="Style2"/>
              <w:framePr w:w="8028" w:wrap="notBeside" w:vAnchor="text" w:hAnchor="page" w:x="2624" w:y="1614"/>
              <w:shd w:val="clear" w:color="auto" w:fill="auto"/>
              <w:spacing w:after="0" w:line="220" w:lineRule="exact"/>
              <w:ind w:left="100"/>
              <w:jc w:val="center"/>
              <w:rPr>
                <w:rFonts w:ascii="Bookman Old Style" w:hAnsi="Bookman Old Style"/>
                <w:sz w:val="16"/>
                <w:szCs w:val="16"/>
              </w:rPr>
            </w:pPr>
            <w:r w:rsidRPr="00EA2C20">
              <w:rPr>
                <w:rStyle w:val="CharStyle6"/>
                <w:rFonts w:ascii="Bookman Old Style" w:hAnsi="Bookman Old Style"/>
                <w:sz w:val="16"/>
                <w:szCs w:val="16"/>
                <w:lang w:eastAsia="es-ES_tradnl"/>
              </w:rPr>
              <w:t>Empresa</w:t>
            </w:r>
          </w:p>
        </w:tc>
        <w:tc>
          <w:tcPr>
            <w:tcW w:w="2318" w:type="dxa"/>
            <w:tcBorders>
              <w:top w:val="single" w:sz="4" w:space="0" w:color="auto"/>
              <w:left w:val="single" w:sz="4" w:space="0" w:color="auto"/>
              <w:bottom w:val="nil"/>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66" w:lineRule="exact"/>
              <w:ind w:left="80"/>
              <w:jc w:val="center"/>
              <w:rPr>
                <w:rFonts w:ascii="Bookman Old Style" w:hAnsi="Bookman Old Style"/>
                <w:sz w:val="16"/>
                <w:szCs w:val="16"/>
              </w:rPr>
            </w:pPr>
            <w:r w:rsidRPr="00EA2C20">
              <w:rPr>
                <w:rStyle w:val="CharStyle6"/>
                <w:rFonts w:ascii="Bookman Old Style" w:hAnsi="Bookman Old Style"/>
                <w:sz w:val="16"/>
                <w:szCs w:val="16"/>
                <w:lang w:eastAsia="es-ES_tradnl"/>
              </w:rPr>
              <w:t>Capacidad de Compra Semestre resolución 168 de 2017</w:t>
            </w:r>
          </w:p>
        </w:tc>
        <w:tc>
          <w:tcPr>
            <w:tcW w:w="1757" w:type="dxa"/>
            <w:tcBorders>
              <w:top w:val="single" w:sz="4" w:space="0" w:color="auto"/>
              <w:left w:val="single" w:sz="4" w:space="0" w:color="auto"/>
              <w:bottom w:val="nil"/>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66" w:lineRule="exact"/>
              <w:ind w:left="80"/>
              <w:jc w:val="center"/>
              <w:rPr>
                <w:rFonts w:ascii="Bookman Old Style" w:hAnsi="Bookman Old Style"/>
                <w:sz w:val="16"/>
                <w:szCs w:val="16"/>
              </w:rPr>
            </w:pPr>
            <w:r w:rsidRPr="00EA2C20">
              <w:rPr>
                <w:rStyle w:val="CharStyle6"/>
                <w:rFonts w:ascii="Bookman Old Style" w:hAnsi="Bookman Old Style"/>
                <w:sz w:val="16"/>
                <w:szCs w:val="16"/>
                <w:lang w:eastAsia="es-ES_tradnl"/>
              </w:rPr>
              <w:t>Capacidad de compra anterior Circular 035 de 2017</w:t>
            </w:r>
          </w:p>
        </w:tc>
        <w:tc>
          <w:tcPr>
            <w:tcW w:w="1822" w:type="dxa"/>
            <w:tcBorders>
              <w:top w:val="single" w:sz="4" w:space="0" w:color="auto"/>
              <w:left w:val="single" w:sz="4" w:space="0" w:color="auto"/>
              <w:bottom w:val="nil"/>
              <w:right w:val="nil"/>
            </w:tcBorders>
            <w:shd w:val="clear" w:color="auto" w:fill="FFFFFF"/>
            <w:vAlign w:val="center"/>
          </w:tcPr>
          <w:p w:rsidR="00EA2C20" w:rsidRPr="00EA2C20" w:rsidRDefault="00EA2C20" w:rsidP="00EA2C20">
            <w:pPr>
              <w:pStyle w:val="Style2"/>
              <w:framePr w:w="8028" w:wrap="notBeside" w:vAnchor="text" w:hAnchor="page" w:x="2624" w:y="1614"/>
              <w:shd w:val="clear" w:color="auto" w:fill="auto"/>
              <w:spacing w:after="0" w:line="266" w:lineRule="exact"/>
              <w:ind w:left="80"/>
              <w:jc w:val="center"/>
              <w:rPr>
                <w:rFonts w:ascii="Bookman Old Style" w:hAnsi="Bookman Old Style"/>
                <w:sz w:val="16"/>
                <w:szCs w:val="16"/>
              </w:rPr>
            </w:pPr>
            <w:r w:rsidRPr="00EA2C20">
              <w:rPr>
                <w:rStyle w:val="CharStyle6"/>
                <w:rFonts w:ascii="Bookman Old Style" w:hAnsi="Bookman Old Style"/>
                <w:sz w:val="16"/>
                <w:szCs w:val="16"/>
                <w:lang w:eastAsia="es-ES_tradnl"/>
              </w:rPr>
              <w:t>diferencia por semestre</w:t>
            </w:r>
          </w:p>
        </w:tc>
        <w:tc>
          <w:tcPr>
            <w:tcW w:w="929" w:type="dxa"/>
            <w:tcBorders>
              <w:top w:val="single" w:sz="4" w:space="0" w:color="auto"/>
              <w:left w:val="single" w:sz="4" w:space="0" w:color="auto"/>
              <w:bottom w:val="nil"/>
              <w:right w:val="single" w:sz="4" w:space="0" w:color="auto"/>
            </w:tcBorders>
            <w:shd w:val="clear" w:color="auto" w:fill="FFFFFF"/>
            <w:vAlign w:val="center"/>
          </w:tcPr>
          <w:p w:rsidR="00EA2C20" w:rsidRPr="00EA2C20" w:rsidRDefault="00EA2C20" w:rsidP="00EA2C20">
            <w:pPr>
              <w:pStyle w:val="Style2"/>
              <w:framePr w:w="8028" w:wrap="notBeside" w:vAnchor="text" w:hAnchor="page" w:x="2624" w:y="1614"/>
              <w:shd w:val="clear" w:color="auto" w:fill="auto"/>
              <w:spacing w:after="0" w:line="210" w:lineRule="exact"/>
              <w:ind w:left="80"/>
              <w:jc w:val="center"/>
              <w:rPr>
                <w:rFonts w:ascii="Bookman Old Style" w:hAnsi="Bookman Old Style"/>
                <w:sz w:val="16"/>
                <w:szCs w:val="16"/>
              </w:rPr>
            </w:pPr>
            <w:r w:rsidRPr="00EA2C20">
              <w:rPr>
                <w:rStyle w:val="CharStyle7"/>
                <w:rFonts w:ascii="Bookman Old Style" w:hAnsi="Bookman Old Style"/>
                <w:sz w:val="16"/>
                <w:szCs w:val="16"/>
                <w:lang w:eastAsia="es-ES_tradnl"/>
              </w:rPr>
              <w:t>%</w:t>
            </w:r>
          </w:p>
        </w:tc>
      </w:tr>
      <w:tr w:rsidR="00EA2C20" w:rsidRPr="00EA2C20" w:rsidTr="00EA2C20">
        <w:trPr>
          <w:trHeight w:hRule="exact" w:val="324"/>
        </w:trPr>
        <w:tc>
          <w:tcPr>
            <w:tcW w:w="1202" w:type="dxa"/>
            <w:tcBorders>
              <w:top w:val="single" w:sz="4" w:space="0" w:color="auto"/>
              <w:left w:val="single" w:sz="4" w:space="0" w:color="auto"/>
              <w:bottom w:val="single" w:sz="4" w:space="0" w:color="auto"/>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20" w:lineRule="exact"/>
              <w:ind w:left="100"/>
              <w:jc w:val="center"/>
              <w:rPr>
                <w:rFonts w:ascii="Bookman Old Style" w:hAnsi="Bookman Old Style"/>
                <w:sz w:val="16"/>
                <w:szCs w:val="16"/>
              </w:rPr>
            </w:pPr>
            <w:r w:rsidRPr="00EA2C20">
              <w:rPr>
                <w:rStyle w:val="CharStyle6"/>
                <w:rFonts w:ascii="Bookman Old Style" w:hAnsi="Bookman Old Style"/>
                <w:sz w:val="16"/>
                <w:szCs w:val="16"/>
                <w:lang w:eastAsia="es-ES_tradnl"/>
              </w:rPr>
              <w:t>Gases</w:t>
            </w:r>
          </w:p>
        </w:tc>
        <w:tc>
          <w:tcPr>
            <w:tcW w:w="2318" w:type="dxa"/>
            <w:tcBorders>
              <w:top w:val="single" w:sz="4" w:space="0" w:color="auto"/>
              <w:left w:val="single" w:sz="4" w:space="0" w:color="auto"/>
              <w:bottom w:val="single" w:sz="4" w:space="0" w:color="auto"/>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10" w:lineRule="exact"/>
              <w:ind w:left="80"/>
              <w:jc w:val="center"/>
              <w:rPr>
                <w:rFonts w:ascii="Bookman Old Style" w:hAnsi="Bookman Old Style"/>
                <w:sz w:val="16"/>
                <w:szCs w:val="16"/>
              </w:rPr>
            </w:pPr>
            <w:r w:rsidRPr="00EA2C20">
              <w:rPr>
                <w:rStyle w:val="CharStyle7"/>
                <w:rFonts w:ascii="Bookman Old Style" w:hAnsi="Bookman Old Style"/>
                <w:sz w:val="16"/>
                <w:szCs w:val="16"/>
                <w:lang w:eastAsia="es-ES_tradnl"/>
              </w:rPr>
              <w:t>26.679.086,00</w:t>
            </w:r>
          </w:p>
        </w:tc>
        <w:tc>
          <w:tcPr>
            <w:tcW w:w="1757" w:type="dxa"/>
            <w:tcBorders>
              <w:top w:val="single" w:sz="4" w:space="0" w:color="auto"/>
              <w:left w:val="single" w:sz="4" w:space="0" w:color="auto"/>
              <w:bottom w:val="single" w:sz="4" w:space="0" w:color="auto"/>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10" w:lineRule="exact"/>
              <w:ind w:left="80"/>
              <w:jc w:val="center"/>
              <w:rPr>
                <w:rFonts w:ascii="Bookman Old Style" w:hAnsi="Bookman Old Style"/>
                <w:sz w:val="16"/>
                <w:szCs w:val="16"/>
              </w:rPr>
            </w:pPr>
            <w:r w:rsidRPr="00EA2C20">
              <w:rPr>
                <w:rStyle w:val="CharStyle7"/>
                <w:rFonts w:ascii="Bookman Old Style" w:hAnsi="Bookman Old Style"/>
                <w:sz w:val="16"/>
                <w:szCs w:val="16"/>
                <w:lang w:eastAsia="es-ES_tradnl"/>
              </w:rPr>
              <w:t>27.375.061,00</w:t>
            </w:r>
          </w:p>
        </w:tc>
        <w:tc>
          <w:tcPr>
            <w:tcW w:w="1822" w:type="dxa"/>
            <w:tcBorders>
              <w:top w:val="single" w:sz="4" w:space="0" w:color="auto"/>
              <w:left w:val="single" w:sz="4" w:space="0" w:color="auto"/>
              <w:bottom w:val="single" w:sz="4" w:space="0" w:color="auto"/>
              <w:right w:val="nil"/>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10" w:lineRule="exact"/>
              <w:ind w:left="80"/>
              <w:jc w:val="center"/>
              <w:rPr>
                <w:rFonts w:ascii="Bookman Old Style" w:hAnsi="Bookman Old Style"/>
                <w:sz w:val="16"/>
                <w:szCs w:val="16"/>
              </w:rPr>
            </w:pPr>
            <w:r w:rsidRPr="00EA2C20">
              <w:rPr>
                <w:rStyle w:val="CharStyle7"/>
                <w:rFonts w:ascii="Bookman Old Style" w:hAnsi="Bookman Old Style"/>
                <w:sz w:val="16"/>
                <w:szCs w:val="16"/>
                <w:lang w:eastAsia="es-ES_tradnl"/>
              </w:rPr>
              <w:t>(695.975,00)</w:t>
            </w:r>
          </w:p>
        </w:tc>
        <w:tc>
          <w:tcPr>
            <w:tcW w:w="929" w:type="dxa"/>
            <w:tcBorders>
              <w:top w:val="single" w:sz="4" w:space="0" w:color="auto"/>
              <w:left w:val="single" w:sz="4" w:space="0" w:color="auto"/>
              <w:bottom w:val="single" w:sz="4" w:space="0" w:color="auto"/>
              <w:right w:val="single" w:sz="4" w:space="0" w:color="auto"/>
            </w:tcBorders>
            <w:shd w:val="clear" w:color="auto" w:fill="FFFFFF"/>
            <w:vAlign w:val="bottom"/>
          </w:tcPr>
          <w:p w:rsidR="00EA2C20" w:rsidRPr="00EA2C20" w:rsidRDefault="00EA2C20" w:rsidP="00EA2C20">
            <w:pPr>
              <w:pStyle w:val="Style2"/>
              <w:framePr w:w="8028" w:wrap="notBeside" w:vAnchor="text" w:hAnchor="page" w:x="2624" w:y="1614"/>
              <w:shd w:val="clear" w:color="auto" w:fill="auto"/>
              <w:spacing w:after="0" w:line="210" w:lineRule="exact"/>
              <w:ind w:left="80"/>
              <w:jc w:val="center"/>
              <w:rPr>
                <w:rFonts w:ascii="Bookman Old Style" w:hAnsi="Bookman Old Style"/>
                <w:sz w:val="16"/>
                <w:szCs w:val="16"/>
              </w:rPr>
            </w:pPr>
            <w:r w:rsidRPr="00EA2C20">
              <w:rPr>
                <w:rStyle w:val="CharStyle7"/>
                <w:rFonts w:ascii="Bookman Old Style" w:hAnsi="Bookman Old Style"/>
                <w:sz w:val="16"/>
                <w:szCs w:val="16"/>
                <w:lang w:eastAsia="es-ES_tradnl"/>
              </w:rPr>
              <w:t>-2,5%</w:t>
            </w:r>
          </w:p>
        </w:tc>
      </w:tr>
    </w:tbl>
    <w:p w:rsidR="00EA2C20" w:rsidRPr="00EA2C20" w:rsidRDefault="00B83F23" w:rsidP="00EA2C20">
      <w:pPr>
        <w:pStyle w:val="Style2"/>
        <w:shd w:val="clear" w:color="auto" w:fill="auto"/>
        <w:spacing w:after="0" w:line="240" w:lineRule="auto"/>
        <w:ind w:left="284" w:right="284"/>
        <w:rPr>
          <w:rFonts w:ascii="Bookman Old Style" w:hAnsi="Bookman Old Style"/>
        </w:rPr>
      </w:pPr>
      <w:r w:rsidRPr="00EA2C20">
        <w:rPr>
          <w:rFonts w:ascii="Bookman Old Style" w:hAnsi="Bookman Old Style"/>
          <w:i/>
          <w:lang w:val="es-ES_tradnl"/>
        </w:rPr>
        <w:t>“</w:t>
      </w:r>
      <w:r w:rsidR="00EA2C20" w:rsidRPr="00EA2C20">
        <w:rPr>
          <w:rStyle w:val="CharStyle3"/>
          <w:rFonts w:ascii="Bookman Old Style" w:hAnsi="Bookman Old Style"/>
          <w:color w:val="000000"/>
          <w:lang w:eastAsia="es-ES_tradnl"/>
        </w:rPr>
        <w:t>En mi condición de Representante Legal de Gases de Antioquia S.A. E.S.P. respetuosamente me permito presentar recurso de reposición en contra de la decisión contenida en el Acto Administrativo de la Referencia, por la cual definió que la capacidad de compra de Gases de Antioquia disminuye en 2.5% en comparación con la capacidad de compra definida en la circular 035 de 2017 de la CREG de la siguiente forma:</w:t>
      </w:r>
    </w:p>
    <w:p w:rsidR="00EA2C20" w:rsidRDefault="00EA2C20" w:rsidP="00EA2C20">
      <w:pPr>
        <w:rPr>
          <w:sz w:val="2"/>
          <w:szCs w:val="2"/>
          <w:lang w:eastAsia="es-CO"/>
        </w:rPr>
      </w:pPr>
    </w:p>
    <w:p w:rsidR="00EA2C20" w:rsidRDefault="00EA2C20" w:rsidP="00EA2C20">
      <w:pPr>
        <w:pStyle w:val="Style2"/>
        <w:shd w:val="clear" w:color="auto" w:fill="auto"/>
        <w:spacing w:after="0" w:line="240" w:lineRule="auto"/>
        <w:ind w:left="284" w:right="284"/>
        <w:rPr>
          <w:rStyle w:val="CharStyle3"/>
          <w:rFonts w:ascii="Bookman Old Style" w:hAnsi="Bookman Old Style"/>
          <w:color w:val="000000"/>
          <w:lang w:eastAsia="es-ES_tradnl"/>
        </w:rPr>
      </w:pPr>
    </w:p>
    <w:p w:rsidR="00EA2C20" w:rsidRPr="00EA2C20" w:rsidRDefault="00EA2C20" w:rsidP="00EA2C20">
      <w:pPr>
        <w:pStyle w:val="Style2"/>
        <w:shd w:val="clear" w:color="auto" w:fill="auto"/>
        <w:spacing w:after="0" w:line="240" w:lineRule="auto"/>
        <w:ind w:left="284" w:right="284"/>
        <w:rPr>
          <w:rStyle w:val="CharStyle3"/>
          <w:rFonts w:ascii="Bookman Old Style" w:hAnsi="Bookman Old Style"/>
          <w:color w:val="000000"/>
          <w:lang w:eastAsia="es-ES_tradnl"/>
        </w:rPr>
      </w:pPr>
      <w:r w:rsidRPr="00EA2C20">
        <w:rPr>
          <w:rStyle w:val="CharStyle3"/>
          <w:rFonts w:ascii="Bookman Old Style" w:hAnsi="Bookman Old Style"/>
          <w:color w:val="000000"/>
          <w:lang w:eastAsia="es-ES_tradnl"/>
        </w:rPr>
        <w:t>Sumado a lo anterior, Gases de Antioquia ha ingresado nuevos cilindros al mercado en lo corrido del año para atender la distribución de GLP en su área de influencia. Mediante comunicación de la Superintendencia de Servicios Públicos radicado No. 20172301387121 de fecha 02.10.2017 por medio de la cual la SSPD remitió la información actualizada de cilindros activos que reposa en la base de datos del SUI, en un CD donde se identifica, que el número de cilindros cargados desde 2008 hasta 2016 fueron 786.281 cilindros y en el año 2017 se cargaron 10,893, para un numero de cilindros de 797.174. Para el año 2016 la capacidad de los tanques estacionarios ascendía de 502.735,8 kilogramos para Gases de Antioquia. Los tanques estacionarios se han incrementado con relación al año anterior en 41.538 kilogramos.</w:t>
      </w:r>
    </w:p>
    <w:p w:rsidR="00EA2C20" w:rsidRDefault="00EA2C20" w:rsidP="00EA2C20">
      <w:pPr>
        <w:pStyle w:val="Style2"/>
        <w:shd w:val="clear" w:color="auto" w:fill="auto"/>
        <w:spacing w:after="0" w:line="240" w:lineRule="auto"/>
        <w:ind w:left="284" w:right="284"/>
        <w:rPr>
          <w:rStyle w:val="CharStyle3"/>
          <w:rFonts w:ascii="Bookman Old Style" w:hAnsi="Bookman Old Style"/>
          <w:color w:val="000000"/>
          <w:lang w:eastAsia="es-ES_tradnl"/>
        </w:rPr>
      </w:pPr>
    </w:p>
    <w:p w:rsidR="00EA2C20" w:rsidRDefault="00EA2C20" w:rsidP="00EA2C20">
      <w:pPr>
        <w:pStyle w:val="Style2"/>
        <w:shd w:val="clear" w:color="auto" w:fill="auto"/>
        <w:spacing w:after="0" w:line="240" w:lineRule="auto"/>
        <w:ind w:left="284" w:right="284"/>
        <w:rPr>
          <w:rStyle w:val="CharStyle3"/>
          <w:rFonts w:ascii="Bookman Old Style" w:hAnsi="Bookman Old Style"/>
          <w:color w:val="000000"/>
          <w:lang w:eastAsia="es-ES_tradnl"/>
        </w:rPr>
      </w:pPr>
      <w:r w:rsidRPr="00EA2C20">
        <w:rPr>
          <w:rStyle w:val="CharStyle3"/>
          <w:rFonts w:ascii="Bookman Old Style" w:hAnsi="Bookman Old Style"/>
          <w:color w:val="000000"/>
          <w:lang w:eastAsia="es-ES_tradnl"/>
        </w:rPr>
        <w:t>Agradecemos que se evalúe la nueva capacidad de compra de GLP definida en la resolución en mención, dado que no evidenciamos la razón por la que se disminuye la capacidad de compra de la circular 035 de 2017 de la CREG, con respecto a la propuesta de resolución CREG 168 de 2017.</w:t>
      </w:r>
    </w:p>
    <w:p w:rsidR="00EA2C20" w:rsidRDefault="00EA2C20" w:rsidP="00EA2C20">
      <w:pPr>
        <w:pStyle w:val="Style2"/>
        <w:shd w:val="clear" w:color="auto" w:fill="auto"/>
        <w:spacing w:after="0" w:line="240" w:lineRule="auto"/>
        <w:ind w:left="284" w:right="284"/>
        <w:rPr>
          <w:rStyle w:val="CharStyle3"/>
          <w:rFonts w:ascii="Bookman Old Style" w:hAnsi="Bookman Old Style"/>
          <w:color w:val="000000"/>
          <w:lang w:eastAsia="es-ES_tradnl"/>
        </w:rPr>
      </w:pPr>
    </w:p>
    <w:p w:rsidR="00B83F23" w:rsidRPr="00EA2C20" w:rsidRDefault="00EA2C20" w:rsidP="00EA2C20">
      <w:pPr>
        <w:pStyle w:val="Style2"/>
        <w:shd w:val="clear" w:color="auto" w:fill="auto"/>
        <w:spacing w:after="0" w:line="240" w:lineRule="auto"/>
        <w:ind w:left="284" w:right="284"/>
        <w:rPr>
          <w:rFonts w:ascii="Bookman Old Style" w:hAnsi="Bookman Old Style"/>
          <w:color w:val="000000"/>
          <w:shd w:val="clear" w:color="auto" w:fill="FFFFFF"/>
          <w:lang w:eastAsia="es-ES_tradnl"/>
        </w:rPr>
      </w:pPr>
      <w:r w:rsidRPr="00EA2C20">
        <w:rPr>
          <w:rStyle w:val="CharStyle3"/>
          <w:rFonts w:ascii="Bookman Old Style" w:hAnsi="Bookman Old Style"/>
          <w:color w:val="000000"/>
          <w:lang w:eastAsia="es-ES_tradnl"/>
        </w:rPr>
        <w:t>Para la empresa Gases de Antioquia los requerimientos sobre la capacidad de los cilindros, está</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conforme</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al requerimiento</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 xml:space="preserve">de la Superintendencia, toda vez que los </w:t>
      </w:r>
      <w:r w:rsidRPr="00EA2C20">
        <w:rPr>
          <w:rStyle w:val="CharStyle3"/>
          <w:rFonts w:ascii="Bookman Old Style" w:hAnsi="Bookman Old Style"/>
          <w:color w:val="000000"/>
          <w:lang w:eastAsia="es-ES_tradnl"/>
        </w:rPr>
        <w:lastRenderedPageBreak/>
        <w:t>tamaños reportados coinciden con el comunicado de la SSPD 20172301225561, sobre la cual informó la DTGGG, así como los reportes en kilogramos. La</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información actualizada enviada por la</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Dirección</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corresponde</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a lo dispuesto en</w:t>
      </w:r>
      <w:r>
        <w:rPr>
          <w:rStyle w:val="CharStyle3"/>
          <w:rFonts w:ascii="Bookman Old Style" w:hAnsi="Bookman Old Style"/>
          <w:color w:val="000000"/>
          <w:lang w:eastAsia="es-ES_tradnl"/>
        </w:rPr>
        <w:t xml:space="preserve"> </w:t>
      </w:r>
      <w:r w:rsidRPr="00EA2C20">
        <w:rPr>
          <w:rStyle w:val="CharStyle3"/>
          <w:rFonts w:ascii="Bookman Old Style" w:hAnsi="Bookman Old Style"/>
          <w:color w:val="000000"/>
          <w:lang w:eastAsia="es-ES_tradnl"/>
        </w:rPr>
        <w:t>la Resolución GREG 063 de 2016.</w:t>
      </w:r>
      <w:r w:rsidR="00B83F23" w:rsidRPr="0097344A">
        <w:rPr>
          <w:rFonts w:ascii="Bookman Old Style" w:hAnsi="Bookman Old Style"/>
          <w:i/>
          <w:sz w:val="20"/>
          <w:szCs w:val="20"/>
          <w:lang w:val="es-ES_tradnl"/>
        </w:rPr>
        <w:t>”</w:t>
      </w:r>
    </w:p>
    <w:p w:rsidR="00B83F23" w:rsidRPr="006C0EE5" w:rsidRDefault="00B83F23" w:rsidP="006C0EE5">
      <w:pPr>
        <w:ind w:left="284" w:right="284"/>
        <w:jc w:val="both"/>
        <w:rPr>
          <w:rFonts w:ascii="Bookman Old Style" w:hAnsi="Bookman Old Style" w:cs="Arial"/>
          <w:i/>
          <w:sz w:val="20"/>
          <w:szCs w:val="20"/>
          <w:lang w:val="es-ES_tradnl"/>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A303B0">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A303B0">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A303B0">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A303B0">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lastRenderedPageBreak/>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A303B0">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A303B0">
        <w:rPr>
          <w:rFonts w:ascii="Bookman Old Style" w:eastAsia="MS Mincho" w:hAnsi="Bookman Old Style" w:cs="Arial"/>
          <w:sz w:val="22"/>
          <w:szCs w:val="22"/>
          <w:lang w:val="es-ES_tradnl" w:eastAsia="en-US"/>
        </w:rPr>
        <w:t xml:space="preserve">I </w:t>
      </w:r>
      <w:r w:rsidRPr="006C0EE5">
        <w:rPr>
          <w:rFonts w:ascii="Bookman Old Style" w:eastAsia="MS Mincho" w:hAnsi="Bookman Old Style" w:cs="Arial"/>
          <w:sz w:val="22"/>
          <w:szCs w:val="22"/>
          <w:lang w:val="es-ES_tradnl" w:eastAsia="en-US"/>
        </w:rPr>
        <w:t xml:space="preserve">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w:t>
      </w:r>
      <w:proofErr w:type="spellStart"/>
      <w:r w:rsidRPr="006C0EE5">
        <w:rPr>
          <w:rFonts w:ascii="Bookman Old Style" w:hAnsi="Bookman Old Style"/>
          <w:szCs w:val="27"/>
        </w:rPr>
        <w:t>Montagas</w:t>
      </w:r>
      <w:proofErr w:type="spellEnd"/>
      <w:r w:rsidRPr="006C0EE5">
        <w:rPr>
          <w:rFonts w:ascii="Bookman Old Style" w:hAnsi="Bookman Old Style"/>
          <w:szCs w:val="27"/>
        </w:rPr>
        <w:t xml:space="preserve">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97344A" w:rsidRPr="00EA2C20" w:rsidRDefault="006C0EE5" w:rsidP="00EA2C20">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97344A">
        <w:rPr>
          <w:rFonts w:ascii="Bookman Old Style" w:hAnsi="Bookman Old Style"/>
          <w:szCs w:val="27"/>
        </w:rPr>
        <w:t>Gas</w:t>
      </w:r>
      <w:r w:rsidR="00EA2C20">
        <w:rPr>
          <w:rFonts w:ascii="Bookman Old Style" w:hAnsi="Bookman Old Style"/>
          <w:szCs w:val="27"/>
        </w:rPr>
        <w:t xml:space="preserve">es de Antioquia </w:t>
      </w:r>
      <w:r w:rsidRPr="006C0EE5">
        <w:rPr>
          <w:rFonts w:ascii="Bookman Old Style" w:hAnsi="Bookman Old Style"/>
          <w:szCs w:val="27"/>
        </w:rPr>
        <w:t xml:space="preserve">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97344A" w:rsidRDefault="0097344A"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97344A">
        <w:rPr>
          <w:rFonts w:ascii="Bookman Old Style" w:hAnsi="Bookman Old Style"/>
          <w:szCs w:val="27"/>
        </w:rPr>
        <w:t>Gas</w:t>
      </w:r>
      <w:r w:rsidR="00EA2C20">
        <w:rPr>
          <w:rFonts w:ascii="Bookman Old Style" w:hAnsi="Bookman Old Style"/>
          <w:szCs w:val="27"/>
        </w:rPr>
        <w:t>es</w:t>
      </w:r>
      <w:r w:rsidR="0097344A">
        <w:rPr>
          <w:rFonts w:ascii="Bookman Old Style" w:hAnsi="Bookman Old Style"/>
          <w:szCs w:val="27"/>
        </w:rPr>
        <w:t xml:space="preserve"> de </w:t>
      </w:r>
      <w:r w:rsidR="00EA2C20">
        <w:rPr>
          <w:rFonts w:ascii="Bookman Old Style" w:hAnsi="Bookman Old Style"/>
          <w:szCs w:val="27"/>
        </w:rPr>
        <w:t>Antioquia</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A303B0">
        <w:rPr>
          <w:rFonts w:ascii="Bookman Old Style" w:hAnsi="Bookman Old Style"/>
          <w:szCs w:val="27"/>
        </w:rPr>
        <w:t>ntregada por la interventoría A</w:t>
      </w:r>
      <w:r w:rsidRPr="00732E3E">
        <w:rPr>
          <w:rFonts w:ascii="Bookman Old Style" w:hAnsi="Bookman Old Style"/>
          <w:szCs w:val="27"/>
        </w:rPr>
        <w:t>C</w:t>
      </w:r>
      <w:r w:rsidR="00A303B0">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lastRenderedPageBreak/>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97344A">
        <w:rPr>
          <w:rFonts w:ascii="Bookman Old Style" w:hAnsi="Bookman Old Style"/>
          <w:szCs w:val="27"/>
        </w:rPr>
        <w:t>Gas</w:t>
      </w:r>
      <w:r w:rsidR="00EA2C20">
        <w:rPr>
          <w:rFonts w:ascii="Bookman Old Style" w:hAnsi="Bookman Old Style"/>
          <w:szCs w:val="27"/>
        </w:rPr>
        <w:t>es</w:t>
      </w:r>
      <w:r w:rsidR="0097344A">
        <w:rPr>
          <w:rFonts w:ascii="Bookman Old Style" w:hAnsi="Bookman Old Style"/>
          <w:szCs w:val="27"/>
        </w:rPr>
        <w:t xml:space="preserve"> de </w:t>
      </w:r>
      <w:r w:rsidR="00EA2C20">
        <w:rPr>
          <w:rFonts w:ascii="Bookman Old Style" w:hAnsi="Bookman Old Style"/>
          <w:szCs w:val="27"/>
        </w:rPr>
        <w:t>Antioquia</w:t>
      </w:r>
      <w:r w:rsidRPr="00C3759C">
        <w:rPr>
          <w:rFonts w:ascii="Bookman Old Style" w:hAnsi="Bookman Old Style"/>
          <w:szCs w:val="27"/>
        </w:rPr>
        <w:t>:</w:t>
      </w:r>
    </w:p>
    <w:p w:rsidR="00C3759C" w:rsidRDefault="00C3759C" w:rsidP="00EA2C20">
      <w:pPr>
        <w:pStyle w:val="Textoindependiente2"/>
        <w:spacing w:after="0" w:line="240" w:lineRule="auto"/>
        <w:ind w:left="0" w:right="-142"/>
        <w:rPr>
          <w:rFonts w:ascii="Bookman Old Style" w:hAnsi="Bookman Old Style"/>
          <w:szCs w:val="27"/>
        </w:rPr>
      </w:pPr>
    </w:p>
    <w:p w:rsidR="00C3759C" w:rsidRDefault="00EA2C20" w:rsidP="00EA2C20">
      <w:pPr>
        <w:pStyle w:val="Textoindependiente2"/>
        <w:spacing w:after="0" w:line="240" w:lineRule="auto"/>
        <w:ind w:left="-142" w:right="-142"/>
        <w:jc w:val="center"/>
        <w:rPr>
          <w:rFonts w:ascii="Bookman Old Style" w:hAnsi="Bookman Old Style"/>
          <w:szCs w:val="27"/>
        </w:rPr>
      </w:pPr>
      <w:r w:rsidRPr="00EA2C20">
        <w:rPr>
          <w:rFonts w:ascii="Bookman Old Style" w:hAnsi="Bookman Old Style"/>
          <w:noProof/>
          <w:szCs w:val="27"/>
          <w:lang w:val="es-CO" w:eastAsia="es-CO"/>
        </w:rPr>
        <w:drawing>
          <wp:inline distT="0" distB="0" distL="0" distR="0">
            <wp:extent cx="4898390" cy="463731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716" cy="4638570"/>
                    </a:xfrm>
                    <a:prstGeom prst="rect">
                      <a:avLst/>
                    </a:prstGeom>
                    <a:noFill/>
                    <a:ln>
                      <a:noFill/>
                    </a:ln>
                  </pic:spPr>
                </pic:pic>
              </a:graphicData>
            </a:graphic>
          </wp:inline>
        </w:drawing>
      </w:r>
    </w:p>
    <w:p w:rsidR="0066171D" w:rsidRDefault="00EA2C20" w:rsidP="0097344A">
      <w:pPr>
        <w:pStyle w:val="Textoindependiente2"/>
        <w:spacing w:after="0" w:line="240" w:lineRule="auto"/>
        <w:ind w:left="0" w:right="-142"/>
        <w:jc w:val="center"/>
        <w:rPr>
          <w:rFonts w:ascii="Bookman Old Style" w:hAnsi="Bookman Old Style"/>
          <w:szCs w:val="27"/>
        </w:rPr>
      </w:pPr>
      <w:r w:rsidRPr="00EA2C20">
        <w:rPr>
          <w:rFonts w:ascii="Bookman Old Style" w:hAnsi="Bookman Old Style"/>
          <w:noProof/>
          <w:szCs w:val="27"/>
          <w:lang w:val="es-CO" w:eastAsia="es-CO"/>
        </w:rPr>
        <w:drawing>
          <wp:inline distT="0" distB="0" distL="0" distR="0">
            <wp:extent cx="4843626" cy="1741714"/>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529" cy="1745275"/>
                    </a:xfrm>
                    <a:prstGeom prst="rect">
                      <a:avLst/>
                    </a:prstGeom>
                    <a:noFill/>
                    <a:ln>
                      <a:noFill/>
                    </a:ln>
                  </pic:spPr>
                </pic:pic>
              </a:graphicData>
            </a:graphic>
          </wp:inline>
        </w:drawing>
      </w:r>
    </w:p>
    <w:p w:rsidR="0097344A" w:rsidRDefault="0097344A" w:rsidP="00EA2C20">
      <w:pPr>
        <w:pStyle w:val="Textoindependiente2"/>
        <w:tabs>
          <w:tab w:val="left" w:pos="8194"/>
        </w:tabs>
        <w:spacing w:after="0" w:line="240" w:lineRule="auto"/>
        <w:ind w:left="-142" w:right="-142"/>
        <w:rPr>
          <w:rFonts w:ascii="Bookman Old Style" w:hAnsi="Bookman Old Style"/>
          <w:szCs w:val="27"/>
        </w:rPr>
      </w:pPr>
      <w:r>
        <w:rPr>
          <w:rFonts w:ascii="Bookman Old Style" w:hAnsi="Bookman Old Style"/>
          <w:szCs w:val="27"/>
        </w:rPr>
        <w:tab/>
      </w:r>
    </w:p>
    <w:p w:rsidR="00DA1EF4" w:rsidRDefault="00EA2C20" w:rsidP="00C91B94">
      <w:pPr>
        <w:pStyle w:val="Textoindependiente2"/>
        <w:spacing w:after="0" w:line="240" w:lineRule="auto"/>
        <w:ind w:left="-142" w:right="-142"/>
        <w:jc w:val="center"/>
        <w:rPr>
          <w:rFonts w:ascii="Bookman Old Style" w:hAnsi="Bookman Old Style"/>
          <w:szCs w:val="27"/>
        </w:rPr>
      </w:pPr>
      <w:r w:rsidRPr="00EA2C20">
        <w:rPr>
          <w:rFonts w:ascii="Bookman Old Style" w:hAnsi="Bookman Old Style"/>
          <w:noProof/>
          <w:szCs w:val="27"/>
          <w:lang w:val="es-CO" w:eastAsia="es-CO"/>
        </w:rPr>
        <w:drawing>
          <wp:inline distT="0" distB="0" distL="0" distR="0">
            <wp:extent cx="4811395" cy="751205"/>
            <wp:effectExtent l="0" t="0" r="8255"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1395" cy="751205"/>
                    </a:xfrm>
                    <a:prstGeom prst="rect">
                      <a:avLst/>
                    </a:prstGeom>
                    <a:noFill/>
                    <a:ln>
                      <a:noFill/>
                    </a:ln>
                  </pic:spPr>
                </pic:pic>
              </a:graphicData>
            </a:graphic>
          </wp:inline>
        </w:drawing>
      </w:r>
    </w:p>
    <w:p w:rsidR="00C91B94" w:rsidRPr="00583648" w:rsidRDefault="00C91B94" w:rsidP="0097344A">
      <w:pPr>
        <w:pStyle w:val="Textoindependiente2"/>
        <w:spacing w:after="0" w:line="240" w:lineRule="auto"/>
        <w:ind w:left="0" w:right="-142"/>
        <w:rPr>
          <w:rFonts w:ascii="Bookman Old Style" w:hAnsi="Bookman Old Style"/>
          <w:noProof/>
          <w:szCs w:val="27"/>
          <w:lang w:val="es-CO" w:eastAsia="es-CO"/>
        </w:rPr>
      </w:pP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w:t>
      </w:r>
      <w:r>
        <w:rPr>
          <w:rFonts w:ascii="Bookman Old Style" w:hAnsi="Bookman Old Style"/>
          <w:szCs w:val="27"/>
        </w:rPr>
        <w:lastRenderedPageBreak/>
        <w:t xml:space="preserve">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172F7B"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p>
    <w:p w:rsidR="00172F7B" w:rsidRDefault="00172F7B" w:rsidP="00E415D4">
      <w:pPr>
        <w:pStyle w:val="Textoindependiente2"/>
        <w:spacing w:after="0" w:line="240" w:lineRule="auto"/>
        <w:ind w:left="-142" w:right="-142"/>
        <w:jc w:val="both"/>
        <w:rPr>
          <w:rFonts w:ascii="Bookman Old Style" w:hAnsi="Bookman Old Style"/>
          <w:szCs w:val="27"/>
        </w:rPr>
      </w:pPr>
    </w:p>
    <w:p w:rsidR="00583648" w:rsidRPr="00E415D4"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proofErr w:type="spellStart"/>
      <w:r w:rsidRPr="00F64F1B">
        <w:rPr>
          <w:rFonts w:ascii="Bookman Old Style" w:hAnsi="Bookman Old Style" w:cs="Arial"/>
          <w:i/>
          <w:spacing w:val="-5"/>
          <w:lang w:val="es-CO" w:eastAsia="en-US"/>
        </w:rPr>
        <w:t>nemo</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auditur</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propiam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turpitudinem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allegans</w:t>
      </w:r>
      <w:proofErr w:type="spellEnd"/>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97344A" w:rsidRDefault="0097344A" w:rsidP="00583648">
      <w:pPr>
        <w:pStyle w:val="Textoindependiente2"/>
        <w:spacing w:after="0" w:line="240" w:lineRule="auto"/>
        <w:ind w:left="-142" w:right="-142"/>
        <w:jc w:val="both"/>
        <w:rPr>
          <w:rFonts w:ascii="Bookman Old Style" w:hAnsi="Bookman Old Style" w:cs="Arial"/>
          <w:spacing w:val="-5"/>
          <w:lang w:val="es-CO" w:eastAsia="en-US"/>
        </w:rPr>
      </w:pPr>
    </w:p>
    <w:p w:rsidR="00E415D4" w:rsidRPr="00E415D4" w:rsidRDefault="00E415D4" w:rsidP="00E415D4">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Así mismo</w:t>
      </w:r>
      <w:r w:rsidR="0097344A">
        <w:rPr>
          <w:rFonts w:ascii="Bookman Old Style" w:hAnsi="Bookman Old Style" w:cs="Arial"/>
          <w:spacing w:val="-5"/>
          <w:lang w:val="es-CO" w:eastAsia="en-US"/>
        </w:rPr>
        <w:t>,</w:t>
      </w:r>
      <w:r>
        <w:rPr>
          <w:rFonts w:ascii="Bookman Old Style" w:hAnsi="Bookman Old Style" w:cs="Arial"/>
          <w:spacing w:val="-5"/>
          <w:lang w:val="es-CO" w:eastAsia="en-US"/>
        </w:rPr>
        <w:t xml:space="preserve"> no es procedente la solicitud hecha por la empresa de mantener la capacidad de compra publicada en la Circular CREG 035 de 2017, ya que esto desconocería la correcta aplicación de la fórmula prevista en el artículo 8 de la Resolución CREG 063 de 2016. </w:t>
      </w:r>
      <w:r>
        <w:rPr>
          <w:rFonts w:ascii="Bookman Old Style" w:hAnsi="Bookman Old Style"/>
          <w:szCs w:val="27"/>
        </w:rPr>
        <w:t>Es por esto que dentro de la parte motiva de la Resolución CREG 168 de 2017 esta Comisión expuso lo siguiente:</w:t>
      </w:r>
    </w:p>
    <w:p w:rsidR="00E415D4" w:rsidRDefault="00E415D4" w:rsidP="00E415D4">
      <w:pPr>
        <w:pStyle w:val="Textoindependiente2"/>
        <w:spacing w:after="0" w:line="240" w:lineRule="auto"/>
        <w:ind w:left="-142" w:right="-142"/>
        <w:jc w:val="both"/>
        <w:rPr>
          <w:rFonts w:ascii="Bookman Old Style" w:hAnsi="Bookman Old Style"/>
          <w:szCs w:val="27"/>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b/>
          <w:i/>
          <w:sz w:val="22"/>
          <w:szCs w:val="22"/>
          <w:u w:val="single"/>
          <w:lang w:val="es-ES_tradnl" w:eastAsia="ar-SA"/>
        </w:rPr>
      </w:pPr>
      <w:r>
        <w:rPr>
          <w:rFonts w:ascii="Bookman Old Style" w:hAnsi="Bookman Old Style" w:cs="Arial"/>
          <w:i/>
          <w:sz w:val="22"/>
          <w:szCs w:val="22"/>
          <w:lang w:val="es-ES_tradnl" w:eastAsia="ar-SA"/>
        </w:rPr>
        <w:t>“</w:t>
      </w:r>
      <w:r w:rsidRPr="00732199">
        <w:rPr>
          <w:rFonts w:ascii="Bookman Old Style" w:hAnsi="Bookman Old Style" w:cs="Arial"/>
          <w:i/>
          <w:sz w:val="22"/>
          <w:szCs w:val="22"/>
          <w:lang w:val="es-ES_tradnl" w:eastAsia="ar-SA"/>
        </w:rPr>
        <w:t xml:space="preserve">En este sentido, encuentra la Comisión que se debe expedir un acto administrativo de carácter particular a efectos de definir las capacidades de compra aplicables a los distribuidores de GLP, aplicables para el tercer período de compra, en desarrollo de las actuaciones administrativas iniciadas de oficio por parte de esta Comisión y atendiendo la información del SUI remitida por la Superintendencia de Servicios Públicos Domiciliarios, </w:t>
      </w:r>
      <w:r w:rsidRPr="00732199">
        <w:rPr>
          <w:rFonts w:ascii="Bookman Old Style" w:hAnsi="Bookman Old Style" w:cs="Arial"/>
          <w:b/>
          <w:i/>
          <w:sz w:val="22"/>
          <w:szCs w:val="22"/>
          <w:u w:val="single"/>
          <w:lang w:val="es-ES_tradnl" w:eastAsia="ar-SA"/>
        </w:rPr>
        <w:t xml:space="preserve">a fin de garantizar la correcta aplicación de la fórmula prevista en el artículo 8 de la Resolución CREG 063 de 2016, incluyendo el factor de equivalencia de envasado en cilindros y tanques estacionarios, correspondiente a 0,3. </w:t>
      </w: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r w:rsidRPr="00732199">
        <w:rPr>
          <w:rFonts w:ascii="Bookman Old Style" w:hAnsi="Bookman Old Style" w:cs="Arial"/>
          <w:i/>
          <w:sz w:val="22"/>
          <w:szCs w:val="22"/>
          <w:lang w:val="es-ES_tradnl" w:eastAsia="ar-SA"/>
        </w:rPr>
        <w:t>Así mismo, en desarrollo de las actuaciones administrativas adelantadas y a efectos de expedir la presente resolución, le corresponde a esta Comisión dar cumplimiento al principio de eficacia a que hace referencia el numeral 11 del artículo 3 de la Ley 1437 de 2011, el cual hace referencia a que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r>
        <w:rPr>
          <w:rFonts w:ascii="Bookman Old Style" w:hAnsi="Bookman Old Style" w:cs="Arial"/>
          <w:i/>
          <w:sz w:val="22"/>
          <w:szCs w:val="22"/>
          <w:lang w:val="es-ES_tradnl" w:eastAsia="ar-SA"/>
        </w:rPr>
        <w:t>” (Resaltado fuera de texto)</w:t>
      </w:r>
    </w:p>
    <w:p w:rsidR="00DA1EF4" w:rsidRPr="000F60FE" w:rsidRDefault="00DA1EF4" w:rsidP="00583648">
      <w:pPr>
        <w:pStyle w:val="Textoindependiente2"/>
        <w:spacing w:after="0" w:line="240" w:lineRule="auto"/>
        <w:ind w:left="-142" w:right="-142"/>
        <w:jc w:val="both"/>
        <w:rPr>
          <w:rFonts w:ascii="Bookman Old Style" w:hAnsi="Bookman Old Style"/>
          <w:szCs w:val="27"/>
        </w:rPr>
      </w:pPr>
      <w:r w:rsidRPr="000F60FE">
        <w:rPr>
          <w:rFonts w:ascii="Bookman Old Style" w:hAnsi="Bookman Old Style"/>
          <w:szCs w:val="27"/>
        </w:rPr>
        <w:lastRenderedPageBreak/>
        <w:t xml:space="preserve">De acuerdo con lo anterior, se establece que esta Comisión llevó a cabo en debida forma la definición de la capacidad de compra para la empresa </w:t>
      </w:r>
      <w:r w:rsidR="00E415D4">
        <w:rPr>
          <w:rFonts w:ascii="Bookman Old Style" w:hAnsi="Bookman Old Style"/>
          <w:szCs w:val="27"/>
        </w:rPr>
        <w:t>G</w:t>
      </w:r>
      <w:r w:rsidR="00172F7B">
        <w:rPr>
          <w:rFonts w:ascii="Bookman Old Style" w:hAnsi="Bookman Old Style"/>
          <w:szCs w:val="27"/>
        </w:rPr>
        <w:t xml:space="preserve">ases de Antioquia </w:t>
      </w:r>
      <w:r w:rsidRPr="000F60FE">
        <w:rPr>
          <w:rFonts w:ascii="Bookman Old Style" w:hAnsi="Bookman Old Style"/>
          <w:szCs w:val="27"/>
        </w:rPr>
        <w:t>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w:t>
      </w:r>
      <w:proofErr w:type="gramStart"/>
      <w:r w:rsidRPr="000F60FE">
        <w:rPr>
          <w:rFonts w:ascii="Bookman Old Style" w:hAnsi="Bookman Old Style" w:cs="Arial"/>
          <w:spacing w:val="-5"/>
          <w:lang w:val="es-CO" w:eastAsia="en-US"/>
        </w:rPr>
        <w:t>y</w:t>
      </w:r>
      <w:proofErr w:type="gramEnd"/>
      <w:r w:rsidRPr="000F60FE">
        <w:rPr>
          <w:rFonts w:ascii="Bookman Old Style" w:hAnsi="Bookman Old Style" w:cs="Arial"/>
          <w:spacing w:val="-5"/>
          <w:lang w:val="es-CO" w:eastAsia="en-US"/>
        </w:rPr>
        <w:t xml:space="preserve">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sidR="00E415D4">
        <w:rPr>
          <w:rFonts w:ascii="Bookman Old Style" w:hAnsi="Bookman Old Style"/>
          <w:szCs w:val="27"/>
        </w:rPr>
        <w:t>G</w:t>
      </w:r>
      <w:r w:rsidR="00172F7B">
        <w:rPr>
          <w:rFonts w:ascii="Bookman Old Style" w:hAnsi="Bookman Old Style"/>
          <w:szCs w:val="27"/>
        </w:rPr>
        <w:t xml:space="preserve">ases de Antioquia </w:t>
      </w:r>
      <w:r w:rsidR="00C91B94">
        <w:rPr>
          <w:rFonts w:ascii="Bookman Old Style" w:hAnsi="Bookman Old Style"/>
          <w:szCs w:val="27"/>
        </w:rPr>
        <w:t>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C91B94" w:rsidRDefault="00C91B94" w:rsidP="00DA1EF4">
      <w:pPr>
        <w:tabs>
          <w:tab w:val="right" w:pos="9498"/>
        </w:tabs>
        <w:ind w:left="0" w:right="-142"/>
        <w:jc w:val="both"/>
        <w:rPr>
          <w:rFonts w:ascii="Bookman Old Style" w:hAnsi="Bookman Old Style"/>
          <w:bCs/>
          <w:sz w:val="22"/>
        </w:rPr>
      </w:pPr>
    </w:p>
    <w:p w:rsidR="00172F7B" w:rsidRPr="00842277" w:rsidRDefault="00172F7B"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Default="00842277" w:rsidP="00DA1EF4">
      <w:pPr>
        <w:tabs>
          <w:tab w:val="right" w:pos="9498"/>
        </w:tabs>
        <w:ind w:left="0" w:right="-142"/>
        <w:jc w:val="both"/>
        <w:rPr>
          <w:rFonts w:ascii="Bookman Old Style" w:hAnsi="Bookman Old Style" w:cs="Arial"/>
          <w:b/>
          <w:spacing w:val="-3"/>
          <w:sz w:val="22"/>
        </w:rPr>
      </w:pPr>
    </w:p>
    <w:p w:rsidR="00172F7B" w:rsidRPr="00842277" w:rsidRDefault="00172F7B"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sidR="00172F7B">
        <w:rPr>
          <w:rFonts w:ascii="Bookman Old Style" w:hAnsi="Bookman Old Style"/>
          <w:szCs w:val="27"/>
        </w:rPr>
        <w:t>Gases de Antioquia</w:t>
      </w:r>
      <w:r w:rsidR="00C91B94">
        <w:rPr>
          <w:rFonts w:ascii="Bookman Old Style" w:hAnsi="Bookman Old Style"/>
          <w:szCs w:val="27"/>
        </w:rPr>
        <w:t xml:space="preserve">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sidR="00172F7B">
        <w:rPr>
          <w:rFonts w:ascii="Bookman Old Style" w:hAnsi="Bookman Old Style"/>
          <w:szCs w:val="27"/>
        </w:rPr>
        <w:t>Gases de Antioquia</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Default="00DA1EF4" w:rsidP="00DA1EF4">
      <w:pPr>
        <w:tabs>
          <w:tab w:val="right" w:pos="9498"/>
        </w:tabs>
        <w:ind w:left="0" w:right="-142"/>
        <w:rPr>
          <w:rFonts w:ascii="Bookman Old Style" w:hAnsi="Bookman Old Style" w:cs="Arial"/>
          <w:sz w:val="22"/>
        </w:rPr>
      </w:pPr>
    </w:p>
    <w:p w:rsidR="00172F7B" w:rsidRPr="0063005C" w:rsidRDefault="00172F7B" w:rsidP="00DA1EF4">
      <w:pPr>
        <w:tabs>
          <w:tab w:val="right" w:pos="9498"/>
        </w:tabs>
        <w:ind w:left="0" w:right="-142"/>
        <w:rPr>
          <w:rFonts w:ascii="Bookman Old Style" w:hAnsi="Bookman Old Style" w:cs="Arial"/>
          <w:sz w:val="22"/>
        </w:rPr>
      </w:pPr>
    </w:p>
    <w:p w:rsidR="00DA1EF4" w:rsidRPr="00E415D4" w:rsidRDefault="00DA1EF4" w:rsidP="00E415D4">
      <w:pPr>
        <w:ind w:left="-181"/>
        <w:jc w:val="center"/>
        <w:rPr>
          <w:rFonts w:ascii="Bookman Old Style" w:hAnsi="Bookman Old Style" w:cs="Arial"/>
          <w:b/>
        </w:rPr>
      </w:pPr>
      <w:r w:rsidRPr="0063005C">
        <w:rPr>
          <w:rFonts w:ascii="Bookman Old Style" w:hAnsi="Bookman Old Style" w:cs="Arial"/>
          <w:b/>
        </w:rPr>
        <w:t xml:space="preserve">     </w:t>
      </w:r>
      <w:r w:rsidR="00E415D4">
        <w:rPr>
          <w:rFonts w:ascii="Bookman Old Style" w:hAnsi="Bookman Old Style" w:cs="Arial"/>
          <w:b/>
        </w:rPr>
        <w:t>NOTIFÍQUESE Y CÚMPLASE</w:t>
      </w: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C91B94" w:rsidRPr="00C63955" w:rsidRDefault="00C91B94" w:rsidP="00DA1EF4">
      <w:pPr>
        <w:ind w:left="0"/>
        <w:rPr>
          <w:rFonts w:ascii="Bookman Old Style" w:hAnsi="Bookman Old Style" w:cs="Arial"/>
          <w:sz w:val="40"/>
          <w:szCs w:val="20"/>
        </w:rPr>
      </w:pPr>
    </w:p>
    <w:p w:rsidR="00842277" w:rsidRDefault="00842277" w:rsidP="00DA1EF4">
      <w:pPr>
        <w:ind w:left="0"/>
        <w:rPr>
          <w:rFonts w:ascii="Bookman Old Style" w:hAnsi="Bookman Old Style" w:cs="Arial"/>
          <w:szCs w:val="20"/>
        </w:rPr>
      </w:pPr>
    </w:p>
    <w:p w:rsidR="007468D5" w:rsidRDefault="007468D5"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789" w:type="dxa"/>
        <w:jc w:val="center"/>
        <w:tblCellSpacing w:w="0" w:type="dxa"/>
        <w:tblCellMar>
          <w:left w:w="0" w:type="dxa"/>
          <w:right w:w="0" w:type="dxa"/>
        </w:tblCellMar>
        <w:tblLook w:val="04A0" w:firstRow="1" w:lastRow="0" w:firstColumn="1" w:lastColumn="0" w:noHBand="0" w:noVBand="1"/>
      </w:tblPr>
      <w:tblGrid>
        <w:gridCol w:w="4820"/>
        <w:gridCol w:w="3969"/>
      </w:tblGrid>
      <w:tr w:rsidR="00DA1EF4" w:rsidRPr="009377CA" w:rsidTr="007468D5">
        <w:trPr>
          <w:tblCellSpacing w:w="0" w:type="dxa"/>
          <w:jc w:val="center"/>
        </w:trPr>
        <w:tc>
          <w:tcPr>
            <w:tcW w:w="4820"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AC" w:rsidRDefault="003F6EAC" w:rsidP="006D45B0">
      <w:r>
        <w:separator/>
      </w:r>
    </w:p>
  </w:endnote>
  <w:endnote w:type="continuationSeparator" w:id="0">
    <w:p w:rsidR="003F6EAC" w:rsidRDefault="003F6EAC"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AC" w:rsidRDefault="003F6EAC" w:rsidP="006D45B0">
      <w:r>
        <w:separator/>
      </w:r>
    </w:p>
  </w:footnote>
  <w:footnote w:type="continuationSeparator" w:id="0">
    <w:p w:rsidR="003F6EAC" w:rsidRDefault="003F6EAC" w:rsidP="006D45B0">
      <w:r>
        <w:continuationSeparator/>
      </w:r>
    </w:p>
  </w:footnote>
  <w:footnote w:id="1">
    <w:p w:rsidR="0066171D" w:rsidRPr="005C1BCA" w:rsidRDefault="0066171D"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66171D" w:rsidRPr="00575874" w:rsidRDefault="0066171D" w:rsidP="006D45B0">
      <w:pPr>
        <w:pStyle w:val="Textonotapie"/>
      </w:pPr>
    </w:p>
  </w:footnote>
  <w:footnote w:id="3">
    <w:p w:rsidR="0066171D" w:rsidRPr="005B07AE" w:rsidRDefault="0066171D"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66171D" w:rsidRPr="00CA077E" w:rsidRDefault="0066171D"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66171D" w:rsidRPr="00CA077E" w:rsidRDefault="0066171D"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66171D" w:rsidRPr="00FC2C01" w:rsidRDefault="0066171D"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66171D" w:rsidRPr="00FC2C01" w:rsidRDefault="0066171D" w:rsidP="006D45B0">
      <w:pPr>
        <w:pStyle w:val="Textonotapie"/>
        <w:jc w:val="both"/>
        <w:rPr>
          <w:rFonts w:ascii="Bookman Old Style" w:hAnsi="Bookman Old Style" w:cs="Arial"/>
          <w:sz w:val="16"/>
          <w:szCs w:val="16"/>
        </w:rPr>
      </w:pPr>
    </w:p>
    <w:p w:rsidR="0066171D" w:rsidRDefault="0066171D"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66171D" w:rsidRDefault="0066171D" w:rsidP="006D45B0">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66171D" w:rsidRPr="002D569D" w:rsidRDefault="0066171D" w:rsidP="002D569D">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66171D" w:rsidRPr="002D569D" w:rsidRDefault="0066171D" w:rsidP="002D569D">
      <w:pPr>
        <w:pStyle w:val="Textonotapie"/>
        <w:jc w:val="both"/>
        <w:rPr>
          <w:rFonts w:ascii="Bookman Old Style" w:hAnsi="Bookman Old Style" w:cs="Arial"/>
          <w:sz w:val="16"/>
          <w:szCs w:val="16"/>
        </w:rPr>
      </w:pPr>
    </w:p>
    <w:p w:rsidR="0066171D" w:rsidRPr="00CD67E2" w:rsidRDefault="0066171D"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66171D" w:rsidRPr="00FA7CDB" w:rsidRDefault="0066171D" w:rsidP="006D45B0">
      <w:pPr>
        <w:pStyle w:val="Textonotapie"/>
        <w:jc w:val="both"/>
        <w:rPr>
          <w:rFonts w:ascii="Bookman Old Style" w:hAnsi="Bookman Old Style" w:cs="Arial"/>
          <w:sz w:val="16"/>
          <w:szCs w:val="16"/>
        </w:rPr>
      </w:pPr>
    </w:p>
    <w:p w:rsidR="0066171D" w:rsidRPr="00FA7CDB" w:rsidRDefault="0066171D"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6171D" w:rsidRDefault="0066171D"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66171D" w:rsidRPr="000B6DCD" w:rsidRDefault="0066171D"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Ttulo1"/>
      <w:ind w:right="6"/>
      <w:jc w:val="left"/>
      <w:rPr>
        <w:rFonts w:ascii="Bookman Old Style" w:hAnsi="Bookman Old Style" w:cs="Arial"/>
        <w:b w:val="0"/>
        <w:sz w:val="22"/>
        <w:szCs w:val="22"/>
      </w:rPr>
    </w:pPr>
  </w:p>
  <w:p w:rsidR="0066171D" w:rsidRPr="00951F79" w:rsidRDefault="0066171D"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A73F4">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A73F4">
      <w:fldChar w:fldCharType="begin"/>
    </w:r>
    <w:r w:rsidR="001A73F4">
      <w:instrText xml:space="preserve"> NUMPAGES  \* MERGEFORMAT </w:instrText>
    </w:r>
    <w:r w:rsidR="001A73F4">
      <w:fldChar w:fldCharType="separate"/>
    </w:r>
    <w:r w:rsidR="001A73F4" w:rsidRPr="001A73F4">
      <w:rPr>
        <w:rFonts w:ascii="Bookman Old Style" w:hAnsi="Bookman Old Style" w:cs="Arial"/>
        <w:b w:val="0"/>
        <w:noProof/>
        <w:sz w:val="22"/>
        <w:szCs w:val="22"/>
      </w:rPr>
      <w:t>19</w:t>
    </w:r>
    <w:r w:rsidR="001A73F4">
      <w:rPr>
        <w:rFonts w:ascii="Bookman Old Style" w:hAnsi="Bookman Old Style" w:cs="Arial"/>
        <w:b w:val="0"/>
        <w:noProof/>
        <w:sz w:val="22"/>
        <w:szCs w:val="22"/>
      </w:rPr>
      <w:fldChar w:fldCharType="end"/>
    </w:r>
  </w:p>
  <w:p w:rsidR="0066171D" w:rsidRDefault="0066171D"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1E2C"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66171D" w:rsidRPr="00616D65" w:rsidRDefault="0066171D"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4259AA">
      <w:rPr>
        <w:rFonts w:ascii="Bookman Old Style" w:hAnsi="Bookman Old Style" w:cs="Arial"/>
        <w:sz w:val="22"/>
        <w:szCs w:val="22"/>
      </w:rPr>
      <w:t>G</w:t>
    </w:r>
    <w:r w:rsidR="00CC6793">
      <w:rPr>
        <w:rFonts w:ascii="Bookman Old Style" w:hAnsi="Bookman Old Style" w:cs="Arial"/>
        <w:sz w:val="22"/>
        <w:szCs w:val="22"/>
      </w:rPr>
      <w:t xml:space="preserve">ases de Antioquia </w:t>
    </w:r>
    <w:r>
      <w:rPr>
        <w:rFonts w:ascii="Bookman Old Style" w:hAnsi="Bookman Old Style" w:cs="Arial"/>
        <w:sz w:val="22"/>
        <w:szCs w:val="22"/>
      </w:rPr>
      <w:t xml:space="preserve">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66171D" w:rsidRPr="00730C9E" w:rsidRDefault="0066171D"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15418"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66171D" w:rsidRDefault="0066171D">
    <w:pPr>
      <w:pStyle w:val="Encabezado"/>
      <w:jc w:val="center"/>
      <w:rPr>
        <w:rFonts w:ascii="Arial" w:hAnsi="Arial" w:cs="Arial"/>
        <w:spacing w:val="20"/>
        <w:sz w:val="20"/>
      </w:rPr>
    </w:pPr>
  </w:p>
  <w:p w:rsidR="0066171D" w:rsidRDefault="0066171D"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B54E4"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72F7B"/>
    <w:rsid w:val="00194F3F"/>
    <w:rsid w:val="001A73F4"/>
    <w:rsid w:val="002D569D"/>
    <w:rsid w:val="002E5639"/>
    <w:rsid w:val="003D7378"/>
    <w:rsid w:val="003F6EAC"/>
    <w:rsid w:val="004259AA"/>
    <w:rsid w:val="00583648"/>
    <w:rsid w:val="005F1EAF"/>
    <w:rsid w:val="005F3077"/>
    <w:rsid w:val="0066171D"/>
    <w:rsid w:val="006C0668"/>
    <w:rsid w:val="006C0EE5"/>
    <w:rsid w:val="006D45B0"/>
    <w:rsid w:val="007243A2"/>
    <w:rsid w:val="007468D5"/>
    <w:rsid w:val="00786868"/>
    <w:rsid w:val="00842277"/>
    <w:rsid w:val="008A5DBB"/>
    <w:rsid w:val="008E5D9F"/>
    <w:rsid w:val="009131FE"/>
    <w:rsid w:val="0097344A"/>
    <w:rsid w:val="009B0CFD"/>
    <w:rsid w:val="00A303B0"/>
    <w:rsid w:val="00B83F23"/>
    <w:rsid w:val="00C3759C"/>
    <w:rsid w:val="00C63955"/>
    <w:rsid w:val="00C91B94"/>
    <w:rsid w:val="00CB104A"/>
    <w:rsid w:val="00CC6793"/>
    <w:rsid w:val="00CD0F9E"/>
    <w:rsid w:val="00D2330C"/>
    <w:rsid w:val="00DA1EF4"/>
    <w:rsid w:val="00E415D4"/>
    <w:rsid w:val="00E60540"/>
    <w:rsid w:val="00EA2C20"/>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character" w:customStyle="1" w:styleId="CharStyle3">
    <w:name w:val="Char Style 3"/>
    <w:basedOn w:val="Fuentedeprrafopredeter"/>
    <w:link w:val="Style2"/>
    <w:uiPriority w:val="99"/>
    <w:rsid w:val="0097344A"/>
    <w:rPr>
      <w:rFonts w:ascii="Arial" w:hAnsi="Arial" w:cs="Arial"/>
      <w:shd w:val="clear" w:color="auto" w:fill="FFFFFF"/>
    </w:rPr>
  </w:style>
  <w:style w:type="paragraph" w:customStyle="1" w:styleId="Style2">
    <w:name w:val="Style 2"/>
    <w:basedOn w:val="Normal"/>
    <w:link w:val="CharStyle3"/>
    <w:uiPriority w:val="99"/>
    <w:rsid w:val="0097344A"/>
    <w:pPr>
      <w:widowControl w:val="0"/>
      <w:shd w:val="clear" w:color="auto" w:fill="FFFFFF"/>
      <w:spacing w:after="540" w:line="240" w:lineRule="atLeast"/>
      <w:ind w:left="0"/>
      <w:jc w:val="both"/>
    </w:pPr>
    <w:rPr>
      <w:rFonts w:ascii="Arial" w:eastAsiaTheme="minorHAnsi" w:hAnsi="Arial" w:cs="Arial"/>
      <w:sz w:val="22"/>
      <w:szCs w:val="22"/>
      <w:lang w:val="es-CO" w:eastAsia="en-US"/>
    </w:rPr>
  </w:style>
  <w:style w:type="character" w:customStyle="1" w:styleId="CharStyle5">
    <w:name w:val="Char Style 5"/>
    <w:basedOn w:val="Fuentedeprrafopredeter"/>
    <w:link w:val="Style4"/>
    <w:uiPriority w:val="99"/>
    <w:rsid w:val="00EA2C20"/>
    <w:rPr>
      <w:rFonts w:ascii="Arial" w:hAnsi="Arial" w:cs="Arial"/>
      <w:b/>
      <w:bCs/>
      <w:shd w:val="clear" w:color="auto" w:fill="FFFFFF"/>
    </w:rPr>
  </w:style>
  <w:style w:type="character" w:customStyle="1" w:styleId="CharStyle6">
    <w:name w:val="Char Style 6"/>
    <w:basedOn w:val="CharStyle3"/>
    <w:uiPriority w:val="99"/>
    <w:rsid w:val="00EA2C20"/>
    <w:rPr>
      <w:rFonts w:ascii="Arial" w:hAnsi="Arial" w:cs="Arial"/>
      <w:b/>
      <w:bCs/>
      <w:sz w:val="22"/>
      <w:szCs w:val="22"/>
      <w:u w:val="none"/>
      <w:shd w:val="clear" w:color="auto" w:fill="FFFFFF"/>
    </w:rPr>
  </w:style>
  <w:style w:type="character" w:customStyle="1" w:styleId="CharStyle7">
    <w:name w:val="Char Style 7"/>
    <w:basedOn w:val="CharStyle3"/>
    <w:uiPriority w:val="99"/>
    <w:rsid w:val="00EA2C20"/>
    <w:rPr>
      <w:rFonts w:ascii="Arial" w:hAnsi="Arial" w:cs="Arial"/>
      <w:sz w:val="21"/>
      <w:szCs w:val="21"/>
      <w:u w:val="none"/>
      <w:shd w:val="clear" w:color="auto" w:fill="FFFFFF"/>
    </w:rPr>
  </w:style>
  <w:style w:type="paragraph" w:customStyle="1" w:styleId="Style4">
    <w:name w:val="Style 4"/>
    <w:basedOn w:val="Normal"/>
    <w:link w:val="CharStyle5"/>
    <w:uiPriority w:val="99"/>
    <w:rsid w:val="00EA2C20"/>
    <w:pPr>
      <w:widowControl w:val="0"/>
      <w:shd w:val="clear" w:color="auto" w:fill="FFFFFF"/>
      <w:spacing w:line="240" w:lineRule="atLeast"/>
      <w:ind w:left="0"/>
    </w:pPr>
    <w:rPr>
      <w:rFonts w:ascii="Arial" w:eastAsiaTheme="minorHAnsi" w:hAnsi="Arial" w:cs="Arial"/>
      <w:b/>
      <w:bCs/>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1814-9CD7-4214-8C4B-17EDF298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7540</Words>
  <Characters>41473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2017-12-28T15:43:00Z</dcterms:created>
  <dcterms:modified xsi:type="dcterms:W3CDTF">2017-12-28T15:43:00Z</dcterms:modified>
</cp:coreProperties>
</file>