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D2" w:rsidRDefault="00971C16" w:rsidP="00E03BD2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4pt;margin-top:-53.35pt;width:52.5pt;height:48.75pt;z-index:251662848" fillcolor="#0c9">
            <v:imagedata r:id="rId8" o:title=""/>
          </v:shape>
          <o:OLEObject Type="Embed" ProgID="PBrush" ShapeID="_x0000_s1027" DrawAspect="Content" ObjectID="_1546178261" r:id="rId9"/>
        </w:object>
      </w:r>
    </w:p>
    <w:p w:rsidR="00E03BD2" w:rsidRDefault="00E03BD2" w:rsidP="00E03BD2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E03BD2" w:rsidRDefault="00E03BD2" w:rsidP="00E03BD2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E03BD2" w:rsidRDefault="00E03BD2" w:rsidP="00E03BD2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E03BD2" w:rsidRDefault="00E03BD2" w:rsidP="00E03BD2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3C5C83" w:rsidRPr="003C5C83" w:rsidRDefault="003C5C83" w:rsidP="003C5C83">
      <w:pPr>
        <w:rPr>
          <w:lang w:val="es-ES_tradnl"/>
        </w:rPr>
      </w:pPr>
    </w:p>
    <w:p w:rsidR="00E03BD2" w:rsidRDefault="00E03BD2" w:rsidP="00E03BD2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E03BD2" w:rsidRDefault="00E03BD2" w:rsidP="00E03BD2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RESOLUCIÓN No.                   DE 201</w:t>
      </w:r>
      <w:r w:rsidR="00196A64">
        <w:rPr>
          <w:rFonts w:ascii="Bookman Old Style" w:hAnsi="Bookman Old Style"/>
          <w:sz w:val="24"/>
          <w:szCs w:val="24"/>
        </w:rPr>
        <w:t>6</w:t>
      </w:r>
    </w:p>
    <w:p w:rsidR="00E03BD2" w:rsidRDefault="00E03BD2" w:rsidP="00E03BD2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4E3922" w:rsidRDefault="004E3922" w:rsidP="00E03BD2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E03BD2" w:rsidRDefault="00E03BD2" w:rsidP="00E03BD2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napToGrid/>
          <w:szCs w:val="24"/>
        </w:rPr>
      </w:pPr>
      <w:r>
        <w:rPr>
          <w:rFonts w:ascii="Bookman Old Style" w:hAnsi="Bookman Old Style"/>
          <w:b w:val="0"/>
          <w:szCs w:val="24"/>
        </w:rPr>
        <w:t>(                                  )</w:t>
      </w:r>
    </w:p>
    <w:p w:rsidR="00D7503B" w:rsidRDefault="00D7503B" w:rsidP="00E03BD2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4E25FF" w:rsidRPr="004E25FF" w:rsidRDefault="003E0BA3" w:rsidP="004E25FF">
      <w:pPr>
        <w:pStyle w:val="Textonotapie"/>
        <w:jc w:val="center"/>
        <w:rPr>
          <w:rFonts w:ascii="Bookman Old Style" w:hAnsi="Bookman Old Style" w:cs="Arial"/>
          <w:sz w:val="24"/>
          <w:szCs w:val="24"/>
        </w:rPr>
      </w:pPr>
      <w:r w:rsidRPr="003E0BA3">
        <w:rPr>
          <w:rFonts w:ascii="Bookman Old Style" w:hAnsi="Bookman Old Style" w:cs="Arial"/>
          <w:sz w:val="24"/>
          <w:szCs w:val="24"/>
        </w:rPr>
        <w:t xml:space="preserve">Por la cual </w:t>
      </w:r>
      <w:r w:rsidR="00BC43A8">
        <w:rPr>
          <w:rFonts w:ascii="Bookman Old Style" w:hAnsi="Bookman Old Style" w:cs="Arial"/>
          <w:sz w:val="24"/>
          <w:szCs w:val="24"/>
        </w:rPr>
        <w:t xml:space="preserve">se aprueba el plan de inversiones para los años 2017 y 2018 y se ajusta la remuneración </w:t>
      </w:r>
      <w:r w:rsidRPr="003E0BA3">
        <w:rPr>
          <w:rFonts w:ascii="Bookman Old Style" w:hAnsi="Bookman Old Style" w:cs="Arial"/>
          <w:sz w:val="24"/>
          <w:szCs w:val="24"/>
        </w:rPr>
        <w:t xml:space="preserve">de los servicios regulados del CND, ASIC y LAC </w:t>
      </w:r>
      <w:r w:rsidR="00BA6D63">
        <w:rPr>
          <w:rFonts w:ascii="Bookman Old Style" w:hAnsi="Bookman Old Style" w:cs="Arial"/>
          <w:sz w:val="24"/>
          <w:szCs w:val="24"/>
        </w:rPr>
        <w:t>para el año 201</w:t>
      </w:r>
      <w:r w:rsidR="00A77875">
        <w:rPr>
          <w:rFonts w:ascii="Bookman Old Style" w:hAnsi="Bookman Old Style" w:cs="Arial"/>
          <w:sz w:val="24"/>
          <w:szCs w:val="24"/>
        </w:rPr>
        <w:t xml:space="preserve">7 </w:t>
      </w:r>
    </w:p>
    <w:p w:rsidR="00E03BD2" w:rsidRDefault="00E03BD2" w:rsidP="003C5C83">
      <w:pPr>
        <w:spacing w:before="480" w:after="600"/>
        <w:ind w:left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LA COMISIÓN DE REGULACIÓN DE ENERGÍA Y GAS</w:t>
      </w:r>
    </w:p>
    <w:p w:rsidR="00E03BD2" w:rsidRDefault="003E0BA3" w:rsidP="003E0BA3">
      <w:pPr>
        <w:ind w:left="0"/>
        <w:jc w:val="center"/>
        <w:rPr>
          <w:rFonts w:ascii="Bookman Old Style" w:hAnsi="Bookman Old Style" w:cs="Arial"/>
        </w:rPr>
      </w:pPr>
      <w:r w:rsidRPr="003E0BA3">
        <w:rPr>
          <w:rFonts w:ascii="Bookman Old Style" w:hAnsi="Bookman Old Style" w:cs="Arial"/>
        </w:rPr>
        <w:t xml:space="preserve">En ejercicio de sus atribuciones constitucionales y legales, en especial las conferidas por las Leyes 142 y 143 de 1994, y en desarrollo de los Decretos 2253 de 1994 y </w:t>
      </w:r>
      <w:r w:rsidR="001371DD">
        <w:rPr>
          <w:rFonts w:ascii="Bookman Old Style" w:hAnsi="Bookman Old Style" w:cs="Arial"/>
        </w:rPr>
        <w:t>1260 de 2013</w:t>
      </w:r>
      <w:r w:rsidR="00E03BD2">
        <w:rPr>
          <w:rFonts w:ascii="Bookman Old Style" w:hAnsi="Bookman Old Style" w:cs="Arial"/>
        </w:rPr>
        <w:t>.</w:t>
      </w:r>
    </w:p>
    <w:p w:rsidR="00E03BD2" w:rsidRDefault="00E03BD2" w:rsidP="003C5C83">
      <w:pPr>
        <w:spacing w:before="600" w:after="480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</w:rPr>
        <w:t>C O N S I D E R A N D O</w:t>
      </w:r>
      <w:r w:rsidR="004905C8">
        <w:rPr>
          <w:rFonts w:ascii="Bookman Old Style" w:hAnsi="Bookman Old Style"/>
          <w:b/>
        </w:rPr>
        <w:t xml:space="preserve"> </w:t>
      </w:r>
      <w:r w:rsidR="00D7503B">
        <w:rPr>
          <w:rFonts w:ascii="Bookman Old Style" w:hAnsi="Bookman Old Style"/>
          <w:b/>
        </w:rPr>
        <w:t xml:space="preserve"> </w:t>
      </w:r>
      <w:r w:rsidR="004905C8">
        <w:rPr>
          <w:rFonts w:ascii="Bookman Old Style" w:hAnsi="Bookman Old Style"/>
          <w:b/>
        </w:rPr>
        <w:t>QUE</w:t>
      </w:r>
      <w:r>
        <w:rPr>
          <w:rFonts w:ascii="Bookman Old Style" w:hAnsi="Bookman Old Style" w:cs="Arial"/>
          <w:b/>
        </w:rPr>
        <w:t>:</w:t>
      </w:r>
    </w:p>
    <w:p w:rsidR="001371DD" w:rsidRPr="00F940A9" w:rsidRDefault="001371DD" w:rsidP="003C5C83">
      <w:pPr>
        <w:spacing w:before="120" w:after="120"/>
        <w:ind w:left="0"/>
        <w:jc w:val="both"/>
        <w:rPr>
          <w:rFonts w:ascii="Bookman Old Style" w:hAnsi="Bookman Old Style" w:cs="Arial"/>
          <w:bCs/>
        </w:rPr>
      </w:pPr>
      <w:r w:rsidRPr="00D75EB5">
        <w:rPr>
          <w:rFonts w:ascii="Bookman Old Style" w:hAnsi="Bookman Old Style" w:cs="Arial"/>
          <w:bCs/>
        </w:rPr>
        <w:t>De acuerdo con lo dispuesto en los literales c) y d) del artículo 23 de la Ley 143 de 1994, es función de la CREG definir la metodología para el cálculo de los cargos por los servicios de despacho y coordinación prestados por el Centro Nacional de Despacho y aprobar los respectivos cargos.</w:t>
      </w:r>
    </w:p>
    <w:p w:rsidR="001371DD" w:rsidRPr="00015165" w:rsidRDefault="001371DD" w:rsidP="003C5C83">
      <w:pPr>
        <w:spacing w:before="120" w:after="120"/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Según los artículos 23, literal c, y 32 de la Ley 143 de 1994 y los artículos 167 y 171 de la Ley 142 de 1994 y el artículo 30 de la Resolución CREG 024 de 1995, la Comisión debe establecer los costos de funcionamiento del Administrador del Sistema de Intercambios Comerciales.</w:t>
      </w:r>
    </w:p>
    <w:p w:rsidR="009F3B3A" w:rsidRDefault="009F3B3A" w:rsidP="003C5C83">
      <w:pPr>
        <w:spacing w:before="120" w:after="120"/>
        <w:ind w:left="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En el artículo 6 de La Resolución CREG 174 de 2013 se establece que en la solicitud de ajuste de los ingresos del cuarto año del periodo tarifario el prestador de los servicios del CND, ASIC y LAC deberá presentar el programa anual de inversiones para los dos siguientes años y que en esta solicitud se deben justificar las inversiones por proyecto. </w:t>
      </w:r>
    </w:p>
    <w:p w:rsidR="003E0BA3" w:rsidRPr="00015165" w:rsidRDefault="004905C8" w:rsidP="003C5C83">
      <w:pPr>
        <w:spacing w:before="120" w:after="120"/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D</w:t>
      </w:r>
      <w:r w:rsidR="003E0BA3" w:rsidRPr="00015165">
        <w:rPr>
          <w:rFonts w:ascii="Bookman Old Style" w:hAnsi="Bookman Old Style" w:cs="Arial"/>
          <w:bCs/>
        </w:rPr>
        <w:t xml:space="preserve">e acuerdo con el procedimiento previsto en </w:t>
      </w:r>
      <w:r w:rsidRPr="00015165">
        <w:rPr>
          <w:rFonts w:ascii="Bookman Old Style" w:hAnsi="Bookman Old Style" w:cs="Arial"/>
          <w:bCs/>
        </w:rPr>
        <w:t xml:space="preserve">los artículos 7 y 8 de </w:t>
      </w:r>
      <w:r w:rsidR="003E0BA3" w:rsidRPr="00015165">
        <w:rPr>
          <w:rFonts w:ascii="Bookman Old Style" w:hAnsi="Bookman Old Style" w:cs="Arial"/>
          <w:bCs/>
        </w:rPr>
        <w:t xml:space="preserve">la Resolución CREG </w:t>
      </w:r>
      <w:r w:rsidR="00BB417E" w:rsidRPr="00015165">
        <w:rPr>
          <w:rFonts w:ascii="Bookman Old Style" w:hAnsi="Bookman Old Style" w:cs="Arial"/>
          <w:bCs/>
        </w:rPr>
        <w:t>174</w:t>
      </w:r>
      <w:r w:rsidR="003E0BA3" w:rsidRPr="00015165">
        <w:rPr>
          <w:rFonts w:ascii="Bookman Old Style" w:hAnsi="Bookman Old Style" w:cs="Arial"/>
          <w:bCs/>
        </w:rPr>
        <w:t xml:space="preserve"> de 20</w:t>
      </w:r>
      <w:r w:rsidR="00BB417E" w:rsidRPr="00015165">
        <w:rPr>
          <w:rFonts w:ascii="Bookman Old Style" w:hAnsi="Bookman Old Style" w:cs="Arial"/>
          <w:bCs/>
        </w:rPr>
        <w:t>13</w:t>
      </w:r>
      <w:r w:rsidR="003E0BA3" w:rsidRPr="00015165">
        <w:rPr>
          <w:rFonts w:ascii="Bookman Old Style" w:hAnsi="Bookman Old Style" w:cs="Arial"/>
          <w:bCs/>
        </w:rPr>
        <w:t>, a más tardar el 3</w:t>
      </w:r>
      <w:r w:rsidR="00BB417E" w:rsidRPr="00015165">
        <w:rPr>
          <w:rFonts w:ascii="Bookman Old Style" w:hAnsi="Bookman Old Style" w:cs="Arial"/>
          <w:bCs/>
        </w:rPr>
        <w:t xml:space="preserve">0 </w:t>
      </w:r>
      <w:r w:rsidR="003E0BA3" w:rsidRPr="00015165">
        <w:rPr>
          <w:rFonts w:ascii="Bookman Old Style" w:hAnsi="Bookman Old Style" w:cs="Arial"/>
          <w:bCs/>
        </w:rPr>
        <w:t xml:space="preserve">de </w:t>
      </w:r>
      <w:r w:rsidR="00BB417E" w:rsidRPr="00015165">
        <w:rPr>
          <w:rFonts w:ascii="Bookman Old Style" w:hAnsi="Bookman Old Style" w:cs="Arial"/>
          <w:bCs/>
        </w:rPr>
        <w:t xml:space="preserve">septiembre </w:t>
      </w:r>
      <w:r w:rsidR="003E0BA3" w:rsidRPr="00015165">
        <w:rPr>
          <w:rFonts w:ascii="Bookman Old Style" w:hAnsi="Bookman Old Style" w:cs="Arial"/>
          <w:bCs/>
        </w:rPr>
        <w:t xml:space="preserve">de cada año, la empresa a cargo de los servicios del CND, ASIC y LAC puede solicitar a la CREG </w:t>
      </w:r>
      <w:r w:rsidR="00BB417E" w:rsidRPr="00015165">
        <w:rPr>
          <w:rFonts w:ascii="Bookman Old Style" w:hAnsi="Bookman Old Style" w:cs="Arial"/>
          <w:bCs/>
        </w:rPr>
        <w:t xml:space="preserve">el ajuste de las inversiones y los gastos operativos </w:t>
      </w:r>
      <w:r w:rsidR="003E0BA3" w:rsidRPr="00015165">
        <w:rPr>
          <w:rFonts w:ascii="Bookman Old Style" w:hAnsi="Bookman Old Style" w:cs="Arial"/>
          <w:bCs/>
        </w:rPr>
        <w:t>aprobado por la CREG</w:t>
      </w:r>
      <w:r w:rsidR="000D4318" w:rsidRPr="00015165">
        <w:rPr>
          <w:rFonts w:ascii="Bookman Old Style" w:hAnsi="Bookman Old Style" w:cs="Arial"/>
          <w:bCs/>
        </w:rPr>
        <w:t>.</w:t>
      </w:r>
    </w:p>
    <w:p w:rsidR="003E0BA3" w:rsidRPr="00015165" w:rsidRDefault="004905C8" w:rsidP="003C5C83">
      <w:pPr>
        <w:spacing w:before="120" w:after="120"/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M</w:t>
      </w:r>
      <w:r w:rsidR="003E0BA3" w:rsidRPr="00015165">
        <w:rPr>
          <w:rFonts w:ascii="Bookman Old Style" w:hAnsi="Bookman Old Style" w:cs="Arial"/>
          <w:bCs/>
        </w:rPr>
        <w:t xml:space="preserve">ediante la comunicación </w:t>
      </w:r>
      <w:r w:rsidR="00094C3B" w:rsidRPr="00015165">
        <w:rPr>
          <w:rFonts w:ascii="Bookman Old Style" w:hAnsi="Bookman Old Style" w:cs="Arial"/>
          <w:bCs/>
        </w:rPr>
        <w:t xml:space="preserve">con radicado CREG </w:t>
      </w:r>
      <w:r w:rsidR="009F3B3A" w:rsidRPr="009F3B3A">
        <w:rPr>
          <w:rFonts w:ascii="Bookman Old Style" w:hAnsi="Bookman Old Style" w:cs="Arial"/>
          <w:bCs/>
        </w:rPr>
        <w:t>E-2016-010722</w:t>
      </w:r>
      <w:r w:rsidR="009F3B3A">
        <w:rPr>
          <w:rFonts w:ascii="Bookman Old Style" w:hAnsi="Bookman Old Style" w:cs="Arial"/>
          <w:bCs/>
        </w:rPr>
        <w:t xml:space="preserve"> </w:t>
      </w:r>
      <w:r w:rsidR="003E0BA3" w:rsidRPr="00015165">
        <w:rPr>
          <w:rFonts w:ascii="Bookman Old Style" w:hAnsi="Bookman Old Style" w:cs="Arial"/>
          <w:bCs/>
        </w:rPr>
        <w:t xml:space="preserve">la empresa XM </w:t>
      </w:r>
      <w:r w:rsidR="000D743B" w:rsidRPr="00015165">
        <w:rPr>
          <w:rFonts w:ascii="Bookman Old Style" w:hAnsi="Bookman Old Style" w:cs="Arial"/>
          <w:bCs/>
        </w:rPr>
        <w:t>C</w:t>
      </w:r>
      <w:r w:rsidR="007068FF" w:rsidRPr="00015165">
        <w:rPr>
          <w:rFonts w:ascii="Bookman Old Style" w:hAnsi="Bookman Old Style" w:cs="Arial"/>
          <w:bCs/>
        </w:rPr>
        <w:t xml:space="preserve">ompañía de expertos en mercados </w:t>
      </w:r>
      <w:r w:rsidR="003E0BA3" w:rsidRPr="00015165">
        <w:rPr>
          <w:rFonts w:ascii="Bookman Old Style" w:hAnsi="Bookman Old Style" w:cs="Arial"/>
          <w:bCs/>
        </w:rPr>
        <w:t xml:space="preserve">S.A. E.S.P. </w:t>
      </w:r>
      <w:r w:rsidR="00094C3B" w:rsidRPr="00015165">
        <w:rPr>
          <w:rFonts w:ascii="Bookman Old Style" w:hAnsi="Bookman Old Style" w:cs="Arial"/>
          <w:bCs/>
        </w:rPr>
        <w:t xml:space="preserve">solicitó </w:t>
      </w:r>
      <w:r w:rsidR="004A0931">
        <w:rPr>
          <w:rFonts w:ascii="Bookman Old Style" w:hAnsi="Bookman Old Style" w:cs="Arial"/>
          <w:bCs/>
        </w:rPr>
        <w:t xml:space="preserve">la aprobación del plan </w:t>
      </w:r>
      <w:r w:rsidR="004A0931">
        <w:rPr>
          <w:rFonts w:ascii="Bookman Old Style" w:hAnsi="Bookman Old Style" w:cs="Arial"/>
          <w:bCs/>
        </w:rPr>
        <w:lastRenderedPageBreak/>
        <w:t>de inversiones para los años 2017 y 2018 y d</w:t>
      </w:r>
      <w:r w:rsidR="00094C3B" w:rsidRPr="00015165">
        <w:rPr>
          <w:rFonts w:ascii="Bookman Old Style" w:hAnsi="Bookman Old Style" w:cs="Arial"/>
          <w:bCs/>
        </w:rPr>
        <w:t xml:space="preserve">el </w:t>
      </w:r>
      <w:r w:rsidR="003E0BA3" w:rsidRPr="00015165">
        <w:rPr>
          <w:rFonts w:ascii="Bookman Old Style" w:hAnsi="Bookman Old Style" w:cs="Arial"/>
          <w:bCs/>
        </w:rPr>
        <w:t xml:space="preserve">ajuste al </w:t>
      </w:r>
      <w:r w:rsidRPr="00015165">
        <w:rPr>
          <w:rFonts w:ascii="Bookman Old Style" w:hAnsi="Bookman Old Style" w:cs="Arial"/>
          <w:bCs/>
        </w:rPr>
        <w:t xml:space="preserve">ingreso regulado </w:t>
      </w:r>
      <w:r w:rsidR="0041354F" w:rsidRPr="00015165">
        <w:rPr>
          <w:rFonts w:ascii="Bookman Old Style" w:hAnsi="Bookman Old Style" w:cs="Arial"/>
          <w:bCs/>
        </w:rPr>
        <w:t xml:space="preserve">para el </w:t>
      </w:r>
      <w:r w:rsidRPr="00015165">
        <w:rPr>
          <w:rFonts w:ascii="Bookman Old Style" w:hAnsi="Bookman Old Style" w:cs="Arial"/>
          <w:bCs/>
        </w:rPr>
        <w:t>año 201</w:t>
      </w:r>
      <w:r w:rsidR="009F3B3A">
        <w:rPr>
          <w:rFonts w:ascii="Bookman Old Style" w:hAnsi="Bookman Old Style" w:cs="Arial"/>
          <w:bCs/>
        </w:rPr>
        <w:t>7.</w:t>
      </w:r>
    </w:p>
    <w:p w:rsidR="004E25FF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0D4318" w:rsidRPr="00015165" w:rsidRDefault="004905C8" w:rsidP="004E25FF">
      <w:pPr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M</w:t>
      </w:r>
      <w:r w:rsidR="003E0BA3" w:rsidRPr="00015165">
        <w:rPr>
          <w:rFonts w:ascii="Bookman Old Style" w:hAnsi="Bookman Old Style" w:cs="Arial"/>
          <w:bCs/>
        </w:rPr>
        <w:t xml:space="preserve">ediante </w:t>
      </w:r>
      <w:r w:rsidRPr="00015165">
        <w:rPr>
          <w:rFonts w:ascii="Bookman Old Style" w:hAnsi="Bookman Old Style" w:cs="Arial"/>
          <w:bCs/>
        </w:rPr>
        <w:t>a</w:t>
      </w:r>
      <w:r w:rsidR="003E0BA3" w:rsidRPr="00015165">
        <w:rPr>
          <w:rFonts w:ascii="Bookman Old Style" w:hAnsi="Bookman Old Style" w:cs="Arial"/>
          <w:bCs/>
        </w:rPr>
        <w:t xml:space="preserve">uto </w:t>
      </w:r>
      <w:r w:rsidR="007B3FF0" w:rsidRPr="00015165">
        <w:rPr>
          <w:rFonts w:ascii="Bookman Old Style" w:hAnsi="Bookman Old Style" w:cs="Arial"/>
          <w:bCs/>
        </w:rPr>
        <w:t>I-201</w:t>
      </w:r>
      <w:r w:rsidR="00FA4320">
        <w:rPr>
          <w:rFonts w:ascii="Bookman Old Style" w:hAnsi="Bookman Old Style" w:cs="Arial"/>
          <w:bCs/>
        </w:rPr>
        <w:t>6</w:t>
      </w:r>
      <w:r w:rsidR="007B3FF0" w:rsidRPr="00015165">
        <w:rPr>
          <w:rFonts w:ascii="Bookman Old Style" w:hAnsi="Bookman Old Style" w:cs="Arial"/>
          <w:bCs/>
        </w:rPr>
        <w:t>-00</w:t>
      </w:r>
      <w:r w:rsidR="002845F6" w:rsidRPr="00015165">
        <w:rPr>
          <w:rFonts w:ascii="Bookman Old Style" w:hAnsi="Bookman Old Style" w:cs="Arial"/>
          <w:bCs/>
        </w:rPr>
        <w:t>51</w:t>
      </w:r>
      <w:r w:rsidR="00FA4320">
        <w:rPr>
          <w:rFonts w:ascii="Bookman Old Style" w:hAnsi="Bookman Old Style" w:cs="Arial"/>
          <w:bCs/>
        </w:rPr>
        <w:t>07</w:t>
      </w:r>
      <w:r w:rsidR="007B3FF0" w:rsidRPr="00015165">
        <w:rPr>
          <w:rFonts w:ascii="Bookman Old Style" w:hAnsi="Bookman Old Style" w:cs="Arial"/>
          <w:bCs/>
        </w:rPr>
        <w:t xml:space="preserve"> </w:t>
      </w:r>
      <w:r w:rsidR="0089463B" w:rsidRPr="00015165">
        <w:rPr>
          <w:rFonts w:ascii="Bookman Old Style" w:hAnsi="Bookman Old Style" w:cs="Arial"/>
          <w:bCs/>
        </w:rPr>
        <w:t xml:space="preserve">del </w:t>
      </w:r>
      <w:r w:rsidR="00FA4320">
        <w:rPr>
          <w:rFonts w:ascii="Bookman Old Style" w:hAnsi="Bookman Old Style" w:cs="Arial"/>
          <w:bCs/>
        </w:rPr>
        <w:t>18</w:t>
      </w:r>
      <w:r w:rsidRPr="00015165">
        <w:rPr>
          <w:rFonts w:ascii="Bookman Old Style" w:hAnsi="Bookman Old Style" w:cs="Arial"/>
          <w:bCs/>
        </w:rPr>
        <w:t xml:space="preserve"> de octubre </w:t>
      </w:r>
      <w:r w:rsidR="0089463B" w:rsidRPr="00015165">
        <w:rPr>
          <w:rFonts w:ascii="Bookman Old Style" w:hAnsi="Bookman Old Style" w:cs="Arial"/>
          <w:bCs/>
        </w:rPr>
        <w:t>de 201</w:t>
      </w:r>
      <w:r w:rsidR="00FA4320">
        <w:rPr>
          <w:rFonts w:ascii="Bookman Old Style" w:hAnsi="Bookman Old Style" w:cs="Arial"/>
          <w:bCs/>
        </w:rPr>
        <w:t>6</w:t>
      </w:r>
      <w:r w:rsidR="0089463B" w:rsidRPr="00015165">
        <w:rPr>
          <w:rFonts w:ascii="Bookman Old Style" w:hAnsi="Bookman Old Style" w:cs="Arial"/>
          <w:bCs/>
        </w:rPr>
        <w:t xml:space="preserve"> </w:t>
      </w:r>
      <w:r w:rsidR="000D4318" w:rsidRPr="00015165">
        <w:rPr>
          <w:rFonts w:ascii="Bookman Old Style" w:hAnsi="Bookman Old Style" w:cs="Arial"/>
          <w:bCs/>
        </w:rPr>
        <w:t xml:space="preserve">y para cumplir con lo dispuesto en el artículo 37 del Código de Procedimiento Administrativo y de lo Contencioso Administrativo, en el Diario Oficial se publicó un extracto con el resumen de la actuación administrativa con el objeto de decidir la solicitud de ajuste al ingreso </w:t>
      </w:r>
      <w:r w:rsidR="00FA4320">
        <w:rPr>
          <w:rFonts w:ascii="Bookman Old Style" w:hAnsi="Bookman Old Style" w:cs="Arial"/>
          <w:bCs/>
        </w:rPr>
        <w:t xml:space="preserve">regulado </w:t>
      </w:r>
      <w:r w:rsidR="000D4318" w:rsidRPr="00015165">
        <w:rPr>
          <w:rFonts w:ascii="Bookman Old Style" w:hAnsi="Bookman Old Style" w:cs="Arial"/>
          <w:bCs/>
        </w:rPr>
        <w:t xml:space="preserve">para </w:t>
      </w:r>
      <w:r w:rsidR="00FA4320">
        <w:rPr>
          <w:rFonts w:ascii="Bookman Old Style" w:hAnsi="Bookman Old Style" w:cs="Arial"/>
          <w:bCs/>
        </w:rPr>
        <w:t xml:space="preserve">los </w:t>
      </w:r>
      <w:r w:rsidR="000D4318" w:rsidRPr="00015165">
        <w:rPr>
          <w:rFonts w:ascii="Bookman Old Style" w:hAnsi="Bookman Old Style" w:cs="Arial"/>
          <w:bCs/>
        </w:rPr>
        <w:t>año</w:t>
      </w:r>
      <w:r w:rsidR="00FA4320">
        <w:rPr>
          <w:rFonts w:ascii="Bookman Old Style" w:hAnsi="Bookman Old Style" w:cs="Arial"/>
          <w:bCs/>
        </w:rPr>
        <w:t>s</w:t>
      </w:r>
      <w:r w:rsidR="000D4318" w:rsidRPr="00015165">
        <w:rPr>
          <w:rFonts w:ascii="Bookman Old Style" w:hAnsi="Bookman Old Style" w:cs="Arial"/>
          <w:bCs/>
        </w:rPr>
        <w:t xml:space="preserve"> 201</w:t>
      </w:r>
      <w:r w:rsidR="00FA4320">
        <w:rPr>
          <w:rFonts w:ascii="Bookman Old Style" w:hAnsi="Bookman Old Style" w:cs="Arial"/>
          <w:bCs/>
        </w:rPr>
        <w:t>7 y 2018</w:t>
      </w:r>
      <w:r w:rsidR="000D4318" w:rsidRPr="00015165">
        <w:rPr>
          <w:rFonts w:ascii="Bookman Old Style" w:hAnsi="Bookman Old Style" w:cs="Arial"/>
          <w:bCs/>
        </w:rPr>
        <w:t xml:space="preserve">, </w:t>
      </w:r>
      <w:r w:rsidR="008F535A">
        <w:rPr>
          <w:rFonts w:ascii="Bookman Old Style" w:hAnsi="Bookman Old Style" w:cs="Arial"/>
          <w:bCs/>
        </w:rPr>
        <w:t>E</w:t>
      </w:r>
      <w:r w:rsidR="004E25FF">
        <w:rPr>
          <w:rFonts w:ascii="Bookman Old Style" w:hAnsi="Bookman Old Style" w:cs="Arial"/>
          <w:bCs/>
        </w:rPr>
        <w:t>xpediente 2016</w:t>
      </w:r>
      <w:r w:rsidR="000D4318" w:rsidRPr="00015165">
        <w:rPr>
          <w:rFonts w:ascii="Bookman Old Style" w:hAnsi="Bookman Old Style" w:cs="Arial"/>
          <w:bCs/>
        </w:rPr>
        <w:t>-0</w:t>
      </w:r>
      <w:r w:rsidR="008F535A">
        <w:rPr>
          <w:rFonts w:ascii="Bookman Old Style" w:hAnsi="Bookman Old Style" w:cs="Arial"/>
          <w:bCs/>
        </w:rPr>
        <w:t>243</w:t>
      </w:r>
      <w:r w:rsidR="000D4318" w:rsidRPr="00015165">
        <w:rPr>
          <w:rFonts w:ascii="Bookman Old Style" w:hAnsi="Bookman Old Style" w:cs="Arial"/>
          <w:bCs/>
        </w:rPr>
        <w:t>.</w:t>
      </w:r>
      <w:r w:rsidR="004E25FF">
        <w:rPr>
          <w:rFonts w:ascii="Bookman Old Style" w:hAnsi="Bookman Old Style" w:cs="Arial"/>
          <w:bCs/>
        </w:rPr>
        <w:t xml:space="preserve"> </w:t>
      </w:r>
      <w:r w:rsidR="000D4318" w:rsidRPr="00015165">
        <w:rPr>
          <w:rFonts w:ascii="Bookman Old Style" w:hAnsi="Bookman Old Style" w:cs="Arial"/>
          <w:bCs/>
        </w:rPr>
        <w:t xml:space="preserve">Así mismo, mediante el aviso </w:t>
      </w:r>
      <w:r w:rsidR="008E358C">
        <w:rPr>
          <w:rFonts w:ascii="Bookman Old Style" w:hAnsi="Bookman Old Style" w:cs="Arial"/>
          <w:bCs/>
        </w:rPr>
        <w:t xml:space="preserve">I-2016-005108 </w:t>
      </w:r>
      <w:r w:rsidR="000D4318" w:rsidRPr="00015165">
        <w:rPr>
          <w:rFonts w:ascii="Bookman Old Style" w:hAnsi="Bookman Old Style" w:cs="Arial"/>
          <w:bCs/>
        </w:rPr>
        <w:t xml:space="preserve">se publicó en la página web de la CREG el extracto con el resumen de la actuación administrativa. </w:t>
      </w:r>
    </w:p>
    <w:p w:rsidR="004E25FF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826459" w:rsidRPr="00015165" w:rsidRDefault="00826459" w:rsidP="004E25FF">
      <w:pPr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En la comunicación con radicado CREG S-201</w:t>
      </w:r>
      <w:r w:rsidR="008F535A">
        <w:rPr>
          <w:rFonts w:ascii="Bookman Old Style" w:hAnsi="Bookman Old Style" w:cs="Arial"/>
          <w:bCs/>
        </w:rPr>
        <w:t>6</w:t>
      </w:r>
      <w:r w:rsidRPr="00015165">
        <w:rPr>
          <w:rFonts w:ascii="Bookman Old Style" w:hAnsi="Bookman Old Style" w:cs="Arial"/>
          <w:bCs/>
        </w:rPr>
        <w:t>-00</w:t>
      </w:r>
      <w:r w:rsidR="008F535A">
        <w:rPr>
          <w:rFonts w:ascii="Bookman Old Style" w:hAnsi="Bookman Old Style" w:cs="Arial"/>
          <w:bCs/>
        </w:rPr>
        <w:t>6821</w:t>
      </w:r>
      <w:r w:rsidRPr="00015165">
        <w:rPr>
          <w:rFonts w:ascii="Bookman Old Style" w:hAnsi="Bookman Old Style" w:cs="Arial"/>
          <w:bCs/>
        </w:rPr>
        <w:t xml:space="preserve"> se informó a la empresa XM compañía de expertos en mercados S.A. E.S.P. sobre el inicio de la actuación administrativa para decidir la solicitud de ajuste al ingreso </w:t>
      </w:r>
      <w:r w:rsidR="008F535A">
        <w:rPr>
          <w:rFonts w:ascii="Bookman Old Style" w:hAnsi="Bookman Old Style" w:cs="Arial"/>
          <w:bCs/>
        </w:rPr>
        <w:t xml:space="preserve">regulado </w:t>
      </w:r>
      <w:r w:rsidRPr="00015165">
        <w:rPr>
          <w:rFonts w:ascii="Bookman Old Style" w:hAnsi="Bookman Old Style" w:cs="Arial"/>
          <w:bCs/>
        </w:rPr>
        <w:t xml:space="preserve">para </w:t>
      </w:r>
      <w:r w:rsidR="008F535A">
        <w:rPr>
          <w:rFonts w:ascii="Bookman Old Style" w:hAnsi="Bookman Old Style" w:cs="Arial"/>
          <w:bCs/>
        </w:rPr>
        <w:t xml:space="preserve">los </w:t>
      </w:r>
      <w:r w:rsidRPr="00015165">
        <w:rPr>
          <w:rFonts w:ascii="Bookman Old Style" w:hAnsi="Bookman Old Style" w:cs="Arial"/>
          <w:bCs/>
        </w:rPr>
        <w:t>año</w:t>
      </w:r>
      <w:r w:rsidR="008F535A">
        <w:rPr>
          <w:rFonts w:ascii="Bookman Old Style" w:hAnsi="Bookman Old Style" w:cs="Arial"/>
          <w:bCs/>
        </w:rPr>
        <w:t>s</w:t>
      </w:r>
      <w:r w:rsidRPr="00015165">
        <w:rPr>
          <w:rFonts w:ascii="Bookman Old Style" w:hAnsi="Bookman Old Style" w:cs="Arial"/>
          <w:bCs/>
        </w:rPr>
        <w:t xml:space="preserve"> 201</w:t>
      </w:r>
      <w:r w:rsidR="008F535A">
        <w:rPr>
          <w:rFonts w:ascii="Bookman Old Style" w:hAnsi="Bookman Old Style" w:cs="Arial"/>
          <w:bCs/>
        </w:rPr>
        <w:t>7 y 2018</w:t>
      </w:r>
      <w:r w:rsidRPr="00015165">
        <w:rPr>
          <w:rFonts w:ascii="Bookman Old Style" w:hAnsi="Bookman Old Style" w:cs="Arial"/>
          <w:bCs/>
        </w:rPr>
        <w:t>.</w:t>
      </w:r>
    </w:p>
    <w:p w:rsidR="004E25FF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8F535A" w:rsidRDefault="000D4318" w:rsidP="004E25FF">
      <w:pPr>
        <w:ind w:left="0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 xml:space="preserve">Como parte de esta actuación administrativa, mediante </w:t>
      </w:r>
      <w:r w:rsidR="008F535A">
        <w:rPr>
          <w:rFonts w:ascii="Bookman Old Style" w:hAnsi="Bookman Old Style" w:cs="Arial"/>
          <w:bCs/>
        </w:rPr>
        <w:t xml:space="preserve">la comunicación CREG </w:t>
      </w:r>
      <w:r w:rsidRPr="00015165">
        <w:rPr>
          <w:rFonts w:ascii="Bookman Old Style" w:hAnsi="Bookman Old Style" w:cs="Arial"/>
          <w:bCs/>
        </w:rPr>
        <w:t>S-201</w:t>
      </w:r>
      <w:r w:rsidR="008F535A">
        <w:rPr>
          <w:rFonts w:ascii="Bookman Old Style" w:hAnsi="Bookman Old Style" w:cs="Arial"/>
          <w:bCs/>
        </w:rPr>
        <w:t>6</w:t>
      </w:r>
      <w:r w:rsidRPr="00015165">
        <w:rPr>
          <w:rFonts w:ascii="Bookman Old Style" w:hAnsi="Bookman Old Style" w:cs="Arial"/>
          <w:bCs/>
        </w:rPr>
        <w:t>-00</w:t>
      </w:r>
      <w:r w:rsidR="008F535A">
        <w:rPr>
          <w:rFonts w:ascii="Bookman Old Style" w:hAnsi="Bookman Old Style" w:cs="Arial"/>
          <w:bCs/>
        </w:rPr>
        <w:t xml:space="preserve">7342 </w:t>
      </w:r>
      <w:r w:rsidRPr="00015165">
        <w:rPr>
          <w:rFonts w:ascii="Bookman Old Style" w:hAnsi="Bookman Old Style" w:cs="Arial"/>
          <w:bCs/>
        </w:rPr>
        <w:t xml:space="preserve">la CREG </w:t>
      </w:r>
      <w:r w:rsidR="008F535A">
        <w:rPr>
          <w:rFonts w:ascii="Bookman Old Style" w:hAnsi="Bookman Old Style" w:cs="Arial"/>
          <w:bCs/>
        </w:rPr>
        <w:t xml:space="preserve">solicitó a XM algunas </w:t>
      </w:r>
      <w:r w:rsidRPr="00015165">
        <w:rPr>
          <w:rFonts w:ascii="Bookman Old Style" w:hAnsi="Bookman Old Style" w:cs="Arial"/>
          <w:bCs/>
        </w:rPr>
        <w:t xml:space="preserve">aclaraciones en relación con la información remitida </w:t>
      </w:r>
      <w:r w:rsidR="008F535A">
        <w:rPr>
          <w:rFonts w:ascii="Bookman Old Style" w:hAnsi="Bookman Old Style" w:cs="Arial"/>
          <w:bCs/>
        </w:rPr>
        <w:t xml:space="preserve">en su comunicación de </w:t>
      </w:r>
      <w:r w:rsidRPr="00015165">
        <w:rPr>
          <w:rFonts w:ascii="Bookman Old Style" w:hAnsi="Bookman Old Style" w:cs="Arial"/>
          <w:bCs/>
        </w:rPr>
        <w:t xml:space="preserve">ajuste. </w:t>
      </w:r>
      <w:r w:rsidR="004975E5">
        <w:rPr>
          <w:rFonts w:ascii="Bookman Old Style" w:hAnsi="Bookman Old Style" w:cs="Arial"/>
          <w:bCs/>
        </w:rPr>
        <w:t xml:space="preserve">XM dio respuesta a través de las comunicaciones con radicado CREG </w:t>
      </w:r>
      <w:r w:rsidRPr="00015165">
        <w:rPr>
          <w:rFonts w:ascii="Bookman Old Style" w:hAnsi="Bookman Old Style" w:cs="Arial"/>
          <w:bCs/>
        </w:rPr>
        <w:t>E-201</w:t>
      </w:r>
      <w:r w:rsidR="008F535A">
        <w:rPr>
          <w:rFonts w:ascii="Bookman Old Style" w:hAnsi="Bookman Old Style" w:cs="Arial"/>
          <w:bCs/>
        </w:rPr>
        <w:t>6</w:t>
      </w:r>
      <w:r w:rsidRPr="00015165">
        <w:rPr>
          <w:rFonts w:ascii="Bookman Old Style" w:hAnsi="Bookman Old Style" w:cs="Arial"/>
          <w:bCs/>
        </w:rPr>
        <w:t>-01</w:t>
      </w:r>
      <w:r w:rsidR="008F535A">
        <w:rPr>
          <w:rFonts w:ascii="Bookman Old Style" w:hAnsi="Bookman Old Style" w:cs="Arial"/>
          <w:bCs/>
        </w:rPr>
        <w:t>3221</w:t>
      </w:r>
      <w:r w:rsidR="004975E5">
        <w:rPr>
          <w:rFonts w:ascii="Bookman Old Style" w:hAnsi="Bookman Old Style" w:cs="Arial"/>
          <w:bCs/>
        </w:rPr>
        <w:t xml:space="preserve"> y </w:t>
      </w:r>
      <w:r w:rsidR="004975E5" w:rsidRPr="00015165">
        <w:rPr>
          <w:rFonts w:ascii="Bookman Old Style" w:hAnsi="Bookman Old Style" w:cs="Arial"/>
          <w:bCs/>
        </w:rPr>
        <w:t>E</w:t>
      </w:r>
      <w:r w:rsidR="004975E5">
        <w:rPr>
          <w:rFonts w:ascii="Bookman Old Style" w:hAnsi="Bookman Old Style" w:cs="Arial"/>
          <w:bCs/>
        </w:rPr>
        <w:noBreakHyphen/>
      </w:r>
      <w:r w:rsidR="004975E5" w:rsidRPr="00015165">
        <w:rPr>
          <w:rFonts w:ascii="Bookman Old Style" w:hAnsi="Bookman Old Style" w:cs="Arial"/>
          <w:bCs/>
        </w:rPr>
        <w:t>201</w:t>
      </w:r>
      <w:r w:rsidR="004975E5">
        <w:rPr>
          <w:rFonts w:ascii="Bookman Old Style" w:hAnsi="Bookman Old Style" w:cs="Arial"/>
          <w:bCs/>
        </w:rPr>
        <w:t>6</w:t>
      </w:r>
      <w:r w:rsidR="004975E5">
        <w:rPr>
          <w:rFonts w:ascii="Bookman Old Style" w:hAnsi="Bookman Old Style" w:cs="Arial"/>
          <w:bCs/>
        </w:rPr>
        <w:noBreakHyphen/>
      </w:r>
      <w:r w:rsidR="004975E5" w:rsidRPr="00015165">
        <w:rPr>
          <w:rFonts w:ascii="Bookman Old Style" w:hAnsi="Bookman Old Style" w:cs="Arial"/>
          <w:bCs/>
        </w:rPr>
        <w:t>01</w:t>
      </w:r>
      <w:r w:rsidR="004975E5">
        <w:rPr>
          <w:rFonts w:ascii="Bookman Old Style" w:hAnsi="Bookman Old Style" w:cs="Arial"/>
          <w:bCs/>
        </w:rPr>
        <w:t xml:space="preserve">3352. </w:t>
      </w:r>
    </w:p>
    <w:p w:rsidR="003C5C83" w:rsidRDefault="003C5C83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145F4E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Con base en lo dispuesto en el artículo 126 de la Ley 142 de 1994, m</w:t>
      </w:r>
      <w:r w:rsidR="00145F4E" w:rsidRPr="00081925">
        <w:rPr>
          <w:rFonts w:ascii="Bookman Old Style" w:hAnsi="Bookman Old Style" w:cs="Arial"/>
          <w:bCs/>
        </w:rPr>
        <w:t xml:space="preserve">ediante la Resolución CREG </w:t>
      </w:r>
      <w:r w:rsidR="00081925" w:rsidRPr="00081925">
        <w:rPr>
          <w:rFonts w:ascii="Bookman Old Style" w:hAnsi="Bookman Old Style" w:cs="Arial"/>
          <w:bCs/>
        </w:rPr>
        <w:t>175 de 2016</w:t>
      </w:r>
      <w:r>
        <w:rPr>
          <w:rFonts w:ascii="Bookman Old Style" w:hAnsi="Bookman Old Style" w:cs="Arial"/>
          <w:bCs/>
        </w:rPr>
        <w:t xml:space="preserve"> </w:t>
      </w:r>
      <w:r w:rsidR="00145F4E" w:rsidRPr="00081925">
        <w:rPr>
          <w:rFonts w:ascii="Bookman Old Style" w:hAnsi="Bookman Old Style" w:cs="Arial"/>
          <w:bCs/>
        </w:rPr>
        <w:t xml:space="preserve">se modificó </w:t>
      </w:r>
      <w:r w:rsidR="00C15B11" w:rsidRPr="00081925">
        <w:rPr>
          <w:rFonts w:ascii="Bookman Old Style" w:hAnsi="Bookman Old Style" w:cs="Arial"/>
          <w:bCs/>
        </w:rPr>
        <w:t xml:space="preserve">el artículo 5 de </w:t>
      </w:r>
      <w:r w:rsidR="00145F4E" w:rsidRPr="00081925">
        <w:rPr>
          <w:rFonts w:ascii="Bookman Old Style" w:hAnsi="Bookman Old Style" w:cs="Arial"/>
          <w:bCs/>
        </w:rPr>
        <w:t>la resolución CREG 173 de 2014</w:t>
      </w:r>
      <w:r>
        <w:rPr>
          <w:rFonts w:ascii="Bookman Old Style" w:hAnsi="Bookman Old Style" w:cs="Arial"/>
          <w:bCs/>
        </w:rPr>
        <w:t>. De acuerdo con lo previsto en dicha disposición</w:t>
      </w:r>
      <w:r w:rsidR="00C15B11" w:rsidRPr="00081925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de deben</w:t>
      </w:r>
      <w:r w:rsidR="00081925" w:rsidRPr="00081925">
        <w:rPr>
          <w:rFonts w:ascii="Bookman Old Style" w:hAnsi="Bookman Old Style" w:cs="Arial"/>
          <w:bCs/>
        </w:rPr>
        <w:t xml:space="preserve"> ajustar los ingresos del año 2017 teniendo en cuenta el </w:t>
      </w:r>
      <w:r w:rsidR="00C15B11" w:rsidRPr="00081925">
        <w:rPr>
          <w:rFonts w:ascii="Bookman Old Style" w:hAnsi="Bookman Old Style" w:cs="Arial"/>
          <w:bCs/>
        </w:rPr>
        <w:t>valor recaudado por XM durante el año 2016</w:t>
      </w:r>
      <w:r w:rsidR="00081925" w:rsidRPr="00081925">
        <w:rPr>
          <w:rFonts w:ascii="Bookman Old Style" w:hAnsi="Bookman Old Style" w:cs="Arial"/>
          <w:bCs/>
        </w:rPr>
        <w:t xml:space="preserve"> por la aplicación del artículo 5 de la resolución antes de la modificación efectuada.</w:t>
      </w:r>
      <w:r w:rsidR="00C15B11">
        <w:rPr>
          <w:rFonts w:ascii="Bookman Old Style" w:hAnsi="Bookman Old Style" w:cs="Arial"/>
          <w:bCs/>
        </w:rPr>
        <w:t xml:space="preserve">  </w:t>
      </w:r>
      <w:r w:rsidR="00145F4E">
        <w:rPr>
          <w:rFonts w:ascii="Bookman Old Style" w:hAnsi="Bookman Old Style" w:cs="Arial"/>
          <w:bCs/>
        </w:rPr>
        <w:t xml:space="preserve"> </w:t>
      </w:r>
    </w:p>
    <w:p w:rsidR="004E25FF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97416D" w:rsidRPr="008F535A" w:rsidRDefault="0097416D" w:rsidP="004E25FF">
      <w:pPr>
        <w:ind w:left="0"/>
        <w:jc w:val="both"/>
        <w:rPr>
          <w:rFonts w:ascii="Bookman Old Style" w:hAnsi="Bookman Old Style" w:cs="Arial"/>
          <w:bCs/>
        </w:rPr>
      </w:pPr>
      <w:r w:rsidRPr="008F535A">
        <w:rPr>
          <w:rFonts w:ascii="Bookman Old Style" w:hAnsi="Bookman Old Style" w:cs="Arial"/>
          <w:bCs/>
        </w:rPr>
        <w:t xml:space="preserve">El documento </w:t>
      </w:r>
      <w:r w:rsidR="003C5C83">
        <w:rPr>
          <w:rFonts w:ascii="Bookman Old Style" w:hAnsi="Bookman Old Style" w:cs="Arial"/>
          <w:bCs/>
        </w:rPr>
        <w:t>CREG</w:t>
      </w:r>
      <w:r w:rsidR="004E25FF">
        <w:rPr>
          <w:rFonts w:ascii="Bookman Old Style" w:hAnsi="Bookman Old Style" w:cs="Arial"/>
          <w:bCs/>
        </w:rPr>
        <w:t xml:space="preserve"> </w:t>
      </w:r>
      <w:r w:rsidR="00074029">
        <w:rPr>
          <w:rFonts w:ascii="Bookman Old Style" w:hAnsi="Bookman Old Style" w:cs="Arial"/>
          <w:bCs/>
        </w:rPr>
        <w:t>115</w:t>
      </w:r>
      <w:r w:rsidR="004E25FF">
        <w:rPr>
          <w:rFonts w:ascii="Bookman Old Style" w:hAnsi="Bookman Old Style" w:cs="Arial"/>
          <w:bCs/>
        </w:rPr>
        <w:t xml:space="preserve"> de 2016</w:t>
      </w:r>
      <w:r w:rsidR="004240C6" w:rsidRPr="008F535A">
        <w:rPr>
          <w:rFonts w:ascii="Bookman Old Style" w:hAnsi="Bookman Old Style" w:cs="Arial"/>
          <w:bCs/>
        </w:rPr>
        <w:t xml:space="preserve"> </w:t>
      </w:r>
      <w:r w:rsidRPr="008F535A">
        <w:rPr>
          <w:rFonts w:ascii="Bookman Old Style" w:hAnsi="Bookman Old Style" w:cs="Arial"/>
          <w:bCs/>
        </w:rPr>
        <w:t xml:space="preserve">contiene el detalle de la solicitud y los análisis realizados por la Comisión en relación con la solicitud de ajuste al ingreso regulado aprobado a XM Compañía de expertos en mercados S.A. E.S.P., por la prestación de los servicios del CND, ASIC y LAC para </w:t>
      </w:r>
      <w:r w:rsidR="00196A64">
        <w:rPr>
          <w:rFonts w:ascii="Bookman Old Style" w:hAnsi="Bookman Old Style" w:cs="Arial"/>
          <w:bCs/>
        </w:rPr>
        <w:t xml:space="preserve">los años </w:t>
      </w:r>
      <w:r w:rsidRPr="008F535A">
        <w:rPr>
          <w:rFonts w:ascii="Bookman Old Style" w:hAnsi="Bookman Old Style" w:cs="Arial"/>
          <w:bCs/>
        </w:rPr>
        <w:t>201</w:t>
      </w:r>
      <w:r w:rsidR="00196A64">
        <w:rPr>
          <w:rFonts w:ascii="Bookman Old Style" w:hAnsi="Bookman Old Style" w:cs="Arial"/>
          <w:bCs/>
        </w:rPr>
        <w:t>7 y 2018</w:t>
      </w:r>
      <w:r w:rsidRPr="008F535A">
        <w:rPr>
          <w:rFonts w:ascii="Bookman Old Style" w:hAnsi="Bookman Old Style" w:cs="Arial"/>
          <w:bCs/>
        </w:rPr>
        <w:t xml:space="preserve">. </w:t>
      </w:r>
    </w:p>
    <w:p w:rsidR="004E25FF" w:rsidRDefault="004E25FF" w:rsidP="004E25FF">
      <w:pPr>
        <w:ind w:left="0"/>
        <w:jc w:val="both"/>
        <w:rPr>
          <w:rFonts w:ascii="Bookman Old Style" w:hAnsi="Bookman Old Style" w:cs="Arial"/>
          <w:bCs/>
        </w:rPr>
      </w:pPr>
    </w:p>
    <w:p w:rsidR="004D612E" w:rsidRPr="008F535A" w:rsidRDefault="007068FF" w:rsidP="004E25FF">
      <w:pPr>
        <w:ind w:left="0"/>
        <w:jc w:val="both"/>
        <w:rPr>
          <w:rFonts w:ascii="Bookman Old Style" w:hAnsi="Bookman Old Style" w:cs="Arial"/>
          <w:bCs/>
        </w:rPr>
      </w:pPr>
      <w:r w:rsidRPr="008F535A">
        <w:rPr>
          <w:rFonts w:ascii="Bookman Old Style" w:hAnsi="Bookman Old Style" w:cs="Arial"/>
          <w:bCs/>
        </w:rPr>
        <w:t>L</w:t>
      </w:r>
      <w:r w:rsidR="00E03BD2" w:rsidRPr="008F535A">
        <w:rPr>
          <w:rFonts w:ascii="Bookman Old Style" w:hAnsi="Bookman Old Style" w:cs="Arial"/>
          <w:bCs/>
        </w:rPr>
        <w:t xml:space="preserve">a Comisión de Regulación de Energía y Gas, en su sesión </w:t>
      </w:r>
      <w:r w:rsidR="00C850D9" w:rsidRPr="008F535A">
        <w:rPr>
          <w:rFonts w:ascii="Bookman Old Style" w:hAnsi="Bookman Old Style" w:cs="Arial"/>
          <w:bCs/>
        </w:rPr>
        <w:t>No.</w:t>
      </w:r>
      <w:r w:rsidR="005A200A" w:rsidRPr="008F535A">
        <w:rPr>
          <w:rFonts w:ascii="Bookman Old Style" w:hAnsi="Bookman Old Style" w:cs="Arial"/>
          <w:bCs/>
        </w:rPr>
        <w:t xml:space="preserve"> </w:t>
      </w:r>
      <w:r w:rsidR="00074029">
        <w:rPr>
          <w:rFonts w:ascii="Bookman Old Style" w:hAnsi="Bookman Old Style" w:cs="Arial"/>
          <w:bCs/>
        </w:rPr>
        <w:t>753</w:t>
      </w:r>
      <w:r w:rsidR="00BC4693" w:rsidRPr="008F535A">
        <w:rPr>
          <w:rFonts w:ascii="Bookman Old Style" w:hAnsi="Bookman Old Style" w:cs="Arial"/>
          <w:bCs/>
        </w:rPr>
        <w:t xml:space="preserve"> del</w:t>
      </w:r>
      <w:r w:rsidR="00C850D9" w:rsidRPr="008F535A">
        <w:rPr>
          <w:rFonts w:ascii="Bookman Old Style" w:hAnsi="Bookman Old Style" w:cs="Arial"/>
          <w:bCs/>
        </w:rPr>
        <w:t xml:space="preserve"> </w:t>
      </w:r>
      <w:r w:rsidR="00074029">
        <w:rPr>
          <w:rFonts w:ascii="Bookman Old Style" w:hAnsi="Bookman Old Style" w:cs="Arial"/>
          <w:bCs/>
        </w:rPr>
        <w:t xml:space="preserve">22 y 23 </w:t>
      </w:r>
      <w:r w:rsidR="00BC4693" w:rsidRPr="008F535A">
        <w:rPr>
          <w:rFonts w:ascii="Bookman Old Style" w:hAnsi="Bookman Old Style" w:cs="Arial"/>
          <w:bCs/>
        </w:rPr>
        <w:t xml:space="preserve">de diciembre </w:t>
      </w:r>
      <w:r w:rsidR="00E03BD2" w:rsidRPr="008F535A">
        <w:rPr>
          <w:rFonts w:ascii="Bookman Old Style" w:hAnsi="Bookman Old Style" w:cs="Arial"/>
          <w:bCs/>
        </w:rPr>
        <w:t>de 201</w:t>
      </w:r>
      <w:r w:rsidR="00196A64">
        <w:rPr>
          <w:rFonts w:ascii="Bookman Old Style" w:hAnsi="Bookman Old Style" w:cs="Arial"/>
          <w:bCs/>
        </w:rPr>
        <w:t>6</w:t>
      </w:r>
      <w:r w:rsidR="00E03BD2" w:rsidRPr="008F535A">
        <w:rPr>
          <w:rFonts w:ascii="Bookman Old Style" w:hAnsi="Bookman Old Style" w:cs="Arial"/>
          <w:bCs/>
        </w:rPr>
        <w:t>, acordó expedir la presente resolución</w:t>
      </w:r>
      <w:r w:rsidR="0097416D" w:rsidRPr="008F535A">
        <w:rPr>
          <w:rFonts w:ascii="Bookman Old Style" w:hAnsi="Bookman Old Style" w:cs="Arial"/>
          <w:bCs/>
        </w:rPr>
        <w:t>.</w:t>
      </w:r>
    </w:p>
    <w:p w:rsidR="00E03BD2" w:rsidRDefault="00E03BD2" w:rsidP="001373B7">
      <w:pPr>
        <w:spacing w:before="480" w:after="600"/>
        <w:ind w:left="0"/>
        <w:jc w:val="center"/>
        <w:rPr>
          <w:rFonts w:ascii="Bookman Old Style" w:hAnsi="Bookman Old Style"/>
          <w:b/>
          <w:spacing w:val="40"/>
        </w:rPr>
      </w:pPr>
      <w:r>
        <w:rPr>
          <w:rFonts w:ascii="Bookman Old Style" w:hAnsi="Bookman Old Style"/>
          <w:b/>
        </w:rPr>
        <w:t xml:space="preserve">R E S U E L V </w:t>
      </w:r>
      <w:r>
        <w:rPr>
          <w:rFonts w:ascii="Bookman Old Style" w:hAnsi="Bookman Old Style"/>
          <w:b/>
          <w:spacing w:val="40"/>
        </w:rPr>
        <w:t>E:</w:t>
      </w:r>
    </w:p>
    <w:p w:rsidR="00FA3348" w:rsidRDefault="00FA3348" w:rsidP="00FA3348">
      <w:pPr>
        <w:pStyle w:val="Artculo"/>
      </w:pPr>
      <w:bookmarkStart w:id="1" w:name="_Toc259626851"/>
      <w:r w:rsidRPr="00FA3348">
        <w:rPr>
          <w:b/>
        </w:rPr>
        <w:t>Programa Anual de Inversiones</w:t>
      </w:r>
      <w:r w:rsidRPr="00FA3348">
        <w:rPr>
          <w:b/>
          <w:i/>
        </w:rPr>
        <w:t>, PAI</w:t>
      </w:r>
      <w:r w:rsidRPr="00FA3348">
        <w:rPr>
          <w:b/>
          <w:i/>
          <w:vertAlign w:val="subscript"/>
        </w:rPr>
        <w:t>t</w:t>
      </w:r>
      <w:r w:rsidRPr="00FA3348">
        <w:rPr>
          <w:b/>
          <w:i/>
        </w:rPr>
        <w:t>.</w:t>
      </w:r>
      <w:r>
        <w:t xml:space="preserve"> </w:t>
      </w:r>
      <w:r w:rsidRPr="00A90334">
        <w:t xml:space="preserve">Aprobar a </w:t>
      </w:r>
      <w:r>
        <w:t xml:space="preserve">XM </w:t>
      </w:r>
      <w:r w:rsidRPr="00A90334">
        <w:t xml:space="preserve">Compañía de Expertos en Mercados S.A. E.S.P. el Programa </w:t>
      </w:r>
      <w:r>
        <w:t xml:space="preserve">Anual </w:t>
      </w:r>
      <w:r w:rsidRPr="00A90334">
        <w:t>de Inversiones</w:t>
      </w:r>
      <w:r>
        <w:t xml:space="preserve"> para los </w:t>
      </w:r>
      <w:r w:rsidRPr="00A90334">
        <w:t xml:space="preserve">años </w:t>
      </w:r>
      <w:r>
        <w:t xml:space="preserve">cuarto y quinto </w:t>
      </w:r>
      <w:r w:rsidRPr="00A90334">
        <w:t>del periodo tarifario, de confor</w:t>
      </w:r>
      <w:r>
        <w:t>midad con lo establecido en el a</w:t>
      </w:r>
      <w:r w:rsidRPr="00A90334">
        <w:t xml:space="preserve">rtículo 6 de la Resolución CREG </w:t>
      </w:r>
      <w:r>
        <w:t>174</w:t>
      </w:r>
      <w:r w:rsidRPr="00A90334">
        <w:t xml:space="preserve"> de 20</w:t>
      </w:r>
      <w:r>
        <w:t>13.</w:t>
      </w:r>
    </w:p>
    <w:p w:rsidR="00BC43A8" w:rsidRDefault="00BC43A8" w:rsidP="00BC43A8">
      <w:pPr>
        <w:pStyle w:val="Artculo"/>
        <w:numPr>
          <w:ilvl w:val="0"/>
          <w:numId w:val="0"/>
        </w:numPr>
      </w:pP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720"/>
      </w:tblGrid>
      <w:tr w:rsidR="00BC43A8" w:rsidRPr="00BC43A8" w:rsidTr="00BC43A8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BC43A8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3A8" w:rsidRPr="00BC43A8" w:rsidRDefault="00BC43A8" w:rsidP="00BC43A8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BC43A8" w:rsidRPr="00BC43A8" w:rsidTr="00BC43A8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PAI</w:t>
            </w: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40.252.998.142</w:t>
            </w:r>
          </w:p>
        </w:tc>
      </w:tr>
      <w:tr w:rsidR="00BC43A8" w:rsidRPr="00BC43A8" w:rsidTr="00BC43A8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PAI</w:t>
            </w: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30.910.762.752</w:t>
            </w:r>
          </w:p>
        </w:tc>
      </w:tr>
    </w:tbl>
    <w:p w:rsidR="00BC43A8" w:rsidRDefault="00BC43A8" w:rsidP="00BC43A8">
      <w:pPr>
        <w:pStyle w:val="Artculo"/>
        <w:numPr>
          <w:ilvl w:val="0"/>
          <w:numId w:val="0"/>
        </w:numPr>
      </w:pPr>
    </w:p>
    <w:p w:rsidR="007068FF" w:rsidRPr="00BC43A8" w:rsidRDefault="003E0BA3" w:rsidP="00FA3348">
      <w:pPr>
        <w:pStyle w:val="Artculo"/>
        <w:rPr>
          <w:b/>
        </w:rPr>
      </w:pPr>
      <w:r w:rsidRPr="00801A1D">
        <w:rPr>
          <w:b/>
        </w:rPr>
        <w:t>Ajuste</w:t>
      </w:r>
      <w:r w:rsidR="007068FF">
        <w:rPr>
          <w:b/>
        </w:rPr>
        <w:t xml:space="preserve"> al programa anual de inversiones</w:t>
      </w:r>
      <w:r w:rsidR="00D83EE0">
        <w:rPr>
          <w:b/>
        </w:rPr>
        <w:t xml:space="preserve">, </w:t>
      </w:r>
      <w:r w:rsidR="00D83EE0" w:rsidRPr="00D83EE0">
        <w:rPr>
          <w:b/>
          <w:i/>
        </w:rPr>
        <w:t>AP</w:t>
      </w:r>
      <w:r w:rsidR="00D83EE0">
        <w:rPr>
          <w:b/>
          <w:i/>
        </w:rPr>
        <w:t>A</w:t>
      </w:r>
      <w:r w:rsidR="00D83EE0" w:rsidRPr="00D83EE0">
        <w:rPr>
          <w:b/>
          <w:i/>
        </w:rPr>
        <w:t>I</w:t>
      </w:r>
      <w:r w:rsidR="00D83EE0" w:rsidRPr="00D83EE0">
        <w:rPr>
          <w:b/>
          <w:i/>
          <w:vertAlign w:val="subscript"/>
        </w:rPr>
        <w:t>t</w:t>
      </w:r>
      <w:r w:rsidR="00801A1D">
        <w:rPr>
          <w:b/>
        </w:rPr>
        <w:t>.</w:t>
      </w:r>
      <w:r w:rsidRPr="00255EA0">
        <w:rPr>
          <w:b/>
        </w:rPr>
        <w:t xml:space="preserve"> </w:t>
      </w:r>
      <w:r w:rsidR="00D83EE0" w:rsidRPr="00D83EE0">
        <w:t xml:space="preserve">Aprobar a XM compañía de expertos en mercados S.A. E.S.P. el ajuste al programa anual de inversiones para el </w:t>
      </w:r>
      <w:r w:rsidR="00FA3348">
        <w:t xml:space="preserve">cuarto </w:t>
      </w:r>
      <w:r w:rsidR="00D83EE0" w:rsidRPr="00D83EE0">
        <w:t xml:space="preserve">año del periodo tarifario, de conformidad con lo establecido en el </w:t>
      </w:r>
      <w:r w:rsidR="000D743B">
        <w:t>a</w:t>
      </w:r>
      <w:r w:rsidR="00D83EE0" w:rsidRPr="00D83EE0">
        <w:t>rtículo 7 de la Resolución CREG 174 de 2013.</w:t>
      </w:r>
    </w:p>
    <w:p w:rsidR="00BC43A8" w:rsidRDefault="00BC43A8" w:rsidP="00BC43A8">
      <w:pPr>
        <w:pStyle w:val="Artculo"/>
        <w:numPr>
          <w:ilvl w:val="0"/>
          <w:numId w:val="0"/>
        </w:numPr>
        <w:rPr>
          <w:b/>
        </w:rPr>
      </w:pP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720"/>
      </w:tblGrid>
      <w:tr w:rsidR="00BC43A8" w:rsidRPr="00BC43A8" w:rsidTr="00BC43A8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3A8" w:rsidRPr="00BC43A8" w:rsidRDefault="00BC43A8" w:rsidP="00BC43A8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BC43A8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3A8" w:rsidRPr="00BC43A8" w:rsidRDefault="00BC43A8" w:rsidP="00BC43A8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BC43A8" w:rsidRPr="00BC43A8" w:rsidTr="00BC43A8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APAI</w:t>
            </w:r>
            <w:r w:rsidRPr="00BC43A8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3A8" w:rsidRPr="00BC43A8" w:rsidRDefault="00BC43A8" w:rsidP="00BC43A8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 w:rsidRPr="00BC43A8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6.279.036.067</w:t>
            </w:r>
          </w:p>
        </w:tc>
      </w:tr>
    </w:tbl>
    <w:bookmarkEnd w:id="1"/>
    <w:p w:rsidR="00990C0E" w:rsidRDefault="00990C0E" w:rsidP="00990C0E">
      <w:pPr>
        <w:pStyle w:val="Artculo"/>
        <w:tabs>
          <w:tab w:val="left" w:pos="1701"/>
        </w:tabs>
        <w:spacing w:before="240" w:after="240"/>
      </w:pPr>
      <w:r w:rsidRPr="00990C0E">
        <w:rPr>
          <w:b/>
        </w:rPr>
        <w:t xml:space="preserve">Gastos Operativos de Referencia, </w:t>
      </w:r>
      <w:r w:rsidRPr="00990C0E">
        <w:rPr>
          <w:b/>
          <w:i/>
        </w:rPr>
        <w:t>GOPR</w:t>
      </w:r>
      <w:r w:rsidRPr="00990C0E">
        <w:rPr>
          <w:b/>
          <w:i/>
          <w:vertAlign w:val="subscript"/>
        </w:rPr>
        <w:t>t</w:t>
      </w:r>
      <w:r w:rsidRPr="00990C0E">
        <w:rPr>
          <w:b/>
        </w:rPr>
        <w:t>.</w:t>
      </w:r>
      <w:r>
        <w:t xml:space="preserve"> </w:t>
      </w:r>
      <w:r w:rsidRPr="00A90334">
        <w:rPr>
          <w:bCs/>
        </w:rPr>
        <w:t xml:space="preserve">Aprobar a </w:t>
      </w:r>
      <w:r>
        <w:rPr>
          <w:bCs/>
        </w:rPr>
        <w:t xml:space="preserve">XM </w:t>
      </w:r>
      <w:r w:rsidRPr="00A90334">
        <w:rPr>
          <w:bCs/>
        </w:rPr>
        <w:t xml:space="preserve">Compañía de Expertos en Mercados S.A. E.S.P. </w:t>
      </w:r>
      <w:r>
        <w:rPr>
          <w:bCs/>
        </w:rPr>
        <w:t xml:space="preserve">los Gastos Operativos de Referencia para el cuarto </w:t>
      </w:r>
      <w:r w:rsidRPr="00A90334">
        <w:t>año del periodo tarifario</w:t>
      </w:r>
      <w:r w:rsidRPr="00A90334">
        <w:rPr>
          <w:bCs/>
        </w:rPr>
        <w:t xml:space="preserve">, de conformidad con lo establecido en el </w:t>
      </w:r>
      <w:r>
        <w:rPr>
          <w:bCs/>
        </w:rPr>
        <w:t xml:space="preserve">numeral 2 del Anexo 1 </w:t>
      </w:r>
      <w:r w:rsidRPr="00A90334">
        <w:rPr>
          <w:bCs/>
        </w:rPr>
        <w:t xml:space="preserve">de la Resolución CREG </w:t>
      </w:r>
      <w:r>
        <w:rPr>
          <w:bCs/>
        </w:rPr>
        <w:t>174</w:t>
      </w:r>
      <w:r w:rsidRPr="00A90334">
        <w:rPr>
          <w:bCs/>
        </w:rPr>
        <w:t xml:space="preserve"> de 20</w:t>
      </w:r>
      <w:r>
        <w:rPr>
          <w:bCs/>
        </w:rPr>
        <w:t>13</w:t>
      </w:r>
      <w:r>
        <w:t>.</w:t>
      </w: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720"/>
      </w:tblGrid>
      <w:tr w:rsidR="00990C0E" w:rsidRPr="00990C0E" w:rsidTr="00990C0E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C0E" w:rsidRPr="00990C0E" w:rsidRDefault="00990C0E" w:rsidP="00990C0E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990C0E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C0E" w:rsidRPr="00990C0E" w:rsidRDefault="00990C0E" w:rsidP="00990C0E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990C0E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990C0E" w:rsidRPr="00990C0E" w:rsidTr="00990C0E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C0E" w:rsidRPr="00990C0E" w:rsidRDefault="00990C0E" w:rsidP="00990C0E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990C0E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GOPR</w:t>
            </w:r>
            <w:r w:rsidRPr="00990C0E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C0E" w:rsidRPr="00990C0E" w:rsidRDefault="00990C0E" w:rsidP="00990C0E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 w:rsidRPr="00990C0E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55.870.828.000</w:t>
            </w:r>
          </w:p>
        </w:tc>
      </w:tr>
    </w:tbl>
    <w:p w:rsidR="00990C0E" w:rsidRPr="00990C0E" w:rsidRDefault="00990C0E" w:rsidP="00990C0E">
      <w:pPr>
        <w:pStyle w:val="Artculo"/>
        <w:numPr>
          <w:ilvl w:val="0"/>
          <w:numId w:val="0"/>
        </w:numPr>
      </w:pPr>
    </w:p>
    <w:p w:rsidR="00164D15" w:rsidRDefault="00164D15" w:rsidP="00FA3348">
      <w:pPr>
        <w:pStyle w:val="Artculo"/>
      </w:pPr>
      <w:r w:rsidRPr="00164D15">
        <w:rPr>
          <w:b/>
        </w:rPr>
        <w:t xml:space="preserve">Ajuste de los ingresos </w:t>
      </w:r>
      <w:r w:rsidR="0014115D">
        <w:rPr>
          <w:b/>
        </w:rPr>
        <w:t xml:space="preserve">por inversiones </w:t>
      </w:r>
      <w:r w:rsidRPr="00164D15">
        <w:rPr>
          <w:b/>
        </w:rPr>
        <w:t>del año 2016</w:t>
      </w:r>
      <w:r>
        <w:rPr>
          <w:b/>
        </w:rPr>
        <w:t>.</w:t>
      </w:r>
      <w:r>
        <w:t xml:space="preserve"> </w:t>
      </w:r>
      <w:r>
        <w:rPr>
          <w:bCs/>
        </w:rPr>
        <w:t xml:space="preserve">XM </w:t>
      </w:r>
      <w:r w:rsidRPr="00A90334">
        <w:rPr>
          <w:bCs/>
        </w:rPr>
        <w:t xml:space="preserve">Compañía de </w:t>
      </w:r>
      <w:r w:rsidR="00966D48">
        <w:rPr>
          <w:bCs/>
        </w:rPr>
        <w:t>E</w:t>
      </w:r>
      <w:r w:rsidRPr="00A90334">
        <w:rPr>
          <w:bCs/>
        </w:rPr>
        <w:t xml:space="preserve">xpertos en </w:t>
      </w:r>
      <w:r w:rsidR="00966D48">
        <w:rPr>
          <w:bCs/>
        </w:rPr>
        <w:t>M</w:t>
      </w:r>
      <w:r w:rsidRPr="00A90334">
        <w:rPr>
          <w:bCs/>
        </w:rPr>
        <w:t>ercados S.A. E.S.P.</w:t>
      </w:r>
      <w:r>
        <w:rPr>
          <w:bCs/>
        </w:rPr>
        <w:t xml:space="preserve"> deberá </w:t>
      </w:r>
      <w:r w:rsidR="0014115D">
        <w:rPr>
          <w:bCs/>
        </w:rPr>
        <w:t xml:space="preserve">incluir en la variable </w:t>
      </w:r>
      <w:r w:rsidRPr="0014115D">
        <w:rPr>
          <w:bCs/>
          <w:i/>
        </w:rPr>
        <w:t>INVD</w:t>
      </w:r>
      <w:r w:rsidRPr="0014115D">
        <w:rPr>
          <w:bCs/>
          <w:i/>
          <w:vertAlign w:val="subscript"/>
        </w:rPr>
        <w:t>4</w:t>
      </w:r>
      <w:r>
        <w:rPr>
          <w:bCs/>
        </w:rPr>
        <w:t xml:space="preserve"> </w:t>
      </w:r>
      <w:r w:rsidR="0014115D">
        <w:rPr>
          <w:bCs/>
        </w:rPr>
        <w:t xml:space="preserve">los recursos adicionales generados por la aplicación del artículo 5 de la Resolución CREG 174 de 2013 antes de su modificación </w:t>
      </w:r>
      <w:r w:rsidR="002F7E5E">
        <w:rPr>
          <w:bCs/>
        </w:rPr>
        <w:t xml:space="preserve">realizada en </w:t>
      </w:r>
      <w:r w:rsidR="0014115D">
        <w:rPr>
          <w:bCs/>
        </w:rPr>
        <w:t xml:space="preserve">la resolución CREG 175 de 2016. </w:t>
      </w:r>
    </w:p>
    <w:p w:rsidR="00164D15" w:rsidRPr="00164D15" w:rsidRDefault="00164D15" w:rsidP="00164D15">
      <w:pPr>
        <w:pStyle w:val="Artculo"/>
        <w:numPr>
          <w:ilvl w:val="0"/>
          <w:numId w:val="0"/>
        </w:numPr>
      </w:pPr>
    </w:p>
    <w:p w:rsidR="00D7503B" w:rsidRDefault="003E0BA3" w:rsidP="00FA3348">
      <w:pPr>
        <w:pStyle w:val="Artculo"/>
      </w:pPr>
      <w:r w:rsidRPr="001B240D">
        <w:rPr>
          <w:b/>
        </w:rPr>
        <w:t>Vigencia</w:t>
      </w:r>
      <w:r w:rsidR="00CF0B66" w:rsidRPr="001B240D">
        <w:rPr>
          <w:b/>
        </w:rPr>
        <w:t xml:space="preserve">. </w:t>
      </w:r>
      <w:r w:rsidRPr="001B240D">
        <w:t xml:space="preserve">La remuneración de los servicios regulados del CND, ASIC y LAC aprobada </w:t>
      </w:r>
      <w:r w:rsidR="00D7503B">
        <w:t xml:space="preserve">en la presente resolución </w:t>
      </w:r>
      <w:r w:rsidRPr="001B240D">
        <w:t xml:space="preserve">comenzará a aplicarse el primer día del mes siguiente al de la fecha en la que quede en firme la presente </w:t>
      </w:r>
      <w:r w:rsidR="001B240D">
        <w:t>r</w:t>
      </w:r>
      <w:r w:rsidRPr="001B240D">
        <w:t>esolución.</w:t>
      </w:r>
    </w:p>
    <w:p w:rsidR="00D7503B" w:rsidRDefault="00D7503B" w:rsidP="00FA3348">
      <w:pPr>
        <w:pStyle w:val="Artculo"/>
        <w:numPr>
          <w:ilvl w:val="0"/>
          <w:numId w:val="0"/>
        </w:numPr>
      </w:pPr>
    </w:p>
    <w:p w:rsidR="00D7503B" w:rsidRPr="004E25FF" w:rsidRDefault="00D7503B" w:rsidP="004E25FF">
      <w:pPr>
        <w:pStyle w:val="Artculo"/>
      </w:pPr>
      <w:r>
        <w:t xml:space="preserve">La presente resolución deberá notificarse </w:t>
      </w:r>
      <w:r w:rsidRPr="002601C7">
        <w:t xml:space="preserve">a XM Compañía de Expertos en Mercados S.A. E.S.P. y deberá publicarse en el </w:t>
      </w:r>
      <w:r w:rsidRPr="00015165">
        <w:rPr>
          <w:i/>
        </w:rPr>
        <w:t>Diario Oficial</w:t>
      </w:r>
      <w:r w:rsidRPr="002601C7">
        <w:t>.</w:t>
      </w:r>
      <w:r>
        <w:t xml:space="preserve"> </w:t>
      </w:r>
      <w:r w:rsidRPr="002601C7">
        <w:t xml:space="preserve">Contra las disposiciones contenidas </w:t>
      </w:r>
      <w:r w:rsidR="00E60CCC">
        <w:t xml:space="preserve">en </w:t>
      </w:r>
      <w:r w:rsidRPr="002601C7">
        <w:t>esta resolución procede el recurso de reposición, el cual podrá interponerse ante la Dirección Ejecutiva de la CREG dentro de los cinco días siguientes a su notificación.</w:t>
      </w:r>
    </w:p>
    <w:p w:rsidR="004E3922" w:rsidRDefault="004E3922" w:rsidP="00015165">
      <w:pPr>
        <w:ind w:left="0"/>
        <w:rPr>
          <w:rFonts w:ascii="Bookman Old Style" w:hAnsi="Bookman Old Style"/>
        </w:rPr>
      </w:pPr>
    </w:p>
    <w:p w:rsidR="00EF6D78" w:rsidRPr="005F46C2" w:rsidRDefault="00D7503B" w:rsidP="00EF6D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NOTIFIQUESE, </w:t>
      </w:r>
      <w:r w:rsidR="00EF6D78" w:rsidRPr="005F46C2">
        <w:rPr>
          <w:rFonts w:ascii="Bookman Old Style" w:hAnsi="Bookman Old Style"/>
          <w:b/>
        </w:rPr>
        <w:t>PUBLÍQUESE Y CÚMPLASE</w:t>
      </w:r>
    </w:p>
    <w:p w:rsidR="00C4031A" w:rsidRDefault="00C4031A" w:rsidP="00015165">
      <w:pPr>
        <w:ind w:left="0"/>
        <w:rPr>
          <w:rFonts w:ascii="Bookman Old Style" w:hAnsi="Bookman Old Style"/>
        </w:rPr>
      </w:pPr>
    </w:p>
    <w:p w:rsidR="00502ACE" w:rsidRPr="005F46C2" w:rsidRDefault="00502ACE" w:rsidP="00015165">
      <w:pPr>
        <w:ind w:left="0"/>
        <w:rPr>
          <w:rFonts w:ascii="Bookman Old Style" w:hAnsi="Bookman Old Style"/>
        </w:rPr>
      </w:pPr>
    </w:p>
    <w:p w:rsidR="00EF6D78" w:rsidRPr="005F46C2" w:rsidRDefault="00EF6D78" w:rsidP="00C850D9">
      <w:pPr>
        <w:ind w:left="0"/>
        <w:rPr>
          <w:rFonts w:ascii="Bookman Old Style" w:hAnsi="Bookman Old Style"/>
        </w:rPr>
      </w:pPr>
      <w:r w:rsidRPr="005F46C2">
        <w:rPr>
          <w:rFonts w:ascii="Bookman Old Style" w:hAnsi="Bookman Old Style"/>
        </w:rPr>
        <w:t>Dado en Bogotá, D. C.</w:t>
      </w:r>
    </w:p>
    <w:p w:rsidR="00350D9E" w:rsidRDefault="00350D9E" w:rsidP="00350D9E">
      <w:pPr>
        <w:spacing w:line="216" w:lineRule="auto"/>
        <w:ind w:left="0"/>
        <w:jc w:val="both"/>
        <w:rPr>
          <w:rFonts w:ascii="Bookman Old Style" w:hAnsi="Bookman Old Style"/>
          <w:sz w:val="16"/>
        </w:rPr>
      </w:pPr>
    </w:p>
    <w:p w:rsidR="004E25FF" w:rsidRDefault="004E25FF" w:rsidP="00350D9E">
      <w:pPr>
        <w:spacing w:line="216" w:lineRule="auto"/>
        <w:ind w:left="0"/>
        <w:jc w:val="both"/>
        <w:rPr>
          <w:rFonts w:ascii="Bookman Old Style" w:hAnsi="Bookman Old Style"/>
          <w:sz w:val="16"/>
        </w:rPr>
      </w:pPr>
    </w:p>
    <w:p w:rsidR="00EC527D" w:rsidRPr="006A597A" w:rsidRDefault="00EC527D" w:rsidP="00350D9E">
      <w:pPr>
        <w:spacing w:line="216" w:lineRule="auto"/>
        <w:ind w:left="0"/>
        <w:jc w:val="both"/>
        <w:rPr>
          <w:rFonts w:ascii="Bookman Old Style" w:hAnsi="Bookman Old Style"/>
          <w:sz w:val="16"/>
        </w:rPr>
      </w:pPr>
    </w:p>
    <w:p w:rsidR="00350D9E" w:rsidRDefault="00350D9E" w:rsidP="00DA69D9">
      <w:pPr>
        <w:ind w:left="0"/>
        <w:jc w:val="both"/>
        <w:rPr>
          <w:rFonts w:ascii="Bookman Old Style" w:hAnsi="Bookman Old Style"/>
        </w:rPr>
      </w:pPr>
    </w:p>
    <w:p w:rsidR="00D7503B" w:rsidRDefault="00D7503B" w:rsidP="00DA69D9">
      <w:pPr>
        <w:ind w:left="0"/>
        <w:jc w:val="both"/>
        <w:rPr>
          <w:rFonts w:ascii="Bookman Old Style" w:hAnsi="Bookman Old Style"/>
        </w:rPr>
      </w:pPr>
    </w:p>
    <w:p w:rsidR="00502ACE" w:rsidRDefault="00502ACE" w:rsidP="00DA69D9">
      <w:pPr>
        <w:ind w:left="0"/>
        <w:jc w:val="both"/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6"/>
        <w:gridCol w:w="4374"/>
      </w:tblGrid>
      <w:tr w:rsidR="00D7503B" w:rsidTr="00F940A9">
        <w:trPr>
          <w:trHeight w:val="329"/>
          <w:jc w:val="center"/>
        </w:trPr>
        <w:tc>
          <w:tcPr>
            <w:tcW w:w="5306" w:type="dxa"/>
            <w:vAlign w:val="center"/>
            <w:hideMark/>
          </w:tcPr>
          <w:p w:rsidR="00D7503B" w:rsidRDefault="00196A64" w:rsidP="002B26C5">
            <w:pPr>
              <w:suppressAutoHyphens/>
              <w:spacing w:line="216" w:lineRule="auto"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2B26C5">
              <w:rPr>
                <w:rFonts w:ascii="Bookman Old Style" w:hAnsi="Bookman Old Style" w:cs="Arial"/>
                <w:b/>
                <w:bCs/>
              </w:rPr>
              <w:t>RUT</w:t>
            </w:r>
            <w:r w:rsidR="002B26C5" w:rsidRPr="002B26C5">
              <w:rPr>
                <w:rFonts w:ascii="Bookman Old Style" w:hAnsi="Bookman Old Style" w:cs="Arial"/>
                <w:b/>
                <w:bCs/>
              </w:rPr>
              <w:t>T</w:t>
            </w:r>
            <w:r w:rsidRPr="002B26C5">
              <w:rPr>
                <w:rFonts w:ascii="Bookman Old Style" w:hAnsi="Bookman Old Style" w:cs="Arial"/>
                <w:b/>
                <w:bCs/>
              </w:rPr>
              <w:t xml:space="preserve">Y PAOLA </w:t>
            </w:r>
            <w:r w:rsidR="002B26C5" w:rsidRPr="002B26C5">
              <w:rPr>
                <w:rFonts w:ascii="Bookman Old Style" w:hAnsi="Bookman Old Style" w:cs="Arial"/>
                <w:b/>
                <w:bCs/>
              </w:rPr>
              <w:t>ORTIZ JARA</w:t>
            </w:r>
          </w:p>
        </w:tc>
        <w:tc>
          <w:tcPr>
            <w:tcW w:w="4374" w:type="dxa"/>
            <w:vAlign w:val="center"/>
            <w:hideMark/>
          </w:tcPr>
          <w:p w:rsidR="00D7503B" w:rsidRDefault="00196A64" w:rsidP="00F940A9">
            <w:pPr>
              <w:suppressAutoHyphens/>
              <w:spacing w:line="216" w:lineRule="auto"/>
              <w:ind w:left="-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GERMÁN CASTRO FERREIRA</w:t>
            </w:r>
          </w:p>
        </w:tc>
      </w:tr>
      <w:tr w:rsidR="00D7503B" w:rsidTr="00F940A9">
        <w:trPr>
          <w:trHeight w:val="329"/>
          <w:jc w:val="center"/>
        </w:trPr>
        <w:tc>
          <w:tcPr>
            <w:tcW w:w="5306" w:type="dxa"/>
            <w:vAlign w:val="center"/>
            <w:hideMark/>
          </w:tcPr>
          <w:p w:rsidR="00D7503B" w:rsidRDefault="004E25FF" w:rsidP="00F940A9">
            <w:pPr>
              <w:suppressAutoHyphens/>
              <w:spacing w:line="216" w:lineRule="auto"/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>
              <w:rPr>
                <w:rFonts w:ascii="Bookman Old Style" w:hAnsi="Bookman Old Style" w:cs="Arial"/>
                <w:spacing w:val="-3"/>
              </w:rPr>
              <w:t>Viceministra</w:t>
            </w:r>
            <w:r w:rsidR="00D7503B">
              <w:rPr>
                <w:rFonts w:ascii="Bookman Old Style" w:hAnsi="Bookman Old Style" w:cs="Arial"/>
                <w:spacing w:val="-3"/>
              </w:rPr>
              <w:t xml:space="preserve"> de Energía</w:t>
            </w:r>
          </w:p>
        </w:tc>
        <w:tc>
          <w:tcPr>
            <w:tcW w:w="4374" w:type="dxa"/>
            <w:vAlign w:val="center"/>
            <w:hideMark/>
          </w:tcPr>
          <w:p w:rsidR="00D7503B" w:rsidRDefault="00D7503B" w:rsidP="00F940A9">
            <w:pPr>
              <w:suppressAutoHyphens/>
              <w:spacing w:line="216" w:lineRule="auto"/>
              <w:ind w:left="-9"/>
              <w:jc w:val="center"/>
              <w:rPr>
                <w:rFonts w:ascii="Bookman Old Style" w:hAnsi="Bookman Old Style" w:cs="Arial"/>
                <w:spacing w:val="-3"/>
              </w:rPr>
            </w:pPr>
            <w:r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  <w:tr w:rsidR="00D7503B" w:rsidTr="00F940A9">
        <w:trPr>
          <w:trHeight w:val="329"/>
          <w:jc w:val="center"/>
        </w:trPr>
        <w:tc>
          <w:tcPr>
            <w:tcW w:w="5306" w:type="dxa"/>
            <w:vAlign w:val="center"/>
            <w:hideMark/>
          </w:tcPr>
          <w:p w:rsidR="00D7503B" w:rsidRDefault="00D7503B" w:rsidP="00F940A9">
            <w:pPr>
              <w:suppressAutoHyphens/>
              <w:spacing w:line="216" w:lineRule="auto"/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>
              <w:rPr>
                <w:rFonts w:ascii="Bookman Old Style" w:hAnsi="Bookman Old Style" w:cs="Arial"/>
                <w:spacing w:val="-3"/>
              </w:rPr>
              <w:t>Delegado del Ministro de Minas y Energía</w:t>
            </w:r>
          </w:p>
          <w:p w:rsidR="00D7503B" w:rsidRDefault="00D7503B" w:rsidP="00F940A9">
            <w:pPr>
              <w:suppressAutoHyphens/>
              <w:spacing w:line="216" w:lineRule="auto"/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>
              <w:rPr>
                <w:rFonts w:ascii="Bookman Old Style" w:hAnsi="Bookman Old Style" w:cs="Arial"/>
                <w:spacing w:val="-3"/>
              </w:rPr>
              <w:t>Presidente</w:t>
            </w:r>
          </w:p>
        </w:tc>
        <w:tc>
          <w:tcPr>
            <w:tcW w:w="4374" w:type="dxa"/>
            <w:vAlign w:val="center"/>
          </w:tcPr>
          <w:p w:rsidR="00D7503B" w:rsidRDefault="00D7503B" w:rsidP="00F940A9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Bookman Old Style" w:hAnsi="Bookman Old Style" w:cs="Arial"/>
                <w:b/>
                <w:spacing w:val="-3"/>
              </w:rPr>
            </w:pPr>
          </w:p>
        </w:tc>
      </w:tr>
    </w:tbl>
    <w:p w:rsidR="00D7503B" w:rsidRDefault="00D7503B">
      <w:pPr>
        <w:ind w:left="0"/>
        <w:jc w:val="both"/>
        <w:rPr>
          <w:rFonts w:ascii="Bookman Old Style" w:hAnsi="Bookman Old Style"/>
        </w:rPr>
      </w:pPr>
    </w:p>
    <w:sectPr w:rsidR="00D7503B" w:rsidSect="003C5C83">
      <w:headerReference w:type="default" r:id="rId10"/>
      <w:headerReference w:type="first" r:id="rId11"/>
      <w:type w:val="continuous"/>
      <w:pgSz w:w="12242" w:h="18722" w:code="123"/>
      <w:pgMar w:top="2552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DFB" w:rsidRDefault="00DF2DFB">
      <w:r>
        <w:separator/>
      </w:r>
    </w:p>
    <w:p w:rsidR="00DF2DFB" w:rsidRDefault="00DF2DFB"/>
  </w:endnote>
  <w:endnote w:type="continuationSeparator" w:id="0">
    <w:p w:rsidR="00DF2DFB" w:rsidRDefault="00DF2DFB">
      <w:r>
        <w:continuationSeparator/>
      </w:r>
    </w:p>
    <w:p w:rsidR="00DF2DFB" w:rsidRDefault="00DF2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DFB" w:rsidRDefault="00DF2DFB">
      <w:r>
        <w:separator/>
      </w:r>
    </w:p>
    <w:p w:rsidR="00DF2DFB" w:rsidRDefault="00DF2DFB"/>
  </w:footnote>
  <w:footnote w:type="continuationSeparator" w:id="0">
    <w:p w:rsidR="00DF2DFB" w:rsidRDefault="00DF2DFB">
      <w:r>
        <w:continuationSeparator/>
      </w:r>
    </w:p>
    <w:p w:rsidR="00DF2DFB" w:rsidRDefault="00DF2D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C6" w:rsidRDefault="009C0BC6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9C0BC6" w:rsidRPr="00951F79" w:rsidRDefault="009C0BC6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971C16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971C16">
      <w:fldChar w:fldCharType="begin"/>
    </w:r>
    <w:r w:rsidR="00971C16">
      <w:instrText xml:space="preserve"> NUMPAGES  \* MERGEFORMAT </w:instrText>
    </w:r>
    <w:r w:rsidR="00971C16">
      <w:fldChar w:fldCharType="separate"/>
    </w:r>
    <w:r w:rsidR="00971C16" w:rsidRPr="00971C16">
      <w:rPr>
        <w:rFonts w:ascii="Bookman Old Style" w:hAnsi="Bookman Old Style" w:cs="Arial"/>
        <w:b w:val="0"/>
        <w:noProof/>
        <w:sz w:val="22"/>
        <w:szCs w:val="22"/>
      </w:rPr>
      <w:t>3</w:t>
    </w:r>
    <w:r w:rsidR="00971C16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9C0BC6" w:rsidRDefault="009C0BC6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C1D54" wp14:editId="004DE727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8F7BD" id="Rectangle 1" o:spid="_x0000_s1026" style="position:absolute;margin-left:-13.8pt;margin-top:10.95pt;width:493.5pt;height:7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DD5DAF" w:rsidRDefault="003C5C83" w:rsidP="00196A64">
    <w:pPr>
      <w:spacing w:before="120"/>
      <w:jc w:val="both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A96928" wp14:editId="493400E5">
              <wp:simplePos x="0" y="0"/>
              <wp:positionH relativeFrom="column">
                <wp:posOffset>367665</wp:posOffset>
              </wp:positionH>
              <wp:positionV relativeFrom="paragraph">
                <wp:posOffset>408305</wp:posOffset>
              </wp:positionV>
              <wp:extent cx="561975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60857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32.15pt" to="471.4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SX1AEAAAkEAAAOAAAAZHJzL2Uyb0RvYy54bWysU8tu2zAQvBfoPxC815ITJG0Fyzk4SC9F&#10;avR1Z6ilRYAvLBlL/vssKVsOmqJAg1woLbkz3Jldrm5Ga9geMGrvWr5c1JyBk77TbtfyXz/vPnzi&#10;LCbhOmG8g5YfIPKb9ft3qyE0cOF7bzpARiQuNkNoeZ9SaKoqyh6siAsfwNGh8mhFohB3VYdiIHZr&#10;qou6vq4Gj11ALyFG2r2dDvm68CsFMn1TKkJipuVUWyorlvUhr9V6JZoditBreSxDvKIKK7SjS2eq&#10;W5EEe0T9gspqiT56lRbS28orpSUUDaRmWf+h5kcvAhQtZE4Ms03x7Wjl/X6LTHctv+TMCUst2lCj&#10;ZPLIMH/YZfZoCLGh1I3b4jGKYYtZ8KjQMmV0+E3tLxaQKDYWhw+zwzAmJmnz6nr5+eMVNUKezqqJ&#10;IlMFjOkLeMvyT8uNdlm8aMT+a0x0LaWeUvK2cXmN3ujuThtTgjw2sDHI9oIansZlLp5wz7Ioysgq&#10;S5pElL90MDCxfgdFhlCxk5wyimdOISW4dOI1jrIzTFEFM7AuZf8TeMzPUChj+j/gGVFu9i7NYKud&#10;x7/dfrZCTfknBybd2YIH3x1Ke4s1NG/FuePbyAP9PC7w8wtePwEAAP//AwBQSwMEFAAGAAgAAAAh&#10;ADBaqGTfAAAACAEAAA8AAABkcnMvZG93bnJldi54bWxMj0FLw0AQhe+C/2EZwZvdmNZqYzZFhBbx&#10;1lgQb5tkkg3NzobsNk399Y70oMd57/Hme+l6sp0YcfCtIwX3swgEUumqlhoF+4/N3RMIHzRVunOE&#10;Cs7oYZ1dX6U6qdyJdjjmoRFcQj7RCkwIfSKlLw1a7WeuR2KvdoPVgc+hkdWgT1xuOxlH0VJa3RJ/&#10;MLrHV4PlIT9aBZuiPn99bz/f4nobm8P7fL8b80ip25vp5RlEwCn8heEXn9EhY6bCHanyolPw8Lji&#10;pILlYg6C/dUiZqG4CDJL5f8B2Q8AAAD//wMAUEsBAi0AFAAGAAgAAAAhALaDOJL+AAAA4QEAABMA&#10;AAAAAAAAAAAAAAAAAAAAAFtDb250ZW50X1R5cGVzXS54bWxQSwECLQAUAAYACAAAACEAOP0h/9YA&#10;AACUAQAACwAAAAAAAAAAAAAAAAAvAQAAX3JlbHMvLnJlbHNQSwECLQAUAAYACAAAACEAxCZkl9QB&#10;AAAJBAAADgAAAAAAAAAAAAAAAAAuAgAAZHJzL2Uyb0RvYy54bWxQSwECLQAUAAYACAAAACEAMFqo&#10;ZN8AAAAIAQAADwAAAAAAAAAAAAAAAAAuBAAAZHJzL2Rvd25yZXYueG1sUEsFBgAAAAAEAAQA8wAA&#10;ADoFAAAAAA==&#10;" strokecolor="black [3213]"/>
          </w:pict>
        </mc:Fallback>
      </mc:AlternateContent>
    </w:r>
    <w:r w:rsidR="00BC43A8" w:rsidRPr="00BC43A8">
      <w:rPr>
        <w:rFonts w:ascii="Bookman Old Style" w:hAnsi="Bookman Old Style" w:cs="Arial"/>
        <w:sz w:val="20"/>
        <w:szCs w:val="22"/>
      </w:rPr>
      <w:t>Por la cual se aprueba el plan de inversiones para los años 2017 y 2018 y se ajusta la remuneración de los servicios regulados del CND, ASIC y LAC para el año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C6" w:rsidRDefault="009C0BC6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9C0BC6" w:rsidRDefault="009C0BC6">
    <w:pPr>
      <w:pStyle w:val="Encabezado"/>
      <w:jc w:val="center"/>
      <w:rPr>
        <w:rFonts w:ascii="Arial" w:hAnsi="Arial" w:cs="Arial"/>
        <w:spacing w:val="20"/>
        <w:sz w:val="20"/>
      </w:rPr>
    </w:pPr>
  </w:p>
  <w:p w:rsidR="009C0BC6" w:rsidRDefault="009C0BC6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15B64E" wp14:editId="16FFD73C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DE685" id="Rectangle 2" o:spid="_x0000_s1026" style="position:absolute;margin-left:-16.8pt;margin-top:29.7pt;width:499.5pt;height:77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B767B2C"/>
    <w:multiLevelType w:val="hybridMultilevel"/>
    <w:tmpl w:val="185283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916AE"/>
    <w:multiLevelType w:val="hybridMultilevel"/>
    <w:tmpl w:val="B38C7FB8"/>
    <w:lvl w:ilvl="0" w:tplc="06264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66216"/>
    <w:multiLevelType w:val="hybridMultilevel"/>
    <w:tmpl w:val="5C405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02349"/>
    <w:multiLevelType w:val="multilevel"/>
    <w:tmpl w:val="BDD6320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5FB9"/>
    <w:multiLevelType w:val="hybridMultilevel"/>
    <w:tmpl w:val="5DCCE5CC"/>
    <w:lvl w:ilvl="0" w:tplc="735277F4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77DD7"/>
    <w:multiLevelType w:val="multilevel"/>
    <w:tmpl w:val="89CA730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EF74C9"/>
    <w:multiLevelType w:val="hybridMultilevel"/>
    <w:tmpl w:val="CF58DAD0"/>
    <w:lvl w:ilvl="0" w:tplc="F3628972">
      <w:start w:val="1"/>
      <w:numFmt w:val="decimal"/>
      <w:lvlText w:val="Artículo %1."/>
      <w:lvlJc w:val="left"/>
      <w:pPr>
        <w:ind w:left="2204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1B7718"/>
    <w:multiLevelType w:val="hybridMultilevel"/>
    <w:tmpl w:val="5E52C37C"/>
    <w:lvl w:ilvl="0" w:tplc="E4BCA6C0">
      <w:start w:val="1"/>
      <w:numFmt w:val="decimal"/>
      <w:pStyle w:val="Artculo"/>
      <w:lvlText w:val="Artículo 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00230"/>
    <w:multiLevelType w:val="hybridMultilevel"/>
    <w:tmpl w:val="116E1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2"/>
  </w:num>
  <w:num w:numId="14">
    <w:abstractNumId w:val="11"/>
  </w:num>
  <w:num w:numId="15">
    <w:abstractNumId w:val="11"/>
  </w:num>
  <w:num w:numId="16">
    <w:abstractNumId w:val="5"/>
  </w:num>
  <w:num w:numId="17">
    <w:abstractNumId w:val="4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6AE2"/>
    <w:rsid w:val="000075B9"/>
    <w:rsid w:val="000076A1"/>
    <w:rsid w:val="00010373"/>
    <w:rsid w:val="00011A72"/>
    <w:rsid w:val="00012259"/>
    <w:rsid w:val="00013872"/>
    <w:rsid w:val="00015165"/>
    <w:rsid w:val="00025383"/>
    <w:rsid w:val="00036985"/>
    <w:rsid w:val="00041B54"/>
    <w:rsid w:val="00045D3D"/>
    <w:rsid w:val="00055691"/>
    <w:rsid w:val="000577E1"/>
    <w:rsid w:val="0006350C"/>
    <w:rsid w:val="00063657"/>
    <w:rsid w:val="00064E9B"/>
    <w:rsid w:val="0006600D"/>
    <w:rsid w:val="00066500"/>
    <w:rsid w:val="000709C5"/>
    <w:rsid w:val="00072F8D"/>
    <w:rsid w:val="00074029"/>
    <w:rsid w:val="00074C28"/>
    <w:rsid w:val="00076680"/>
    <w:rsid w:val="00076A1D"/>
    <w:rsid w:val="00077527"/>
    <w:rsid w:val="0008073E"/>
    <w:rsid w:val="00081925"/>
    <w:rsid w:val="00082E34"/>
    <w:rsid w:val="00083BAB"/>
    <w:rsid w:val="000859B5"/>
    <w:rsid w:val="00086BC3"/>
    <w:rsid w:val="00091CDB"/>
    <w:rsid w:val="00091DB2"/>
    <w:rsid w:val="00092426"/>
    <w:rsid w:val="00094219"/>
    <w:rsid w:val="00094C3B"/>
    <w:rsid w:val="00094FC1"/>
    <w:rsid w:val="000A1503"/>
    <w:rsid w:val="000A19AC"/>
    <w:rsid w:val="000A2414"/>
    <w:rsid w:val="000A4B57"/>
    <w:rsid w:val="000B1944"/>
    <w:rsid w:val="000B2EC9"/>
    <w:rsid w:val="000B4E51"/>
    <w:rsid w:val="000C1B27"/>
    <w:rsid w:val="000C1B79"/>
    <w:rsid w:val="000C7B41"/>
    <w:rsid w:val="000D17BD"/>
    <w:rsid w:val="000D26F8"/>
    <w:rsid w:val="000D39CF"/>
    <w:rsid w:val="000D4318"/>
    <w:rsid w:val="000D743B"/>
    <w:rsid w:val="000E26E9"/>
    <w:rsid w:val="000E3A1E"/>
    <w:rsid w:val="000F39A1"/>
    <w:rsid w:val="001006BB"/>
    <w:rsid w:val="00100739"/>
    <w:rsid w:val="0010293A"/>
    <w:rsid w:val="0010689B"/>
    <w:rsid w:val="00114D4A"/>
    <w:rsid w:val="001159F3"/>
    <w:rsid w:val="00125AB0"/>
    <w:rsid w:val="00127CE6"/>
    <w:rsid w:val="0013442B"/>
    <w:rsid w:val="0013526C"/>
    <w:rsid w:val="00136FDF"/>
    <w:rsid w:val="001371DD"/>
    <w:rsid w:val="001373B7"/>
    <w:rsid w:val="001405C6"/>
    <w:rsid w:val="00141013"/>
    <w:rsid w:val="0014115D"/>
    <w:rsid w:val="00142A34"/>
    <w:rsid w:val="00145C6D"/>
    <w:rsid w:val="00145F4E"/>
    <w:rsid w:val="0014798E"/>
    <w:rsid w:val="00150339"/>
    <w:rsid w:val="00156DB2"/>
    <w:rsid w:val="00157FD9"/>
    <w:rsid w:val="00164D15"/>
    <w:rsid w:val="0017291B"/>
    <w:rsid w:val="00183ECF"/>
    <w:rsid w:val="00190DAF"/>
    <w:rsid w:val="0019150C"/>
    <w:rsid w:val="001921CF"/>
    <w:rsid w:val="00192CBF"/>
    <w:rsid w:val="00192FF1"/>
    <w:rsid w:val="00196A64"/>
    <w:rsid w:val="001A5F1B"/>
    <w:rsid w:val="001A7F24"/>
    <w:rsid w:val="001B055B"/>
    <w:rsid w:val="001B1C22"/>
    <w:rsid w:val="001B240D"/>
    <w:rsid w:val="001B34C6"/>
    <w:rsid w:val="001B46D6"/>
    <w:rsid w:val="001D7832"/>
    <w:rsid w:val="001D7EFA"/>
    <w:rsid w:val="001E5E65"/>
    <w:rsid w:val="001E6933"/>
    <w:rsid w:val="001F3E97"/>
    <w:rsid w:val="001F6E1B"/>
    <w:rsid w:val="0020105F"/>
    <w:rsid w:val="00204D40"/>
    <w:rsid w:val="002066BA"/>
    <w:rsid w:val="002067EF"/>
    <w:rsid w:val="00210DC1"/>
    <w:rsid w:val="00211D34"/>
    <w:rsid w:val="00214F04"/>
    <w:rsid w:val="00222F95"/>
    <w:rsid w:val="00225C52"/>
    <w:rsid w:val="002379DC"/>
    <w:rsid w:val="002442F7"/>
    <w:rsid w:val="00255EA0"/>
    <w:rsid w:val="00260014"/>
    <w:rsid w:val="002601C7"/>
    <w:rsid w:val="0026111F"/>
    <w:rsid w:val="0026368E"/>
    <w:rsid w:val="002646F1"/>
    <w:rsid w:val="00266CD6"/>
    <w:rsid w:val="0027516E"/>
    <w:rsid w:val="00275DAB"/>
    <w:rsid w:val="0028221C"/>
    <w:rsid w:val="002845F6"/>
    <w:rsid w:val="00292249"/>
    <w:rsid w:val="0029253B"/>
    <w:rsid w:val="002A082E"/>
    <w:rsid w:val="002A6C48"/>
    <w:rsid w:val="002A782A"/>
    <w:rsid w:val="002B0C17"/>
    <w:rsid w:val="002B11E2"/>
    <w:rsid w:val="002B24B8"/>
    <w:rsid w:val="002B26C5"/>
    <w:rsid w:val="002B3288"/>
    <w:rsid w:val="002B5899"/>
    <w:rsid w:val="002D3AE9"/>
    <w:rsid w:val="002D4510"/>
    <w:rsid w:val="002D456E"/>
    <w:rsid w:val="002F0734"/>
    <w:rsid w:val="002F1F62"/>
    <w:rsid w:val="002F46E7"/>
    <w:rsid w:val="002F7ADD"/>
    <w:rsid w:val="002F7E5E"/>
    <w:rsid w:val="00301B84"/>
    <w:rsid w:val="00303654"/>
    <w:rsid w:val="00305842"/>
    <w:rsid w:val="00306016"/>
    <w:rsid w:val="003101DA"/>
    <w:rsid w:val="003111CA"/>
    <w:rsid w:val="00313EDE"/>
    <w:rsid w:val="00314715"/>
    <w:rsid w:val="00314757"/>
    <w:rsid w:val="003163BC"/>
    <w:rsid w:val="003211CE"/>
    <w:rsid w:val="003248F9"/>
    <w:rsid w:val="00325E06"/>
    <w:rsid w:val="003271B2"/>
    <w:rsid w:val="00333A36"/>
    <w:rsid w:val="00342402"/>
    <w:rsid w:val="00344883"/>
    <w:rsid w:val="00350D9E"/>
    <w:rsid w:val="0035403A"/>
    <w:rsid w:val="00355410"/>
    <w:rsid w:val="0035627D"/>
    <w:rsid w:val="00360FA9"/>
    <w:rsid w:val="003635CB"/>
    <w:rsid w:val="0036394B"/>
    <w:rsid w:val="00366DB6"/>
    <w:rsid w:val="003709B5"/>
    <w:rsid w:val="003759C2"/>
    <w:rsid w:val="003764CC"/>
    <w:rsid w:val="00380888"/>
    <w:rsid w:val="00380962"/>
    <w:rsid w:val="003857DE"/>
    <w:rsid w:val="003867C2"/>
    <w:rsid w:val="0038799C"/>
    <w:rsid w:val="00392A0B"/>
    <w:rsid w:val="00397365"/>
    <w:rsid w:val="00397B9A"/>
    <w:rsid w:val="003A0012"/>
    <w:rsid w:val="003A31F6"/>
    <w:rsid w:val="003A3455"/>
    <w:rsid w:val="003A40A8"/>
    <w:rsid w:val="003A496E"/>
    <w:rsid w:val="003B05FB"/>
    <w:rsid w:val="003B54EA"/>
    <w:rsid w:val="003C0750"/>
    <w:rsid w:val="003C2B93"/>
    <w:rsid w:val="003C3447"/>
    <w:rsid w:val="003C5C83"/>
    <w:rsid w:val="003D076C"/>
    <w:rsid w:val="003E0BA3"/>
    <w:rsid w:val="003E2CE0"/>
    <w:rsid w:val="003E78B5"/>
    <w:rsid w:val="003F0DF9"/>
    <w:rsid w:val="003F2829"/>
    <w:rsid w:val="003F5A6C"/>
    <w:rsid w:val="003F5C15"/>
    <w:rsid w:val="003F7FB7"/>
    <w:rsid w:val="00400106"/>
    <w:rsid w:val="0041354F"/>
    <w:rsid w:val="00414C52"/>
    <w:rsid w:val="0041585A"/>
    <w:rsid w:val="00415BAB"/>
    <w:rsid w:val="00415ED2"/>
    <w:rsid w:val="004165DF"/>
    <w:rsid w:val="0042068C"/>
    <w:rsid w:val="004219A9"/>
    <w:rsid w:val="004228CD"/>
    <w:rsid w:val="00422D86"/>
    <w:rsid w:val="004232E6"/>
    <w:rsid w:val="004240C6"/>
    <w:rsid w:val="00424EE1"/>
    <w:rsid w:val="00436F01"/>
    <w:rsid w:val="0044318E"/>
    <w:rsid w:val="00443B35"/>
    <w:rsid w:val="0045414E"/>
    <w:rsid w:val="0045434A"/>
    <w:rsid w:val="00455259"/>
    <w:rsid w:val="00456CC0"/>
    <w:rsid w:val="00462AB7"/>
    <w:rsid w:val="004634C1"/>
    <w:rsid w:val="00466740"/>
    <w:rsid w:val="0047122B"/>
    <w:rsid w:val="0047244E"/>
    <w:rsid w:val="00472E1D"/>
    <w:rsid w:val="0047318D"/>
    <w:rsid w:val="00473B7A"/>
    <w:rsid w:val="00482E08"/>
    <w:rsid w:val="004861AB"/>
    <w:rsid w:val="004905C8"/>
    <w:rsid w:val="00491BAF"/>
    <w:rsid w:val="004960E9"/>
    <w:rsid w:val="004975E5"/>
    <w:rsid w:val="004A0931"/>
    <w:rsid w:val="004A18D9"/>
    <w:rsid w:val="004A2E88"/>
    <w:rsid w:val="004A2F7E"/>
    <w:rsid w:val="004A372F"/>
    <w:rsid w:val="004A3D15"/>
    <w:rsid w:val="004A40CF"/>
    <w:rsid w:val="004A4FF1"/>
    <w:rsid w:val="004A5305"/>
    <w:rsid w:val="004A7C17"/>
    <w:rsid w:val="004B1816"/>
    <w:rsid w:val="004B5EE3"/>
    <w:rsid w:val="004B7AB9"/>
    <w:rsid w:val="004D0991"/>
    <w:rsid w:val="004D5EAB"/>
    <w:rsid w:val="004D612E"/>
    <w:rsid w:val="004D7634"/>
    <w:rsid w:val="004E25FF"/>
    <w:rsid w:val="004E3922"/>
    <w:rsid w:val="004E3F58"/>
    <w:rsid w:val="004E4FE1"/>
    <w:rsid w:val="004E611A"/>
    <w:rsid w:val="004F2C06"/>
    <w:rsid w:val="004F386B"/>
    <w:rsid w:val="004F7238"/>
    <w:rsid w:val="005003EF"/>
    <w:rsid w:val="00501843"/>
    <w:rsid w:val="00502ACE"/>
    <w:rsid w:val="00504C02"/>
    <w:rsid w:val="0052323C"/>
    <w:rsid w:val="00525E8D"/>
    <w:rsid w:val="0052779D"/>
    <w:rsid w:val="005300D3"/>
    <w:rsid w:val="00530D22"/>
    <w:rsid w:val="005317A7"/>
    <w:rsid w:val="00532EDF"/>
    <w:rsid w:val="005331DF"/>
    <w:rsid w:val="00541E5B"/>
    <w:rsid w:val="00542821"/>
    <w:rsid w:val="00544F82"/>
    <w:rsid w:val="00546F21"/>
    <w:rsid w:val="00547E7A"/>
    <w:rsid w:val="005509D2"/>
    <w:rsid w:val="005519A7"/>
    <w:rsid w:val="005562EC"/>
    <w:rsid w:val="0056519A"/>
    <w:rsid w:val="0057076D"/>
    <w:rsid w:val="0057636B"/>
    <w:rsid w:val="005908FE"/>
    <w:rsid w:val="0059142D"/>
    <w:rsid w:val="00593076"/>
    <w:rsid w:val="00593C4F"/>
    <w:rsid w:val="00594330"/>
    <w:rsid w:val="005946A8"/>
    <w:rsid w:val="00594DF0"/>
    <w:rsid w:val="005A0189"/>
    <w:rsid w:val="005A200A"/>
    <w:rsid w:val="005A4407"/>
    <w:rsid w:val="005A59EF"/>
    <w:rsid w:val="005A5BFB"/>
    <w:rsid w:val="005B1231"/>
    <w:rsid w:val="005B1C7E"/>
    <w:rsid w:val="005B4088"/>
    <w:rsid w:val="005B6005"/>
    <w:rsid w:val="005C1B2C"/>
    <w:rsid w:val="005C284B"/>
    <w:rsid w:val="005C284D"/>
    <w:rsid w:val="005C6976"/>
    <w:rsid w:val="005E0D12"/>
    <w:rsid w:val="005E2F54"/>
    <w:rsid w:val="005E3978"/>
    <w:rsid w:val="005E4A64"/>
    <w:rsid w:val="005F07F6"/>
    <w:rsid w:val="005F10FD"/>
    <w:rsid w:val="005F3297"/>
    <w:rsid w:val="005F3414"/>
    <w:rsid w:val="005F46C2"/>
    <w:rsid w:val="005F60BD"/>
    <w:rsid w:val="005F6F41"/>
    <w:rsid w:val="005F7096"/>
    <w:rsid w:val="00602785"/>
    <w:rsid w:val="006040BE"/>
    <w:rsid w:val="00604C10"/>
    <w:rsid w:val="00613841"/>
    <w:rsid w:val="006140E4"/>
    <w:rsid w:val="0062037A"/>
    <w:rsid w:val="00621968"/>
    <w:rsid w:val="0062370D"/>
    <w:rsid w:val="00625DC6"/>
    <w:rsid w:val="00626AAF"/>
    <w:rsid w:val="006325C5"/>
    <w:rsid w:val="006341FA"/>
    <w:rsid w:val="0063658B"/>
    <w:rsid w:val="00640DA9"/>
    <w:rsid w:val="0064298F"/>
    <w:rsid w:val="0064391D"/>
    <w:rsid w:val="00651821"/>
    <w:rsid w:val="00652988"/>
    <w:rsid w:val="00654384"/>
    <w:rsid w:val="0065562B"/>
    <w:rsid w:val="006651B4"/>
    <w:rsid w:val="00666233"/>
    <w:rsid w:val="006675CD"/>
    <w:rsid w:val="00667AAE"/>
    <w:rsid w:val="006708E8"/>
    <w:rsid w:val="006712CA"/>
    <w:rsid w:val="006741D2"/>
    <w:rsid w:val="00676C0B"/>
    <w:rsid w:val="00683629"/>
    <w:rsid w:val="00684D9B"/>
    <w:rsid w:val="00697556"/>
    <w:rsid w:val="006A52D7"/>
    <w:rsid w:val="006A597A"/>
    <w:rsid w:val="006A5E0D"/>
    <w:rsid w:val="006B4647"/>
    <w:rsid w:val="006B4C2B"/>
    <w:rsid w:val="006B6194"/>
    <w:rsid w:val="006B6D47"/>
    <w:rsid w:val="006C5AFE"/>
    <w:rsid w:val="006D0604"/>
    <w:rsid w:val="006D0EB2"/>
    <w:rsid w:val="006D1138"/>
    <w:rsid w:val="006E3A5B"/>
    <w:rsid w:val="006E403F"/>
    <w:rsid w:val="006E50BB"/>
    <w:rsid w:val="006E792E"/>
    <w:rsid w:val="006F48CB"/>
    <w:rsid w:val="006F5BB2"/>
    <w:rsid w:val="006F6D95"/>
    <w:rsid w:val="006F7DCF"/>
    <w:rsid w:val="007052AB"/>
    <w:rsid w:val="007068FF"/>
    <w:rsid w:val="00706E23"/>
    <w:rsid w:val="00706F13"/>
    <w:rsid w:val="007072E8"/>
    <w:rsid w:val="00710A3E"/>
    <w:rsid w:val="00714C78"/>
    <w:rsid w:val="00715994"/>
    <w:rsid w:val="0071618D"/>
    <w:rsid w:val="00721A5E"/>
    <w:rsid w:val="00725FA4"/>
    <w:rsid w:val="00732476"/>
    <w:rsid w:val="00733627"/>
    <w:rsid w:val="00740446"/>
    <w:rsid w:val="00740744"/>
    <w:rsid w:val="00742984"/>
    <w:rsid w:val="00743283"/>
    <w:rsid w:val="007438A9"/>
    <w:rsid w:val="0074491E"/>
    <w:rsid w:val="00757FB9"/>
    <w:rsid w:val="00761E79"/>
    <w:rsid w:val="0076247A"/>
    <w:rsid w:val="007634B7"/>
    <w:rsid w:val="00775964"/>
    <w:rsid w:val="007765FE"/>
    <w:rsid w:val="007843AE"/>
    <w:rsid w:val="00785932"/>
    <w:rsid w:val="00794E2E"/>
    <w:rsid w:val="00795BFB"/>
    <w:rsid w:val="00795E23"/>
    <w:rsid w:val="0079743F"/>
    <w:rsid w:val="007B00CA"/>
    <w:rsid w:val="007B2760"/>
    <w:rsid w:val="007B3FF0"/>
    <w:rsid w:val="007C4E2A"/>
    <w:rsid w:val="007C6236"/>
    <w:rsid w:val="007C76EF"/>
    <w:rsid w:val="007D04E4"/>
    <w:rsid w:val="007D09A5"/>
    <w:rsid w:val="007D230E"/>
    <w:rsid w:val="007E412B"/>
    <w:rsid w:val="007E4C2C"/>
    <w:rsid w:val="007E6A60"/>
    <w:rsid w:val="00801695"/>
    <w:rsid w:val="00801A1D"/>
    <w:rsid w:val="0080213C"/>
    <w:rsid w:val="00806C01"/>
    <w:rsid w:val="008148CC"/>
    <w:rsid w:val="008168FD"/>
    <w:rsid w:val="008170DF"/>
    <w:rsid w:val="008211A4"/>
    <w:rsid w:val="0082246B"/>
    <w:rsid w:val="008231FC"/>
    <w:rsid w:val="0082585A"/>
    <w:rsid w:val="00826459"/>
    <w:rsid w:val="00841FDE"/>
    <w:rsid w:val="00843E1F"/>
    <w:rsid w:val="0085015D"/>
    <w:rsid w:val="008550E7"/>
    <w:rsid w:val="0085623D"/>
    <w:rsid w:val="00857A4A"/>
    <w:rsid w:val="00864C08"/>
    <w:rsid w:val="00865FCA"/>
    <w:rsid w:val="00866F33"/>
    <w:rsid w:val="00873150"/>
    <w:rsid w:val="0087657D"/>
    <w:rsid w:val="008807D5"/>
    <w:rsid w:val="00880832"/>
    <w:rsid w:val="00881AE8"/>
    <w:rsid w:val="00883A44"/>
    <w:rsid w:val="00886EE1"/>
    <w:rsid w:val="0088727D"/>
    <w:rsid w:val="00887827"/>
    <w:rsid w:val="00892346"/>
    <w:rsid w:val="008933E3"/>
    <w:rsid w:val="008942B5"/>
    <w:rsid w:val="0089463B"/>
    <w:rsid w:val="0089470C"/>
    <w:rsid w:val="00895C5A"/>
    <w:rsid w:val="00897C75"/>
    <w:rsid w:val="008A24C9"/>
    <w:rsid w:val="008A4B52"/>
    <w:rsid w:val="008B6CE9"/>
    <w:rsid w:val="008C00BA"/>
    <w:rsid w:val="008C1130"/>
    <w:rsid w:val="008C283D"/>
    <w:rsid w:val="008C6A0D"/>
    <w:rsid w:val="008D18E6"/>
    <w:rsid w:val="008D1B73"/>
    <w:rsid w:val="008D7A9B"/>
    <w:rsid w:val="008E0060"/>
    <w:rsid w:val="008E358C"/>
    <w:rsid w:val="008E38FD"/>
    <w:rsid w:val="008E5B78"/>
    <w:rsid w:val="008E6072"/>
    <w:rsid w:val="008E76AC"/>
    <w:rsid w:val="008F1A26"/>
    <w:rsid w:val="008F1FB2"/>
    <w:rsid w:val="008F21F6"/>
    <w:rsid w:val="008F535A"/>
    <w:rsid w:val="008F7B6F"/>
    <w:rsid w:val="00907A4C"/>
    <w:rsid w:val="009129A4"/>
    <w:rsid w:val="00914768"/>
    <w:rsid w:val="00914C5D"/>
    <w:rsid w:val="009227DC"/>
    <w:rsid w:val="00923E7A"/>
    <w:rsid w:val="009322B8"/>
    <w:rsid w:val="00932BB4"/>
    <w:rsid w:val="00943D96"/>
    <w:rsid w:val="00951F79"/>
    <w:rsid w:val="00955950"/>
    <w:rsid w:val="00960561"/>
    <w:rsid w:val="009617A2"/>
    <w:rsid w:val="00961C3E"/>
    <w:rsid w:val="00962DD6"/>
    <w:rsid w:val="009642C6"/>
    <w:rsid w:val="00966D48"/>
    <w:rsid w:val="00971C16"/>
    <w:rsid w:val="0097416D"/>
    <w:rsid w:val="00974AB5"/>
    <w:rsid w:val="00980634"/>
    <w:rsid w:val="0098574C"/>
    <w:rsid w:val="0098706D"/>
    <w:rsid w:val="00990C0E"/>
    <w:rsid w:val="009935FB"/>
    <w:rsid w:val="00993F67"/>
    <w:rsid w:val="009A3AEE"/>
    <w:rsid w:val="009A46F7"/>
    <w:rsid w:val="009B6EF9"/>
    <w:rsid w:val="009C0BC6"/>
    <w:rsid w:val="009C1741"/>
    <w:rsid w:val="009C3B0B"/>
    <w:rsid w:val="009C3EE0"/>
    <w:rsid w:val="009C4EEF"/>
    <w:rsid w:val="009D1A2B"/>
    <w:rsid w:val="009D31AA"/>
    <w:rsid w:val="009D3C70"/>
    <w:rsid w:val="009D7190"/>
    <w:rsid w:val="009E1566"/>
    <w:rsid w:val="009F3B3A"/>
    <w:rsid w:val="009F4424"/>
    <w:rsid w:val="009F4A54"/>
    <w:rsid w:val="009F4B93"/>
    <w:rsid w:val="009F4BEC"/>
    <w:rsid w:val="009F5874"/>
    <w:rsid w:val="00A006FF"/>
    <w:rsid w:val="00A04E7D"/>
    <w:rsid w:val="00A0559F"/>
    <w:rsid w:val="00A13A16"/>
    <w:rsid w:val="00A208B5"/>
    <w:rsid w:val="00A2500A"/>
    <w:rsid w:val="00A25FD7"/>
    <w:rsid w:val="00A36091"/>
    <w:rsid w:val="00A37A12"/>
    <w:rsid w:val="00A43AFF"/>
    <w:rsid w:val="00A458E7"/>
    <w:rsid w:val="00A54BB3"/>
    <w:rsid w:val="00A61512"/>
    <w:rsid w:val="00A66FA3"/>
    <w:rsid w:val="00A70A21"/>
    <w:rsid w:val="00A72ACD"/>
    <w:rsid w:val="00A77875"/>
    <w:rsid w:val="00A7793A"/>
    <w:rsid w:val="00A824AF"/>
    <w:rsid w:val="00A82C40"/>
    <w:rsid w:val="00A97286"/>
    <w:rsid w:val="00AA1AAA"/>
    <w:rsid w:val="00AA2DA0"/>
    <w:rsid w:val="00AA4CC7"/>
    <w:rsid w:val="00AA5E8E"/>
    <w:rsid w:val="00AB4706"/>
    <w:rsid w:val="00AB5E46"/>
    <w:rsid w:val="00AB6CA7"/>
    <w:rsid w:val="00AC2AC9"/>
    <w:rsid w:val="00AD01E4"/>
    <w:rsid w:val="00AD0858"/>
    <w:rsid w:val="00AD413B"/>
    <w:rsid w:val="00AE0712"/>
    <w:rsid w:val="00AE7340"/>
    <w:rsid w:val="00AF181B"/>
    <w:rsid w:val="00AF1BBD"/>
    <w:rsid w:val="00AF6024"/>
    <w:rsid w:val="00B10207"/>
    <w:rsid w:val="00B11B0E"/>
    <w:rsid w:val="00B122ED"/>
    <w:rsid w:val="00B141E7"/>
    <w:rsid w:val="00B16E46"/>
    <w:rsid w:val="00B17290"/>
    <w:rsid w:val="00B216EB"/>
    <w:rsid w:val="00B27560"/>
    <w:rsid w:val="00B3027F"/>
    <w:rsid w:val="00B313E1"/>
    <w:rsid w:val="00B3289B"/>
    <w:rsid w:val="00B33E05"/>
    <w:rsid w:val="00B351B4"/>
    <w:rsid w:val="00B405DE"/>
    <w:rsid w:val="00B425EB"/>
    <w:rsid w:val="00B46BCA"/>
    <w:rsid w:val="00B478AA"/>
    <w:rsid w:val="00B55041"/>
    <w:rsid w:val="00B6461D"/>
    <w:rsid w:val="00B64BF4"/>
    <w:rsid w:val="00B709BC"/>
    <w:rsid w:val="00B76198"/>
    <w:rsid w:val="00B87806"/>
    <w:rsid w:val="00B87EC9"/>
    <w:rsid w:val="00B90E4E"/>
    <w:rsid w:val="00B92890"/>
    <w:rsid w:val="00B93259"/>
    <w:rsid w:val="00B95880"/>
    <w:rsid w:val="00B95F76"/>
    <w:rsid w:val="00BA6D63"/>
    <w:rsid w:val="00BB2E54"/>
    <w:rsid w:val="00BB3A61"/>
    <w:rsid w:val="00BB417E"/>
    <w:rsid w:val="00BB4CC8"/>
    <w:rsid w:val="00BB4D29"/>
    <w:rsid w:val="00BB7629"/>
    <w:rsid w:val="00BC0169"/>
    <w:rsid w:val="00BC171A"/>
    <w:rsid w:val="00BC3122"/>
    <w:rsid w:val="00BC38FD"/>
    <w:rsid w:val="00BC43A8"/>
    <w:rsid w:val="00BC4693"/>
    <w:rsid w:val="00BD0059"/>
    <w:rsid w:val="00BD1DBA"/>
    <w:rsid w:val="00BD4F44"/>
    <w:rsid w:val="00BE714D"/>
    <w:rsid w:val="00BF0265"/>
    <w:rsid w:val="00BF2841"/>
    <w:rsid w:val="00BF4ABA"/>
    <w:rsid w:val="00BF52BE"/>
    <w:rsid w:val="00BF63E2"/>
    <w:rsid w:val="00BF666F"/>
    <w:rsid w:val="00BF7B83"/>
    <w:rsid w:val="00C034CB"/>
    <w:rsid w:val="00C04CD3"/>
    <w:rsid w:val="00C051A8"/>
    <w:rsid w:val="00C054BC"/>
    <w:rsid w:val="00C07768"/>
    <w:rsid w:val="00C10CD7"/>
    <w:rsid w:val="00C12070"/>
    <w:rsid w:val="00C14D77"/>
    <w:rsid w:val="00C15B11"/>
    <w:rsid w:val="00C161DB"/>
    <w:rsid w:val="00C17897"/>
    <w:rsid w:val="00C25D74"/>
    <w:rsid w:val="00C342E7"/>
    <w:rsid w:val="00C4031A"/>
    <w:rsid w:val="00C409D5"/>
    <w:rsid w:val="00C435C3"/>
    <w:rsid w:val="00C435F1"/>
    <w:rsid w:val="00C4566E"/>
    <w:rsid w:val="00C467B7"/>
    <w:rsid w:val="00C53260"/>
    <w:rsid w:val="00C532AD"/>
    <w:rsid w:val="00C56108"/>
    <w:rsid w:val="00C6234B"/>
    <w:rsid w:val="00C63637"/>
    <w:rsid w:val="00C63EAE"/>
    <w:rsid w:val="00C642D6"/>
    <w:rsid w:val="00C71CEF"/>
    <w:rsid w:val="00C74388"/>
    <w:rsid w:val="00C7629F"/>
    <w:rsid w:val="00C766A3"/>
    <w:rsid w:val="00C804B4"/>
    <w:rsid w:val="00C815FD"/>
    <w:rsid w:val="00C850D9"/>
    <w:rsid w:val="00C8661B"/>
    <w:rsid w:val="00C9033F"/>
    <w:rsid w:val="00C93C31"/>
    <w:rsid w:val="00CA139A"/>
    <w:rsid w:val="00CA2899"/>
    <w:rsid w:val="00CA3A3D"/>
    <w:rsid w:val="00CA72AC"/>
    <w:rsid w:val="00CA77FB"/>
    <w:rsid w:val="00CB2A7E"/>
    <w:rsid w:val="00CB379B"/>
    <w:rsid w:val="00CB5DD0"/>
    <w:rsid w:val="00CB6627"/>
    <w:rsid w:val="00CC14C1"/>
    <w:rsid w:val="00CC1F82"/>
    <w:rsid w:val="00CC4242"/>
    <w:rsid w:val="00CC51D4"/>
    <w:rsid w:val="00CC65DA"/>
    <w:rsid w:val="00CD7AE5"/>
    <w:rsid w:val="00CE1039"/>
    <w:rsid w:val="00CE1659"/>
    <w:rsid w:val="00CE1EC2"/>
    <w:rsid w:val="00CF0B66"/>
    <w:rsid w:val="00CF21B9"/>
    <w:rsid w:val="00CF6BF9"/>
    <w:rsid w:val="00D00F64"/>
    <w:rsid w:val="00D03800"/>
    <w:rsid w:val="00D065D3"/>
    <w:rsid w:val="00D0704A"/>
    <w:rsid w:val="00D07844"/>
    <w:rsid w:val="00D14C94"/>
    <w:rsid w:val="00D150D2"/>
    <w:rsid w:val="00D16D33"/>
    <w:rsid w:val="00D17140"/>
    <w:rsid w:val="00D31AC4"/>
    <w:rsid w:val="00D3307A"/>
    <w:rsid w:val="00D331AD"/>
    <w:rsid w:val="00D342A6"/>
    <w:rsid w:val="00D4084B"/>
    <w:rsid w:val="00D45CA6"/>
    <w:rsid w:val="00D4638F"/>
    <w:rsid w:val="00D464BF"/>
    <w:rsid w:val="00D53E26"/>
    <w:rsid w:val="00D700EB"/>
    <w:rsid w:val="00D71510"/>
    <w:rsid w:val="00D7289B"/>
    <w:rsid w:val="00D74A6F"/>
    <w:rsid w:val="00D7503B"/>
    <w:rsid w:val="00D75EB5"/>
    <w:rsid w:val="00D76880"/>
    <w:rsid w:val="00D82636"/>
    <w:rsid w:val="00D83129"/>
    <w:rsid w:val="00D83EE0"/>
    <w:rsid w:val="00D9413E"/>
    <w:rsid w:val="00D96BEF"/>
    <w:rsid w:val="00D978C6"/>
    <w:rsid w:val="00DA1B43"/>
    <w:rsid w:val="00DA2F0A"/>
    <w:rsid w:val="00DA5F77"/>
    <w:rsid w:val="00DA69D9"/>
    <w:rsid w:val="00DB02CF"/>
    <w:rsid w:val="00DB12A1"/>
    <w:rsid w:val="00DB4F37"/>
    <w:rsid w:val="00DC0BC0"/>
    <w:rsid w:val="00DC43C4"/>
    <w:rsid w:val="00DC5B01"/>
    <w:rsid w:val="00DC6ACF"/>
    <w:rsid w:val="00DD4086"/>
    <w:rsid w:val="00DD4F0E"/>
    <w:rsid w:val="00DD5DAF"/>
    <w:rsid w:val="00DE387F"/>
    <w:rsid w:val="00DE7550"/>
    <w:rsid w:val="00DF0364"/>
    <w:rsid w:val="00DF0BF0"/>
    <w:rsid w:val="00DF0F6F"/>
    <w:rsid w:val="00DF2DFB"/>
    <w:rsid w:val="00DF3CA2"/>
    <w:rsid w:val="00E01463"/>
    <w:rsid w:val="00E03BD2"/>
    <w:rsid w:val="00E05E0A"/>
    <w:rsid w:val="00E060BE"/>
    <w:rsid w:val="00E0722F"/>
    <w:rsid w:val="00E108FB"/>
    <w:rsid w:val="00E12B49"/>
    <w:rsid w:val="00E1369E"/>
    <w:rsid w:val="00E13D5D"/>
    <w:rsid w:val="00E14CC4"/>
    <w:rsid w:val="00E15920"/>
    <w:rsid w:val="00E17CB0"/>
    <w:rsid w:val="00E30607"/>
    <w:rsid w:val="00E31CFC"/>
    <w:rsid w:val="00E329FB"/>
    <w:rsid w:val="00E40DAC"/>
    <w:rsid w:val="00E413EC"/>
    <w:rsid w:val="00E43925"/>
    <w:rsid w:val="00E448AA"/>
    <w:rsid w:val="00E534CF"/>
    <w:rsid w:val="00E55B4A"/>
    <w:rsid w:val="00E55F88"/>
    <w:rsid w:val="00E57869"/>
    <w:rsid w:val="00E60C09"/>
    <w:rsid w:val="00E60CCC"/>
    <w:rsid w:val="00E673F6"/>
    <w:rsid w:val="00E74DBA"/>
    <w:rsid w:val="00E74E77"/>
    <w:rsid w:val="00E770DF"/>
    <w:rsid w:val="00E77527"/>
    <w:rsid w:val="00E81CB4"/>
    <w:rsid w:val="00E8240B"/>
    <w:rsid w:val="00E8585B"/>
    <w:rsid w:val="00E860E7"/>
    <w:rsid w:val="00E96EE1"/>
    <w:rsid w:val="00EA0898"/>
    <w:rsid w:val="00EA3F15"/>
    <w:rsid w:val="00EA7847"/>
    <w:rsid w:val="00EB263B"/>
    <w:rsid w:val="00EB2746"/>
    <w:rsid w:val="00EB2DA4"/>
    <w:rsid w:val="00EB4C2F"/>
    <w:rsid w:val="00EB74BE"/>
    <w:rsid w:val="00EB74D3"/>
    <w:rsid w:val="00EC5024"/>
    <w:rsid w:val="00EC527D"/>
    <w:rsid w:val="00ED590E"/>
    <w:rsid w:val="00EE1D96"/>
    <w:rsid w:val="00EE1F2B"/>
    <w:rsid w:val="00EE2E6E"/>
    <w:rsid w:val="00EF47F2"/>
    <w:rsid w:val="00EF532A"/>
    <w:rsid w:val="00EF6D78"/>
    <w:rsid w:val="00F004AF"/>
    <w:rsid w:val="00F0759E"/>
    <w:rsid w:val="00F1583A"/>
    <w:rsid w:val="00F16A43"/>
    <w:rsid w:val="00F218CD"/>
    <w:rsid w:val="00F2430A"/>
    <w:rsid w:val="00F30BFD"/>
    <w:rsid w:val="00F31C22"/>
    <w:rsid w:val="00F32235"/>
    <w:rsid w:val="00F32F56"/>
    <w:rsid w:val="00F373C5"/>
    <w:rsid w:val="00F44E5C"/>
    <w:rsid w:val="00F46780"/>
    <w:rsid w:val="00F50148"/>
    <w:rsid w:val="00F545EA"/>
    <w:rsid w:val="00F55370"/>
    <w:rsid w:val="00F63076"/>
    <w:rsid w:val="00F66D96"/>
    <w:rsid w:val="00F67C83"/>
    <w:rsid w:val="00F72A24"/>
    <w:rsid w:val="00F76B34"/>
    <w:rsid w:val="00F821A3"/>
    <w:rsid w:val="00F9178E"/>
    <w:rsid w:val="00F9182B"/>
    <w:rsid w:val="00F9314A"/>
    <w:rsid w:val="00F940A9"/>
    <w:rsid w:val="00F940B2"/>
    <w:rsid w:val="00F94F14"/>
    <w:rsid w:val="00FA20C4"/>
    <w:rsid w:val="00FA21AF"/>
    <w:rsid w:val="00FA3348"/>
    <w:rsid w:val="00FA4320"/>
    <w:rsid w:val="00FB257C"/>
    <w:rsid w:val="00FC58EF"/>
    <w:rsid w:val="00FC6BEB"/>
    <w:rsid w:val="00FD33DF"/>
    <w:rsid w:val="00FD35D1"/>
    <w:rsid w:val="00FD4EE8"/>
    <w:rsid w:val="00FE39D7"/>
    <w:rsid w:val="00FE6AFD"/>
    <w:rsid w:val="00FF0997"/>
    <w:rsid w:val="00FF3C2F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DB470A35-0D87-4AD2-8F99-00FBC564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3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Puesto">
    <w:name w:val="Title"/>
    <w:basedOn w:val="Normal"/>
    <w:link w:val="Puest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DescripcinCar">
    <w:name w:val="Descripción Car"/>
    <w:link w:val="Descripcin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FA3348"/>
    <w:pPr>
      <w:numPr>
        <w:numId w:val="13"/>
      </w:numPr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FA3348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uiPriority w:val="99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C292-2EBE-492C-AAF8-D31629E9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3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6077</CharactersWithSpaces>
  <SharedDoc>false</SharedDoc>
  <HLinks>
    <vt:vector size="300" baseType="variant">
      <vt:variant>
        <vt:i4>1310768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_Toc310577409</vt:lpwstr>
      </vt:variant>
      <vt:variant>
        <vt:i4>1310768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_Toc310577408</vt:lpwstr>
      </vt:variant>
      <vt:variant>
        <vt:i4>1310768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_Toc310577407</vt:lpwstr>
      </vt:variant>
      <vt:variant>
        <vt:i4>1310768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_Toc310577406</vt:lpwstr>
      </vt:variant>
      <vt:variant>
        <vt:i4>1310768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_Toc310577405</vt:lpwstr>
      </vt:variant>
      <vt:variant>
        <vt:i4>1310768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_Toc310577404</vt:lpwstr>
      </vt:variant>
      <vt:variant>
        <vt:i4>1310768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_Toc310577403</vt:lpwstr>
      </vt:variant>
      <vt:variant>
        <vt:i4>1310768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_Toc310577402</vt:lpwstr>
      </vt:variant>
      <vt:variant>
        <vt:i4>1310768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_Toc310577401</vt:lpwstr>
      </vt:variant>
      <vt:variant>
        <vt:i4>1310768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_Toc310577400</vt:lpwstr>
      </vt:variant>
      <vt:variant>
        <vt:i4>1900599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_Toc310577399</vt:lpwstr>
      </vt:variant>
      <vt:variant>
        <vt:i4>1900599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_Toc310577398</vt:lpwstr>
      </vt:variant>
      <vt:variant>
        <vt:i4>1900599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_Toc310577397</vt:lpwstr>
      </vt:variant>
      <vt:variant>
        <vt:i4>1900599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_Toc310577396</vt:lpwstr>
      </vt:variant>
      <vt:variant>
        <vt:i4>1900599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_Toc310577395</vt:lpwstr>
      </vt:variant>
      <vt:variant>
        <vt:i4>1900599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_Toc310577394</vt:lpwstr>
      </vt:variant>
      <vt:variant>
        <vt:i4>1900599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_Toc310577393</vt:lpwstr>
      </vt:variant>
      <vt:variant>
        <vt:i4>1900599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_Toc310577392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_Toc310577391</vt:lpwstr>
      </vt:variant>
      <vt:variant>
        <vt:i4>1900599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_Toc310577390</vt:lpwstr>
      </vt:variant>
      <vt:variant>
        <vt:i4>1835063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_Toc310577389</vt:lpwstr>
      </vt:variant>
      <vt:variant>
        <vt:i4>1835063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_Toc310577388</vt:lpwstr>
      </vt:variant>
      <vt:variant>
        <vt:i4>1835063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_Toc310577387</vt:lpwstr>
      </vt:variant>
      <vt:variant>
        <vt:i4>1835063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_Toc310577386</vt:lpwstr>
      </vt:variant>
      <vt:variant>
        <vt:i4>1835063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_Toc310577385</vt:lpwstr>
      </vt:variant>
      <vt:variant>
        <vt:i4>1835063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_Toc310577384</vt:lpwstr>
      </vt:variant>
      <vt:variant>
        <vt:i4>1835063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_Toc310577383</vt:lpwstr>
      </vt:variant>
      <vt:variant>
        <vt:i4>1835063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_Toc310577382</vt:lpwstr>
      </vt:variant>
      <vt:variant>
        <vt:i4>1835063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_Toc310577381</vt:lpwstr>
      </vt:variant>
      <vt:variant>
        <vt:i4>1835063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_Toc310577380</vt:lpwstr>
      </vt:variant>
      <vt:variant>
        <vt:i4>1245239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_Toc310577379</vt:lpwstr>
      </vt:variant>
      <vt:variant>
        <vt:i4>1245239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_Toc310577378</vt:lpwstr>
      </vt:variant>
      <vt:variant>
        <vt:i4>1245239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_Toc310577377</vt:lpwstr>
      </vt:variant>
      <vt:variant>
        <vt:i4>1245239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_Toc310577376</vt:lpwstr>
      </vt:variant>
      <vt:variant>
        <vt:i4>1245239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_Toc310577375</vt:lpwstr>
      </vt:variant>
      <vt:variant>
        <vt:i4>1245239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_Toc310577374</vt:lpwstr>
      </vt:variant>
      <vt:variant>
        <vt:i4>1245239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_Toc310577373</vt:lpwstr>
      </vt:variant>
      <vt:variant>
        <vt:i4>1245239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_Toc310577372</vt:lpwstr>
      </vt:variant>
      <vt:variant>
        <vt:i4>1245239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_Toc310577371</vt:lpwstr>
      </vt:variant>
      <vt:variant>
        <vt:i4>1245239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_Toc310577370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_Toc310577369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_Toc310577368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_Toc310577367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_Toc310577366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_Toc310577365</vt:lpwstr>
      </vt:variant>
      <vt:variant>
        <vt:i4>1179703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_Toc310577364</vt:lpwstr>
      </vt:variant>
      <vt:variant>
        <vt:i4>1179703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_Toc310577363</vt:lpwstr>
      </vt:variant>
      <vt:variant>
        <vt:i4>1179703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_Toc310577362</vt:lpwstr>
      </vt:variant>
      <vt:variant>
        <vt:i4>1179703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_Toc310577361</vt:lpwstr>
      </vt:variant>
      <vt:variant>
        <vt:i4>1179703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_Toc310577360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2015-12-21T20:28:00Z</cp:lastPrinted>
  <dcterms:created xsi:type="dcterms:W3CDTF">2017-01-17T22:11:00Z</dcterms:created>
  <dcterms:modified xsi:type="dcterms:W3CDTF">2017-01-17T22:11:00Z</dcterms:modified>
</cp:coreProperties>
</file>