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96E" w:rsidRPr="00E060BE" w:rsidRDefault="00D9229F" w:rsidP="005E496E">
      <w:pPr>
        <w:pStyle w:val="Encabezado"/>
        <w:tabs>
          <w:tab w:val="clear" w:pos="8504"/>
          <w:tab w:val="left" w:pos="0"/>
          <w:tab w:val="right" w:pos="9356"/>
        </w:tabs>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9776" fillcolor="#0c9">
            <v:imagedata r:id="rId8" o:title=""/>
          </v:shape>
          <o:OLEObject Type="Embed" ProgID="PBrush" ShapeID="_x0000_s1027" DrawAspect="Content" ObjectID="_1571744700" r:id="rId9"/>
        </w:object>
      </w:r>
    </w:p>
    <w:p w:rsidR="005E496E" w:rsidRPr="00E060BE" w:rsidRDefault="005E496E" w:rsidP="005E496E">
      <w:pPr>
        <w:pStyle w:val="Encabezado"/>
        <w:tabs>
          <w:tab w:val="clear" w:pos="8504"/>
          <w:tab w:val="left" w:pos="0"/>
          <w:tab w:val="right" w:pos="9356"/>
        </w:tabs>
        <w:rPr>
          <w:rFonts w:ascii="Bookman Old Style" w:hAnsi="Bookman Old Style"/>
          <w:szCs w:val="24"/>
        </w:rPr>
      </w:pPr>
    </w:p>
    <w:p w:rsidR="005E496E" w:rsidRPr="00E060BE" w:rsidRDefault="005E496E" w:rsidP="005E496E">
      <w:pPr>
        <w:pStyle w:val="Ttulo4"/>
        <w:tabs>
          <w:tab w:val="left" w:pos="0"/>
          <w:tab w:val="right" w:pos="9356"/>
        </w:tabs>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5E496E" w:rsidRPr="00E060BE" w:rsidRDefault="005E496E" w:rsidP="005E496E">
      <w:pPr>
        <w:pStyle w:val="Ttulo4"/>
        <w:tabs>
          <w:tab w:val="left" w:pos="0"/>
          <w:tab w:val="right" w:pos="9356"/>
        </w:tabs>
        <w:rPr>
          <w:rFonts w:ascii="Bookman Old Style" w:hAnsi="Bookman Old Style"/>
          <w:b w:val="0"/>
          <w:bCs/>
          <w:sz w:val="24"/>
          <w:szCs w:val="24"/>
        </w:rPr>
      </w:pPr>
    </w:p>
    <w:p w:rsidR="005E496E" w:rsidRPr="00E060BE" w:rsidRDefault="005E496E" w:rsidP="005E496E">
      <w:pPr>
        <w:pStyle w:val="Ttulo3"/>
        <w:tabs>
          <w:tab w:val="left" w:pos="0"/>
          <w:tab w:val="right" w:pos="9356"/>
        </w:tabs>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5E496E" w:rsidRPr="00E060BE" w:rsidRDefault="005E496E" w:rsidP="005E496E">
      <w:pPr>
        <w:pStyle w:val="Ttulo5"/>
        <w:tabs>
          <w:tab w:val="left" w:pos="0"/>
          <w:tab w:val="right" w:pos="9356"/>
        </w:tabs>
        <w:rPr>
          <w:rFonts w:ascii="Bookman Old Style" w:hAnsi="Bookman Old Style"/>
          <w:sz w:val="24"/>
          <w:szCs w:val="24"/>
        </w:rPr>
      </w:pPr>
    </w:p>
    <w:p w:rsidR="005E496E" w:rsidRPr="00E060BE" w:rsidRDefault="005E496E" w:rsidP="005E496E">
      <w:pPr>
        <w:pStyle w:val="Ttulo5"/>
        <w:tabs>
          <w:tab w:val="left" w:pos="0"/>
          <w:tab w:val="right" w:pos="9356"/>
        </w:tabs>
        <w:rPr>
          <w:rFonts w:ascii="Bookman Old Style" w:hAnsi="Bookman Old Style"/>
          <w:sz w:val="24"/>
          <w:szCs w:val="24"/>
        </w:rPr>
      </w:pPr>
    </w:p>
    <w:p w:rsidR="005E496E" w:rsidRPr="00E060BE" w:rsidRDefault="005E496E" w:rsidP="005E496E">
      <w:pPr>
        <w:pStyle w:val="Ttulo5"/>
        <w:tabs>
          <w:tab w:val="left" w:pos="0"/>
          <w:tab w:val="right" w:pos="9356"/>
        </w:tabs>
        <w:rPr>
          <w:rFonts w:ascii="Bookman Old Style" w:hAnsi="Bookman Old Style"/>
          <w:sz w:val="24"/>
          <w:szCs w:val="24"/>
        </w:rPr>
      </w:pPr>
      <w:r w:rsidRPr="00E060BE">
        <w:rPr>
          <w:rFonts w:ascii="Bookman Old Style" w:hAnsi="Bookman Old Style"/>
          <w:sz w:val="24"/>
          <w:szCs w:val="24"/>
        </w:rPr>
        <w:t>RESOLUCIÓN No.                   DE 201</w:t>
      </w:r>
      <w:r>
        <w:rPr>
          <w:rFonts w:ascii="Bookman Old Style" w:hAnsi="Bookman Old Style"/>
          <w:sz w:val="24"/>
          <w:szCs w:val="24"/>
        </w:rPr>
        <w:t>7</w:t>
      </w:r>
    </w:p>
    <w:p w:rsidR="005E496E" w:rsidRPr="00E060BE" w:rsidRDefault="005E496E" w:rsidP="005E496E">
      <w:pPr>
        <w:tabs>
          <w:tab w:val="left" w:pos="0"/>
          <w:tab w:val="right" w:pos="9356"/>
        </w:tabs>
        <w:jc w:val="center"/>
        <w:rPr>
          <w:rFonts w:cs="Arial"/>
          <w:b/>
          <w:snapToGrid w:val="0"/>
          <w:color w:val="000000"/>
          <w:lang w:val="es-ES_tradnl"/>
        </w:rPr>
      </w:pPr>
    </w:p>
    <w:p w:rsidR="005E496E" w:rsidRDefault="005E496E" w:rsidP="005E496E">
      <w:pPr>
        <w:pStyle w:val="Ttulo3"/>
        <w:tabs>
          <w:tab w:val="left" w:pos="0"/>
          <w:tab w:val="right" w:pos="9356"/>
        </w:tabs>
        <w:rPr>
          <w:rFonts w:ascii="Bookman Old Style" w:hAnsi="Bookman Old Style"/>
          <w:b w:val="0"/>
          <w:szCs w:val="24"/>
        </w:rPr>
      </w:pPr>
      <w:r w:rsidRPr="00E060BE">
        <w:rPr>
          <w:rFonts w:ascii="Bookman Old Style" w:hAnsi="Bookman Old Style"/>
          <w:b w:val="0"/>
          <w:szCs w:val="24"/>
        </w:rPr>
        <w:t>(                                  )</w:t>
      </w:r>
    </w:p>
    <w:p w:rsidR="005E496E" w:rsidRDefault="005E496E" w:rsidP="005E496E">
      <w:pPr>
        <w:rPr>
          <w:lang w:val="es-ES_tradnl"/>
        </w:rPr>
      </w:pPr>
    </w:p>
    <w:p w:rsidR="005E496E" w:rsidRDefault="005E496E" w:rsidP="005E496E">
      <w:pPr>
        <w:jc w:val="center"/>
      </w:pPr>
    </w:p>
    <w:p w:rsidR="005E496E" w:rsidRDefault="005E496E" w:rsidP="005E496E">
      <w:pPr>
        <w:jc w:val="center"/>
      </w:pPr>
    </w:p>
    <w:p w:rsidR="005E496E" w:rsidRPr="00D76752" w:rsidRDefault="005E496E" w:rsidP="005E496E">
      <w:pPr>
        <w:jc w:val="center"/>
        <w:rPr>
          <w:bCs/>
          <w:lang w:val="es-CO"/>
        </w:rPr>
      </w:pPr>
      <w:r w:rsidRPr="00D76752">
        <w:t xml:space="preserve">Por la cual se ordena hacer público el proyecto de resolución “Por la cual se </w:t>
      </w:r>
      <w:r>
        <w:t>aclar</w:t>
      </w:r>
      <w:r w:rsidRPr="00D76752">
        <w:t xml:space="preserve">a </w:t>
      </w:r>
      <w:r>
        <w:t>el artículo 18 de la Resolución CREG 180 de 2014.</w:t>
      </w:r>
      <w:r w:rsidRPr="00D76752">
        <w:t>”</w:t>
      </w:r>
    </w:p>
    <w:p w:rsidR="005E496E" w:rsidRPr="00C435C3" w:rsidRDefault="005E496E" w:rsidP="005E496E"/>
    <w:p w:rsidR="005E496E" w:rsidRPr="00C435C3" w:rsidRDefault="005E496E" w:rsidP="005E496E">
      <w:pPr>
        <w:ind w:right="51"/>
      </w:pPr>
    </w:p>
    <w:p w:rsidR="005E496E" w:rsidRPr="00C435C3" w:rsidRDefault="005E496E" w:rsidP="005E496E">
      <w:pPr>
        <w:ind w:right="51"/>
        <w:jc w:val="center"/>
        <w:rPr>
          <w:b/>
        </w:rPr>
      </w:pPr>
      <w:r w:rsidRPr="00C435C3">
        <w:rPr>
          <w:b/>
        </w:rPr>
        <w:t>LA COMISIÓN DE REGULACIÓN DE ENERGÍA Y GAS</w:t>
      </w:r>
    </w:p>
    <w:p w:rsidR="005E496E" w:rsidRPr="00C435C3" w:rsidRDefault="005E496E" w:rsidP="005E496E">
      <w:pPr>
        <w:ind w:right="51"/>
      </w:pPr>
    </w:p>
    <w:p w:rsidR="005E496E" w:rsidRPr="00C435C3" w:rsidRDefault="005E496E" w:rsidP="005E496E">
      <w:pPr>
        <w:ind w:right="51"/>
      </w:pPr>
    </w:p>
    <w:p w:rsidR="005E496E" w:rsidRPr="00C435C3" w:rsidRDefault="005E496E" w:rsidP="005E496E">
      <w:pPr>
        <w:pStyle w:val="Textoindependiente3"/>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Pr>
          <w:rFonts w:ascii="Bookman Old Style" w:hAnsi="Bookman Old Style"/>
          <w:b w:val="0"/>
        </w:rPr>
        <w:t>l</w:t>
      </w:r>
      <w:r w:rsidRPr="00C435C3">
        <w:rPr>
          <w:rFonts w:ascii="Bookman Old Style" w:hAnsi="Bookman Old Style"/>
          <w:b w:val="0"/>
        </w:rPr>
        <w:t xml:space="preserve">eyes 142 y 143 de 1994, y en desarrollo de los </w:t>
      </w:r>
      <w:r>
        <w:rPr>
          <w:rFonts w:ascii="Bookman Old Style" w:hAnsi="Bookman Old Style"/>
          <w:b w:val="0"/>
        </w:rPr>
        <w:t>decretos 1524 y 2253 de 1994, y 1260 de 2013, y</w:t>
      </w:r>
    </w:p>
    <w:p w:rsidR="005E496E" w:rsidRDefault="005E496E" w:rsidP="005E496E">
      <w:pPr>
        <w:ind w:right="51"/>
      </w:pPr>
    </w:p>
    <w:p w:rsidR="005E496E" w:rsidRDefault="005E496E" w:rsidP="005E496E">
      <w:pPr>
        <w:ind w:right="51"/>
      </w:pPr>
    </w:p>
    <w:p w:rsidR="005E496E" w:rsidRPr="005E496E" w:rsidRDefault="005E496E" w:rsidP="005E496E">
      <w:pPr>
        <w:ind w:right="51"/>
        <w:jc w:val="center"/>
        <w:rPr>
          <w:b/>
          <w:spacing w:val="60"/>
        </w:rPr>
      </w:pPr>
      <w:r>
        <w:rPr>
          <w:b/>
          <w:spacing w:val="60"/>
        </w:rPr>
        <w:t>CO</w:t>
      </w:r>
      <w:r w:rsidRPr="005E496E">
        <w:rPr>
          <w:b/>
          <w:spacing w:val="60"/>
        </w:rPr>
        <w:t>NSIDERANDO QUE:</w:t>
      </w:r>
    </w:p>
    <w:p w:rsidR="005E496E" w:rsidRPr="00C435C3" w:rsidRDefault="005E496E" w:rsidP="005E496E">
      <w:pPr>
        <w:rPr>
          <w:b/>
        </w:rPr>
      </w:pPr>
    </w:p>
    <w:p w:rsidR="005E496E" w:rsidRDefault="005E496E" w:rsidP="005E496E">
      <w:pPr>
        <w:pStyle w:val="Default"/>
        <w:spacing w:before="240" w:after="120"/>
        <w:jc w:val="both"/>
        <w:rPr>
          <w:rFonts w:ascii="Bookman Old Style" w:hAnsi="Bookman Old Style"/>
        </w:rPr>
      </w:pPr>
      <w:r>
        <w:rPr>
          <w:rFonts w:ascii="Bookman Old Style" w:hAnsi="Bookman Old Style"/>
        </w:rPr>
        <w:t>Conforme a lo dispuesto en el Código de Procedimiento Administrativo y de lo Contencioso Administrativo y el artículo 2.2.13.1.4 del Decreto 1078 de 2015, la Comisión debe hacer público en su página web todos los proyectos de resolución de carácter general que pretenda adoptar.</w:t>
      </w:r>
    </w:p>
    <w:p w:rsidR="005E496E" w:rsidRDefault="005E496E" w:rsidP="005E496E">
      <w:pPr>
        <w:pStyle w:val="Default"/>
        <w:spacing w:before="240" w:after="120"/>
        <w:jc w:val="both"/>
        <w:rPr>
          <w:rFonts w:ascii="Bookman Old Style" w:hAnsi="Bookman Old Style"/>
        </w:rPr>
      </w:pPr>
      <w:r>
        <w:rPr>
          <w:rFonts w:ascii="Bookman Old Style" w:hAnsi="Bookman Old Style"/>
        </w:rPr>
        <w:t>Mediante Resolución CREG 039 de 2017, se expide el Reglamento Interno de la Comisión de Regulación de Energía y Gas-CREG, donde se dispone los plazos de publicidad de un proyecto de regulación de carácter general.</w:t>
      </w:r>
    </w:p>
    <w:p w:rsidR="005E496E" w:rsidRDefault="005E496E" w:rsidP="005E496E">
      <w:pPr>
        <w:spacing w:before="240" w:after="120"/>
        <w:rPr>
          <w:rFonts w:cs="Arial"/>
          <w:b/>
        </w:rPr>
      </w:pPr>
      <w:r>
        <w:t>La Comisión de Regulación de Energía y Gas, en su sesión No. 811</w:t>
      </w:r>
      <w:r>
        <w:rPr>
          <w:spacing w:val="-3"/>
        </w:rPr>
        <w:t xml:space="preserve"> del 30 de octubre de 2017</w:t>
      </w:r>
      <w:r>
        <w:t>, acordó expedir esta resolución.</w:t>
      </w:r>
    </w:p>
    <w:p w:rsidR="005E496E" w:rsidRPr="00C435C3" w:rsidRDefault="005E496E" w:rsidP="005E496E"/>
    <w:p w:rsidR="005E496E" w:rsidRDefault="005E496E" w:rsidP="005E496E">
      <w:pPr>
        <w:suppressAutoHyphens/>
        <w:jc w:val="center"/>
        <w:rPr>
          <w:b/>
          <w:spacing w:val="-3"/>
        </w:rPr>
      </w:pPr>
    </w:p>
    <w:p w:rsidR="005E496E" w:rsidRPr="005E496E" w:rsidRDefault="005E496E" w:rsidP="005E496E">
      <w:pPr>
        <w:suppressAutoHyphens/>
        <w:jc w:val="center"/>
        <w:rPr>
          <w:spacing w:val="60"/>
        </w:rPr>
      </w:pPr>
      <w:r w:rsidRPr="005E496E">
        <w:rPr>
          <w:b/>
          <w:spacing w:val="60"/>
        </w:rPr>
        <w:t>RESUELVE:</w:t>
      </w:r>
    </w:p>
    <w:p w:rsidR="005E496E" w:rsidRDefault="005E496E" w:rsidP="005E496E">
      <w:pPr>
        <w:jc w:val="center"/>
      </w:pPr>
    </w:p>
    <w:p w:rsidR="005E496E" w:rsidRPr="00D76752" w:rsidRDefault="005E496E" w:rsidP="005E496E">
      <w:pPr>
        <w:rPr>
          <w:bCs/>
          <w:lang w:val="es-CO"/>
        </w:rPr>
      </w:pPr>
      <w:r w:rsidRPr="002A782A">
        <w:rPr>
          <w:b/>
        </w:rPr>
        <w:t xml:space="preserve">ARTÍCULO 1. </w:t>
      </w:r>
      <w:r>
        <w:rPr>
          <w:b/>
        </w:rPr>
        <w:t xml:space="preserve">Objeto. </w:t>
      </w:r>
      <w:r>
        <w:t xml:space="preserve">Hágase público el proyecto de resolución </w:t>
      </w:r>
      <w:r w:rsidRPr="00D76752">
        <w:t xml:space="preserve">“Por la cual se </w:t>
      </w:r>
      <w:r>
        <w:t>aclar</w:t>
      </w:r>
      <w:r w:rsidRPr="00D76752">
        <w:t xml:space="preserve">a </w:t>
      </w:r>
      <w:r>
        <w:t>el artículo 18 de la Resolución CREG 180 de 2014</w:t>
      </w:r>
      <w:r w:rsidRPr="00D76752">
        <w:t>”</w:t>
      </w:r>
      <w:r>
        <w:t>.</w:t>
      </w:r>
    </w:p>
    <w:p w:rsidR="005E496E" w:rsidRDefault="005E496E" w:rsidP="005E496E">
      <w:pPr>
        <w:spacing w:before="240" w:after="240"/>
      </w:pPr>
      <w:r w:rsidRPr="002A782A">
        <w:rPr>
          <w:b/>
        </w:rPr>
        <w:t xml:space="preserve">ARTÍCULO </w:t>
      </w:r>
      <w:r>
        <w:rPr>
          <w:b/>
        </w:rPr>
        <w:t>2</w:t>
      </w:r>
      <w:r w:rsidRPr="002A782A">
        <w:rPr>
          <w:b/>
        </w:rPr>
        <w:t>.</w:t>
      </w:r>
      <w:r>
        <w:rPr>
          <w:i/>
          <w:sz w:val="22"/>
        </w:rPr>
        <w:t xml:space="preserve"> </w:t>
      </w:r>
      <w:r>
        <w:rPr>
          <w:b/>
        </w:rPr>
        <w:t>Presentación de comentarios, observaciones y sugerencias.</w:t>
      </w:r>
      <w:r>
        <w:t xml:space="preserve"> Se invita a los usuarios, a los agentes, a las autoridades locales, municipales y departamentales, a las entidades y a los demás interesados para que, dentro de </w:t>
      </w:r>
      <w:r w:rsidRPr="00E86F62">
        <w:t xml:space="preserve">los </w:t>
      </w:r>
      <w:r>
        <w:t>cinco (5</w:t>
      </w:r>
      <w:r w:rsidRPr="00E86F62">
        <w:t>)</w:t>
      </w:r>
      <w:r>
        <w:t xml:space="preserve"> días hábiles siguientes a la publicación de la presente resolución, </w:t>
      </w:r>
      <w:r>
        <w:lastRenderedPageBreak/>
        <w:t>remitan sus observaciones o sugerencias sobre las propuestas contenidas en el proyecto de resolución adjunto.</w:t>
      </w:r>
    </w:p>
    <w:p w:rsidR="005E496E" w:rsidRDefault="005E496E" w:rsidP="005E496E">
      <w:pPr>
        <w:spacing w:before="240" w:after="240"/>
      </w:pPr>
      <w:r>
        <w:t xml:space="preserve">Las observaciones y sugerencias sobre el proyecto deberán dirigirse al director ejecutivo de la Comisión, a la dirección: calle 116 No. 7-15, interior 2 oficina 901 en Bogotá D.C. o al correo electrónico </w:t>
      </w:r>
      <w:hyperlink r:id="rId10" w:history="1">
        <w:r>
          <w:rPr>
            <w:rStyle w:val="Hipervnculo"/>
          </w:rPr>
          <w:t>creg@creg.gov.co</w:t>
        </w:r>
      </w:hyperlink>
      <w:r>
        <w:t>.</w:t>
      </w:r>
    </w:p>
    <w:p w:rsidR="005E496E" w:rsidRPr="004836D4" w:rsidRDefault="005E496E" w:rsidP="005E496E">
      <w:pPr>
        <w:spacing w:before="240" w:after="240"/>
      </w:pPr>
      <w:r w:rsidRPr="002A782A">
        <w:rPr>
          <w:b/>
        </w:rPr>
        <w:t xml:space="preserve">ARTÍCULO </w:t>
      </w:r>
      <w:r>
        <w:rPr>
          <w:b/>
        </w:rPr>
        <w:t>3</w:t>
      </w:r>
      <w:r w:rsidRPr="002A782A">
        <w:rPr>
          <w:b/>
        </w:rPr>
        <w:t>.</w:t>
      </w:r>
      <w:r>
        <w:rPr>
          <w:b/>
        </w:rPr>
        <w:t xml:space="preserve"> Vigencia.</w:t>
      </w:r>
      <w:r>
        <w:t xml:space="preserve"> La presente resolución rige a partir de su publicación en el </w:t>
      </w:r>
      <w:r>
        <w:rPr>
          <w:i/>
        </w:rPr>
        <w:t>Diario Oficial</w:t>
      </w:r>
      <w:r>
        <w:t xml:space="preserve"> y no deroga ni modifica disposiciones vigentes por tratarse de un acto de trámite.</w:t>
      </w:r>
    </w:p>
    <w:p w:rsidR="005E496E" w:rsidRDefault="005E496E" w:rsidP="005E496E">
      <w:pPr>
        <w:rPr>
          <w:i/>
          <w:sz w:val="22"/>
        </w:rPr>
      </w:pPr>
    </w:p>
    <w:p w:rsidR="005E496E" w:rsidRPr="00C435C3" w:rsidRDefault="005E496E" w:rsidP="005E496E"/>
    <w:p w:rsidR="005E496E" w:rsidRPr="00C435C3" w:rsidRDefault="005E496E" w:rsidP="005E496E">
      <w:pPr>
        <w:jc w:val="center"/>
        <w:rPr>
          <w:b/>
        </w:rPr>
      </w:pPr>
      <w:r w:rsidRPr="00C435C3">
        <w:rPr>
          <w:b/>
        </w:rPr>
        <w:t>PU</w:t>
      </w:r>
      <w:r>
        <w:rPr>
          <w:b/>
        </w:rPr>
        <w:t>B</w:t>
      </w:r>
      <w:r w:rsidRPr="00C435C3">
        <w:rPr>
          <w:b/>
        </w:rPr>
        <w:t>LÍQUESE Y CÚMPLASE</w:t>
      </w:r>
    </w:p>
    <w:p w:rsidR="005E496E" w:rsidRPr="00C435C3" w:rsidRDefault="005E496E" w:rsidP="005E496E"/>
    <w:p w:rsidR="005E496E" w:rsidRDefault="005E496E" w:rsidP="005E496E">
      <w:r>
        <w:t>Dada en Bogotá, D.C. a</w:t>
      </w:r>
    </w:p>
    <w:p w:rsidR="005E496E" w:rsidRDefault="005E496E" w:rsidP="005E496E"/>
    <w:p w:rsidR="005E496E" w:rsidRDefault="005E496E" w:rsidP="005E496E"/>
    <w:p w:rsidR="005E496E" w:rsidRDefault="005E496E" w:rsidP="005E496E"/>
    <w:p w:rsidR="005E496E" w:rsidRDefault="005E496E" w:rsidP="005E496E"/>
    <w:p w:rsidR="005E496E" w:rsidRDefault="005E496E" w:rsidP="005E496E"/>
    <w:p w:rsidR="005E496E" w:rsidRDefault="005E496E" w:rsidP="005E496E"/>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5E496E" w:rsidTr="003F0320">
        <w:trPr>
          <w:tblCellSpacing w:w="0" w:type="dxa"/>
        </w:trPr>
        <w:tc>
          <w:tcPr>
            <w:tcW w:w="5245" w:type="dxa"/>
            <w:shd w:val="clear" w:color="auto" w:fill="FFFFFF"/>
            <w:hideMark/>
          </w:tcPr>
          <w:p w:rsidR="005E496E" w:rsidRPr="00F37EF4" w:rsidRDefault="005E496E" w:rsidP="003F0320">
            <w:pPr>
              <w:jc w:val="center"/>
              <w:rPr>
                <w:b/>
              </w:rPr>
            </w:pPr>
            <w:r w:rsidRPr="00F37EF4">
              <w:rPr>
                <w:b/>
              </w:rPr>
              <w:t>RUTTY PAOLA ORTIZ JARA</w:t>
            </w:r>
          </w:p>
        </w:tc>
        <w:tc>
          <w:tcPr>
            <w:tcW w:w="4253" w:type="dxa"/>
            <w:shd w:val="clear" w:color="auto" w:fill="FFFFFF"/>
            <w:hideMark/>
          </w:tcPr>
          <w:p w:rsidR="005E496E" w:rsidRDefault="005E496E" w:rsidP="003F0320">
            <w:pPr>
              <w:jc w:val="center"/>
              <w:rPr>
                <w:rFonts w:cs="Arial"/>
                <w:lang w:val="es-CO" w:eastAsia="es-CO"/>
              </w:rPr>
            </w:pPr>
            <w:r>
              <w:rPr>
                <w:rFonts w:cs="Arial"/>
                <w:b/>
                <w:bCs/>
                <w:lang w:val="es-CO" w:eastAsia="es-CO"/>
              </w:rPr>
              <w:t>GERMÁN CASTRO FERREIRA</w:t>
            </w:r>
          </w:p>
        </w:tc>
      </w:tr>
      <w:tr w:rsidR="005E496E" w:rsidTr="003F0320">
        <w:trPr>
          <w:tblCellSpacing w:w="0" w:type="dxa"/>
        </w:trPr>
        <w:tc>
          <w:tcPr>
            <w:tcW w:w="5245" w:type="dxa"/>
            <w:shd w:val="clear" w:color="auto" w:fill="FFFFFF"/>
            <w:hideMark/>
          </w:tcPr>
          <w:p w:rsidR="005E496E" w:rsidRPr="00F37EF4" w:rsidRDefault="005E496E" w:rsidP="003F0320">
            <w:pPr>
              <w:suppressAutoHyphens/>
              <w:jc w:val="center"/>
            </w:pPr>
            <w:r w:rsidRPr="00F37EF4">
              <w:t>Viceministra de Energía</w:t>
            </w:r>
          </w:p>
        </w:tc>
        <w:tc>
          <w:tcPr>
            <w:tcW w:w="4253" w:type="dxa"/>
            <w:shd w:val="clear" w:color="auto" w:fill="FFFFFF"/>
            <w:hideMark/>
          </w:tcPr>
          <w:p w:rsidR="005E496E" w:rsidRDefault="005E496E" w:rsidP="003F0320">
            <w:pPr>
              <w:jc w:val="center"/>
              <w:rPr>
                <w:rFonts w:cs="Arial"/>
                <w:lang w:val="es-CO" w:eastAsia="es-CO"/>
              </w:rPr>
            </w:pPr>
            <w:r>
              <w:rPr>
                <w:rFonts w:cs="Arial"/>
                <w:lang w:val="es-CO" w:eastAsia="es-CO"/>
              </w:rPr>
              <w:t>Director Ejecutivo</w:t>
            </w:r>
          </w:p>
        </w:tc>
      </w:tr>
      <w:tr w:rsidR="005E496E" w:rsidTr="003F0320">
        <w:trPr>
          <w:tblCellSpacing w:w="0" w:type="dxa"/>
        </w:trPr>
        <w:tc>
          <w:tcPr>
            <w:tcW w:w="5245" w:type="dxa"/>
            <w:shd w:val="clear" w:color="auto" w:fill="FFFFFF"/>
            <w:hideMark/>
          </w:tcPr>
          <w:p w:rsidR="005E496E" w:rsidRPr="00F37EF4" w:rsidRDefault="005E496E" w:rsidP="003F0320">
            <w:pPr>
              <w:suppressAutoHyphens/>
              <w:jc w:val="center"/>
            </w:pPr>
            <w:r w:rsidRPr="00F37EF4">
              <w:t>Delegada del Ministro de Minas y Energía</w:t>
            </w:r>
          </w:p>
        </w:tc>
        <w:tc>
          <w:tcPr>
            <w:tcW w:w="4253" w:type="dxa"/>
            <w:shd w:val="clear" w:color="auto" w:fill="FFFFFF"/>
            <w:hideMark/>
          </w:tcPr>
          <w:p w:rsidR="005E496E" w:rsidRDefault="005E496E" w:rsidP="003F0320">
            <w:pPr>
              <w:jc w:val="left"/>
              <w:rPr>
                <w:rFonts w:cs="Arial"/>
                <w:lang w:val="es-CO" w:eastAsia="es-CO"/>
              </w:rPr>
            </w:pPr>
            <w:r w:rsidRPr="004836D4">
              <w:rPr>
                <w:rFonts w:cs="Arial"/>
                <w:noProof/>
                <w:lang w:val="es-CO" w:eastAsia="es-CO"/>
              </w:rPr>
              <w:drawing>
                <wp:inline distT="0" distB="0" distL="0" distR="0" wp14:anchorId="56BBC99E" wp14:editId="7D329467">
                  <wp:extent cx="8890" cy="8890"/>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5E496E" w:rsidTr="003F0320">
        <w:trPr>
          <w:tblCellSpacing w:w="0" w:type="dxa"/>
        </w:trPr>
        <w:tc>
          <w:tcPr>
            <w:tcW w:w="5245" w:type="dxa"/>
            <w:shd w:val="clear" w:color="auto" w:fill="FFFFFF"/>
          </w:tcPr>
          <w:p w:rsidR="005E496E" w:rsidRDefault="005E496E" w:rsidP="003F0320">
            <w:pPr>
              <w:jc w:val="center"/>
            </w:pPr>
            <w:r w:rsidRPr="00F37EF4">
              <w:t>Presidente</w:t>
            </w:r>
          </w:p>
        </w:tc>
        <w:tc>
          <w:tcPr>
            <w:tcW w:w="4253" w:type="dxa"/>
            <w:shd w:val="clear" w:color="auto" w:fill="FFFFFF"/>
          </w:tcPr>
          <w:p w:rsidR="005E496E" w:rsidRPr="004836D4" w:rsidRDefault="005E496E" w:rsidP="003F0320">
            <w:pPr>
              <w:jc w:val="left"/>
              <w:rPr>
                <w:rFonts w:cs="Arial"/>
                <w:noProof/>
                <w:lang w:val="es-CO" w:eastAsia="es-CO"/>
              </w:rPr>
            </w:pPr>
          </w:p>
        </w:tc>
      </w:tr>
    </w:tbl>
    <w:p w:rsidR="005E496E" w:rsidRDefault="005E496E" w:rsidP="005E496E"/>
    <w:p w:rsidR="005E496E" w:rsidRDefault="005E496E" w:rsidP="005E496E">
      <w:pPr>
        <w:pStyle w:val="Ttulo4"/>
        <w:tabs>
          <w:tab w:val="left" w:pos="0"/>
          <w:tab w:val="right" w:pos="9356"/>
        </w:tabs>
      </w:pPr>
      <w:r>
        <w:br w:type="page"/>
      </w:r>
    </w:p>
    <w:p w:rsidR="005E496E" w:rsidRDefault="005E496E" w:rsidP="005E496E">
      <w:pPr>
        <w:pStyle w:val="Ttulo3"/>
        <w:tabs>
          <w:tab w:val="left" w:pos="0"/>
          <w:tab w:val="right" w:pos="9356"/>
        </w:tabs>
        <w:snapToGrid w:val="0"/>
        <w:rPr>
          <w:rFonts w:ascii="Bookman Old Style" w:hAnsi="Bookman Old Style"/>
          <w:spacing w:val="60"/>
          <w:szCs w:val="24"/>
        </w:rPr>
      </w:pPr>
      <w:r>
        <w:rPr>
          <w:rFonts w:ascii="Bookman Old Style" w:hAnsi="Bookman Old Style"/>
          <w:spacing w:val="60"/>
          <w:szCs w:val="24"/>
        </w:rPr>
        <w:lastRenderedPageBreak/>
        <w:t>PROYECTO DE RESOLUCIÓN</w:t>
      </w:r>
    </w:p>
    <w:p w:rsidR="005E496E" w:rsidRDefault="005E496E" w:rsidP="005E496E">
      <w:pPr>
        <w:rPr>
          <w:lang w:val="es-ES_tradnl"/>
        </w:rPr>
      </w:pPr>
    </w:p>
    <w:p w:rsidR="005E496E" w:rsidRDefault="005E496E" w:rsidP="005E496E">
      <w:pPr>
        <w:jc w:val="center"/>
        <w:rPr>
          <w:bCs/>
          <w:lang w:val="es-CO"/>
        </w:rPr>
      </w:pPr>
      <w:r>
        <w:t>Por la cual se modifica el artículo 18 de la Resolución CREG 180 de 2014</w:t>
      </w:r>
    </w:p>
    <w:p w:rsidR="005E496E" w:rsidRDefault="005E496E" w:rsidP="005E496E"/>
    <w:p w:rsidR="005E496E" w:rsidRDefault="005E496E" w:rsidP="005E496E">
      <w:pPr>
        <w:ind w:right="51"/>
      </w:pPr>
    </w:p>
    <w:p w:rsidR="005E496E" w:rsidRDefault="005E496E" w:rsidP="005E496E">
      <w:pPr>
        <w:ind w:right="51"/>
        <w:jc w:val="center"/>
        <w:rPr>
          <w:b/>
        </w:rPr>
      </w:pPr>
      <w:r>
        <w:rPr>
          <w:b/>
        </w:rPr>
        <w:t>LA COMISIÓN DE REGULACIÓN DE ENERGÍA Y GAS</w:t>
      </w:r>
    </w:p>
    <w:p w:rsidR="005E496E" w:rsidRDefault="005E496E" w:rsidP="005E496E">
      <w:pPr>
        <w:ind w:right="51"/>
      </w:pPr>
    </w:p>
    <w:p w:rsidR="005E496E" w:rsidRDefault="005E496E" w:rsidP="005E496E">
      <w:pPr>
        <w:tabs>
          <w:tab w:val="left" w:pos="8789"/>
        </w:tabs>
        <w:spacing w:before="240" w:after="240"/>
        <w:rPr>
          <w:rFonts w:cs="Arial"/>
        </w:rPr>
      </w:pPr>
      <w:r>
        <w:rPr>
          <w:rFonts w:cs="Arial"/>
        </w:rPr>
        <w:t>En ejercicio de sus atribuciones legales, en especial las conferidas por las leyes 142 y 143 de 1994, y en desarrollo de los decretos 1524, 2253 de 1994 y 1260 de 2013 y</w:t>
      </w:r>
    </w:p>
    <w:p w:rsidR="005E496E" w:rsidRDefault="005E496E" w:rsidP="005E496E">
      <w:pPr>
        <w:ind w:right="51"/>
      </w:pPr>
    </w:p>
    <w:p w:rsidR="005E496E" w:rsidRDefault="005E496E" w:rsidP="005E496E">
      <w:pPr>
        <w:ind w:right="51"/>
        <w:jc w:val="center"/>
        <w:rPr>
          <w:b/>
          <w:spacing w:val="60"/>
        </w:rPr>
      </w:pPr>
      <w:r>
        <w:rPr>
          <w:b/>
          <w:spacing w:val="60"/>
        </w:rPr>
        <w:t xml:space="preserve">CONSIDERANDO QUE: </w:t>
      </w:r>
    </w:p>
    <w:p w:rsidR="005E496E" w:rsidRDefault="005E496E" w:rsidP="005E496E">
      <w:pPr>
        <w:ind w:right="51"/>
        <w:jc w:val="center"/>
        <w:rPr>
          <w:lang w:val="es-CO"/>
        </w:rPr>
      </w:pPr>
    </w:p>
    <w:p w:rsidR="005E496E" w:rsidRDefault="005E496E" w:rsidP="005E496E">
      <w:pPr>
        <w:ind w:right="51"/>
        <w:jc w:val="center"/>
        <w:rPr>
          <w:lang w:val="es-CO"/>
        </w:rPr>
      </w:pPr>
    </w:p>
    <w:p w:rsidR="005E496E" w:rsidRDefault="005E496E" w:rsidP="005E496E">
      <w:pPr>
        <w:rPr>
          <w:spacing w:val="-3"/>
        </w:rPr>
      </w:pPr>
      <w:r>
        <w:rPr>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5E496E" w:rsidRDefault="005E496E" w:rsidP="005E496E"/>
    <w:p w:rsidR="005E496E" w:rsidRDefault="005E496E" w:rsidP="005E496E">
      <w: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5E496E" w:rsidRDefault="005E496E" w:rsidP="005E496E"/>
    <w:p w:rsidR="005E496E" w:rsidRDefault="005E496E" w:rsidP="005E496E">
      <w:pPr>
        <w:rPr>
          <w:lang w:val="es-ES_tradnl"/>
        </w:rPr>
      </w:pPr>
      <w:r>
        <w:rPr>
          <w:lang w:val="es-ES_tradnl"/>
        </w:rPr>
        <w:t>El artículo 23 literal e) de la Ley 143 de 1994 asignó a la Comisión la función de aprobar las fórmulas tarifarias y las metodologías para el cálculo de las tarifas aplicables a los usuarios regulados.</w:t>
      </w:r>
    </w:p>
    <w:p w:rsidR="005E496E" w:rsidRDefault="005E496E" w:rsidP="005E496E">
      <w:pPr>
        <w:rPr>
          <w:lang w:val="es-ES_tradnl"/>
        </w:rPr>
      </w:pPr>
    </w:p>
    <w:p w:rsidR="005E496E" w:rsidRDefault="005E496E" w:rsidP="005E496E">
      <w:pPr>
        <w:widowControl w:val="0"/>
      </w:pPr>
      <w:r>
        <w:t>Los artículos 87 de la Ley 142 de 1994 y 44 de la Ley 143 del mismo año establecen que el régimen tarifario estará orientado por los criterios de eficiencia económica, neutralidad, solidaridad, redistribución, suficiencia financiera, simplicidad y transparencia.</w:t>
      </w:r>
    </w:p>
    <w:p w:rsidR="005E496E" w:rsidRDefault="005E496E" w:rsidP="005E496E">
      <w:pPr>
        <w:widowControl w:val="0"/>
      </w:pPr>
    </w:p>
    <w:p w:rsidR="005E496E" w:rsidRDefault="005E496E" w:rsidP="005E496E">
      <w:pPr>
        <w:widowControl w:val="0"/>
      </w:pPr>
      <w:r>
        <w:t>El artículo 125 de la Ley 142 de 1994 establece los criterios para la actualización de las tarifas.</w:t>
      </w:r>
    </w:p>
    <w:p w:rsidR="005E496E" w:rsidRDefault="005E496E" w:rsidP="005E496E"/>
    <w:p w:rsidR="005E496E" w:rsidRDefault="005E496E" w:rsidP="005E496E">
      <w:r>
        <w:t>De conformidad con lo establecido en el artículo 126 de la Ley 142 de 1994, vencido el período de vigencia de las fórmulas tarifarias, éstas continuarán rigiendo mientras la Comisión no fije las nuevas.</w:t>
      </w:r>
    </w:p>
    <w:p w:rsidR="005E496E" w:rsidRDefault="005E496E" w:rsidP="005E496E"/>
    <w:p w:rsidR="005E496E" w:rsidRDefault="005E496E" w:rsidP="005E496E">
      <w:pPr>
        <w:rPr>
          <w:i/>
        </w:rPr>
      </w:pPr>
      <w:r>
        <w:t xml:space="preserve">En el año 2014 la Comisión expidió la Resolución CREG 180 de 2014, publicada en el Diario Oficial 49.410 del 30 de enero de 2015, </w:t>
      </w:r>
      <w:r>
        <w:rPr>
          <w:i/>
        </w:rPr>
        <w:t>Por la cual se establecen los criterios generales para determinar la remuneración de la actividad de comercialización de energía eléctrica a usuarios regulados en el Sistema Interconectado Nacional.</w:t>
      </w:r>
    </w:p>
    <w:p w:rsidR="005E496E" w:rsidRDefault="005E496E" w:rsidP="005E496E">
      <w:r>
        <w:lastRenderedPageBreak/>
        <w:t>Mediante la comunicación E-2016-001121 el Comité Asesor de Comercialización, CAC, manifestó la existencia de varias interpretaciones en la aplicación del artículo 18 de la Resolución CREG 180 de 2014 y presentó una alternativa de ajuste del mencionado artículo. En el radicado CREG E</w:t>
      </w:r>
      <w:r>
        <w:noBreakHyphen/>
        <w:t>2017</w:t>
      </w:r>
      <w:r>
        <w:noBreakHyphen/>
        <w:t xml:space="preserve">007614 el CAC ratificó la solicitud. En la comunicación con radicado CREG E-2017-003001 Asocodis también solicitó la aclaración en la aplicación del artículo 18 de la citada resolución. </w:t>
      </w:r>
    </w:p>
    <w:p w:rsidR="005E496E" w:rsidRDefault="005E496E" w:rsidP="005E496E">
      <w:pPr>
        <w:rPr>
          <w:b/>
        </w:rPr>
      </w:pPr>
    </w:p>
    <w:p w:rsidR="005E496E" w:rsidRDefault="005E496E" w:rsidP="005E496E">
      <w:pPr>
        <w:ind w:right="51"/>
        <w:jc w:val="center"/>
        <w:rPr>
          <w:b/>
          <w:spacing w:val="60"/>
        </w:rPr>
      </w:pPr>
      <w:r>
        <w:rPr>
          <w:b/>
          <w:spacing w:val="60"/>
        </w:rPr>
        <w:t>RESUELVE:</w:t>
      </w:r>
    </w:p>
    <w:p w:rsidR="005E496E" w:rsidRDefault="005E496E" w:rsidP="005E496E">
      <w:pPr>
        <w:ind w:right="51"/>
        <w:jc w:val="center"/>
        <w:rPr>
          <w:b/>
        </w:rPr>
      </w:pPr>
    </w:p>
    <w:p w:rsidR="005E496E" w:rsidRDefault="005E496E" w:rsidP="005E496E">
      <w:pPr>
        <w:pStyle w:val="Artculo"/>
        <w:numPr>
          <w:ilvl w:val="1"/>
          <w:numId w:val="3"/>
        </w:numPr>
        <w:rPr>
          <w:caps w:val="0"/>
        </w:rPr>
      </w:pPr>
    </w:p>
    <w:p w:rsidR="005E496E" w:rsidRDefault="005E496E" w:rsidP="005E496E">
      <w:pPr>
        <w:pStyle w:val="Artculo"/>
        <w:numPr>
          <w:ilvl w:val="0"/>
          <w:numId w:val="24"/>
        </w:numPr>
      </w:pPr>
      <w:r>
        <w:rPr>
          <w:caps w:val="0"/>
        </w:rPr>
        <w:t xml:space="preserve">Modificación del artículo 18 de la Resolución CREG 180 de 2014. </w:t>
      </w:r>
      <w:r>
        <w:rPr>
          <w:b w:val="0"/>
          <w:caps w:val="0"/>
        </w:rPr>
        <w:t>El artículo 18 de la Resolución CREG 180 de 2014 quedará así:</w:t>
      </w:r>
    </w:p>
    <w:p w:rsidR="005E496E" w:rsidRDefault="005E496E" w:rsidP="005E496E">
      <w:pPr>
        <w:pStyle w:val="Artculo"/>
        <w:numPr>
          <w:ilvl w:val="0"/>
          <w:numId w:val="0"/>
        </w:numPr>
      </w:pPr>
    </w:p>
    <w:p w:rsidR="005E496E" w:rsidRDefault="005E496E" w:rsidP="005E496E">
      <w:pPr>
        <w:pStyle w:val="Artculo"/>
        <w:numPr>
          <w:ilvl w:val="0"/>
          <w:numId w:val="0"/>
        </w:numPr>
        <w:ind w:left="708"/>
        <w:rPr>
          <w:b w:val="0"/>
          <w:caps w:val="0"/>
        </w:rPr>
      </w:pPr>
      <w:r>
        <w:rPr>
          <w:b w:val="0"/>
          <w:caps w:val="0"/>
        </w:rPr>
        <w:t>“</w:t>
      </w:r>
      <w:r>
        <w:rPr>
          <w:caps w:val="0"/>
        </w:rPr>
        <w:t>Artículo 18. Costos financieros</w:t>
      </w:r>
      <w:r>
        <w:rPr>
          <w:b w:val="0"/>
          <w:caps w:val="0"/>
        </w:rPr>
        <w:t xml:space="preserve">. El factor </w:t>
      </w:r>
      <w:r>
        <w:rPr>
          <w:b w:val="0"/>
          <w:i/>
          <w:caps w:val="0"/>
        </w:rPr>
        <w:t>CFE</w:t>
      </w:r>
      <w:r>
        <w:rPr>
          <w:b w:val="0"/>
          <w:i/>
          <w:caps w:val="0"/>
          <w:vertAlign w:val="subscript"/>
        </w:rPr>
        <w:t>i,j,m</w:t>
      </w:r>
      <w:r>
        <w:rPr>
          <w:b w:val="0"/>
          <w:caps w:val="0"/>
          <w:vertAlign w:val="subscript"/>
        </w:rPr>
        <w:t xml:space="preserve"> </w:t>
      </w:r>
      <w:r>
        <w:rPr>
          <w:b w:val="0"/>
          <w:caps w:val="0"/>
        </w:rPr>
        <w:t>será calculado de acuerdo con la siguiente fórmula:</w:t>
      </w:r>
    </w:p>
    <w:p w:rsidR="005E496E" w:rsidRDefault="005E496E" w:rsidP="005E496E">
      <w:pPr>
        <w:pStyle w:val="Artculo"/>
        <w:numPr>
          <w:ilvl w:val="0"/>
          <w:numId w:val="0"/>
        </w:numPr>
        <w:ind w:left="708"/>
        <w:rPr>
          <w:b w:val="0"/>
          <w:caps w:val="0"/>
        </w:rPr>
      </w:pPr>
    </w:p>
    <w:p w:rsidR="005E496E" w:rsidRDefault="00D9229F" w:rsidP="005E496E">
      <w:pPr>
        <w:pStyle w:val="Artculo"/>
        <w:numPr>
          <w:ilvl w:val="0"/>
          <w:numId w:val="0"/>
        </w:numPr>
        <w:ind w:left="708"/>
        <w:rPr>
          <w:b w:val="0"/>
          <w:caps w:val="0"/>
        </w:rPr>
      </w:pPr>
      <m:oMathPara>
        <m:oMath>
          <m:sSub>
            <m:sSubPr>
              <m:ctrlPr>
                <w:rPr>
                  <w:rFonts w:ascii="Cambria Math" w:hAnsi="Cambria Math"/>
                  <w:i/>
                  <w:sz w:val="28"/>
                  <w:szCs w:val="28"/>
                </w:rPr>
              </m:ctrlPr>
            </m:sSubPr>
            <m:e>
              <m:r>
                <m:rPr>
                  <m:sty m:val="bi"/>
                </m:rPr>
                <w:rPr>
                  <w:rFonts w:ascii="Cambria Math" w:hAnsi="Cambria Math"/>
                  <w:sz w:val="28"/>
                </w:rPr>
                <m:t>CFE</m:t>
              </m:r>
            </m:e>
            <m:sub>
              <m:r>
                <m:rPr>
                  <m:sty m:val="bi"/>
                </m:rPr>
                <w:rPr>
                  <w:rFonts w:ascii="Cambria Math" w:hAnsi="Cambria Math"/>
                  <w:sz w:val="28"/>
                </w:rPr>
                <m:t>i, j,m</m:t>
              </m:r>
            </m:sub>
          </m:sSub>
          <m:r>
            <m:rPr>
              <m:sty m:val="bi"/>
            </m:rPr>
            <w:rPr>
              <w:rFonts w:ascii="Cambria Math" w:hAnsi="Cambria Math"/>
              <w:sz w:val="28"/>
            </w:rPr>
            <m:t xml:space="preserve">=0,042%+ </m:t>
          </m:r>
          <m:sSub>
            <m:sSubPr>
              <m:ctrlPr>
                <w:rPr>
                  <w:rFonts w:ascii="Cambria Math" w:hAnsi="Cambria Math"/>
                  <w:i/>
                  <w:color w:val="000000"/>
                  <w:sz w:val="28"/>
                  <w:szCs w:val="28"/>
                </w:rPr>
              </m:ctrlPr>
            </m:sSubPr>
            <m:e>
              <m:r>
                <m:rPr>
                  <m:sty m:val="bi"/>
                </m:rPr>
                <w:rPr>
                  <w:rFonts w:ascii="Cambria Math" w:hAnsi="Cambria Math"/>
                  <w:color w:val="000000"/>
                  <w:sz w:val="28"/>
                </w:rPr>
                <m:t>CFS</m:t>
              </m:r>
            </m:e>
            <m:sub>
              <m:r>
                <m:rPr>
                  <m:sty m:val="bi"/>
                </m:rPr>
                <w:rPr>
                  <w:rFonts w:ascii="Cambria Math" w:hAnsi="Cambria Math"/>
                  <w:color w:val="000000"/>
                  <w:sz w:val="28"/>
                </w:rPr>
                <m:t>i,j,m</m:t>
              </m:r>
            </m:sub>
          </m:sSub>
        </m:oMath>
      </m:oMathPara>
    </w:p>
    <w:p w:rsidR="005E496E" w:rsidRDefault="005E496E" w:rsidP="005E496E">
      <w:pPr>
        <w:pStyle w:val="Artculo"/>
        <w:numPr>
          <w:ilvl w:val="0"/>
          <w:numId w:val="0"/>
        </w:numPr>
        <w:ind w:left="708"/>
        <w:rPr>
          <w:b w:val="0"/>
        </w:rPr>
      </w:pPr>
    </w:p>
    <w:p w:rsidR="005E496E" w:rsidRDefault="005E496E" w:rsidP="005E496E">
      <w:pPr>
        <w:ind w:left="708" w:right="47"/>
        <w:rPr>
          <w:color w:val="000000"/>
        </w:rPr>
      </w:pPr>
      <w:r>
        <w:rPr>
          <w:bCs/>
          <w:lang w:val="es-ES_tradnl"/>
        </w:rPr>
        <w:t xml:space="preserve">Donde la variable </w:t>
      </w:r>
      <w:r>
        <w:rPr>
          <w:bCs/>
          <w:i/>
          <w:lang w:val="es-ES_tradnl"/>
        </w:rPr>
        <w:t>CFS</w:t>
      </w:r>
      <w:r>
        <w:rPr>
          <w:bCs/>
          <w:i/>
          <w:vertAlign w:val="subscript"/>
          <w:lang w:val="es-ES_tradnl"/>
        </w:rPr>
        <w:t>i,j,m</w:t>
      </w:r>
      <w:r>
        <w:rPr>
          <w:color w:val="000000"/>
        </w:rPr>
        <w:t xml:space="preserve"> corresponderá a la remuneración por el costo financiero asociado al giro de los subsidios al comercializador deficitario </w:t>
      </w:r>
      <w:r>
        <w:rPr>
          <w:i/>
          <w:color w:val="000000"/>
        </w:rPr>
        <w:t>i</w:t>
      </w:r>
      <w:r>
        <w:rPr>
          <w:color w:val="000000"/>
        </w:rPr>
        <w:t xml:space="preserve">, en el mercado de comercialización </w:t>
      </w:r>
      <w:r>
        <w:rPr>
          <w:i/>
          <w:color w:val="000000"/>
        </w:rPr>
        <w:t>j</w:t>
      </w:r>
      <w:r>
        <w:rPr>
          <w:color w:val="000000"/>
        </w:rPr>
        <w:t xml:space="preserve">, en el mes </w:t>
      </w:r>
      <w:r>
        <w:rPr>
          <w:i/>
          <w:color w:val="000000"/>
        </w:rPr>
        <w:t>m</w:t>
      </w:r>
      <w:r>
        <w:rPr>
          <w:color w:val="000000"/>
        </w:rPr>
        <w:t xml:space="preserve">. Esta variable será estimada mensualmente por el comercializador de conformidad con la siguiente fórmula: </w:t>
      </w:r>
    </w:p>
    <w:p w:rsidR="005E496E" w:rsidRDefault="005E496E" w:rsidP="005E496E">
      <w:pPr>
        <w:ind w:left="708" w:right="47"/>
        <w:rPr>
          <w:color w:val="000000"/>
        </w:rPr>
      </w:pPr>
    </w:p>
    <w:p w:rsidR="005E496E" w:rsidRDefault="00D9229F" w:rsidP="005E496E">
      <w:pPr>
        <w:ind w:left="708" w:right="47"/>
        <w:rPr>
          <w:b/>
          <w:color w:val="000000"/>
        </w:rPr>
      </w:pPr>
      <m:oMathPara>
        <m:oMath>
          <m:sSub>
            <m:sSubPr>
              <m:ctrlPr>
                <w:rPr>
                  <w:rFonts w:ascii="Cambria Math" w:hAnsi="Cambria Math"/>
                  <w:b/>
                  <w:i/>
                  <w:color w:val="000000"/>
                </w:rPr>
              </m:ctrlPr>
            </m:sSubPr>
            <m:e>
              <m:r>
                <m:rPr>
                  <m:sty m:val="bi"/>
                </m:rPr>
                <w:rPr>
                  <w:rFonts w:ascii="Cambria Math" w:hAnsi="Cambria Math"/>
                  <w:color w:val="000000"/>
                </w:rPr>
                <m:t>CFS</m:t>
              </m:r>
            </m:e>
            <m:sub>
              <m:r>
                <m:rPr>
                  <m:sty m:val="bi"/>
                </m:rPr>
                <w:rPr>
                  <w:rFonts w:ascii="Cambria Math" w:hAnsi="Cambria Math"/>
                  <w:color w:val="000000"/>
                </w:rPr>
                <m:t>i,j,m</m:t>
              </m:r>
            </m:sub>
          </m:sSub>
          <m:r>
            <m:rPr>
              <m:sty m:val="bi"/>
            </m:rPr>
            <w:rPr>
              <w:rFonts w:ascii="Cambria Math" w:hAnsi="Cambria Math"/>
              <w:color w:val="000000"/>
            </w:rPr>
            <m:t>=</m:t>
          </m:r>
          <m:f>
            <m:fPr>
              <m:ctrlPr>
                <w:rPr>
                  <w:rFonts w:ascii="Cambria Math" w:hAnsi="Cambria Math"/>
                  <w:b/>
                  <w:i/>
                  <w:color w:val="000000"/>
                </w:rPr>
              </m:ctrlPr>
            </m:fPr>
            <m:num>
              <m:sSub>
                <m:sSubPr>
                  <m:ctrlPr>
                    <w:rPr>
                      <w:rFonts w:ascii="Cambria Math" w:hAnsi="Cambria Math"/>
                      <w:b/>
                      <w:i/>
                      <w:color w:val="000000"/>
                    </w:rPr>
                  </m:ctrlPr>
                </m:sSubPr>
                <m:e>
                  <m:r>
                    <m:rPr>
                      <m:sty m:val="bi"/>
                    </m:rPr>
                    <w:rPr>
                      <w:rFonts w:ascii="Cambria Math" w:hAnsi="Cambria Math"/>
                      <w:color w:val="000000"/>
                    </w:rPr>
                    <m:t>Sub</m:t>
                  </m:r>
                  <m:r>
                    <m:rPr>
                      <m:sty m:val="bi"/>
                    </m:rPr>
                    <w:rPr>
                      <w:rFonts w:ascii="Cambria Math" w:hAnsi="Cambria Math"/>
                      <w:color w:val="000000"/>
                    </w:rPr>
                    <m:t>1</m:t>
                  </m:r>
                </m:e>
                <m:sub>
                  <m:r>
                    <m:rPr>
                      <m:sty m:val="bi"/>
                    </m:rPr>
                    <w:rPr>
                      <w:rFonts w:ascii="Cambria Math" w:hAnsi="Cambria Math"/>
                      <w:color w:val="000000"/>
                    </w:rPr>
                    <m:t>i,j,T</m:t>
                  </m:r>
                </m:sub>
              </m:sSub>
              <m:r>
                <m:rPr>
                  <m:sty m:val="bi"/>
                </m:rPr>
                <w:rPr>
                  <w:rFonts w:ascii="Cambria Math" w:hAnsi="Cambria Math"/>
                  <w:color w:val="000000"/>
                </w:rPr>
                <m:t>×</m:t>
              </m:r>
              <m:d>
                <m:dPr>
                  <m:begChr m:val="["/>
                  <m:endChr m:val="]"/>
                  <m:ctrlPr>
                    <w:rPr>
                      <w:rFonts w:ascii="Cambria Math" w:hAnsi="Cambria Math"/>
                      <w:b/>
                      <w:i/>
                      <w:color w:val="000000"/>
                    </w:rPr>
                  </m:ctrlPr>
                </m:dPr>
                <m:e>
                  <m:sSup>
                    <m:sSupPr>
                      <m:ctrlPr>
                        <w:rPr>
                          <w:rFonts w:ascii="Cambria Math" w:hAnsi="Cambria Math"/>
                          <w:b/>
                          <w:i/>
                          <w:color w:val="000000"/>
                        </w:rPr>
                      </m:ctrlPr>
                    </m:sSupPr>
                    <m:e>
                      <m:d>
                        <m:dPr>
                          <m:ctrlPr>
                            <w:rPr>
                              <w:rFonts w:ascii="Cambria Math" w:hAnsi="Cambria Math"/>
                              <w:b/>
                              <w:i/>
                              <w:color w:val="000000"/>
                            </w:rPr>
                          </m:ctrlPr>
                        </m:dPr>
                        <m:e>
                          <m:r>
                            <m:rPr>
                              <m:sty m:val="bi"/>
                            </m:rPr>
                            <w:rPr>
                              <w:rFonts w:ascii="Cambria Math" w:hAnsi="Cambria Math"/>
                              <w:color w:val="000000"/>
                            </w:rPr>
                            <m:t>1+</m:t>
                          </m:r>
                          <m:sSub>
                            <m:sSubPr>
                              <m:ctrlPr>
                                <w:rPr>
                                  <w:rFonts w:ascii="Cambria Math" w:hAnsi="Cambria Math"/>
                                  <w:b/>
                                  <w:i/>
                                  <w:color w:val="000000"/>
                                </w:rPr>
                              </m:ctrlPr>
                            </m:sSubPr>
                            <m:e>
                              <m:r>
                                <m:rPr>
                                  <m:sty m:val="bi"/>
                                </m:rPr>
                                <w:rPr>
                                  <w:rFonts w:ascii="Cambria Math" w:hAnsi="Cambria Math"/>
                                  <w:color w:val="000000"/>
                                </w:rPr>
                                <m:t>r</m:t>
                              </m:r>
                            </m:e>
                            <m:sub>
                              <m:r>
                                <m:rPr>
                                  <m:sty m:val="bi"/>
                                </m:rPr>
                                <w:rPr>
                                  <w:rFonts w:ascii="Cambria Math" w:hAnsi="Cambria Math"/>
                                  <w:color w:val="000000"/>
                                </w:rPr>
                                <m:t>1</m:t>
                              </m:r>
                            </m:sub>
                          </m:sSub>
                        </m:e>
                      </m:d>
                    </m:e>
                    <m:sup>
                      <m:r>
                        <m:rPr>
                          <m:sty m:val="bi"/>
                        </m:rPr>
                        <w:rPr>
                          <w:rFonts w:ascii="Cambria Math" w:hAnsi="Cambria Math"/>
                          <w:color w:val="000000"/>
                        </w:rPr>
                        <m:t>N+0.63</m:t>
                      </m:r>
                    </m:sup>
                  </m:sSup>
                  <m:r>
                    <m:rPr>
                      <m:sty m:val="bi"/>
                    </m:rPr>
                    <w:rPr>
                      <w:rFonts w:ascii="Cambria Math" w:hAnsi="Cambria Math"/>
                      <w:color w:val="000000"/>
                    </w:rPr>
                    <m:t>-1</m:t>
                  </m:r>
                </m:e>
              </m:d>
              <m:r>
                <m:rPr>
                  <m:sty m:val="bi"/>
                </m:rPr>
                <w:rPr>
                  <w:rFonts w:ascii="Cambria Math" w:hAnsi="Cambria Math"/>
                  <w:color w:val="000000"/>
                </w:rPr>
                <m:t>-</m:t>
              </m:r>
              <m:sSub>
                <m:sSubPr>
                  <m:ctrlPr>
                    <w:rPr>
                      <w:rFonts w:ascii="Cambria Math" w:hAnsi="Cambria Math"/>
                      <w:b/>
                      <w:i/>
                      <w:color w:val="000000"/>
                    </w:rPr>
                  </m:ctrlPr>
                </m:sSubPr>
                <m:e>
                  <m:r>
                    <m:rPr>
                      <m:sty m:val="bi"/>
                    </m:rPr>
                    <w:rPr>
                      <w:rFonts w:ascii="Cambria Math" w:hAnsi="Cambria Math"/>
                      <w:color w:val="000000"/>
                    </w:rPr>
                    <m:t>Sub</m:t>
                  </m:r>
                  <m:r>
                    <m:rPr>
                      <m:sty m:val="bi"/>
                    </m:rPr>
                    <w:rPr>
                      <w:rFonts w:ascii="Cambria Math" w:hAnsi="Cambria Math"/>
                      <w:color w:val="000000"/>
                    </w:rPr>
                    <m:t>2</m:t>
                  </m:r>
                </m:e>
                <m:sub>
                  <m:r>
                    <m:rPr>
                      <m:sty m:val="bi"/>
                    </m:rPr>
                    <w:rPr>
                      <w:rFonts w:ascii="Cambria Math" w:hAnsi="Cambria Math"/>
                      <w:color w:val="000000"/>
                    </w:rPr>
                    <m:t>i,j,T</m:t>
                  </m:r>
                </m:sub>
              </m:sSub>
              <m:r>
                <m:rPr>
                  <m:sty m:val="bi"/>
                </m:rPr>
                <w:rPr>
                  <w:rFonts w:ascii="Cambria Math" w:hAnsi="Cambria Math"/>
                  <w:color w:val="000000"/>
                </w:rPr>
                <m:t>×</m:t>
              </m:r>
              <m:d>
                <m:dPr>
                  <m:begChr m:val="["/>
                  <m:endChr m:val="]"/>
                  <m:ctrlPr>
                    <w:rPr>
                      <w:rFonts w:ascii="Cambria Math" w:hAnsi="Cambria Math"/>
                      <w:b/>
                      <w:i/>
                      <w:color w:val="000000"/>
                    </w:rPr>
                  </m:ctrlPr>
                </m:dPr>
                <m:e>
                  <m:sSup>
                    <m:sSupPr>
                      <m:ctrlPr>
                        <w:rPr>
                          <w:rFonts w:ascii="Cambria Math" w:hAnsi="Cambria Math"/>
                          <w:b/>
                          <w:i/>
                          <w:color w:val="000000"/>
                        </w:rPr>
                      </m:ctrlPr>
                    </m:sSupPr>
                    <m:e>
                      <m:d>
                        <m:dPr>
                          <m:ctrlPr>
                            <w:rPr>
                              <w:rFonts w:ascii="Cambria Math" w:hAnsi="Cambria Math"/>
                              <w:b/>
                              <w:i/>
                              <w:color w:val="000000"/>
                            </w:rPr>
                          </m:ctrlPr>
                        </m:dPr>
                        <m:e>
                          <m:r>
                            <m:rPr>
                              <m:sty m:val="bi"/>
                            </m:rPr>
                            <w:rPr>
                              <w:rFonts w:ascii="Cambria Math" w:hAnsi="Cambria Math"/>
                              <w:color w:val="000000"/>
                            </w:rPr>
                            <m:t>1+</m:t>
                          </m:r>
                          <m:sSub>
                            <m:sSubPr>
                              <m:ctrlPr>
                                <w:rPr>
                                  <w:rFonts w:ascii="Cambria Math" w:hAnsi="Cambria Math"/>
                                  <w:b/>
                                  <w:i/>
                                  <w:color w:val="000000"/>
                                </w:rPr>
                              </m:ctrlPr>
                            </m:sSubPr>
                            <m:e>
                              <m:r>
                                <m:rPr>
                                  <m:sty m:val="bi"/>
                                </m:rPr>
                                <w:rPr>
                                  <w:rFonts w:ascii="Cambria Math" w:hAnsi="Cambria Math"/>
                                  <w:color w:val="000000"/>
                                </w:rPr>
                                <m:t>r</m:t>
                              </m:r>
                            </m:e>
                            <m:sub>
                              <m:r>
                                <m:rPr>
                                  <m:sty m:val="bi"/>
                                </m:rPr>
                                <w:rPr>
                                  <w:rFonts w:ascii="Cambria Math" w:hAnsi="Cambria Math"/>
                                  <w:color w:val="000000"/>
                                </w:rPr>
                                <m:t>2</m:t>
                              </m:r>
                            </m:sub>
                          </m:sSub>
                        </m:e>
                      </m:d>
                    </m:e>
                    <m:sup>
                      <m:r>
                        <m:rPr>
                          <m:sty m:val="bi"/>
                        </m:rPr>
                        <w:rPr>
                          <w:rFonts w:ascii="Cambria Math" w:hAnsi="Cambria Math"/>
                          <w:color w:val="000000"/>
                        </w:rPr>
                        <m:t>M</m:t>
                      </m:r>
                    </m:sup>
                  </m:sSup>
                  <m:r>
                    <m:rPr>
                      <m:sty m:val="bi"/>
                    </m:rPr>
                    <w:rPr>
                      <w:rFonts w:ascii="Cambria Math" w:hAnsi="Cambria Math"/>
                      <w:color w:val="000000"/>
                    </w:rPr>
                    <m:t>-1</m:t>
                  </m:r>
                </m:e>
              </m:d>
            </m:num>
            <m:den>
              <m:sSub>
                <m:sSubPr>
                  <m:ctrlPr>
                    <w:rPr>
                      <w:rFonts w:ascii="Cambria Math" w:hAnsi="Cambria Math"/>
                      <w:b/>
                      <w:i/>
                      <w:color w:val="000000"/>
                    </w:rPr>
                  </m:ctrlPr>
                </m:sSubPr>
                <m:e>
                  <m:r>
                    <m:rPr>
                      <m:sty m:val="bi"/>
                    </m:rPr>
                    <w:rPr>
                      <w:rFonts w:ascii="Cambria Math" w:hAnsi="Cambria Math"/>
                      <w:color w:val="000000"/>
                    </w:rPr>
                    <m:t>Facturación</m:t>
                  </m:r>
                </m:e>
                <m:sub>
                  <m:r>
                    <m:rPr>
                      <m:sty m:val="bi"/>
                    </m:rPr>
                    <w:rPr>
                      <w:rFonts w:ascii="Cambria Math" w:hAnsi="Cambria Math"/>
                      <w:color w:val="000000"/>
                    </w:rPr>
                    <m:t>i,j,T</m:t>
                  </m:r>
                </m:sub>
              </m:sSub>
            </m:den>
          </m:f>
        </m:oMath>
      </m:oMathPara>
    </w:p>
    <w:p w:rsidR="005E496E" w:rsidRDefault="005E496E" w:rsidP="005E496E">
      <w:pPr>
        <w:pStyle w:val="Artculo"/>
        <w:numPr>
          <w:ilvl w:val="0"/>
          <w:numId w:val="0"/>
        </w:numPr>
        <w:ind w:left="708"/>
        <w:rPr>
          <w:b w:val="0"/>
        </w:rPr>
      </w:pPr>
    </w:p>
    <w:p w:rsidR="005E496E" w:rsidRDefault="005E496E" w:rsidP="005E496E">
      <w:pPr>
        <w:ind w:left="2552" w:hanging="1418"/>
      </w:pPr>
      <w:r>
        <w:t>Donde:</w:t>
      </w:r>
    </w:p>
    <w:p w:rsidR="005E496E" w:rsidRDefault="005E496E" w:rsidP="005E496E">
      <w:pPr>
        <w:ind w:left="2552" w:hanging="1418"/>
        <w:rPr>
          <w:b/>
          <w:bCs/>
        </w:rPr>
      </w:pPr>
    </w:p>
    <w:p w:rsidR="005E496E" w:rsidRDefault="005E496E" w:rsidP="005E496E">
      <w:pPr>
        <w:spacing w:before="200" w:after="200"/>
        <w:ind w:left="2977" w:hanging="1843"/>
        <w:rPr>
          <w:b/>
          <w:bCs/>
        </w:rPr>
      </w:pPr>
      <w:r>
        <w:rPr>
          <w:i/>
        </w:rPr>
        <w:t>CFS</w:t>
      </w:r>
      <w:r>
        <w:rPr>
          <w:i/>
          <w:vertAlign w:val="subscript"/>
        </w:rPr>
        <w:t>i,j,m</w:t>
      </w:r>
      <w:r>
        <w:t>:</w:t>
      </w:r>
      <w:r>
        <w:tab/>
      </w:r>
      <w:r w:rsidRPr="00FB0C19">
        <w:t xml:space="preserve">Costo financiero asociado al giro de los subsidios al comercializador deficitario </w:t>
      </w:r>
      <w:r w:rsidRPr="00066A23">
        <w:rPr>
          <w:i/>
        </w:rPr>
        <w:t>i</w:t>
      </w:r>
      <w:r w:rsidRPr="00FB0C19">
        <w:t xml:space="preserve">, en el mercado de comercialización </w:t>
      </w:r>
      <w:r w:rsidRPr="00066A23">
        <w:rPr>
          <w:i/>
        </w:rPr>
        <w:t>j</w:t>
      </w:r>
      <w:r w:rsidRPr="00FB0C19">
        <w:t xml:space="preserve">, aplicable en el mes </w:t>
      </w:r>
      <w:r w:rsidRPr="00066A23">
        <w:rPr>
          <w:i/>
        </w:rPr>
        <w:t>m</w:t>
      </w:r>
      <w:r w:rsidRPr="00FB0C19">
        <w:t xml:space="preserve">. Este factor será igual a cero cuando en la última validación trimestral realizada por el Ministerio de Minas y Energía, el comercializador </w:t>
      </w:r>
      <w:r w:rsidRPr="00066A23">
        <w:rPr>
          <w:i/>
        </w:rPr>
        <w:t>i</w:t>
      </w:r>
      <w:r w:rsidRPr="00FB0C19">
        <w:t xml:space="preserve">, en el mercado de comercialización </w:t>
      </w:r>
      <w:r w:rsidRPr="00066A23">
        <w:rPr>
          <w:i/>
        </w:rPr>
        <w:t>j</w:t>
      </w:r>
      <w:r w:rsidRPr="00FB0C19">
        <w:t>, sea superavitario.</w:t>
      </w:r>
    </w:p>
    <w:p w:rsidR="005E496E" w:rsidRDefault="005E496E" w:rsidP="005E496E">
      <w:pPr>
        <w:spacing w:before="200" w:after="200"/>
        <w:ind w:left="2977" w:hanging="1843"/>
      </w:pPr>
      <w:r>
        <w:rPr>
          <w:i/>
        </w:rPr>
        <w:t>T</w:t>
      </w:r>
      <w:r>
        <w:t>:</w:t>
      </w:r>
      <w:r>
        <w:tab/>
        <w:t xml:space="preserve">Últimos cuatro trimestres validados por el Ministerio de Minas y Energía para el comercializador </w:t>
      </w:r>
      <w:r w:rsidRPr="00066A23">
        <w:rPr>
          <w:i/>
        </w:rPr>
        <w:t>i</w:t>
      </w:r>
      <w:r>
        <w:t xml:space="preserve">, en el mercado de comercialización </w:t>
      </w:r>
      <w:r w:rsidRPr="00066A23">
        <w:rPr>
          <w:i/>
        </w:rPr>
        <w:t>j</w:t>
      </w:r>
      <w:r>
        <w:t xml:space="preserve">. </w:t>
      </w:r>
    </w:p>
    <w:p w:rsidR="005E496E" w:rsidRDefault="005E496E" w:rsidP="005E496E">
      <w:pPr>
        <w:spacing w:before="200" w:after="200"/>
        <w:ind w:left="2977" w:hanging="1843"/>
      </w:pPr>
      <w:r>
        <w:rPr>
          <w:i/>
        </w:rPr>
        <w:t>N</w:t>
      </w:r>
      <w:r>
        <w:t>:</w:t>
      </w:r>
      <w:r>
        <w:tab/>
        <w:t xml:space="preserve">Promedio del número de meses transcurridos desde la finalización de los trimestres </w:t>
      </w:r>
      <w:r w:rsidRPr="00066A23">
        <w:rPr>
          <w:i/>
        </w:rPr>
        <w:t>T</w:t>
      </w:r>
      <w:r>
        <w:t xml:space="preserve"> hasta el giro de los subsidios para el comercializador deficitario </w:t>
      </w:r>
      <w:r w:rsidRPr="00066A23">
        <w:rPr>
          <w:i/>
        </w:rPr>
        <w:t>i</w:t>
      </w:r>
      <w:r>
        <w:t xml:space="preserve">, en el mercado de comercialización </w:t>
      </w:r>
      <w:r w:rsidRPr="00066A23">
        <w:rPr>
          <w:i/>
        </w:rPr>
        <w:t>j</w:t>
      </w:r>
      <w:r>
        <w:t xml:space="preserve">. </w:t>
      </w:r>
    </w:p>
    <w:p w:rsidR="005E496E" w:rsidRDefault="005E496E" w:rsidP="005E496E">
      <w:pPr>
        <w:spacing w:before="200" w:after="200"/>
        <w:ind w:left="2977"/>
      </w:pPr>
      <w:r w:rsidRPr="00066A23">
        <w:t>En el</w:t>
      </w:r>
      <w:r>
        <w:t xml:space="preserve"> </w:t>
      </w:r>
      <w:r w:rsidRPr="00066A23">
        <w:t>ca</w:t>
      </w:r>
      <w:r>
        <w:t xml:space="preserve">so que para un trimestre </w:t>
      </w:r>
      <w:r w:rsidRPr="00066A23">
        <w:rPr>
          <w:i/>
        </w:rPr>
        <w:t>T</w:t>
      </w:r>
      <w:r>
        <w:t xml:space="preserve"> se presente más de un giro se deberá calcular el promedio ponderado del tiempo transcurrido desde la finalización del trimestre </w:t>
      </w:r>
      <w:r>
        <w:lastRenderedPageBreak/>
        <w:t xml:space="preserve">hasta los giros empleando el valor de </w:t>
      </w:r>
      <w:r w:rsidRPr="0026378E">
        <w:t xml:space="preserve">los </w:t>
      </w:r>
      <w:r>
        <w:t xml:space="preserve">giros realizados. </w:t>
      </w:r>
    </w:p>
    <w:p w:rsidR="005E496E" w:rsidRDefault="005E496E" w:rsidP="005E496E">
      <w:pPr>
        <w:spacing w:before="200" w:after="200"/>
        <w:ind w:left="2977" w:hanging="1843"/>
      </w:pPr>
      <w:r>
        <w:tab/>
        <w:t xml:space="preserve">En el caso de que un comercializador sea superavitario y se vuelva deficitario el valor de </w:t>
      </w:r>
      <w:r>
        <w:rPr>
          <w:i/>
        </w:rPr>
        <w:t>N</w:t>
      </w:r>
      <w:r>
        <w:t xml:space="preserve"> deberá ser igual a </w:t>
      </w:r>
      <w:r w:rsidRPr="00C64847">
        <w:t>1,5</w:t>
      </w:r>
      <w:r>
        <w:t>.</w:t>
      </w:r>
    </w:p>
    <w:p w:rsidR="005E496E" w:rsidRDefault="005E496E" w:rsidP="005E496E">
      <w:pPr>
        <w:spacing w:before="200" w:after="200"/>
        <w:ind w:left="2977" w:hanging="1843"/>
      </w:pPr>
      <w:r>
        <w:rPr>
          <w:i/>
        </w:rPr>
        <w:t>r</w:t>
      </w:r>
      <w:r>
        <w:rPr>
          <w:i/>
          <w:sz w:val="22"/>
          <w:vertAlign w:val="subscript"/>
        </w:rPr>
        <w:t>1</w:t>
      </w:r>
      <w:r>
        <w:tab/>
        <w:t xml:space="preserve">Costo de oportunidad mes vencido, calculado como el promedio ponderado de las tasas de interés </w:t>
      </w:r>
      <w:r>
        <w:rPr>
          <w:i/>
        </w:rPr>
        <w:t>preferencial o corporativo</w:t>
      </w:r>
      <w:r>
        <w:t xml:space="preserve">, de los créditos comerciales, </w:t>
      </w:r>
      <w:r w:rsidRPr="000B647A">
        <w:t xml:space="preserve">vigentes a partir del segundo mes del último trimestre de </w:t>
      </w:r>
      <w:r w:rsidRPr="00066A23">
        <w:rPr>
          <w:i/>
        </w:rPr>
        <w:t>T</w:t>
      </w:r>
      <w:r w:rsidRPr="000B647A">
        <w:t xml:space="preserve"> y hasta el mes anterior al mes de giro de subsidios por parte del Ministerio de Minas y Energía</w:t>
      </w:r>
      <w:r>
        <w:t xml:space="preserve">. </w:t>
      </w:r>
      <w:r w:rsidRPr="000B647A">
        <w:t>Para la ponderación se emplea el monto colocado</w:t>
      </w:r>
      <w:r>
        <w:t>.</w:t>
      </w:r>
    </w:p>
    <w:p w:rsidR="005E496E" w:rsidRDefault="005E496E" w:rsidP="005E496E">
      <w:pPr>
        <w:spacing w:before="200" w:after="200"/>
        <w:ind w:left="2977" w:hanging="1843"/>
      </w:pPr>
      <w:r>
        <w:tab/>
        <w:t>La fuente de información será la publicada por el Banco de la República de acuerdo con el formato 088 de la Circular externa 100 de 1995 de la Superintendencia Financiera de Colombia. La tasa efectiva anual publicada deberá mensualizarse para su aplicación utilizando la siguiente expresión:</w:t>
      </w:r>
    </w:p>
    <w:p w:rsidR="005E496E" w:rsidRPr="004B0833" w:rsidRDefault="00D9229F" w:rsidP="005E496E">
      <w:pPr>
        <w:rPr>
          <w:sz w:val="28"/>
          <w:lang w:val="es-CO"/>
        </w:rPr>
      </w:pPr>
      <m:oMathPara>
        <m:oMathParaPr>
          <m:jc m:val="center"/>
        </m:oMathParaPr>
        <m:oMath>
          <m:sSub>
            <m:sSubPr>
              <m:ctrlPr>
                <w:rPr>
                  <w:rFonts w:ascii="Cambria Math" w:hAnsi="Cambria Math"/>
                  <w:i/>
                  <w:sz w:val="28"/>
                  <w:lang w:val="es-CO"/>
                </w:rPr>
              </m:ctrlPr>
            </m:sSubPr>
            <m:e>
              <m:r>
                <w:rPr>
                  <w:rFonts w:ascii="Cambria Math" w:hAnsi="Cambria Math"/>
                  <w:sz w:val="28"/>
                  <w:lang w:val="es-CO"/>
                </w:rPr>
                <m:t>r</m:t>
              </m:r>
            </m:e>
            <m:sub>
              <m:r>
                <w:rPr>
                  <w:rFonts w:ascii="Cambria Math" w:hAnsi="Cambria Math"/>
                  <w:sz w:val="28"/>
                  <w:lang w:val="es-CO"/>
                </w:rPr>
                <m:t>EM</m:t>
              </m:r>
            </m:sub>
          </m:sSub>
          <m:r>
            <w:rPr>
              <w:rFonts w:ascii="Cambria Math" w:hAnsi="Cambria Math"/>
              <w:sz w:val="28"/>
              <w:lang w:val="es-CO"/>
            </w:rPr>
            <m:t>=</m:t>
          </m:r>
          <m:sSup>
            <m:sSupPr>
              <m:ctrlPr>
                <w:rPr>
                  <w:rFonts w:ascii="Cambria Math" w:hAnsi="Cambria Math"/>
                  <w:i/>
                  <w:sz w:val="28"/>
                  <w:lang w:val="es-CO"/>
                </w:rPr>
              </m:ctrlPr>
            </m:sSupPr>
            <m:e>
              <m:d>
                <m:dPr>
                  <m:ctrlPr>
                    <w:rPr>
                      <w:rFonts w:ascii="Cambria Math" w:hAnsi="Cambria Math"/>
                      <w:i/>
                      <w:sz w:val="28"/>
                      <w:lang w:val="es-CO"/>
                    </w:rPr>
                  </m:ctrlPr>
                </m:dPr>
                <m:e>
                  <m:r>
                    <w:rPr>
                      <w:rFonts w:ascii="Cambria Math" w:hAnsi="Cambria Math"/>
                      <w:sz w:val="28"/>
                      <w:lang w:val="es-CO"/>
                    </w:rPr>
                    <m:t>1+</m:t>
                  </m:r>
                  <m:sSub>
                    <m:sSubPr>
                      <m:ctrlPr>
                        <w:rPr>
                          <w:rFonts w:ascii="Cambria Math" w:hAnsi="Cambria Math"/>
                          <w:i/>
                          <w:sz w:val="28"/>
                          <w:lang w:val="es-CO"/>
                        </w:rPr>
                      </m:ctrlPr>
                    </m:sSubPr>
                    <m:e>
                      <m:r>
                        <w:rPr>
                          <w:rFonts w:ascii="Cambria Math" w:hAnsi="Cambria Math"/>
                          <w:sz w:val="28"/>
                          <w:lang w:val="es-CO"/>
                        </w:rPr>
                        <m:t>r</m:t>
                      </m:r>
                    </m:e>
                    <m:sub>
                      <m:r>
                        <w:rPr>
                          <w:rFonts w:ascii="Cambria Math" w:hAnsi="Cambria Math"/>
                          <w:sz w:val="28"/>
                          <w:lang w:val="es-CO"/>
                        </w:rPr>
                        <m:t>EA</m:t>
                      </m:r>
                    </m:sub>
                  </m:sSub>
                </m:e>
              </m:d>
            </m:e>
            <m:sup>
              <m:f>
                <m:fPr>
                  <m:ctrlPr>
                    <w:rPr>
                      <w:rFonts w:ascii="Cambria Math" w:hAnsi="Cambria Math"/>
                      <w:i/>
                      <w:sz w:val="28"/>
                      <w:lang w:val="es-CO"/>
                    </w:rPr>
                  </m:ctrlPr>
                </m:fPr>
                <m:num>
                  <m:r>
                    <w:rPr>
                      <w:rFonts w:ascii="Cambria Math" w:hAnsi="Cambria Math"/>
                      <w:sz w:val="28"/>
                      <w:lang w:val="es-CO"/>
                    </w:rPr>
                    <m:t>1</m:t>
                  </m:r>
                </m:num>
                <m:den>
                  <m:r>
                    <w:rPr>
                      <w:rFonts w:ascii="Cambria Math" w:hAnsi="Cambria Math"/>
                      <w:sz w:val="28"/>
                      <w:lang w:val="es-CO"/>
                    </w:rPr>
                    <m:t>12</m:t>
                  </m:r>
                </m:den>
              </m:f>
            </m:sup>
          </m:sSup>
          <m:r>
            <w:rPr>
              <w:rFonts w:ascii="Cambria Math" w:hAnsi="Cambria Math"/>
              <w:sz w:val="28"/>
              <w:lang w:val="es-CO"/>
            </w:rPr>
            <m:t>-1</m:t>
          </m:r>
        </m:oMath>
      </m:oMathPara>
    </w:p>
    <w:p w:rsidR="005E496E" w:rsidRDefault="005E496E" w:rsidP="005E496E">
      <w:pPr>
        <w:spacing w:before="200"/>
        <w:ind w:left="2977"/>
        <w:rPr>
          <w:lang w:val="es-CO"/>
        </w:rPr>
      </w:pPr>
      <w:r>
        <w:rPr>
          <w:lang w:val="es-CO"/>
        </w:rPr>
        <w:t>Con:</w:t>
      </w:r>
    </w:p>
    <w:p w:rsidR="005E496E" w:rsidRDefault="005E496E" w:rsidP="005E496E">
      <w:pPr>
        <w:spacing w:after="120"/>
        <w:ind w:left="2977"/>
        <w:rPr>
          <w:lang w:val="es-CO"/>
        </w:rPr>
      </w:pPr>
      <w:r w:rsidRPr="0026378E">
        <w:rPr>
          <w:i/>
          <w:sz w:val="28"/>
          <w:lang w:val="es-CO"/>
        </w:rPr>
        <w:t>r</w:t>
      </w:r>
      <w:r w:rsidRPr="0026378E">
        <w:rPr>
          <w:i/>
          <w:vertAlign w:val="subscript"/>
          <w:lang w:val="es-CO"/>
        </w:rPr>
        <w:t>EM</w:t>
      </w:r>
      <w:r>
        <w:rPr>
          <w:lang w:val="es-CO"/>
        </w:rPr>
        <w:t>:</w:t>
      </w:r>
      <w:r>
        <w:rPr>
          <w:lang w:val="es-CO"/>
        </w:rPr>
        <w:tab/>
        <w:t>Tasa efectiva mensual</w:t>
      </w:r>
    </w:p>
    <w:p w:rsidR="005E496E" w:rsidRPr="004B0833" w:rsidRDefault="005E496E" w:rsidP="005E496E">
      <w:pPr>
        <w:spacing w:after="120"/>
        <w:ind w:left="2977"/>
        <w:rPr>
          <w:lang w:val="es-CO"/>
        </w:rPr>
      </w:pPr>
      <w:r w:rsidRPr="0026378E">
        <w:rPr>
          <w:i/>
          <w:sz w:val="28"/>
          <w:lang w:val="es-CO"/>
        </w:rPr>
        <w:t>r</w:t>
      </w:r>
      <w:r w:rsidRPr="0026378E">
        <w:rPr>
          <w:i/>
          <w:vertAlign w:val="subscript"/>
          <w:lang w:val="es-CO"/>
        </w:rPr>
        <w:t>E</w:t>
      </w:r>
      <w:r>
        <w:rPr>
          <w:i/>
          <w:vertAlign w:val="subscript"/>
          <w:lang w:val="es-CO"/>
        </w:rPr>
        <w:t>A</w:t>
      </w:r>
      <w:r>
        <w:rPr>
          <w:lang w:val="es-CO"/>
        </w:rPr>
        <w:t>:</w:t>
      </w:r>
      <w:r>
        <w:rPr>
          <w:lang w:val="es-CO"/>
        </w:rPr>
        <w:tab/>
        <w:t>Tasa efectiva anual</w:t>
      </w:r>
    </w:p>
    <w:p w:rsidR="005E496E" w:rsidRDefault="005E496E" w:rsidP="005E496E">
      <w:pPr>
        <w:ind w:left="2977" w:hanging="1843"/>
      </w:pPr>
      <w:r>
        <w:rPr>
          <w:i/>
        </w:rPr>
        <w:t>Sub1</w:t>
      </w:r>
      <w:r>
        <w:rPr>
          <w:i/>
          <w:vertAlign w:val="subscript"/>
        </w:rPr>
        <w:t>i,j,T</w:t>
      </w:r>
      <w:r>
        <w:t>:</w:t>
      </w:r>
      <w:r>
        <w:tab/>
      </w:r>
      <w:r w:rsidRPr="0026378E">
        <w:t xml:space="preserve">Valor </w:t>
      </w:r>
      <w:r>
        <w:t xml:space="preserve">absoluto del </w:t>
      </w:r>
      <w:r w:rsidRPr="0026378E">
        <w:t xml:space="preserve">promedio del déficit de subsidios causados y no pagados una vez finalizado cada trimestre, de acuerdo con las validaciones realizadas por el Ministerio de Minas y Energía, de conformidad con el artículo 5 del Decreto 847 de 2001 o aquel que lo modifique, complemente o sustituya, para el comercializador </w:t>
      </w:r>
      <w:r w:rsidRPr="00066A23">
        <w:rPr>
          <w:i/>
        </w:rPr>
        <w:t>i</w:t>
      </w:r>
      <w:r w:rsidRPr="0026378E">
        <w:t xml:space="preserve">, en el mercado de comercialización </w:t>
      </w:r>
      <w:r w:rsidRPr="00066A23">
        <w:rPr>
          <w:i/>
        </w:rPr>
        <w:t>j</w:t>
      </w:r>
      <w:r w:rsidRPr="0026378E">
        <w:t xml:space="preserve">, para los trimestres </w:t>
      </w:r>
      <w:r w:rsidRPr="00066A23">
        <w:rPr>
          <w:i/>
        </w:rPr>
        <w:t>T</w:t>
      </w:r>
      <w:r w:rsidRPr="0026378E">
        <w:t>.</w:t>
      </w:r>
    </w:p>
    <w:p w:rsidR="005E496E" w:rsidRDefault="005E496E" w:rsidP="005E496E">
      <w:pPr>
        <w:spacing w:before="200" w:after="200"/>
        <w:ind w:left="2977" w:hanging="1843"/>
      </w:pPr>
      <w:r>
        <w:rPr>
          <w:i/>
        </w:rPr>
        <w:t>M</w:t>
      </w:r>
      <w:r>
        <w:t>:</w:t>
      </w:r>
      <w:r>
        <w:tab/>
      </w:r>
      <w:r w:rsidRPr="00E04B86">
        <w:t xml:space="preserve">Promedio del número de meses de pago anticipado respecto de la finalización de los trimestres </w:t>
      </w:r>
      <w:r w:rsidRPr="00066A23">
        <w:rPr>
          <w:i/>
        </w:rPr>
        <w:t>T</w:t>
      </w:r>
      <w:r w:rsidRPr="00E04B86">
        <w:t xml:space="preserve"> para el comercializador deficitario </w:t>
      </w:r>
      <w:r w:rsidRPr="00066A23">
        <w:rPr>
          <w:i/>
        </w:rPr>
        <w:t>i</w:t>
      </w:r>
      <w:r w:rsidRPr="00E04B86">
        <w:t xml:space="preserve">, en el mercado de comercialización </w:t>
      </w:r>
      <w:r w:rsidRPr="00066A23">
        <w:rPr>
          <w:i/>
        </w:rPr>
        <w:t>j</w:t>
      </w:r>
      <w:r>
        <w:t>.</w:t>
      </w:r>
    </w:p>
    <w:p w:rsidR="005E496E" w:rsidRDefault="005E496E" w:rsidP="005E496E">
      <w:pPr>
        <w:spacing w:before="200" w:after="200"/>
        <w:ind w:left="2977" w:hanging="1843"/>
      </w:pPr>
      <w:r>
        <w:tab/>
      </w:r>
      <w:r w:rsidRPr="00E04B86">
        <w:t xml:space="preserve">En el caso que para un trimestre </w:t>
      </w:r>
      <w:r w:rsidRPr="00066A23">
        <w:rPr>
          <w:i/>
        </w:rPr>
        <w:t>T</w:t>
      </w:r>
      <w:r w:rsidRPr="00E04B86">
        <w:t xml:space="preserve"> se presente más de un </w:t>
      </w:r>
      <w:r>
        <w:t xml:space="preserve">pago anticipado </w:t>
      </w:r>
      <w:r w:rsidRPr="00E04B86">
        <w:t xml:space="preserve">se deberá calcular el promedio ponderado del tiempo transcurrido desde </w:t>
      </w:r>
      <w:r>
        <w:t xml:space="preserve">el pago anticipado hasta </w:t>
      </w:r>
      <w:r w:rsidRPr="00E04B86">
        <w:t xml:space="preserve">finalización del trimestre empleando los valores de los </w:t>
      </w:r>
      <w:r>
        <w:t xml:space="preserve">pagos </w:t>
      </w:r>
      <w:r w:rsidRPr="00E04B86">
        <w:t xml:space="preserve">realizados. </w:t>
      </w:r>
    </w:p>
    <w:p w:rsidR="005E496E" w:rsidRDefault="005E496E" w:rsidP="005E496E">
      <w:pPr>
        <w:spacing w:before="200" w:after="200"/>
        <w:ind w:left="2977" w:hanging="1843"/>
      </w:pPr>
      <w:r>
        <w:rPr>
          <w:i/>
        </w:rPr>
        <w:t>r</w:t>
      </w:r>
      <w:r>
        <w:rPr>
          <w:i/>
          <w:sz w:val="22"/>
          <w:vertAlign w:val="subscript"/>
        </w:rPr>
        <w:t>2</w:t>
      </w:r>
      <w:r>
        <w:tab/>
        <w:t xml:space="preserve">Costo de oportunidad mes vencido, calculado como el promedio ponderado de las tasas de los Certificados de Depósito de Ahorro a Término, vigentes a partir del segundo mes del último trimestre de </w:t>
      </w:r>
      <w:r>
        <w:rPr>
          <w:i/>
        </w:rPr>
        <w:t xml:space="preserve">T </w:t>
      </w:r>
      <w:r w:rsidRPr="00066A23">
        <w:t xml:space="preserve">y hasta el mes </w:t>
      </w:r>
      <w:r w:rsidRPr="00066A23">
        <w:lastRenderedPageBreak/>
        <w:t>anterior al mes de giro de subsidios por parte del Ministerio de Minas y Energía</w:t>
      </w:r>
      <w:r>
        <w:t>. Para la ponderación se emplea el monto colocado.</w:t>
      </w:r>
    </w:p>
    <w:p w:rsidR="005E496E" w:rsidRDefault="005E496E" w:rsidP="005E496E">
      <w:pPr>
        <w:spacing w:before="200" w:after="200"/>
        <w:ind w:left="2977" w:hanging="1843"/>
      </w:pPr>
      <w:r>
        <w:tab/>
        <w:t>La fuente de información será la publicada por el Banco de la República de acuerdo con el Formato 441, Circular 100 de 1995 de la Superintendencia Financiera de Colombia. La tasa efectiva anual publicada deberá mensualizarse para su aplicación utilizando la siguiente expresión.</w:t>
      </w:r>
    </w:p>
    <w:p w:rsidR="005E496E" w:rsidRPr="004B0833" w:rsidRDefault="00D9229F" w:rsidP="005E496E">
      <w:pPr>
        <w:rPr>
          <w:sz w:val="28"/>
          <w:lang w:val="es-CO"/>
        </w:rPr>
      </w:pPr>
      <m:oMathPara>
        <m:oMathParaPr>
          <m:jc m:val="center"/>
        </m:oMathParaPr>
        <m:oMath>
          <m:sSub>
            <m:sSubPr>
              <m:ctrlPr>
                <w:rPr>
                  <w:rFonts w:ascii="Cambria Math" w:hAnsi="Cambria Math"/>
                  <w:i/>
                  <w:sz w:val="28"/>
                  <w:lang w:val="es-CO"/>
                </w:rPr>
              </m:ctrlPr>
            </m:sSubPr>
            <m:e>
              <m:r>
                <w:rPr>
                  <w:rFonts w:ascii="Cambria Math" w:hAnsi="Cambria Math"/>
                  <w:sz w:val="28"/>
                  <w:lang w:val="es-CO"/>
                </w:rPr>
                <m:t>r</m:t>
              </m:r>
            </m:e>
            <m:sub>
              <m:r>
                <w:rPr>
                  <w:rFonts w:ascii="Cambria Math" w:hAnsi="Cambria Math"/>
                  <w:sz w:val="28"/>
                  <w:lang w:val="es-CO"/>
                </w:rPr>
                <m:t>EM</m:t>
              </m:r>
            </m:sub>
          </m:sSub>
          <m:r>
            <w:rPr>
              <w:rFonts w:ascii="Cambria Math" w:hAnsi="Cambria Math"/>
              <w:sz w:val="28"/>
              <w:lang w:val="es-CO"/>
            </w:rPr>
            <m:t>=</m:t>
          </m:r>
          <m:sSup>
            <m:sSupPr>
              <m:ctrlPr>
                <w:rPr>
                  <w:rFonts w:ascii="Cambria Math" w:hAnsi="Cambria Math"/>
                  <w:i/>
                  <w:sz w:val="28"/>
                  <w:lang w:val="es-CO"/>
                </w:rPr>
              </m:ctrlPr>
            </m:sSupPr>
            <m:e>
              <m:d>
                <m:dPr>
                  <m:ctrlPr>
                    <w:rPr>
                      <w:rFonts w:ascii="Cambria Math" w:hAnsi="Cambria Math"/>
                      <w:i/>
                      <w:sz w:val="28"/>
                      <w:lang w:val="es-CO"/>
                    </w:rPr>
                  </m:ctrlPr>
                </m:dPr>
                <m:e>
                  <m:r>
                    <w:rPr>
                      <w:rFonts w:ascii="Cambria Math" w:hAnsi="Cambria Math"/>
                      <w:sz w:val="28"/>
                      <w:lang w:val="es-CO"/>
                    </w:rPr>
                    <m:t>1+</m:t>
                  </m:r>
                  <m:sSub>
                    <m:sSubPr>
                      <m:ctrlPr>
                        <w:rPr>
                          <w:rFonts w:ascii="Cambria Math" w:hAnsi="Cambria Math"/>
                          <w:i/>
                          <w:sz w:val="28"/>
                          <w:lang w:val="es-CO"/>
                        </w:rPr>
                      </m:ctrlPr>
                    </m:sSubPr>
                    <m:e>
                      <m:r>
                        <w:rPr>
                          <w:rFonts w:ascii="Cambria Math" w:hAnsi="Cambria Math"/>
                          <w:sz w:val="28"/>
                          <w:lang w:val="es-CO"/>
                        </w:rPr>
                        <m:t>r</m:t>
                      </m:r>
                    </m:e>
                    <m:sub>
                      <m:r>
                        <w:rPr>
                          <w:rFonts w:ascii="Cambria Math" w:hAnsi="Cambria Math"/>
                          <w:sz w:val="28"/>
                          <w:lang w:val="es-CO"/>
                        </w:rPr>
                        <m:t>EA</m:t>
                      </m:r>
                    </m:sub>
                  </m:sSub>
                </m:e>
              </m:d>
            </m:e>
            <m:sup>
              <m:f>
                <m:fPr>
                  <m:ctrlPr>
                    <w:rPr>
                      <w:rFonts w:ascii="Cambria Math" w:hAnsi="Cambria Math"/>
                      <w:i/>
                      <w:sz w:val="28"/>
                      <w:lang w:val="es-CO"/>
                    </w:rPr>
                  </m:ctrlPr>
                </m:fPr>
                <m:num>
                  <m:r>
                    <w:rPr>
                      <w:rFonts w:ascii="Cambria Math" w:hAnsi="Cambria Math"/>
                      <w:sz w:val="28"/>
                      <w:lang w:val="es-CO"/>
                    </w:rPr>
                    <m:t>1</m:t>
                  </m:r>
                </m:num>
                <m:den>
                  <m:r>
                    <w:rPr>
                      <w:rFonts w:ascii="Cambria Math" w:hAnsi="Cambria Math"/>
                      <w:sz w:val="28"/>
                      <w:lang w:val="es-CO"/>
                    </w:rPr>
                    <m:t>12</m:t>
                  </m:r>
                </m:den>
              </m:f>
            </m:sup>
          </m:sSup>
          <m:r>
            <w:rPr>
              <w:rFonts w:ascii="Cambria Math" w:hAnsi="Cambria Math"/>
              <w:sz w:val="28"/>
              <w:lang w:val="es-CO"/>
            </w:rPr>
            <m:t>-1</m:t>
          </m:r>
        </m:oMath>
      </m:oMathPara>
    </w:p>
    <w:p w:rsidR="005E496E" w:rsidRDefault="005E496E" w:rsidP="005E496E">
      <w:pPr>
        <w:ind w:left="2977"/>
        <w:rPr>
          <w:lang w:val="es-CO"/>
        </w:rPr>
      </w:pPr>
    </w:p>
    <w:p w:rsidR="005E496E" w:rsidRDefault="005E496E" w:rsidP="005E496E">
      <w:pPr>
        <w:ind w:left="2977"/>
        <w:rPr>
          <w:lang w:val="es-CO"/>
        </w:rPr>
      </w:pPr>
      <w:r>
        <w:rPr>
          <w:lang w:val="es-CO"/>
        </w:rPr>
        <w:t>Con:</w:t>
      </w:r>
    </w:p>
    <w:p w:rsidR="005E496E" w:rsidRDefault="005E496E" w:rsidP="005E496E">
      <w:pPr>
        <w:spacing w:before="120" w:after="120"/>
        <w:ind w:left="2977"/>
        <w:rPr>
          <w:lang w:val="es-CO"/>
        </w:rPr>
      </w:pPr>
      <w:r w:rsidRPr="0026378E">
        <w:rPr>
          <w:i/>
          <w:sz w:val="28"/>
          <w:lang w:val="es-CO"/>
        </w:rPr>
        <w:t>r</w:t>
      </w:r>
      <w:r w:rsidRPr="0026378E">
        <w:rPr>
          <w:i/>
          <w:vertAlign w:val="subscript"/>
          <w:lang w:val="es-CO"/>
        </w:rPr>
        <w:t>EM</w:t>
      </w:r>
      <w:r>
        <w:rPr>
          <w:lang w:val="es-CO"/>
        </w:rPr>
        <w:t>:</w:t>
      </w:r>
      <w:r>
        <w:rPr>
          <w:lang w:val="es-CO"/>
        </w:rPr>
        <w:tab/>
        <w:t>Tasa efectiva mensual</w:t>
      </w:r>
    </w:p>
    <w:p w:rsidR="005E496E" w:rsidRPr="004B0833" w:rsidRDefault="005E496E" w:rsidP="005E496E">
      <w:pPr>
        <w:spacing w:before="120" w:after="120"/>
        <w:ind w:left="2977"/>
        <w:rPr>
          <w:lang w:val="es-CO"/>
        </w:rPr>
      </w:pPr>
      <w:r w:rsidRPr="0026378E">
        <w:rPr>
          <w:i/>
          <w:sz w:val="28"/>
          <w:lang w:val="es-CO"/>
        </w:rPr>
        <w:t>r</w:t>
      </w:r>
      <w:r w:rsidRPr="0026378E">
        <w:rPr>
          <w:i/>
          <w:vertAlign w:val="subscript"/>
          <w:lang w:val="es-CO"/>
        </w:rPr>
        <w:t>E</w:t>
      </w:r>
      <w:r>
        <w:rPr>
          <w:i/>
          <w:vertAlign w:val="subscript"/>
          <w:lang w:val="es-CO"/>
        </w:rPr>
        <w:t>A</w:t>
      </w:r>
      <w:r>
        <w:rPr>
          <w:lang w:val="es-CO"/>
        </w:rPr>
        <w:t>:</w:t>
      </w:r>
      <w:r>
        <w:rPr>
          <w:lang w:val="es-CO"/>
        </w:rPr>
        <w:tab/>
        <w:t>Tasa efectiva anual</w:t>
      </w:r>
    </w:p>
    <w:p w:rsidR="005E496E" w:rsidRDefault="005E496E" w:rsidP="005E496E">
      <w:pPr>
        <w:spacing w:before="200" w:after="200"/>
        <w:ind w:left="2977" w:hanging="1843"/>
      </w:pPr>
      <w:r>
        <w:rPr>
          <w:i/>
        </w:rPr>
        <w:t>Sub2</w:t>
      </w:r>
      <w:r>
        <w:rPr>
          <w:i/>
          <w:vertAlign w:val="subscript"/>
        </w:rPr>
        <w:t>i,j,T</w:t>
      </w:r>
      <w:r>
        <w:t>:</w:t>
      </w:r>
      <w:r>
        <w:tab/>
      </w:r>
      <w:r w:rsidRPr="0074144F">
        <w:t xml:space="preserve">Valor promedio del déficit de subsidios pagados antes de finalizar cada trimestre, de acuerdo con las validaciones realizadas por el Ministerio de Minas y Energía, de conformidad con el artículo 5 del Decreto 847 de 2001 o aquel que lo modifique o sustituya, para el comercializador </w:t>
      </w:r>
      <w:r w:rsidRPr="00066A23">
        <w:rPr>
          <w:i/>
        </w:rPr>
        <w:t>i</w:t>
      </w:r>
      <w:r w:rsidRPr="0074144F">
        <w:t xml:space="preserve">, en el mercado de comercialización </w:t>
      </w:r>
      <w:r w:rsidRPr="00066A23">
        <w:rPr>
          <w:i/>
        </w:rPr>
        <w:t>j</w:t>
      </w:r>
      <w:r w:rsidRPr="0074144F">
        <w:t xml:space="preserve">, para los trimestres </w:t>
      </w:r>
      <w:r w:rsidRPr="00066A23">
        <w:rPr>
          <w:i/>
        </w:rPr>
        <w:t>T</w:t>
      </w:r>
      <w:r w:rsidRPr="0074144F">
        <w:t>.</w:t>
      </w:r>
    </w:p>
    <w:p w:rsidR="005E496E" w:rsidRDefault="005E496E" w:rsidP="005E496E">
      <w:pPr>
        <w:spacing w:before="200" w:after="200"/>
        <w:ind w:left="2977" w:hanging="1843"/>
        <w:rPr>
          <w:b/>
        </w:rPr>
      </w:pPr>
      <w:r>
        <w:rPr>
          <w:i/>
        </w:rPr>
        <w:t>Facturación</w:t>
      </w:r>
      <w:r>
        <w:rPr>
          <w:i/>
          <w:vertAlign w:val="subscript"/>
        </w:rPr>
        <w:t>i,j,T</w:t>
      </w:r>
      <w:r>
        <w:t>:</w:t>
      </w:r>
      <w:r>
        <w:tab/>
        <w:t>Corresponde al promedio de facturación por concepto de ventas de energía realizadas por el comercializador</w:t>
      </w:r>
      <w:r>
        <w:rPr>
          <w:i/>
        </w:rPr>
        <w:t xml:space="preserve"> i</w:t>
      </w:r>
      <w:r>
        <w:t xml:space="preserve">, en el mercado de comercialización </w:t>
      </w:r>
      <w:r>
        <w:rPr>
          <w:i/>
        </w:rPr>
        <w:t>j</w:t>
      </w:r>
      <w:r>
        <w:t xml:space="preserve">, en los trimestres </w:t>
      </w:r>
      <w:r>
        <w:rPr>
          <w:i/>
        </w:rPr>
        <w:t>T</w:t>
      </w:r>
      <w:r>
        <w:t>. Esta facturación debe coincidir con lo reportado al Sistema Unificado de Información, SUI, para usuarios regulados en los formatos 2 y 3 de la Resolución SSPD 20102400008055 o aquella que la modifique, complemente o sustituya.</w:t>
      </w:r>
      <w:r w:rsidRPr="00066A23">
        <w:t>”</w:t>
      </w:r>
    </w:p>
    <w:p w:rsidR="005E496E" w:rsidRDefault="005E496E" w:rsidP="005E496E">
      <w:pPr>
        <w:pStyle w:val="Artculo"/>
        <w:numPr>
          <w:ilvl w:val="0"/>
          <w:numId w:val="24"/>
        </w:numPr>
        <w:spacing w:before="200" w:after="200"/>
        <w:rPr>
          <w:b w:val="0"/>
          <w:lang w:val="es-CO"/>
        </w:rPr>
      </w:pPr>
      <w:r>
        <w:rPr>
          <w:caps w:val="0"/>
          <w:lang w:val="es-CO"/>
        </w:rPr>
        <w:t xml:space="preserve">Vigencia. </w:t>
      </w:r>
      <w:r>
        <w:rPr>
          <w:b w:val="0"/>
          <w:caps w:val="0"/>
          <w:lang w:val="es-CO"/>
        </w:rPr>
        <w:t xml:space="preserve">La presente resolución rige a partir de la fecha de su publicación en el </w:t>
      </w:r>
      <w:r>
        <w:rPr>
          <w:b w:val="0"/>
          <w:i/>
          <w:caps w:val="0"/>
          <w:lang w:val="es-CO"/>
        </w:rPr>
        <w:t>Diario Oficial</w:t>
      </w:r>
      <w:r>
        <w:rPr>
          <w:b w:val="0"/>
          <w:caps w:val="0"/>
          <w:lang w:val="es-CO"/>
        </w:rPr>
        <w:t>, modifica el artículo 18 de la Resolución CREG 180 de 2014 y deroga las demás normas que le sean contrarias.</w:t>
      </w:r>
    </w:p>
    <w:p w:rsidR="005E496E" w:rsidRDefault="005E496E" w:rsidP="005E496E">
      <w:pPr>
        <w:pStyle w:val="Artculo"/>
        <w:numPr>
          <w:ilvl w:val="0"/>
          <w:numId w:val="0"/>
        </w:numPr>
        <w:rPr>
          <w:lang w:val="es-CO"/>
        </w:rPr>
      </w:pPr>
    </w:p>
    <w:p w:rsidR="005E496E" w:rsidRDefault="005E496E" w:rsidP="005E496E">
      <w:pPr>
        <w:jc w:val="center"/>
        <w:rPr>
          <w:b/>
          <w:lang w:val="es-CO"/>
        </w:rPr>
      </w:pPr>
      <w:r>
        <w:rPr>
          <w:b/>
          <w:lang w:val="es-CO"/>
        </w:rPr>
        <w:t>PUBLÍQUESE Y CÚMPLASE</w:t>
      </w:r>
    </w:p>
    <w:p w:rsidR="005E496E" w:rsidRDefault="005E496E" w:rsidP="005E496E">
      <w:pPr>
        <w:jc w:val="left"/>
        <w:rPr>
          <w:lang w:val="es-CO"/>
        </w:rPr>
      </w:pPr>
    </w:p>
    <w:p w:rsidR="005E496E" w:rsidRDefault="005E496E" w:rsidP="005E496E">
      <w:pPr>
        <w:jc w:val="left"/>
        <w:rPr>
          <w:lang w:val="es-CO"/>
        </w:rPr>
      </w:pPr>
      <w:r>
        <w:rPr>
          <w:lang w:val="es-CO"/>
        </w:rPr>
        <w:t>Firma del proyecto,</w:t>
      </w:r>
    </w:p>
    <w:p w:rsidR="005E496E" w:rsidRDefault="005E496E" w:rsidP="005E496E">
      <w:pPr>
        <w:pStyle w:val="Ttulo4"/>
        <w:tabs>
          <w:tab w:val="left" w:pos="0"/>
          <w:tab w:val="right" w:pos="9356"/>
        </w:tabs>
        <w:rPr>
          <w:lang w:val="es-CO"/>
        </w:rPr>
      </w:pPr>
    </w:p>
    <w:p w:rsidR="005E496E" w:rsidRDefault="005E496E" w:rsidP="005E496E">
      <w:pPr>
        <w:rPr>
          <w:lang w:val="es-CO"/>
        </w:rPr>
      </w:pPr>
    </w:p>
    <w:p w:rsidR="005E496E" w:rsidRPr="002C38B7" w:rsidRDefault="005E496E" w:rsidP="005E496E">
      <w:pPr>
        <w:rPr>
          <w:lang w:val="es-CO"/>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5E496E" w:rsidTr="003F0320">
        <w:trPr>
          <w:tblCellSpacing w:w="0" w:type="dxa"/>
        </w:trPr>
        <w:tc>
          <w:tcPr>
            <w:tcW w:w="5245" w:type="dxa"/>
            <w:shd w:val="clear" w:color="auto" w:fill="FFFFFF"/>
            <w:hideMark/>
          </w:tcPr>
          <w:p w:rsidR="005E496E" w:rsidRPr="00F37EF4" w:rsidRDefault="005E496E" w:rsidP="003F0320">
            <w:pPr>
              <w:jc w:val="center"/>
              <w:rPr>
                <w:b/>
              </w:rPr>
            </w:pPr>
            <w:r w:rsidRPr="00F37EF4">
              <w:rPr>
                <w:b/>
              </w:rPr>
              <w:t>RUTTY PAOLA ORTIZ JARA</w:t>
            </w:r>
          </w:p>
        </w:tc>
        <w:tc>
          <w:tcPr>
            <w:tcW w:w="4253" w:type="dxa"/>
            <w:shd w:val="clear" w:color="auto" w:fill="FFFFFF"/>
            <w:hideMark/>
          </w:tcPr>
          <w:p w:rsidR="005E496E" w:rsidRDefault="005E496E" w:rsidP="003F0320">
            <w:pPr>
              <w:jc w:val="center"/>
              <w:rPr>
                <w:rFonts w:cs="Arial"/>
                <w:lang w:val="es-CO" w:eastAsia="es-CO"/>
              </w:rPr>
            </w:pPr>
            <w:r>
              <w:rPr>
                <w:rFonts w:cs="Arial"/>
                <w:b/>
                <w:bCs/>
                <w:lang w:val="es-CO" w:eastAsia="es-CO"/>
              </w:rPr>
              <w:t>GERMÁN CASTRO FERREIRA</w:t>
            </w:r>
          </w:p>
        </w:tc>
      </w:tr>
      <w:tr w:rsidR="005E496E" w:rsidTr="003F0320">
        <w:trPr>
          <w:tblCellSpacing w:w="0" w:type="dxa"/>
        </w:trPr>
        <w:tc>
          <w:tcPr>
            <w:tcW w:w="5245" w:type="dxa"/>
            <w:shd w:val="clear" w:color="auto" w:fill="FFFFFF"/>
            <w:hideMark/>
          </w:tcPr>
          <w:p w:rsidR="005E496E" w:rsidRPr="00F37EF4" w:rsidRDefault="005E496E" w:rsidP="003F0320">
            <w:pPr>
              <w:suppressAutoHyphens/>
              <w:jc w:val="center"/>
            </w:pPr>
            <w:r w:rsidRPr="00F37EF4">
              <w:t>Viceministra de Energía</w:t>
            </w:r>
          </w:p>
        </w:tc>
        <w:tc>
          <w:tcPr>
            <w:tcW w:w="4253" w:type="dxa"/>
            <w:shd w:val="clear" w:color="auto" w:fill="FFFFFF"/>
            <w:hideMark/>
          </w:tcPr>
          <w:p w:rsidR="005E496E" w:rsidRDefault="005E496E" w:rsidP="003F0320">
            <w:pPr>
              <w:jc w:val="center"/>
              <w:rPr>
                <w:rFonts w:cs="Arial"/>
                <w:lang w:val="es-CO" w:eastAsia="es-CO"/>
              </w:rPr>
            </w:pPr>
            <w:r>
              <w:rPr>
                <w:rFonts w:cs="Arial"/>
                <w:lang w:val="es-CO" w:eastAsia="es-CO"/>
              </w:rPr>
              <w:t>Director Ejecutivo</w:t>
            </w:r>
          </w:p>
        </w:tc>
      </w:tr>
      <w:tr w:rsidR="005E496E" w:rsidTr="003F0320">
        <w:trPr>
          <w:tblCellSpacing w:w="0" w:type="dxa"/>
        </w:trPr>
        <w:tc>
          <w:tcPr>
            <w:tcW w:w="5245" w:type="dxa"/>
            <w:shd w:val="clear" w:color="auto" w:fill="FFFFFF"/>
            <w:hideMark/>
          </w:tcPr>
          <w:p w:rsidR="005E496E" w:rsidRPr="00F37EF4" w:rsidRDefault="005E496E" w:rsidP="003F0320">
            <w:pPr>
              <w:suppressAutoHyphens/>
              <w:jc w:val="center"/>
            </w:pPr>
            <w:r w:rsidRPr="00F37EF4">
              <w:t>Delegada del Ministro de Minas y Energía</w:t>
            </w:r>
          </w:p>
        </w:tc>
        <w:tc>
          <w:tcPr>
            <w:tcW w:w="4253" w:type="dxa"/>
            <w:shd w:val="clear" w:color="auto" w:fill="FFFFFF"/>
            <w:hideMark/>
          </w:tcPr>
          <w:p w:rsidR="005E496E" w:rsidRDefault="005E496E" w:rsidP="003F0320">
            <w:pPr>
              <w:jc w:val="left"/>
              <w:rPr>
                <w:rFonts w:cs="Arial"/>
                <w:lang w:val="es-CO" w:eastAsia="es-CO"/>
              </w:rPr>
            </w:pPr>
            <w:r w:rsidRPr="004836D4">
              <w:rPr>
                <w:rFonts w:cs="Arial"/>
                <w:noProof/>
                <w:lang w:val="es-CO" w:eastAsia="es-CO"/>
              </w:rPr>
              <w:drawing>
                <wp:inline distT="0" distB="0" distL="0" distR="0" wp14:anchorId="187423BD" wp14:editId="3A8BC7ED">
                  <wp:extent cx="8890" cy="8890"/>
                  <wp:effectExtent l="0" t="0" r="0" b="0"/>
                  <wp:docPr id="5" name="Imagen 5"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5E496E" w:rsidTr="003F0320">
        <w:trPr>
          <w:tblCellSpacing w:w="0" w:type="dxa"/>
        </w:trPr>
        <w:tc>
          <w:tcPr>
            <w:tcW w:w="5245" w:type="dxa"/>
            <w:shd w:val="clear" w:color="auto" w:fill="FFFFFF"/>
          </w:tcPr>
          <w:p w:rsidR="005E496E" w:rsidRDefault="005E496E" w:rsidP="003F0320">
            <w:pPr>
              <w:jc w:val="center"/>
            </w:pPr>
            <w:r w:rsidRPr="00F37EF4">
              <w:t>Presidente</w:t>
            </w:r>
          </w:p>
        </w:tc>
        <w:tc>
          <w:tcPr>
            <w:tcW w:w="4253" w:type="dxa"/>
            <w:shd w:val="clear" w:color="auto" w:fill="FFFFFF"/>
          </w:tcPr>
          <w:p w:rsidR="005E496E" w:rsidRPr="004836D4" w:rsidRDefault="005E496E" w:rsidP="003F0320">
            <w:pPr>
              <w:jc w:val="left"/>
              <w:rPr>
                <w:rFonts w:cs="Arial"/>
                <w:noProof/>
                <w:lang w:val="es-CO" w:eastAsia="es-CO"/>
              </w:rPr>
            </w:pPr>
          </w:p>
        </w:tc>
      </w:tr>
    </w:tbl>
    <w:p w:rsidR="00A26DEA" w:rsidRDefault="00A26DEA" w:rsidP="00C95040">
      <w:pPr>
        <w:spacing w:before="240" w:after="240"/>
        <w:rPr>
          <w:lang w:val="es-CO"/>
        </w:rPr>
      </w:pPr>
    </w:p>
    <w:sectPr w:rsidR="00A26DEA" w:rsidSect="005D352F">
      <w:headerReference w:type="default" r:id="rId12"/>
      <w:headerReference w:type="first" r:id="rId13"/>
      <w:type w:val="continuous"/>
      <w:pgSz w:w="12242" w:h="18722" w:code="123"/>
      <w:pgMar w:top="2342" w:right="1185" w:bottom="187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B96" w:rsidRDefault="00810B96">
      <w:r>
        <w:separator/>
      </w:r>
    </w:p>
    <w:p w:rsidR="00810B96" w:rsidRDefault="00810B96"/>
    <w:p w:rsidR="00810B96" w:rsidRDefault="00810B96" w:rsidP="00C851C0"/>
  </w:endnote>
  <w:endnote w:type="continuationSeparator" w:id="0">
    <w:p w:rsidR="00810B96" w:rsidRDefault="00810B96">
      <w:r>
        <w:continuationSeparator/>
      </w:r>
    </w:p>
    <w:p w:rsidR="00810B96" w:rsidRDefault="00810B96"/>
    <w:p w:rsidR="00810B96" w:rsidRDefault="00810B96"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B96" w:rsidRDefault="00810B96">
      <w:r>
        <w:separator/>
      </w:r>
    </w:p>
    <w:p w:rsidR="00810B96" w:rsidRDefault="00810B96"/>
    <w:p w:rsidR="00810B96" w:rsidRDefault="00810B96" w:rsidP="00C851C0"/>
  </w:footnote>
  <w:footnote w:type="continuationSeparator" w:id="0">
    <w:p w:rsidR="00810B96" w:rsidRDefault="00810B96">
      <w:r>
        <w:continuationSeparator/>
      </w:r>
    </w:p>
    <w:p w:rsidR="00810B96" w:rsidRDefault="00810B96"/>
    <w:p w:rsidR="00810B96" w:rsidRDefault="00810B96"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8A1" w:rsidRPr="002560C5" w:rsidRDefault="003008A1"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D9229F">
      <w:rPr>
        <w:rFonts w:cs="Arial"/>
        <w:b w:val="0"/>
        <w:noProof/>
        <w:sz w:val="22"/>
        <w:szCs w:val="22"/>
      </w:rPr>
      <w:t>6</w:t>
    </w:r>
    <w:r w:rsidRPr="002560C5">
      <w:rPr>
        <w:rFonts w:cs="Arial"/>
        <w:b w:val="0"/>
        <w:sz w:val="22"/>
        <w:szCs w:val="22"/>
      </w:rPr>
      <w:fldChar w:fldCharType="end"/>
    </w:r>
    <w:r w:rsidRPr="002560C5">
      <w:rPr>
        <w:rFonts w:cs="Arial"/>
        <w:b w:val="0"/>
        <w:sz w:val="22"/>
        <w:szCs w:val="22"/>
      </w:rPr>
      <w:t>/</w:t>
    </w:r>
    <w:r w:rsidR="00D9229F">
      <w:fldChar w:fldCharType="begin"/>
    </w:r>
    <w:r w:rsidR="00D9229F">
      <w:instrText xml:space="preserve"> NUMPAGES  \* MERGEFORMAT </w:instrText>
    </w:r>
    <w:r w:rsidR="00D9229F">
      <w:fldChar w:fldCharType="separate"/>
    </w:r>
    <w:r w:rsidR="00D9229F" w:rsidRPr="00D9229F">
      <w:rPr>
        <w:rFonts w:cs="Arial"/>
        <w:b w:val="0"/>
        <w:noProof/>
        <w:sz w:val="22"/>
        <w:szCs w:val="22"/>
      </w:rPr>
      <w:t>6</w:t>
    </w:r>
    <w:r w:rsidR="00D9229F">
      <w:rPr>
        <w:rFonts w:cs="Arial"/>
        <w:b w:val="0"/>
        <w:noProof/>
        <w:sz w:val="22"/>
        <w:szCs w:val="22"/>
      </w:rPr>
      <w:fldChar w:fldCharType="end"/>
    </w:r>
  </w:p>
  <w:p w:rsidR="003008A1" w:rsidRDefault="003008A1"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-121920</wp:posOffset>
              </wp:positionH>
              <wp:positionV relativeFrom="paragraph">
                <wp:posOffset>139065</wp:posOffset>
              </wp:positionV>
              <wp:extent cx="6267450" cy="9900920"/>
              <wp:effectExtent l="9525" t="17145" r="9525" b="165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A5087" id="Rectangle 1" o:spid="_x0000_s1026" style="position:absolute;margin-left:-9.6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C66ycw&#10;4gAAAAsBAAAPAAAAZHJzL2Rvd25yZXYueG1sTI9RS8MwFIXfBf9DuIIvsqUtWtvadAzBJwVZdTDf&#10;siS2xeamJtnW/XuvT/p4uR/nfKdezXZkR+PD4FBAukyAGVROD9gJeH97WhTAQpSo5ejQCDibAKvm&#10;8qKWlXYn3JhjGztGIRgqKaCPcao4D6o3VoalmwzS79N5KyOdvuPayxOF25FnSZJzKwekhl5O5rE3&#10;6qs9WAE3t7nV29332X+0z7vta6HWL0EJcX01rx+ARTPHPxh+9UkdGnLauwPqwEYBi7TMCBWQpSUw&#10;Asr8nrbsibwr0hR4U/P/G5ofAAAA//8DAFBLAQItABQABgAIAAAAIQC2gziS/gAAAOEBAAATAAAA&#10;AAAAAAAAAAAAAAAAAABbQ29udGVudF9UeXBlc10ueG1sUEsBAi0AFAAGAAgAAAAhADj9If/WAAAA&#10;lAEAAAsAAAAAAAAAAAAAAAAALwEAAF9yZWxzLy5yZWxzUEsBAi0AFAAGAAgAAAAhAAZtt+R6AgAA&#10;/QQAAA4AAAAAAAAAAAAAAAAALgIAAGRycy9lMm9Eb2MueG1sUEsBAi0AFAAGAAgAAAAhALrrJzDi&#10;AAAACwEAAA8AAAAAAAAAAAAAAAAA1AQAAGRycy9kb3ducmV2LnhtbFBLBQYAAAAABAAEAPMAAADj&#10;BQAAAAA=&#10;" filled="f" strokeweight="1.5pt"/>
          </w:pict>
        </mc:Fallback>
      </mc:AlternateContent>
    </w:r>
  </w:p>
  <w:p w:rsidR="003008A1" w:rsidRPr="00955F64" w:rsidRDefault="003008A1" w:rsidP="00636835">
    <w:pPr>
      <w:pBdr>
        <w:bottom w:val="single" w:sz="4" w:space="1" w:color="auto"/>
      </w:pBdr>
      <w:rPr>
        <w:sz w:val="22"/>
        <w:szCs w:val="22"/>
      </w:rPr>
    </w:pPr>
    <w:r w:rsidRPr="00955F64">
      <w:rPr>
        <w:sz w:val="22"/>
        <w:szCs w:val="22"/>
      </w:rPr>
      <w:t>Por la cual se ordena hacer público el proyecto de resolución “Por la cual se modifica el artículo 18 de la Resolución CREG 180 de 2014”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8A1" w:rsidRDefault="003008A1" w:rsidP="00025383">
    <w:pPr>
      <w:pStyle w:val="Encabezado"/>
      <w:rPr>
        <w:rFonts w:ascii="Arial" w:hAnsi="Arial" w:cs="Arial"/>
        <w:spacing w:val="20"/>
        <w:sz w:val="20"/>
      </w:rPr>
    </w:pPr>
    <w:r>
      <w:rPr>
        <w:rFonts w:ascii="Arial" w:hAnsi="Arial" w:cs="Arial"/>
        <w:spacing w:val="20"/>
        <w:sz w:val="20"/>
      </w:rPr>
      <w:t xml:space="preserve">                                          República de Colombia</w:t>
    </w:r>
  </w:p>
  <w:p w:rsidR="003008A1" w:rsidRDefault="003008A1">
    <w:pPr>
      <w:pStyle w:val="Encabezado"/>
      <w:jc w:val="center"/>
      <w:rPr>
        <w:rFonts w:ascii="Arial" w:hAnsi="Arial" w:cs="Arial"/>
        <w:spacing w:val="20"/>
        <w:sz w:val="20"/>
      </w:rPr>
    </w:pPr>
  </w:p>
  <w:p w:rsidR="003008A1" w:rsidRDefault="003008A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02BD6"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A6084"/>
    <w:multiLevelType w:val="hybridMultilevel"/>
    <w:tmpl w:val="F64A1D92"/>
    <w:lvl w:ilvl="0" w:tplc="69B0039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B113F8"/>
    <w:multiLevelType w:val="hybridMultilevel"/>
    <w:tmpl w:val="2E98E7BC"/>
    <w:lvl w:ilvl="0" w:tplc="D6DEA76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1006A7"/>
    <w:multiLevelType w:val="hybridMultilevel"/>
    <w:tmpl w:val="A784E40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20546F43"/>
    <w:multiLevelType w:val="hybridMultilevel"/>
    <w:tmpl w:val="452AD18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9" w15:restartNumberingAfterBreak="0">
    <w:nsid w:val="2D530442"/>
    <w:multiLevelType w:val="hybridMultilevel"/>
    <w:tmpl w:val="0950A2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251492"/>
    <w:multiLevelType w:val="hybridMultilevel"/>
    <w:tmpl w:val="9DD8F5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5061FA"/>
    <w:multiLevelType w:val="hybridMultilevel"/>
    <w:tmpl w:val="989AD2C2"/>
    <w:lvl w:ilvl="0" w:tplc="240A0017">
      <w:start w:val="1"/>
      <w:numFmt w:val="lowerLetter"/>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3" w15:restartNumberingAfterBreak="0">
    <w:nsid w:val="3EE6351B"/>
    <w:multiLevelType w:val="hybridMultilevel"/>
    <w:tmpl w:val="728492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C86845"/>
    <w:multiLevelType w:val="hybridMultilevel"/>
    <w:tmpl w:val="FE9EA49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C21876"/>
    <w:multiLevelType w:val="hybridMultilevel"/>
    <w:tmpl w:val="C02E36BC"/>
    <w:lvl w:ilvl="0" w:tplc="240A0011">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4F471EEB"/>
    <w:multiLevelType w:val="multilevel"/>
    <w:tmpl w:val="7F48610C"/>
    <w:name w:val="Nueva lista 3"/>
    <w:lvl w:ilvl="0">
      <w:start w:val="1"/>
      <w:numFmt w:val="decimal"/>
      <w:pStyle w:val="Artculo"/>
      <w:suff w:val="space"/>
      <w:lvlText w:val="Artículo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78311B3"/>
    <w:multiLevelType w:val="hybridMultilevel"/>
    <w:tmpl w:val="852A44D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4C359AD"/>
    <w:multiLevelType w:val="hybridMultilevel"/>
    <w:tmpl w:val="0E1CA5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0D7FF4"/>
    <w:multiLevelType w:val="hybridMultilevel"/>
    <w:tmpl w:val="7F94BE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22F4A68"/>
    <w:multiLevelType w:val="hybridMultilevel"/>
    <w:tmpl w:val="17A8E1D4"/>
    <w:lvl w:ilvl="0" w:tplc="240A0017">
      <w:start w:val="1"/>
      <w:numFmt w:val="lowerLetter"/>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8DC66DA"/>
    <w:multiLevelType w:val="hybridMultilevel"/>
    <w:tmpl w:val="E6F27E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9"/>
  </w:num>
  <w:num w:numId="10">
    <w:abstractNumId w:val="4"/>
  </w:num>
  <w:num w:numId="11">
    <w:abstractNumId w:val="20"/>
  </w:num>
  <w:num w:numId="12">
    <w:abstractNumId w:val="13"/>
  </w:num>
  <w:num w:numId="13">
    <w:abstractNumId w:val="17"/>
  </w:num>
  <w:num w:numId="14">
    <w:abstractNumId w:val="7"/>
  </w:num>
  <w:num w:numId="15">
    <w:abstractNumId w:val="10"/>
  </w:num>
  <w:num w:numId="16">
    <w:abstractNumId w:val="3"/>
  </w:num>
  <w:num w:numId="17">
    <w:abstractNumId w:val="14"/>
  </w:num>
  <w:num w:numId="18">
    <w:abstractNumId w:val="23"/>
  </w:num>
  <w:num w:numId="19">
    <w:abstractNumId w:val="5"/>
  </w:num>
  <w:num w:numId="20">
    <w:abstractNumId w:val="11"/>
  </w:num>
  <w:num w:numId="21">
    <w:abstractNumId w:val="19"/>
  </w:num>
  <w:num w:numId="22">
    <w:abstractNumId w:val="22"/>
  </w:num>
  <w:num w:numId="23">
    <w:abstractNumId w:val="1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4A8"/>
    <w:rsid w:val="0000215F"/>
    <w:rsid w:val="00005326"/>
    <w:rsid w:val="00006585"/>
    <w:rsid w:val="00006AE2"/>
    <w:rsid w:val="000076A1"/>
    <w:rsid w:val="00012259"/>
    <w:rsid w:val="00025383"/>
    <w:rsid w:val="00034669"/>
    <w:rsid w:val="00034F65"/>
    <w:rsid w:val="000446EC"/>
    <w:rsid w:val="00045D3D"/>
    <w:rsid w:val="00050885"/>
    <w:rsid w:val="00053BE6"/>
    <w:rsid w:val="00063454"/>
    <w:rsid w:val="00063657"/>
    <w:rsid w:val="00076680"/>
    <w:rsid w:val="00076A1D"/>
    <w:rsid w:val="0008073E"/>
    <w:rsid w:val="000837A5"/>
    <w:rsid w:val="0009104E"/>
    <w:rsid w:val="00091CDB"/>
    <w:rsid w:val="000A19AC"/>
    <w:rsid w:val="000B2EC9"/>
    <w:rsid w:val="000B3688"/>
    <w:rsid w:val="000C266A"/>
    <w:rsid w:val="000C64D6"/>
    <w:rsid w:val="000C784A"/>
    <w:rsid w:val="000D1E36"/>
    <w:rsid w:val="000D26F8"/>
    <w:rsid w:val="0010101F"/>
    <w:rsid w:val="0010658E"/>
    <w:rsid w:val="00106654"/>
    <w:rsid w:val="00132FE3"/>
    <w:rsid w:val="001333FC"/>
    <w:rsid w:val="0013526C"/>
    <w:rsid w:val="001405C6"/>
    <w:rsid w:val="00141013"/>
    <w:rsid w:val="00142021"/>
    <w:rsid w:val="0014363D"/>
    <w:rsid w:val="00145736"/>
    <w:rsid w:val="00152E0C"/>
    <w:rsid w:val="00177652"/>
    <w:rsid w:val="00184170"/>
    <w:rsid w:val="00192CBF"/>
    <w:rsid w:val="00192FF1"/>
    <w:rsid w:val="00197F32"/>
    <w:rsid w:val="001A39D5"/>
    <w:rsid w:val="001A5F1B"/>
    <w:rsid w:val="001B1C22"/>
    <w:rsid w:val="001B34C6"/>
    <w:rsid w:val="001C0C42"/>
    <w:rsid w:val="001D7832"/>
    <w:rsid w:val="002038CE"/>
    <w:rsid w:val="0020533E"/>
    <w:rsid w:val="00210DC1"/>
    <w:rsid w:val="00211D34"/>
    <w:rsid w:val="00214F04"/>
    <w:rsid w:val="00223E50"/>
    <w:rsid w:val="002352B9"/>
    <w:rsid w:val="00240640"/>
    <w:rsid w:val="00242F2B"/>
    <w:rsid w:val="002560C5"/>
    <w:rsid w:val="00257A41"/>
    <w:rsid w:val="00262248"/>
    <w:rsid w:val="002631B1"/>
    <w:rsid w:val="002654BA"/>
    <w:rsid w:val="00266CD6"/>
    <w:rsid w:val="002673AC"/>
    <w:rsid w:val="00273484"/>
    <w:rsid w:val="00275DAB"/>
    <w:rsid w:val="002903C0"/>
    <w:rsid w:val="002922A7"/>
    <w:rsid w:val="002A782A"/>
    <w:rsid w:val="002B11E2"/>
    <w:rsid w:val="002B24B8"/>
    <w:rsid w:val="002B71B1"/>
    <w:rsid w:val="002C7252"/>
    <w:rsid w:val="002D3AE9"/>
    <w:rsid w:val="002D4510"/>
    <w:rsid w:val="002E09F5"/>
    <w:rsid w:val="002E1770"/>
    <w:rsid w:val="002E7997"/>
    <w:rsid w:val="002F026E"/>
    <w:rsid w:val="002F0734"/>
    <w:rsid w:val="002F46E7"/>
    <w:rsid w:val="003008A1"/>
    <w:rsid w:val="00307F8B"/>
    <w:rsid w:val="003101DA"/>
    <w:rsid w:val="003111C3"/>
    <w:rsid w:val="00312DDD"/>
    <w:rsid w:val="00314757"/>
    <w:rsid w:val="00315CD0"/>
    <w:rsid w:val="003163BC"/>
    <w:rsid w:val="003211CE"/>
    <w:rsid w:val="00321B6E"/>
    <w:rsid w:val="0032714E"/>
    <w:rsid w:val="00327412"/>
    <w:rsid w:val="00327443"/>
    <w:rsid w:val="003473A2"/>
    <w:rsid w:val="0035403A"/>
    <w:rsid w:val="0036394B"/>
    <w:rsid w:val="00366DB6"/>
    <w:rsid w:val="003706AD"/>
    <w:rsid w:val="003709B5"/>
    <w:rsid w:val="003759C2"/>
    <w:rsid w:val="00377FCD"/>
    <w:rsid w:val="00380F32"/>
    <w:rsid w:val="00385A73"/>
    <w:rsid w:val="0039240B"/>
    <w:rsid w:val="00393F9F"/>
    <w:rsid w:val="00397365"/>
    <w:rsid w:val="003A31F6"/>
    <w:rsid w:val="003A3A6C"/>
    <w:rsid w:val="003B1627"/>
    <w:rsid w:val="003B2C98"/>
    <w:rsid w:val="003B7AE8"/>
    <w:rsid w:val="003C3447"/>
    <w:rsid w:val="003D0607"/>
    <w:rsid w:val="003D076C"/>
    <w:rsid w:val="003D34F9"/>
    <w:rsid w:val="003E0745"/>
    <w:rsid w:val="003E3442"/>
    <w:rsid w:val="003E7112"/>
    <w:rsid w:val="003E78B5"/>
    <w:rsid w:val="003F70F2"/>
    <w:rsid w:val="003F77E3"/>
    <w:rsid w:val="00400A3D"/>
    <w:rsid w:val="0040199C"/>
    <w:rsid w:val="00405029"/>
    <w:rsid w:val="0041597A"/>
    <w:rsid w:val="00415BAB"/>
    <w:rsid w:val="00415ED2"/>
    <w:rsid w:val="0042068C"/>
    <w:rsid w:val="00425F7D"/>
    <w:rsid w:val="00440DC7"/>
    <w:rsid w:val="0044318E"/>
    <w:rsid w:val="00443B35"/>
    <w:rsid w:val="00446813"/>
    <w:rsid w:val="00446BEE"/>
    <w:rsid w:val="0045009B"/>
    <w:rsid w:val="00450A9D"/>
    <w:rsid w:val="004526AC"/>
    <w:rsid w:val="00461D9A"/>
    <w:rsid w:val="00466988"/>
    <w:rsid w:val="0047122B"/>
    <w:rsid w:val="00473B7A"/>
    <w:rsid w:val="00474922"/>
    <w:rsid w:val="004836D4"/>
    <w:rsid w:val="00492C4A"/>
    <w:rsid w:val="00495EFD"/>
    <w:rsid w:val="004960E9"/>
    <w:rsid w:val="004A2E88"/>
    <w:rsid w:val="004A5305"/>
    <w:rsid w:val="004A6D92"/>
    <w:rsid w:val="004B7FAF"/>
    <w:rsid w:val="004D7634"/>
    <w:rsid w:val="004E611A"/>
    <w:rsid w:val="004E650C"/>
    <w:rsid w:val="004F0852"/>
    <w:rsid w:val="004F5F72"/>
    <w:rsid w:val="004F6460"/>
    <w:rsid w:val="00515D56"/>
    <w:rsid w:val="00521271"/>
    <w:rsid w:val="00525697"/>
    <w:rsid w:val="00526C8C"/>
    <w:rsid w:val="005300D3"/>
    <w:rsid w:val="0053520D"/>
    <w:rsid w:val="00542A10"/>
    <w:rsid w:val="00544F82"/>
    <w:rsid w:val="005509D2"/>
    <w:rsid w:val="005628C1"/>
    <w:rsid w:val="0056570C"/>
    <w:rsid w:val="00570CC7"/>
    <w:rsid w:val="00571C46"/>
    <w:rsid w:val="005843A4"/>
    <w:rsid w:val="005912D1"/>
    <w:rsid w:val="0059145D"/>
    <w:rsid w:val="00593C4F"/>
    <w:rsid w:val="005946A8"/>
    <w:rsid w:val="00595129"/>
    <w:rsid w:val="005A4407"/>
    <w:rsid w:val="005A59EF"/>
    <w:rsid w:val="005A648D"/>
    <w:rsid w:val="005B1C7E"/>
    <w:rsid w:val="005C00E9"/>
    <w:rsid w:val="005C6976"/>
    <w:rsid w:val="005D352F"/>
    <w:rsid w:val="005D533D"/>
    <w:rsid w:val="005D5BC6"/>
    <w:rsid w:val="005E496E"/>
    <w:rsid w:val="005F3416"/>
    <w:rsid w:val="005F526D"/>
    <w:rsid w:val="005F6F41"/>
    <w:rsid w:val="00610A14"/>
    <w:rsid w:val="006166B9"/>
    <w:rsid w:val="00625DC6"/>
    <w:rsid w:val="00636835"/>
    <w:rsid w:val="0064343E"/>
    <w:rsid w:val="0064391D"/>
    <w:rsid w:val="006508AB"/>
    <w:rsid w:val="00651154"/>
    <w:rsid w:val="006516F4"/>
    <w:rsid w:val="00651821"/>
    <w:rsid w:val="00654384"/>
    <w:rsid w:val="006622B2"/>
    <w:rsid w:val="006675CD"/>
    <w:rsid w:val="00674313"/>
    <w:rsid w:val="00675985"/>
    <w:rsid w:val="00680BFA"/>
    <w:rsid w:val="00684D9B"/>
    <w:rsid w:val="0068510A"/>
    <w:rsid w:val="00697556"/>
    <w:rsid w:val="006B4081"/>
    <w:rsid w:val="006B4647"/>
    <w:rsid w:val="006B4C2B"/>
    <w:rsid w:val="006B6194"/>
    <w:rsid w:val="006B6D47"/>
    <w:rsid w:val="006C1FD7"/>
    <w:rsid w:val="006C3E16"/>
    <w:rsid w:val="006C4912"/>
    <w:rsid w:val="006C5AFE"/>
    <w:rsid w:val="006C7715"/>
    <w:rsid w:val="006C7AF6"/>
    <w:rsid w:val="006D5E04"/>
    <w:rsid w:val="006E4C15"/>
    <w:rsid w:val="006F2EC8"/>
    <w:rsid w:val="006F3970"/>
    <w:rsid w:val="006F56D0"/>
    <w:rsid w:val="006F6D95"/>
    <w:rsid w:val="006F7CFE"/>
    <w:rsid w:val="00705F85"/>
    <w:rsid w:val="00706F13"/>
    <w:rsid w:val="007072E8"/>
    <w:rsid w:val="0071618D"/>
    <w:rsid w:val="0072116F"/>
    <w:rsid w:val="00721534"/>
    <w:rsid w:val="00721A52"/>
    <w:rsid w:val="00724792"/>
    <w:rsid w:val="00724A10"/>
    <w:rsid w:val="00724C58"/>
    <w:rsid w:val="00725FA4"/>
    <w:rsid w:val="007340CC"/>
    <w:rsid w:val="00740446"/>
    <w:rsid w:val="007438A9"/>
    <w:rsid w:val="0074491E"/>
    <w:rsid w:val="0076163F"/>
    <w:rsid w:val="0076247A"/>
    <w:rsid w:val="00775964"/>
    <w:rsid w:val="007765FE"/>
    <w:rsid w:val="00777163"/>
    <w:rsid w:val="007910F2"/>
    <w:rsid w:val="00794E2E"/>
    <w:rsid w:val="00795BFB"/>
    <w:rsid w:val="007B0FAC"/>
    <w:rsid w:val="007B2760"/>
    <w:rsid w:val="007B564B"/>
    <w:rsid w:val="007D69D2"/>
    <w:rsid w:val="007E4A8E"/>
    <w:rsid w:val="007E5B81"/>
    <w:rsid w:val="007F6527"/>
    <w:rsid w:val="00800D21"/>
    <w:rsid w:val="00801F33"/>
    <w:rsid w:val="0080401E"/>
    <w:rsid w:val="00806C01"/>
    <w:rsid w:val="00810B96"/>
    <w:rsid w:val="008148CC"/>
    <w:rsid w:val="008167FC"/>
    <w:rsid w:val="008211A4"/>
    <w:rsid w:val="008276D9"/>
    <w:rsid w:val="00841D80"/>
    <w:rsid w:val="00845BAD"/>
    <w:rsid w:val="0084693A"/>
    <w:rsid w:val="0085640E"/>
    <w:rsid w:val="00873150"/>
    <w:rsid w:val="00875B5E"/>
    <w:rsid w:val="00876557"/>
    <w:rsid w:val="0087657D"/>
    <w:rsid w:val="008807D5"/>
    <w:rsid w:val="00880832"/>
    <w:rsid w:val="00884D80"/>
    <w:rsid w:val="00886EE1"/>
    <w:rsid w:val="0088727D"/>
    <w:rsid w:val="0089340F"/>
    <w:rsid w:val="00897C27"/>
    <w:rsid w:val="00897C75"/>
    <w:rsid w:val="008A1EDB"/>
    <w:rsid w:val="008A6BE9"/>
    <w:rsid w:val="008B21A6"/>
    <w:rsid w:val="008B2CEF"/>
    <w:rsid w:val="008B2EAF"/>
    <w:rsid w:val="008C1097"/>
    <w:rsid w:val="008C1130"/>
    <w:rsid w:val="008C6406"/>
    <w:rsid w:val="008C6D97"/>
    <w:rsid w:val="008C7A64"/>
    <w:rsid w:val="008D18E6"/>
    <w:rsid w:val="008D7A9B"/>
    <w:rsid w:val="008E0060"/>
    <w:rsid w:val="008E6687"/>
    <w:rsid w:val="008E7091"/>
    <w:rsid w:val="008E76AC"/>
    <w:rsid w:val="008F1EB1"/>
    <w:rsid w:val="008F21F6"/>
    <w:rsid w:val="008F2EB0"/>
    <w:rsid w:val="00900E75"/>
    <w:rsid w:val="00901457"/>
    <w:rsid w:val="009049C5"/>
    <w:rsid w:val="00904A12"/>
    <w:rsid w:val="00906A2D"/>
    <w:rsid w:val="00923B14"/>
    <w:rsid w:val="0094513B"/>
    <w:rsid w:val="0095183F"/>
    <w:rsid w:val="00951F79"/>
    <w:rsid w:val="009529A6"/>
    <w:rsid w:val="00955F64"/>
    <w:rsid w:val="0096279C"/>
    <w:rsid w:val="00974AB5"/>
    <w:rsid w:val="00975624"/>
    <w:rsid w:val="00982701"/>
    <w:rsid w:val="00982A7B"/>
    <w:rsid w:val="009851BF"/>
    <w:rsid w:val="0098706D"/>
    <w:rsid w:val="009935FB"/>
    <w:rsid w:val="009B45B2"/>
    <w:rsid w:val="009B5752"/>
    <w:rsid w:val="009C15AD"/>
    <w:rsid w:val="009C167B"/>
    <w:rsid w:val="009C1933"/>
    <w:rsid w:val="009C6FF8"/>
    <w:rsid w:val="009D2A09"/>
    <w:rsid w:val="009D4626"/>
    <w:rsid w:val="009E3023"/>
    <w:rsid w:val="009E3D1C"/>
    <w:rsid w:val="009E7922"/>
    <w:rsid w:val="009F47F4"/>
    <w:rsid w:val="009F4A54"/>
    <w:rsid w:val="009F4BEC"/>
    <w:rsid w:val="009F4F37"/>
    <w:rsid w:val="009F553B"/>
    <w:rsid w:val="009F5874"/>
    <w:rsid w:val="00A04D18"/>
    <w:rsid w:val="00A06C25"/>
    <w:rsid w:val="00A23DA6"/>
    <w:rsid w:val="00A25FD7"/>
    <w:rsid w:val="00A26DEA"/>
    <w:rsid w:val="00A40880"/>
    <w:rsid w:val="00A43AFF"/>
    <w:rsid w:val="00A46303"/>
    <w:rsid w:val="00A52D39"/>
    <w:rsid w:val="00A6411B"/>
    <w:rsid w:val="00A731C3"/>
    <w:rsid w:val="00A7793A"/>
    <w:rsid w:val="00A80C7B"/>
    <w:rsid w:val="00A83EE1"/>
    <w:rsid w:val="00A85C52"/>
    <w:rsid w:val="00AA0FA8"/>
    <w:rsid w:val="00AA4CC7"/>
    <w:rsid w:val="00AA5E8E"/>
    <w:rsid w:val="00AB163A"/>
    <w:rsid w:val="00AB225B"/>
    <w:rsid w:val="00AB2BAD"/>
    <w:rsid w:val="00AB6CA7"/>
    <w:rsid w:val="00AC3B82"/>
    <w:rsid w:val="00AC3EF0"/>
    <w:rsid w:val="00AD01E4"/>
    <w:rsid w:val="00AD0858"/>
    <w:rsid w:val="00AE02E3"/>
    <w:rsid w:val="00AE7340"/>
    <w:rsid w:val="00AF1BBD"/>
    <w:rsid w:val="00B077F9"/>
    <w:rsid w:val="00B10207"/>
    <w:rsid w:val="00B11EAF"/>
    <w:rsid w:val="00B141E7"/>
    <w:rsid w:val="00B15349"/>
    <w:rsid w:val="00B351B4"/>
    <w:rsid w:val="00B46BCA"/>
    <w:rsid w:val="00B478AA"/>
    <w:rsid w:val="00B65F61"/>
    <w:rsid w:val="00B665CD"/>
    <w:rsid w:val="00B72E5C"/>
    <w:rsid w:val="00B744B8"/>
    <w:rsid w:val="00B765EE"/>
    <w:rsid w:val="00B87806"/>
    <w:rsid w:val="00B87EC9"/>
    <w:rsid w:val="00BA4427"/>
    <w:rsid w:val="00BC24A1"/>
    <w:rsid w:val="00BC38FD"/>
    <w:rsid w:val="00BC3C53"/>
    <w:rsid w:val="00BD28F0"/>
    <w:rsid w:val="00BD72C1"/>
    <w:rsid w:val="00BE511F"/>
    <w:rsid w:val="00BE52B5"/>
    <w:rsid w:val="00BF737C"/>
    <w:rsid w:val="00BF7F5D"/>
    <w:rsid w:val="00C034CB"/>
    <w:rsid w:val="00C0509B"/>
    <w:rsid w:val="00C051A8"/>
    <w:rsid w:val="00C054BC"/>
    <w:rsid w:val="00C06851"/>
    <w:rsid w:val="00C17897"/>
    <w:rsid w:val="00C409D5"/>
    <w:rsid w:val="00C435C3"/>
    <w:rsid w:val="00C44CC9"/>
    <w:rsid w:val="00C44E5F"/>
    <w:rsid w:val="00C50334"/>
    <w:rsid w:val="00C51B7C"/>
    <w:rsid w:val="00C60C51"/>
    <w:rsid w:val="00C6234B"/>
    <w:rsid w:val="00C63EAE"/>
    <w:rsid w:val="00C73260"/>
    <w:rsid w:val="00C74B5F"/>
    <w:rsid w:val="00C7629F"/>
    <w:rsid w:val="00C823AC"/>
    <w:rsid w:val="00C851C0"/>
    <w:rsid w:val="00C8661B"/>
    <w:rsid w:val="00C95040"/>
    <w:rsid w:val="00CA03C8"/>
    <w:rsid w:val="00CA0630"/>
    <w:rsid w:val="00CA0DFD"/>
    <w:rsid w:val="00CA139A"/>
    <w:rsid w:val="00CA19FA"/>
    <w:rsid w:val="00CA2899"/>
    <w:rsid w:val="00CA3A3D"/>
    <w:rsid w:val="00CA3AA6"/>
    <w:rsid w:val="00CA4880"/>
    <w:rsid w:val="00CA77FB"/>
    <w:rsid w:val="00CB0C67"/>
    <w:rsid w:val="00CB379B"/>
    <w:rsid w:val="00CB5DD0"/>
    <w:rsid w:val="00CC06BA"/>
    <w:rsid w:val="00CC51D4"/>
    <w:rsid w:val="00CC65DA"/>
    <w:rsid w:val="00CD46B3"/>
    <w:rsid w:val="00CD6C8C"/>
    <w:rsid w:val="00CE2AA7"/>
    <w:rsid w:val="00CE4916"/>
    <w:rsid w:val="00CF21B9"/>
    <w:rsid w:val="00CF6BF9"/>
    <w:rsid w:val="00D03800"/>
    <w:rsid w:val="00D065D3"/>
    <w:rsid w:val="00D10DD2"/>
    <w:rsid w:val="00D12AEC"/>
    <w:rsid w:val="00D13799"/>
    <w:rsid w:val="00D14C94"/>
    <w:rsid w:val="00D215E1"/>
    <w:rsid w:val="00D21DF3"/>
    <w:rsid w:val="00D27672"/>
    <w:rsid w:val="00D342A6"/>
    <w:rsid w:val="00D343C4"/>
    <w:rsid w:val="00D36A6A"/>
    <w:rsid w:val="00D37634"/>
    <w:rsid w:val="00D400F9"/>
    <w:rsid w:val="00D45CA6"/>
    <w:rsid w:val="00D464BF"/>
    <w:rsid w:val="00D46635"/>
    <w:rsid w:val="00D53E26"/>
    <w:rsid w:val="00D62F75"/>
    <w:rsid w:val="00D6322D"/>
    <w:rsid w:val="00D755F8"/>
    <w:rsid w:val="00D76752"/>
    <w:rsid w:val="00D85297"/>
    <w:rsid w:val="00D87308"/>
    <w:rsid w:val="00D9229F"/>
    <w:rsid w:val="00DA78EC"/>
    <w:rsid w:val="00DB182C"/>
    <w:rsid w:val="00DB390F"/>
    <w:rsid w:val="00DC02C0"/>
    <w:rsid w:val="00DC0F46"/>
    <w:rsid w:val="00DD236B"/>
    <w:rsid w:val="00DD3943"/>
    <w:rsid w:val="00DD4F0E"/>
    <w:rsid w:val="00DD54ED"/>
    <w:rsid w:val="00DD763B"/>
    <w:rsid w:val="00DE74ED"/>
    <w:rsid w:val="00DF0BF0"/>
    <w:rsid w:val="00DF3CA2"/>
    <w:rsid w:val="00DF5747"/>
    <w:rsid w:val="00DF78A4"/>
    <w:rsid w:val="00E01463"/>
    <w:rsid w:val="00E02991"/>
    <w:rsid w:val="00E05E0A"/>
    <w:rsid w:val="00E060BE"/>
    <w:rsid w:val="00E062E2"/>
    <w:rsid w:val="00E25479"/>
    <w:rsid w:val="00E26F95"/>
    <w:rsid w:val="00E3092E"/>
    <w:rsid w:val="00E40697"/>
    <w:rsid w:val="00E534CF"/>
    <w:rsid w:val="00E60971"/>
    <w:rsid w:val="00E61918"/>
    <w:rsid w:val="00E66A24"/>
    <w:rsid w:val="00E66EF8"/>
    <w:rsid w:val="00E70525"/>
    <w:rsid w:val="00E76552"/>
    <w:rsid w:val="00E80AA0"/>
    <w:rsid w:val="00E81CB4"/>
    <w:rsid w:val="00E8585B"/>
    <w:rsid w:val="00E87F41"/>
    <w:rsid w:val="00E973B0"/>
    <w:rsid w:val="00EA3F15"/>
    <w:rsid w:val="00EA69C9"/>
    <w:rsid w:val="00EA7847"/>
    <w:rsid w:val="00EB29E1"/>
    <w:rsid w:val="00EB4C2F"/>
    <w:rsid w:val="00EC5A4B"/>
    <w:rsid w:val="00EC688C"/>
    <w:rsid w:val="00EE2E6E"/>
    <w:rsid w:val="00EE5E86"/>
    <w:rsid w:val="00EE76C0"/>
    <w:rsid w:val="00F00B67"/>
    <w:rsid w:val="00F01EB4"/>
    <w:rsid w:val="00F0759E"/>
    <w:rsid w:val="00F16A43"/>
    <w:rsid w:val="00F231C2"/>
    <w:rsid w:val="00F246AE"/>
    <w:rsid w:val="00F2718C"/>
    <w:rsid w:val="00F3147E"/>
    <w:rsid w:val="00F40882"/>
    <w:rsid w:val="00F46780"/>
    <w:rsid w:val="00F51218"/>
    <w:rsid w:val="00F55A19"/>
    <w:rsid w:val="00F6205E"/>
    <w:rsid w:val="00F678DC"/>
    <w:rsid w:val="00F74C38"/>
    <w:rsid w:val="00F77B04"/>
    <w:rsid w:val="00F77D2D"/>
    <w:rsid w:val="00F821A3"/>
    <w:rsid w:val="00F9314A"/>
    <w:rsid w:val="00F940B2"/>
    <w:rsid w:val="00F9742E"/>
    <w:rsid w:val="00FC58EF"/>
    <w:rsid w:val="00FC783B"/>
    <w:rsid w:val="00FD1049"/>
    <w:rsid w:val="00FD33DF"/>
    <w:rsid w:val="00FE39D7"/>
    <w:rsid w:val="00FE6205"/>
    <w:rsid w:val="00FF4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CC83478-78DD-41D0-A45A-64F30B47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5B"/>
    <w:pPr>
      <w:jc w:val="both"/>
    </w:pPr>
    <w:rPr>
      <w:rFonts w:ascii="Bookman Old Style" w:hAnsi="Bookman Old Style"/>
      <w:sz w:val="24"/>
      <w:szCs w:val="24"/>
      <w:lang w:val="es-ES" w:eastAsia="es-ES"/>
    </w:rPr>
  </w:style>
  <w:style w:type="paragraph" w:styleId="Ttulo1">
    <w:name w:val="heading 1"/>
    <w:basedOn w:val="Normal"/>
    <w:next w:val="Normal"/>
    <w:qFormat/>
    <w:rsid w:val="00F74C38"/>
    <w:pPr>
      <w:keepNext/>
      <w:numPr>
        <w:numId w:val="2"/>
      </w:numPr>
      <w:jc w:val="center"/>
      <w:outlineLvl w:val="0"/>
    </w:pPr>
    <w:rPr>
      <w:b/>
      <w:szCs w:val="20"/>
      <w:lang w:val="es-CO"/>
    </w:rPr>
  </w:style>
  <w:style w:type="paragraph" w:styleId="Ttulo2">
    <w:name w:val="heading 2"/>
    <w:basedOn w:val="Normal"/>
    <w:next w:val="Normal"/>
    <w:link w:val="Ttulo2Car"/>
    <w:uiPriority w:val="9"/>
    <w:semiHidden/>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4"/>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hAnsi="Calibri"/>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semiHidden/>
    <w:unhideWhenUsed/>
    <w:rsid w:val="004836D4"/>
    <w:rPr>
      <w:color w:val="0000FF"/>
      <w:u w:val="single"/>
    </w:rPr>
  </w:style>
  <w:style w:type="character" w:customStyle="1" w:styleId="Ttulo2Car">
    <w:name w:val="Título 2 Car"/>
    <w:link w:val="Ttulo2"/>
    <w:uiPriority w:val="9"/>
    <w:semiHidden/>
    <w:rsid w:val="00595129"/>
    <w:rPr>
      <w:rFonts w:ascii="Calibri Light" w:hAnsi="Calibri Light"/>
      <w:b/>
      <w:bCs/>
      <w:i/>
      <w:iCs/>
      <w:sz w:val="28"/>
      <w:szCs w:val="28"/>
      <w:lang w:val="es-ES" w:eastAsia="es-ES"/>
    </w:rPr>
  </w:style>
  <w:style w:type="character" w:customStyle="1" w:styleId="Ttulo8Car">
    <w:name w:val="Título 8 Car"/>
    <w:link w:val="Ttulo8"/>
    <w:uiPriority w:val="9"/>
    <w:semiHidden/>
    <w:rsid w:val="00595129"/>
    <w:rPr>
      <w:rFonts w:ascii="Calibri" w:hAnsi="Calibri"/>
      <w:i/>
      <w:iCs/>
      <w:sz w:val="24"/>
      <w:szCs w:val="24"/>
      <w:lang w:val="es-ES" w:eastAsia="es-ES"/>
    </w:rPr>
  </w:style>
  <w:style w:type="character" w:customStyle="1" w:styleId="Ttulo9Car">
    <w:name w:val="Título 9 Car"/>
    <w:link w:val="Ttulo9"/>
    <w:uiPriority w:val="9"/>
    <w:semiHidden/>
    <w:rsid w:val="00595129"/>
    <w:rPr>
      <w:rFonts w:ascii="Calibri Light" w:hAnsi="Calibri Light"/>
      <w:sz w:val="22"/>
      <w:szCs w:val="22"/>
      <w:lang w:val="es-ES" w:eastAsia="es-ES"/>
    </w:rPr>
  </w:style>
  <w:style w:type="paragraph" w:customStyle="1" w:styleId="Artculo">
    <w:name w:val="Artículo"/>
    <w:basedOn w:val="Normal"/>
    <w:qFormat/>
    <w:rsid w:val="00595129"/>
    <w:pPr>
      <w:numPr>
        <w:numId w:val="5"/>
      </w:numPr>
    </w:pPr>
    <w:rPr>
      <w:rFonts w:cs="Arial"/>
      <w:b/>
      <w:caps/>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semiHidden/>
    <w:unhideWhenUsed/>
    <w:rsid w:val="00521271"/>
    <w:rPr>
      <w:sz w:val="20"/>
      <w:szCs w:val="20"/>
    </w:rPr>
  </w:style>
  <w:style w:type="character" w:customStyle="1" w:styleId="TextocomentarioCar">
    <w:name w:val="Texto comentario Car"/>
    <w:link w:val="Textocomentario"/>
    <w:uiPriority w:val="99"/>
    <w:semiHidden/>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42F2B"/>
    <w:rPr>
      <w:b/>
      <w:bCs/>
    </w:rPr>
  </w:style>
  <w:style w:type="character" w:customStyle="1" w:styleId="AsuntodelcomentarioCar">
    <w:name w:val="Asunto del comentario Car"/>
    <w:link w:val="Asuntodelcomentario"/>
    <w:uiPriority w:val="99"/>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78F9-F8C7-4307-9397-FC39DA1E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6</Pages>
  <Words>1625</Words>
  <Characters>8747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10352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2017-11-01T13:45:00Z</cp:lastPrinted>
  <dcterms:created xsi:type="dcterms:W3CDTF">2017-11-09T19:59:00Z</dcterms:created>
  <dcterms:modified xsi:type="dcterms:W3CDTF">2017-11-09T19:59:00Z</dcterms:modified>
</cp:coreProperties>
</file>