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DC6" w:rsidRPr="006B4647" w:rsidRDefault="00AF4F92"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7728" fillcolor="#0c9">
            <v:imagedata r:id="rId7" o:title=""/>
          </v:shape>
          <o:OLEObject Type="Embed" ProgID="PBrush" ShapeID="_x0000_s1026" DrawAspect="Content" ObjectID="_1556716311" r:id="rId8"/>
        </w:object>
      </w:r>
    </w:p>
    <w:p w:rsidR="00625DC6" w:rsidRPr="006B4647" w:rsidRDefault="00625DC6" w:rsidP="00012259">
      <w:pPr>
        <w:pStyle w:val="Encabezado"/>
        <w:tabs>
          <w:tab w:val="clear" w:pos="8504"/>
          <w:tab w:val="left" w:pos="0"/>
          <w:tab w:val="right" w:pos="9356"/>
        </w:tabs>
        <w:ind w:left="0"/>
        <w:jc w:val="both"/>
        <w:rPr>
          <w:rFonts w:ascii="Bookman Old Style" w:hAnsi="Bookman Old Style"/>
          <w:szCs w:val="24"/>
        </w:rPr>
      </w:pPr>
    </w:p>
    <w:p w:rsidR="00CA77FB" w:rsidRPr="006B4647" w:rsidRDefault="00CA77FB" w:rsidP="00012259">
      <w:pPr>
        <w:pStyle w:val="Ttulo4"/>
        <w:tabs>
          <w:tab w:val="left" w:pos="0"/>
          <w:tab w:val="right" w:pos="9356"/>
        </w:tabs>
        <w:ind w:left="0"/>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rsidR="00CA77FB" w:rsidRPr="006B4647" w:rsidRDefault="00CA77FB" w:rsidP="00012259">
      <w:pPr>
        <w:pStyle w:val="Ttulo4"/>
        <w:tabs>
          <w:tab w:val="left" w:pos="0"/>
          <w:tab w:val="right" w:pos="9356"/>
        </w:tabs>
        <w:ind w:left="0"/>
        <w:rPr>
          <w:rFonts w:ascii="Bookman Old Style" w:hAnsi="Bookman Old Style"/>
          <w:b w:val="0"/>
          <w:bCs/>
          <w:sz w:val="24"/>
          <w:szCs w:val="24"/>
        </w:rPr>
      </w:pPr>
    </w:p>
    <w:p w:rsidR="00CA77FB" w:rsidRPr="006B4647" w:rsidRDefault="00CA77FB" w:rsidP="00012259">
      <w:pPr>
        <w:pStyle w:val="Ttulo3"/>
        <w:tabs>
          <w:tab w:val="left" w:pos="0"/>
          <w:tab w:val="right" w:pos="9356"/>
        </w:tabs>
        <w:ind w:left="0"/>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rsidR="00CA77FB" w:rsidRPr="006B4647" w:rsidRDefault="00CA77FB" w:rsidP="00012259">
      <w:pPr>
        <w:pStyle w:val="Ttulo5"/>
        <w:tabs>
          <w:tab w:val="left" w:pos="0"/>
          <w:tab w:val="right" w:pos="9356"/>
        </w:tabs>
        <w:ind w:left="0"/>
        <w:rPr>
          <w:rFonts w:ascii="Bookman Old Style" w:hAnsi="Bookman Old Style"/>
          <w:sz w:val="24"/>
          <w:szCs w:val="24"/>
        </w:rPr>
      </w:pPr>
    </w:p>
    <w:p w:rsidR="00CA77FB" w:rsidRPr="006B4647" w:rsidRDefault="00CA77FB" w:rsidP="00012259">
      <w:pPr>
        <w:pStyle w:val="Ttulo5"/>
        <w:tabs>
          <w:tab w:val="left" w:pos="0"/>
          <w:tab w:val="right" w:pos="9356"/>
        </w:tabs>
        <w:ind w:left="0"/>
        <w:rPr>
          <w:rFonts w:ascii="Bookman Old Style" w:hAnsi="Bookman Old Style"/>
          <w:sz w:val="24"/>
          <w:szCs w:val="24"/>
        </w:rPr>
      </w:pPr>
    </w:p>
    <w:p w:rsidR="00CA77FB" w:rsidRPr="006B4647" w:rsidRDefault="00CA77FB" w:rsidP="00012259">
      <w:pPr>
        <w:pStyle w:val="Ttulo5"/>
        <w:tabs>
          <w:tab w:val="left" w:pos="0"/>
          <w:tab w:val="right" w:pos="9356"/>
        </w:tabs>
        <w:ind w:left="0"/>
        <w:rPr>
          <w:rFonts w:ascii="Bookman Old Style" w:hAnsi="Bookman Old Style"/>
          <w:sz w:val="24"/>
          <w:szCs w:val="24"/>
        </w:rPr>
      </w:pPr>
      <w:r w:rsidRPr="006B4647">
        <w:rPr>
          <w:rFonts w:ascii="Bookman Old Style" w:hAnsi="Bookman Old Style"/>
          <w:sz w:val="24"/>
          <w:szCs w:val="24"/>
        </w:rPr>
        <w:t xml:space="preserve">RESOLUCIÓN No. </w:t>
      </w:r>
      <w:r w:rsidR="00795BFB" w:rsidRPr="006B4647">
        <w:rPr>
          <w:rFonts w:ascii="Bookman Old Style" w:hAnsi="Bookman Old Style"/>
          <w:sz w:val="24"/>
          <w:szCs w:val="24"/>
        </w:rPr>
        <w:t xml:space="preserve">                  </w:t>
      </w:r>
      <w:r w:rsidRPr="006B4647">
        <w:rPr>
          <w:rFonts w:ascii="Bookman Old Style" w:hAnsi="Bookman Old Style"/>
          <w:sz w:val="24"/>
          <w:szCs w:val="24"/>
        </w:rPr>
        <w:t>DE 20</w:t>
      </w:r>
      <w:r w:rsidR="00795BFB" w:rsidRPr="006B4647">
        <w:rPr>
          <w:rFonts w:ascii="Bookman Old Style" w:hAnsi="Bookman Old Style"/>
          <w:sz w:val="24"/>
          <w:szCs w:val="24"/>
        </w:rPr>
        <w:t>1</w:t>
      </w:r>
      <w:r w:rsidR="004313A8">
        <w:rPr>
          <w:rFonts w:ascii="Bookman Old Style" w:hAnsi="Bookman Old Style"/>
          <w:sz w:val="24"/>
          <w:szCs w:val="24"/>
        </w:rPr>
        <w:t>7</w:t>
      </w:r>
    </w:p>
    <w:p w:rsidR="00CA77FB" w:rsidRPr="006B4647" w:rsidRDefault="00CA77FB" w:rsidP="00012259">
      <w:pPr>
        <w:tabs>
          <w:tab w:val="left" w:pos="0"/>
          <w:tab w:val="right" w:pos="9356"/>
        </w:tabs>
        <w:ind w:left="0"/>
        <w:jc w:val="center"/>
        <w:rPr>
          <w:rFonts w:ascii="Bookman Old Style" w:hAnsi="Bookman Old Style" w:cs="Arial"/>
          <w:b/>
          <w:snapToGrid w:val="0"/>
          <w:color w:val="000000"/>
          <w:lang w:val="es-ES_tradnl"/>
        </w:rPr>
      </w:pPr>
    </w:p>
    <w:p w:rsidR="00CA77FB" w:rsidRPr="006B4647" w:rsidRDefault="00CA77FB" w:rsidP="00012259">
      <w:pPr>
        <w:pStyle w:val="Ttulo3"/>
        <w:tabs>
          <w:tab w:val="left" w:pos="0"/>
          <w:tab w:val="right" w:pos="9356"/>
        </w:tabs>
        <w:ind w:left="0"/>
        <w:rPr>
          <w:rFonts w:ascii="Bookman Old Style" w:hAnsi="Bookman Old Style"/>
          <w:b w:val="0"/>
          <w:szCs w:val="24"/>
        </w:rPr>
      </w:pPr>
      <w:r w:rsidRPr="006B4647">
        <w:rPr>
          <w:rFonts w:ascii="Bookman Old Style" w:hAnsi="Bookman Old Style"/>
          <w:b w:val="0"/>
          <w:szCs w:val="24"/>
        </w:rPr>
        <w:t>(                                  )</w:t>
      </w:r>
    </w:p>
    <w:p w:rsidR="00CA77FB" w:rsidRDefault="00CA77FB" w:rsidP="00012259">
      <w:pPr>
        <w:tabs>
          <w:tab w:val="left" w:pos="0"/>
          <w:tab w:val="right" w:pos="9356"/>
        </w:tabs>
        <w:ind w:left="0"/>
        <w:jc w:val="center"/>
        <w:rPr>
          <w:rFonts w:ascii="Bookman Old Style" w:hAnsi="Bookman Old Style"/>
          <w:lang w:val="es-ES_tradnl"/>
        </w:rPr>
      </w:pPr>
    </w:p>
    <w:p w:rsidR="00F57D37" w:rsidRDefault="00F57D37" w:rsidP="00012259">
      <w:pPr>
        <w:tabs>
          <w:tab w:val="left" w:pos="0"/>
          <w:tab w:val="right" w:pos="9356"/>
        </w:tabs>
        <w:ind w:left="0"/>
        <w:jc w:val="center"/>
        <w:rPr>
          <w:rFonts w:ascii="Bookman Old Style" w:hAnsi="Bookman Old Style"/>
          <w:lang w:val="es-ES_tradnl"/>
        </w:rPr>
      </w:pPr>
    </w:p>
    <w:p w:rsidR="00F57D37" w:rsidRPr="006B4647" w:rsidRDefault="00F57D37" w:rsidP="00012259">
      <w:pPr>
        <w:tabs>
          <w:tab w:val="left" w:pos="0"/>
          <w:tab w:val="right" w:pos="9356"/>
        </w:tabs>
        <w:ind w:left="0"/>
        <w:jc w:val="center"/>
        <w:rPr>
          <w:rFonts w:ascii="Bookman Old Style" w:hAnsi="Bookman Old Style"/>
          <w:lang w:val="es-ES_tradnl"/>
        </w:rPr>
      </w:pPr>
    </w:p>
    <w:p w:rsidR="009D4454" w:rsidRPr="00B84711" w:rsidRDefault="00CD7469" w:rsidP="009D4454">
      <w:pPr>
        <w:ind w:left="0"/>
        <w:jc w:val="both"/>
        <w:rPr>
          <w:rFonts w:ascii="Bookman Old Style" w:hAnsi="Bookman Old Style"/>
        </w:rPr>
      </w:pPr>
      <w:r w:rsidRPr="00CD7469">
        <w:rPr>
          <w:rFonts w:ascii="Bookman Old Style" w:hAnsi="Bookman Old Style"/>
        </w:rPr>
        <w:t xml:space="preserve">Por la cual se decide sobre una solicitud de </w:t>
      </w:r>
      <w:proofErr w:type="spellStart"/>
      <w:r>
        <w:rPr>
          <w:rFonts w:ascii="Bookman Old Style" w:hAnsi="Bookman Old Style"/>
        </w:rPr>
        <w:t>Transelca</w:t>
      </w:r>
      <w:proofErr w:type="spellEnd"/>
      <w:r w:rsidRPr="00C02254">
        <w:rPr>
          <w:rFonts w:ascii="Bookman Old Style" w:hAnsi="Bookman Old Style"/>
        </w:rPr>
        <w:t xml:space="preserve"> S.A. E.S.P.</w:t>
      </w:r>
      <w:r w:rsidRPr="00CD7469">
        <w:rPr>
          <w:rFonts w:ascii="Bookman Old Style" w:hAnsi="Bookman Old Style"/>
        </w:rPr>
        <w:t xml:space="preserve"> para actualizar su remuneración en el Sistema de Transmisión Nacional</w:t>
      </w:r>
      <w:r>
        <w:rPr>
          <w:rFonts w:ascii="Bookman Old Style" w:hAnsi="Bookman Old Style"/>
        </w:rPr>
        <w:t>.</w:t>
      </w:r>
      <w:r w:rsidRPr="00CD7469">
        <w:rPr>
          <w:rFonts w:ascii="Bookman Old Style" w:hAnsi="Bookman Old Style"/>
        </w:rPr>
        <w:t xml:space="preserve"> </w:t>
      </w:r>
    </w:p>
    <w:p w:rsidR="009D4454" w:rsidRPr="00B84711" w:rsidRDefault="009D4454" w:rsidP="009D4454">
      <w:pPr>
        <w:ind w:left="0"/>
        <w:rPr>
          <w:rFonts w:ascii="Bookman Old Style" w:hAnsi="Bookman Old Style"/>
        </w:rPr>
      </w:pPr>
    </w:p>
    <w:p w:rsidR="009D4454" w:rsidRPr="00B84711" w:rsidRDefault="009D4454" w:rsidP="009D4454">
      <w:pPr>
        <w:ind w:left="0"/>
        <w:rPr>
          <w:rFonts w:ascii="Bookman Old Style" w:hAnsi="Bookman Old Style"/>
        </w:rPr>
      </w:pPr>
    </w:p>
    <w:p w:rsidR="009D4454" w:rsidRPr="00B84711" w:rsidRDefault="009D4454" w:rsidP="00396D7A">
      <w:pPr>
        <w:ind w:left="0"/>
        <w:jc w:val="center"/>
        <w:rPr>
          <w:rFonts w:ascii="Bookman Old Style" w:hAnsi="Bookman Old Style" w:cs="Arial"/>
          <w:b/>
        </w:rPr>
      </w:pPr>
      <w:r w:rsidRPr="00B84711">
        <w:rPr>
          <w:rFonts w:ascii="Bookman Old Style" w:hAnsi="Bookman Old Style" w:cs="Arial"/>
          <w:b/>
        </w:rPr>
        <w:t>LA COMISIÓN DE REGULACIÓN DE ENERGÍA Y GAS</w:t>
      </w:r>
    </w:p>
    <w:p w:rsidR="009D4454" w:rsidRDefault="009D4454" w:rsidP="009D4454">
      <w:pPr>
        <w:ind w:left="0"/>
        <w:jc w:val="center"/>
        <w:rPr>
          <w:rFonts w:ascii="Bookman Old Style" w:hAnsi="Bookman Old Style" w:cs="Arial"/>
        </w:rPr>
      </w:pPr>
    </w:p>
    <w:p w:rsidR="00F57D37" w:rsidRPr="00B84711" w:rsidRDefault="00F57D37" w:rsidP="009D4454">
      <w:pPr>
        <w:ind w:left="0"/>
        <w:jc w:val="center"/>
        <w:rPr>
          <w:rFonts w:ascii="Bookman Old Style" w:hAnsi="Bookman Old Style" w:cs="Arial"/>
        </w:rPr>
      </w:pPr>
    </w:p>
    <w:p w:rsidR="009D4454" w:rsidRPr="00B84711" w:rsidRDefault="009D4454" w:rsidP="009D4454">
      <w:pPr>
        <w:ind w:left="0"/>
        <w:jc w:val="both"/>
        <w:rPr>
          <w:rFonts w:ascii="Bookman Old Style" w:hAnsi="Bookman Old Style"/>
        </w:rPr>
      </w:pPr>
      <w:r w:rsidRPr="00B84711">
        <w:rPr>
          <w:rFonts w:ascii="Bookman Old Style" w:hAnsi="Bookman Old Style"/>
        </w:rPr>
        <w:t xml:space="preserve">En ejercicio de sus atribuciones constitucionales y legales, en especial las conferidas por las Leyes 142 y 143 de 1994, y en desarrollo de los </w:t>
      </w:r>
      <w:r w:rsidR="001B2B3F">
        <w:rPr>
          <w:rFonts w:ascii="Bookman Old Style" w:hAnsi="Bookman Old Style"/>
        </w:rPr>
        <w:t>d</w:t>
      </w:r>
      <w:r w:rsidRPr="00B84711">
        <w:rPr>
          <w:rFonts w:ascii="Bookman Old Style" w:hAnsi="Bookman Old Style"/>
        </w:rPr>
        <w:t>ecretos 1524 y 2253 de 1994</w:t>
      </w:r>
      <w:r w:rsidR="001B2B3F">
        <w:rPr>
          <w:rFonts w:ascii="Bookman Old Style" w:hAnsi="Bookman Old Style"/>
        </w:rPr>
        <w:t>,</w:t>
      </w:r>
      <w:r w:rsidR="00396D7A" w:rsidRPr="00396D7A">
        <w:rPr>
          <w:rFonts w:ascii="Bookman Old Style" w:hAnsi="Bookman Old Style"/>
        </w:rPr>
        <w:t>1260 de 2013</w:t>
      </w:r>
      <w:r w:rsidR="00AE16B2">
        <w:rPr>
          <w:rFonts w:ascii="Bookman Old Style" w:hAnsi="Bookman Old Style"/>
        </w:rPr>
        <w:t xml:space="preserve"> y</w:t>
      </w:r>
      <w:r w:rsidR="00EE4046">
        <w:rPr>
          <w:rFonts w:ascii="Bookman Old Style" w:hAnsi="Bookman Old Style"/>
        </w:rPr>
        <w:t>,</w:t>
      </w:r>
    </w:p>
    <w:p w:rsidR="009D4454" w:rsidRDefault="009D4454" w:rsidP="009D4454">
      <w:pPr>
        <w:jc w:val="center"/>
        <w:rPr>
          <w:rFonts w:ascii="Bookman Old Style" w:hAnsi="Bookman Old Style" w:cs="Arial"/>
        </w:rPr>
      </w:pPr>
    </w:p>
    <w:p w:rsidR="009D4454" w:rsidRPr="00B84711" w:rsidRDefault="009D4454" w:rsidP="009D4454">
      <w:pPr>
        <w:jc w:val="center"/>
        <w:rPr>
          <w:rFonts w:ascii="Bookman Old Style" w:hAnsi="Bookman Old Style" w:cs="Arial"/>
        </w:rPr>
      </w:pPr>
    </w:p>
    <w:p w:rsidR="00F57D37" w:rsidRDefault="00F57D37" w:rsidP="00921BC0">
      <w:pPr>
        <w:ind w:left="0"/>
        <w:jc w:val="center"/>
        <w:rPr>
          <w:rFonts w:ascii="Bookman Old Style" w:hAnsi="Bookman Old Style"/>
          <w:b/>
          <w:spacing w:val="100"/>
        </w:rPr>
      </w:pPr>
    </w:p>
    <w:p w:rsidR="009D4454" w:rsidRPr="00B84711" w:rsidRDefault="009D4454" w:rsidP="00921BC0">
      <w:pPr>
        <w:ind w:left="0"/>
        <w:jc w:val="center"/>
        <w:rPr>
          <w:rFonts w:ascii="Bookman Old Style" w:hAnsi="Bookman Old Style" w:cs="Arial"/>
          <w:b/>
        </w:rPr>
      </w:pPr>
      <w:r w:rsidRPr="00B84711">
        <w:rPr>
          <w:rFonts w:ascii="Bookman Old Style" w:hAnsi="Bookman Old Style"/>
          <w:b/>
          <w:spacing w:val="100"/>
        </w:rPr>
        <w:t>CONSIDERANDO</w:t>
      </w:r>
      <w:r w:rsidR="00FB5434">
        <w:rPr>
          <w:rFonts w:ascii="Bookman Old Style" w:hAnsi="Bookman Old Style"/>
          <w:b/>
          <w:spacing w:val="100"/>
        </w:rPr>
        <w:t xml:space="preserve"> QUE</w:t>
      </w:r>
      <w:r w:rsidRPr="00B84711">
        <w:rPr>
          <w:rFonts w:ascii="Bookman Old Style" w:hAnsi="Bookman Old Style" w:cs="Arial"/>
          <w:b/>
        </w:rPr>
        <w:t>:</w:t>
      </w:r>
    </w:p>
    <w:p w:rsidR="009D4454" w:rsidRDefault="009D4454" w:rsidP="009D4454">
      <w:pPr>
        <w:ind w:left="0"/>
        <w:rPr>
          <w:rFonts w:ascii="Bookman Old Style" w:hAnsi="Bookman Old Style"/>
        </w:rPr>
      </w:pPr>
    </w:p>
    <w:p w:rsidR="00F57D37" w:rsidRDefault="00F57D37" w:rsidP="009D4454">
      <w:pPr>
        <w:ind w:left="0"/>
        <w:rPr>
          <w:rFonts w:ascii="Bookman Old Style" w:hAnsi="Bookman Old Style"/>
        </w:rPr>
      </w:pPr>
    </w:p>
    <w:p w:rsidR="009D4454" w:rsidRPr="00C63A34" w:rsidRDefault="00FB5434" w:rsidP="009D4454">
      <w:pPr>
        <w:ind w:left="0"/>
        <w:jc w:val="both"/>
        <w:rPr>
          <w:rFonts w:ascii="Bookman Old Style" w:hAnsi="Bookman Old Style"/>
        </w:rPr>
      </w:pPr>
      <w:r>
        <w:rPr>
          <w:rFonts w:ascii="Bookman Old Style" w:hAnsi="Bookman Old Style"/>
        </w:rPr>
        <w:t>D</w:t>
      </w:r>
      <w:r w:rsidR="009D4454" w:rsidRPr="00C63A34">
        <w:rPr>
          <w:rFonts w:ascii="Bookman Old Style" w:hAnsi="Bookman Old Style"/>
        </w:rPr>
        <w:t xml:space="preserve">e acuerdo con lo previsto en el </w:t>
      </w:r>
      <w:r w:rsidR="00396D7A" w:rsidRPr="00C63A34">
        <w:rPr>
          <w:rFonts w:ascii="Bookman Old Style" w:hAnsi="Bookman Old Style"/>
        </w:rPr>
        <w:t>literal d)</w:t>
      </w:r>
      <w:r w:rsidR="00396D7A">
        <w:rPr>
          <w:rFonts w:ascii="Bookman Old Style" w:hAnsi="Bookman Old Style"/>
        </w:rPr>
        <w:t xml:space="preserve"> del</w:t>
      </w:r>
      <w:r w:rsidR="00396D7A" w:rsidRPr="00C63A34">
        <w:rPr>
          <w:rFonts w:ascii="Bookman Old Style" w:hAnsi="Bookman Old Style"/>
        </w:rPr>
        <w:t xml:space="preserve"> </w:t>
      </w:r>
      <w:r>
        <w:rPr>
          <w:rFonts w:ascii="Bookman Old Style" w:hAnsi="Bookman Old Style"/>
        </w:rPr>
        <w:t>a</w:t>
      </w:r>
      <w:r w:rsidR="009D4454" w:rsidRPr="00C63A34">
        <w:rPr>
          <w:rFonts w:ascii="Bookman Old Style" w:hAnsi="Bookman Old Style"/>
        </w:rPr>
        <w:t xml:space="preserve">rtículo 23 y </w:t>
      </w:r>
      <w:r w:rsidR="00396D7A">
        <w:rPr>
          <w:rFonts w:ascii="Bookman Old Style" w:hAnsi="Bookman Old Style"/>
        </w:rPr>
        <w:t>en el</w:t>
      </w:r>
      <w:r w:rsidR="00396D7A" w:rsidRPr="00C63A34">
        <w:rPr>
          <w:rFonts w:ascii="Bookman Old Style" w:hAnsi="Bookman Old Style"/>
        </w:rPr>
        <w:t xml:space="preserve"> </w:t>
      </w:r>
      <w:r w:rsidR="00396D7A">
        <w:rPr>
          <w:rFonts w:ascii="Bookman Old Style" w:hAnsi="Bookman Old Style"/>
        </w:rPr>
        <w:t>a</w:t>
      </w:r>
      <w:r w:rsidR="00396D7A" w:rsidRPr="00C63A34">
        <w:rPr>
          <w:rFonts w:ascii="Bookman Old Style" w:hAnsi="Bookman Old Style"/>
        </w:rPr>
        <w:t>rtículo</w:t>
      </w:r>
      <w:r w:rsidR="00396D7A">
        <w:rPr>
          <w:rFonts w:ascii="Bookman Old Style" w:hAnsi="Bookman Old Style"/>
        </w:rPr>
        <w:t xml:space="preserve"> </w:t>
      </w:r>
      <w:r w:rsidR="009D4454" w:rsidRPr="00C63A34">
        <w:rPr>
          <w:rFonts w:ascii="Bookman Old Style" w:hAnsi="Bookman Old Style"/>
        </w:rPr>
        <w:t>41</w:t>
      </w:r>
      <w:r w:rsidR="008758FC">
        <w:rPr>
          <w:rFonts w:ascii="Bookman Old Style" w:hAnsi="Bookman Old Style"/>
        </w:rPr>
        <w:t>,</w:t>
      </w:r>
      <w:r w:rsidR="009D4454" w:rsidRPr="00C63A34">
        <w:rPr>
          <w:rFonts w:ascii="Bookman Old Style" w:hAnsi="Bookman Old Style"/>
        </w:rPr>
        <w:t xml:space="preserve">  </w:t>
      </w:r>
      <w:r w:rsidR="00AE16B2">
        <w:rPr>
          <w:rFonts w:ascii="Bookman Old Style" w:hAnsi="Bookman Old Style"/>
        </w:rPr>
        <w:t xml:space="preserve">ambos de </w:t>
      </w:r>
      <w:r w:rsidR="009D4454" w:rsidRPr="00C63A34">
        <w:rPr>
          <w:rFonts w:ascii="Bookman Old Style" w:hAnsi="Bookman Old Style"/>
        </w:rPr>
        <w:t>la Ley 143 de 1994, es función de la Comisión de Regulación de Energía y Gas</w:t>
      </w:r>
      <w:r>
        <w:rPr>
          <w:rFonts w:ascii="Bookman Old Style" w:hAnsi="Bookman Old Style"/>
        </w:rPr>
        <w:t>, CREG,</w:t>
      </w:r>
      <w:r w:rsidR="009D4454" w:rsidRPr="00C63A34">
        <w:rPr>
          <w:rFonts w:ascii="Bookman Old Style" w:hAnsi="Bookman Old Style"/>
        </w:rPr>
        <w:t xml:space="preserve"> fijar las tarifas por el acceso y uso de las redes eléctricas.</w:t>
      </w:r>
    </w:p>
    <w:p w:rsidR="009D4454" w:rsidRPr="00C63A34" w:rsidRDefault="009D4454" w:rsidP="009D4454">
      <w:pPr>
        <w:ind w:left="0"/>
        <w:jc w:val="both"/>
        <w:rPr>
          <w:rFonts w:ascii="Bookman Old Style" w:hAnsi="Bookman Old Style"/>
        </w:rPr>
      </w:pPr>
    </w:p>
    <w:p w:rsidR="00A5656A" w:rsidRDefault="00A5656A" w:rsidP="00A5656A">
      <w:pPr>
        <w:ind w:left="0"/>
        <w:jc w:val="both"/>
        <w:rPr>
          <w:rFonts w:ascii="Bookman Old Style" w:hAnsi="Bookman Old Style" w:cs="Arial"/>
          <w:spacing w:val="-3"/>
        </w:rPr>
      </w:pPr>
      <w:r>
        <w:rPr>
          <w:rFonts w:ascii="Bookman Old Style" w:hAnsi="Bookman Old Style" w:cs="Arial"/>
          <w:spacing w:val="-3"/>
        </w:rPr>
        <w:t>M</w:t>
      </w:r>
      <w:r w:rsidRPr="00934E08">
        <w:rPr>
          <w:rFonts w:ascii="Bookman Old Style" w:hAnsi="Bookman Old Style" w:cs="Arial"/>
          <w:spacing w:val="-3"/>
        </w:rPr>
        <w:t xml:space="preserve">ediante la Resolución CREG 011 de 2009 se </w:t>
      </w:r>
      <w:r w:rsidR="00A15A66">
        <w:rPr>
          <w:rFonts w:ascii="Bookman Old Style" w:hAnsi="Bookman Old Style" w:cs="Arial"/>
          <w:spacing w:val="-3"/>
        </w:rPr>
        <w:t>definieron</w:t>
      </w:r>
      <w:r w:rsidRPr="00934E08">
        <w:rPr>
          <w:rFonts w:ascii="Bookman Old Style" w:hAnsi="Bookman Old Style" w:cs="Arial"/>
          <w:spacing w:val="-3"/>
        </w:rPr>
        <w:t xml:space="preserve"> la metodología y </w:t>
      </w:r>
      <w:r w:rsidR="00A15A66">
        <w:rPr>
          <w:rFonts w:ascii="Bookman Old Style" w:hAnsi="Bookman Old Style" w:cs="Arial"/>
          <w:spacing w:val="-3"/>
        </w:rPr>
        <w:t xml:space="preserve">las </w:t>
      </w:r>
      <w:r w:rsidRPr="00934E08">
        <w:rPr>
          <w:rFonts w:ascii="Bookman Old Style" w:hAnsi="Bookman Old Style" w:cs="Arial"/>
          <w:spacing w:val="-3"/>
        </w:rPr>
        <w:t xml:space="preserve">fórmulas tarifarias para la remuneración de la actividad de transmisión de energía eléctrica en el </w:t>
      </w:r>
      <w:r>
        <w:rPr>
          <w:rFonts w:ascii="Bookman Old Style" w:hAnsi="Bookman Old Style" w:cs="Arial"/>
          <w:spacing w:val="-3"/>
        </w:rPr>
        <w:t>STN</w:t>
      </w:r>
      <w:r w:rsidRPr="00934E08">
        <w:rPr>
          <w:rFonts w:ascii="Bookman Old Style" w:hAnsi="Bookman Old Style" w:cs="Arial"/>
          <w:spacing w:val="-3"/>
        </w:rPr>
        <w:t>.</w:t>
      </w:r>
      <w:r>
        <w:rPr>
          <w:rFonts w:ascii="Bookman Old Style" w:hAnsi="Bookman Old Style" w:cs="Arial"/>
          <w:spacing w:val="-3"/>
        </w:rPr>
        <w:t xml:space="preserve"> </w:t>
      </w:r>
    </w:p>
    <w:p w:rsidR="000171CD" w:rsidRDefault="000171CD" w:rsidP="00A5656A">
      <w:pPr>
        <w:ind w:left="0"/>
        <w:jc w:val="both"/>
        <w:rPr>
          <w:rFonts w:ascii="Bookman Old Style" w:hAnsi="Bookman Old Style" w:cs="Arial"/>
          <w:spacing w:val="-3"/>
        </w:rPr>
      </w:pPr>
    </w:p>
    <w:p w:rsidR="00A5656A" w:rsidRDefault="000171CD" w:rsidP="00A5656A">
      <w:pPr>
        <w:ind w:left="0"/>
        <w:jc w:val="both"/>
        <w:rPr>
          <w:rFonts w:ascii="Bookman Old Style" w:hAnsi="Bookman Old Style" w:cs="Arial"/>
          <w:spacing w:val="-3"/>
        </w:rPr>
      </w:pPr>
      <w:r w:rsidRPr="00C02254">
        <w:rPr>
          <w:rFonts w:ascii="Bookman Old Style" w:hAnsi="Bookman Old Style" w:cs="Arial"/>
          <w:spacing w:val="-3"/>
        </w:rPr>
        <w:t xml:space="preserve">Mediante la Resolución </w:t>
      </w:r>
      <w:r w:rsidRPr="000171CD">
        <w:rPr>
          <w:rFonts w:ascii="Bookman Old Style" w:hAnsi="Bookman Old Style" w:cs="Arial"/>
          <w:spacing w:val="-3"/>
        </w:rPr>
        <w:t>CREG 107 de 2010, modificada por las resoluciones CREG 061 de 2011, 105 de 2011, 107 de</w:t>
      </w:r>
      <w:r w:rsidR="009B35CF">
        <w:rPr>
          <w:rFonts w:ascii="Bookman Old Style" w:hAnsi="Bookman Old Style" w:cs="Arial"/>
          <w:spacing w:val="-3"/>
        </w:rPr>
        <w:t xml:space="preserve"> 2012, 009 de 2013, 091 de 2013,</w:t>
      </w:r>
      <w:r w:rsidRPr="000171CD">
        <w:rPr>
          <w:rFonts w:ascii="Bookman Old Style" w:hAnsi="Bookman Old Style" w:cs="Arial"/>
          <w:spacing w:val="-3"/>
        </w:rPr>
        <w:t xml:space="preserve"> 072 de 2015</w:t>
      </w:r>
      <w:r w:rsidR="009B35CF">
        <w:rPr>
          <w:rFonts w:ascii="Bookman Old Style" w:hAnsi="Bookman Old Style" w:cs="Arial"/>
          <w:spacing w:val="-3"/>
        </w:rPr>
        <w:t xml:space="preserve"> y 173 de 2016</w:t>
      </w:r>
      <w:r>
        <w:rPr>
          <w:rFonts w:ascii="Bookman Old Style" w:hAnsi="Bookman Old Style" w:cs="Arial"/>
          <w:spacing w:val="-3"/>
        </w:rPr>
        <w:t xml:space="preserve">, </w:t>
      </w:r>
      <w:r w:rsidRPr="00C02254">
        <w:rPr>
          <w:rFonts w:ascii="Bookman Old Style" w:hAnsi="Bookman Old Style" w:cs="Arial"/>
          <w:spacing w:val="-3"/>
        </w:rPr>
        <w:t xml:space="preserve">se </w:t>
      </w:r>
      <w:r w:rsidR="008758FC" w:rsidRPr="00C02254">
        <w:rPr>
          <w:rFonts w:ascii="Bookman Old Style" w:hAnsi="Bookman Old Style" w:cs="Arial"/>
          <w:spacing w:val="-3"/>
        </w:rPr>
        <w:t>aprob</w:t>
      </w:r>
      <w:r w:rsidR="008758FC">
        <w:rPr>
          <w:rFonts w:ascii="Bookman Old Style" w:hAnsi="Bookman Old Style" w:cs="Arial"/>
          <w:spacing w:val="-3"/>
        </w:rPr>
        <w:t>aron</w:t>
      </w:r>
      <w:r w:rsidR="008758FC" w:rsidRPr="00C02254">
        <w:rPr>
          <w:rFonts w:ascii="Bookman Old Style" w:hAnsi="Bookman Old Style" w:cs="Arial"/>
          <w:spacing w:val="-3"/>
        </w:rPr>
        <w:t xml:space="preserve"> </w:t>
      </w:r>
      <w:r w:rsidRPr="00C02254">
        <w:rPr>
          <w:rFonts w:ascii="Bookman Old Style" w:hAnsi="Bookman Old Style" w:cs="Arial"/>
          <w:spacing w:val="-3"/>
        </w:rPr>
        <w:t xml:space="preserve">la base de activos y los parámetros necesarios para determinar la remuneración de </w:t>
      </w:r>
      <w:proofErr w:type="spellStart"/>
      <w:r>
        <w:rPr>
          <w:rFonts w:ascii="Bookman Old Style" w:hAnsi="Bookman Old Style" w:cs="Arial"/>
          <w:spacing w:val="-3"/>
        </w:rPr>
        <w:t>Transelca</w:t>
      </w:r>
      <w:proofErr w:type="spellEnd"/>
      <w:r w:rsidRPr="00C02254">
        <w:rPr>
          <w:rFonts w:ascii="Bookman Old Style" w:hAnsi="Bookman Old Style" w:cs="Arial"/>
          <w:spacing w:val="-3"/>
        </w:rPr>
        <w:t xml:space="preserve"> S.A. E.S.P., en el STN</w:t>
      </w:r>
      <w:r w:rsidR="00941AFB">
        <w:rPr>
          <w:rFonts w:ascii="Bookman Old Style" w:hAnsi="Bookman Old Style" w:cs="Arial"/>
          <w:spacing w:val="-3"/>
        </w:rPr>
        <w:t>.</w:t>
      </w:r>
    </w:p>
    <w:p w:rsidR="000171CD" w:rsidRDefault="000171CD" w:rsidP="00A5656A">
      <w:pPr>
        <w:ind w:left="0"/>
        <w:jc w:val="both"/>
        <w:rPr>
          <w:rFonts w:ascii="Bookman Old Style" w:hAnsi="Bookman Old Style" w:cs="Arial"/>
          <w:spacing w:val="-3"/>
        </w:rPr>
      </w:pPr>
    </w:p>
    <w:p w:rsidR="00A5656A" w:rsidRDefault="00A5656A" w:rsidP="00A5656A">
      <w:pPr>
        <w:ind w:left="0"/>
        <w:jc w:val="both"/>
        <w:rPr>
          <w:rFonts w:ascii="Bookman Old Style" w:hAnsi="Bookman Old Style" w:cs="Arial"/>
          <w:spacing w:val="-3"/>
        </w:rPr>
      </w:pPr>
      <w:r>
        <w:rPr>
          <w:rFonts w:ascii="Bookman Old Style" w:hAnsi="Bookman Old Style" w:cs="Arial"/>
          <w:spacing w:val="-3"/>
        </w:rPr>
        <w:t xml:space="preserve">De acuerdo con el artículo 7 de la Resolución CREG 011 de 2009 el ingreso anual del transmisor, IAT, “(…) </w:t>
      </w:r>
      <w:r w:rsidRPr="00B435AE">
        <w:rPr>
          <w:rFonts w:ascii="Bookman Old Style" w:hAnsi="Bookman Old Style" w:cs="Arial"/>
          <w:i/>
          <w:spacing w:val="-3"/>
        </w:rPr>
        <w:t>s</w:t>
      </w:r>
      <w:r>
        <w:rPr>
          <w:rFonts w:ascii="Bookman Old Style" w:hAnsi="Bookman Old Style" w:cs="Arial"/>
          <w:i/>
          <w:spacing w:val="-3"/>
        </w:rPr>
        <w:t>o</w:t>
      </w:r>
      <w:r w:rsidRPr="00B435AE">
        <w:rPr>
          <w:rFonts w:ascii="Bookman Old Style" w:hAnsi="Bookman Old Style" w:cs="Arial"/>
          <w:i/>
          <w:spacing w:val="-3"/>
        </w:rPr>
        <w:t xml:space="preserve">lo se ajustará si la CREG llegare a modificar los valores de la Unidades Constructivas, cuando se modifique el valor del AOM reconocido o cuando, en cumplimiento de la regulación vigente, se excluyan Activos de Uso en operación, ingresen nuevos Activos de Uso o se </w:t>
      </w:r>
      <w:r w:rsidRPr="009F7D9B">
        <w:rPr>
          <w:rFonts w:ascii="Bookman Old Style" w:hAnsi="Bookman Old Style" w:cs="Arial"/>
          <w:i/>
          <w:spacing w:val="-3"/>
        </w:rPr>
        <w:t>remplacen</w:t>
      </w:r>
      <w:r w:rsidRPr="00B435AE">
        <w:rPr>
          <w:rFonts w:ascii="Bookman Old Style" w:hAnsi="Bookman Old Style" w:cs="Arial"/>
          <w:i/>
          <w:spacing w:val="-3"/>
        </w:rPr>
        <w:t xml:space="preserve"> las Unidades Constructivas instaladas por otras de clasificación diferente de acuerdo con lo establecido en el Artículo 6 de la presente Resolución.</w:t>
      </w:r>
      <w:r>
        <w:rPr>
          <w:rFonts w:ascii="Bookman Old Style" w:hAnsi="Bookman Old Style" w:cs="Arial"/>
          <w:spacing w:val="-3"/>
        </w:rPr>
        <w:t>”</w:t>
      </w:r>
    </w:p>
    <w:p w:rsidR="00A5656A" w:rsidRDefault="00A5656A" w:rsidP="00A5656A">
      <w:pPr>
        <w:ind w:left="0"/>
        <w:jc w:val="both"/>
        <w:rPr>
          <w:rFonts w:ascii="Bookman Old Style" w:hAnsi="Bookman Old Style" w:cs="Arial"/>
          <w:spacing w:val="-3"/>
        </w:rPr>
      </w:pPr>
    </w:p>
    <w:p w:rsidR="00952B23" w:rsidRDefault="00941AFB" w:rsidP="00A5656A">
      <w:pPr>
        <w:ind w:left="0"/>
        <w:jc w:val="both"/>
        <w:rPr>
          <w:rFonts w:ascii="Bookman Old Style" w:hAnsi="Bookman Old Style"/>
        </w:rPr>
      </w:pPr>
      <w:proofErr w:type="spellStart"/>
      <w:r w:rsidRPr="00941AFB">
        <w:rPr>
          <w:rFonts w:ascii="Bookman Old Style" w:hAnsi="Bookman Old Style"/>
        </w:rPr>
        <w:lastRenderedPageBreak/>
        <w:t>Transelca</w:t>
      </w:r>
      <w:proofErr w:type="spellEnd"/>
      <w:r w:rsidRPr="00941AFB">
        <w:rPr>
          <w:rFonts w:ascii="Bookman Old Style" w:hAnsi="Bookman Old Style"/>
        </w:rPr>
        <w:t xml:space="preserve"> S.A. E.S.P., mediante la comunicación radicada en la CREG con el número E-2016-0</w:t>
      </w:r>
      <w:r w:rsidR="009B35CF">
        <w:rPr>
          <w:rFonts w:ascii="Bookman Old Style" w:hAnsi="Bookman Old Style"/>
        </w:rPr>
        <w:t>13968</w:t>
      </w:r>
      <w:r w:rsidRPr="00941AFB">
        <w:rPr>
          <w:rFonts w:ascii="Bookman Old Style" w:hAnsi="Bookman Old Style"/>
        </w:rPr>
        <w:t xml:space="preserve">, solicita </w:t>
      </w:r>
      <w:r w:rsidR="00952B23">
        <w:rPr>
          <w:rFonts w:ascii="Bookman Old Style" w:hAnsi="Bookman Old Style"/>
        </w:rPr>
        <w:t xml:space="preserve">la actualización del tipo del centro de supervisión y maniobras - CSM, de tipo 2 a tipo 3, en </w:t>
      </w:r>
      <w:r w:rsidRPr="00941AFB">
        <w:rPr>
          <w:rFonts w:ascii="Bookman Old Style" w:hAnsi="Bookman Old Style"/>
        </w:rPr>
        <w:t>la base de activos de la empresa y</w:t>
      </w:r>
      <w:r w:rsidR="00952B23">
        <w:rPr>
          <w:rFonts w:ascii="Bookman Old Style" w:hAnsi="Bookman Old Style"/>
        </w:rPr>
        <w:t>,</w:t>
      </w:r>
      <w:r w:rsidRPr="00941AFB">
        <w:rPr>
          <w:rFonts w:ascii="Bookman Old Style" w:hAnsi="Bookman Old Style"/>
        </w:rPr>
        <w:t xml:space="preserve"> </w:t>
      </w:r>
      <w:r w:rsidR="00A22AF8">
        <w:rPr>
          <w:rFonts w:ascii="Bookman Old Style" w:hAnsi="Bookman Old Style"/>
        </w:rPr>
        <w:t xml:space="preserve">en consecuencia, actualizar </w:t>
      </w:r>
      <w:r w:rsidRPr="00941AFB">
        <w:rPr>
          <w:rFonts w:ascii="Bookman Old Style" w:hAnsi="Bookman Old Style"/>
        </w:rPr>
        <w:t>el ingreso anual del transmisor</w:t>
      </w:r>
      <w:r w:rsidR="00952B23">
        <w:rPr>
          <w:rFonts w:ascii="Bookman Old Style" w:hAnsi="Bookman Old Style"/>
        </w:rPr>
        <w:t>.</w:t>
      </w:r>
    </w:p>
    <w:p w:rsidR="00952B23" w:rsidRDefault="00952B23" w:rsidP="00A5656A">
      <w:pPr>
        <w:ind w:left="0"/>
        <w:jc w:val="both"/>
        <w:rPr>
          <w:rFonts w:ascii="Bookman Old Style" w:hAnsi="Bookman Old Style"/>
        </w:rPr>
      </w:pPr>
    </w:p>
    <w:p w:rsidR="00234F36" w:rsidRDefault="00952B23" w:rsidP="00A5656A">
      <w:pPr>
        <w:ind w:left="0"/>
        <w:jc w:val="both"/>
        <w:rPr>
          <w:rFonts w:ascii="Bookman Old Style" w:hAnsi="Bookman Old Style"/>
        </w:rPr>
      </w:pPr>
      <w:r>
        <w:rPr>
          <w:rFonts w:ascii="Bookman Old Style" w:hAnsi="Bookman Old Style"/>
        </w:rPr>
        <w:t xml:space="preserve">Como justificación para el cambio del tipo de CSM la empresa solicita considerar en su dimensionamiento el número de señales de las bahías de transformación de generadores, </w:t>
      </w:r>
      <w:r w:rsidR="00A22AF8">
        <w:rPr>
          <w:rFonts w:ascii="Bookman Old Style" w:hAnsi="Bookman Old Style"/>
        </w:rPr>
        <w:t xml:space="preserve">de los </w:t>
      </w:r>
      <w:r>
        <w:rPr>
          <w:rFonts w:ascii="Bookman Old Style" w:hAnsi="Bookman Old Style"/>
        </w:rPr>
        <w:t>cortes centrales</w:t>
      </w:r>
      <w:r w:rsidR="00A22AF8">
        <w:rPr>
          <w:rFonts w:ascii="Bookman Old Style" w:hAnsi="Bookman Old Style"/>
        </w:rPr>
        <w:t xml:space="preserve"> de las bahías con configuración interruptor y medio y de las bahías de transformadores conexión de OR al STN que no tienen configuraci</w:t>
      </w:r>
      <w:r w:rsidR="00234F36">
        <w:rPr>
          <w:rFonts w:ascii="Bookman Old Style" w:hAnsi="Bookman Old Style"/>
        </w:rPr>
        <w:t xml:space="preserve">ón interruptor y medio o anillo, que son propiedad de </w:t>
      </w:r>
      <w:proofErr w:type="spellStart"/>
      <w:r w:rsidR="00234F36">
        <w:rPr>
          <w:rFonts w:ascii="Bookman Old Style" w:hAnsi="Bookman Old Style"/>
        </w:rPr>
        <w:t>Transelca</w:t>
      </w:r>
      <w:proofErr w:type="spellEnd"/>
      <w:r w:rsidR="00234F36">
        <w:rPr>
          <w:rFonts w:ascii="Bookman Old Style" w:hAnsi="Bookman Old Style"/>
        </w:rPr>
        <w:t xml:space="preserve"> </w:t>
      </w:r>
      <w:r w:rsidR="00234F36" w:rsidRPr="00941AFB">
        <w:rPr>
          <w:rFonts w:ascii="Bookman Old Style" w:hAnsi="Bookman Old Style"/>
        </w:rPr>
        <w:t>S.A. E.S.P.</w:t>
      </w:r>
      <w:r w:rsidR="00234F36">
        <w:rPr>
          <w:rFonts w:ascii="Bookman Old Style" w:hAnsi="Bookman Old Style"/>
        </w:rPr>
        <w:t xml:space="preserve"> o que son de propiedad e terceros pero son representados por esta empresa y que no fueron consideradas </w:t>
      </w:r>
      <w:r w:rsidR="00D555CB">
        <w:rPr>
          <w:rFonts w:ascii="Bookman Old Style" w:hAnsi="Bookman Old Style"/>
        </w:rPr>
        <w:t>para dimensionar el CSM tipo 2 que hoy se le reconoce en su base de activos.</w:t>
      </w:r>
    </w:p>
    <w:p w:rsidR="00D555CB" w:rsidRDefault="00D555CB" w:rsidP="00A5656A">
      <w:pPr>
        <w:ind w:left="0"/>
        <w:jc w:val="both"/>
        <w:rPr>
          <w:rFonts w:ascii="Bookman Old Style" w:hAnsi="Bookman Old Style"/>
        </w:rPr>
      </w:pPr>
    </w:p>
    <w:p w:rsidR="00D555CB" w:rsidRDefault="00D555CB" w:rsidP="00A5656A">
      <w:pPr>
        <w:ind w:left="0"/>
        <w:jc w:val="both"/>
        <w:rPr>
          <w:rFonts w:ascii="Bookman Old Style" w:hAnsi="Bookman Old Style"/>
        </w:rPr>
      </w:pPr>
      <w:r>
        <w:rPr>
          <w:rFonts w:ascii="Bookman Old Style" w:hAnsi="Bookman Old Style"/>
        </w:rPr>
        <w:t>La empresa argumenta que</w:t>
      </w:r>
      <w:r w:rsidR="009F4209">
        <w:rPr>
          <w:rFonts w:ascii="Bookman Old Style" w:hAnsi="Bookman Old Style"/>
        </w:rPr>
        <w:t>,</w:t>
      </w:r>
      <w:r>
        <w:rPr>
          <w:rFonts w:ascii="Bookman Old Style" w:hAnsi="Bookman Old Style"/>
        </w:rPr>
        <w:t xml:space="preserve"> al considerar dicho número de señales</w:t>
      </w:r>
      <w:r w:rsidR="009F4209">
        <w:rPr>
          <w:rFonts w:ascii="Bookman Old Style" w:hAnsi="Bookman Old Style"/>
        </w:rPr>
        <w:t>,</w:t>
      </w:r>
      <w:r>
        <w:rPr>
          <w:rFonts w:ascii="Bookman Old Style" w:hAnsi="Bookman Old Style"/>
        </w:rPr>
        <w:t xml:space="preserve"> el CSM a reconocer a la empresa cambia de tipo 2 a tipo 3 y que este número de señales “</w:t>
      </w:r>
      <w:r w:rsidRPr="00D555CB">
        <w:rPr>
          <w:rFonts w:ascii="Bookman Old Style" w:hAnsi="Bookman Old Style"/>
          <w:i/>
        </w:rPr>
        <w:t>se requiere para cumplir las funciones definidas en el Artículo 60. Funciones Operativas de las Empresas</w:t>
      </w:r>
      <w:r>
        <w:rPr>
          <w:rFonts w:ascii="Bookman Old Style" w:hAnsi="Bookman Old Style"/>
          <w:i/>
        </w:rPr>
        <w:t xml:space="preserve"> </w:t>
      </w:r>
      <w:r w:rsidRPr="00D555CB">
        <w:rPr>
          <w:rFonts w:ascii="Bookman Old Style" w:hAnsi="Bookman Old Style"/>
          <w:i/>
        </w:rPr>
        <w:t>Prestadoras del Servicio de Transporte de Energía en el STN y/o Servicio de Conexión al STN de la Resolución CREG 080 de 19</w:t>
      </w:r>
      <w:r>
        <w:rPr>
          <w:rFonts w:ascii="Bookman Old Style" w:hAnsi="Bookman Old Style"/>
          <w:i/>
        </w:rPr>
        <w:t>9</w:t>
      </w:r>
      <w:r w:rsidRPr="00D555CB">
        <w:rPr>
          <w:rFonts w:ascii="Bookman Old Style" w:hAnsi="Bookman Old Style"/>
          <w:i/>
        </w:rPr>
        <w:t>9</w:t>
      </w:r>
      <w:r>
        <w:rPr>
          <w:rFonts w:ascii="Bookman Old Style" w:hAnsi="Bookman Old Style"/>
        </w:rPr>
        <w:t>”</w:t>
      </w:r>
      <w:r w:rsidR="00EE4046">
        <w:rPr>
          <w:rFonts w:ascii="Bookman Old Style" w:hAnsi="Bookman Old Style"/>
        </w:rPr>
        <w:t>.</w:t>
      </w:r>
    </w:p>
    <w:p w:rsidR="00234F36" w:rsidRDefault="00234F36" w:rsidP="00A5656A">
      <w:pPr>
        <w:ind w:left="0"/>
        <w:jc w:val="both"/>
        <w:rPr>
          <w:rFonts w:ascii="Bookman Old Style" w:hAnsi="Bookman Old Style"/>
        </w:rPr>
      </w:pPr>
    </w:p>
    <w:p w:rsidR="008F6B31" w:rsidRPr="008F6B31" w:rsidRDefault="008F6B31" w:rsidP="008F6B31">
      <w:pPr>
        <w:ind w:left="0"/>
        <w:jc w:val="both"/>
        <w:rPr>
          <w:rFonts w:ascii="Bookman Old Style" w:hAnsi="Bookman Old Style" w:cs="Arial"/>
          <w:spacing w:val="-3"/>
          <w:lang w:val="es-CO"/>
        </w:rPr>
      </w:pPr>
      <w:r>
        <w:rPr>
          <w:rFonts w:ascii="Bookman Old Style" w:hAnsi="Bookman Old Style" w:cs="Arial"/>
          <w:spacing w:val="-3"/>
          <w:lang w:val="es-CO"/>
        </w:rPr>
        <w:t xml:space="preserve">Mediante auto del </w:t>
      </w:r>
      <w:r w:rsidR="009F4209">
        <w:rPr>
          <w:rFonts w:ascii="Bookman Old Style" w:hAnsi="Bookman Old Style" w:cs="Arial"/>
          <w:spacing w:val="-3"/>
          <w:lang w:val="es-CO"/>
        </w:rPr>
        <w:t>23</w:t>
      </w:r>
      <w:r w:rsidR="002A653A">
        <w:rPr>
          <w:rFonts w:ascii="Bookman Old Style" w:hAnsi="Bookman Old Style" w:cs="Arial"/>
          <w:spacing w:val="-3"/>
          <w:lang w:val="es-CO"/>
        </w:rPr>
        <w:t xml:space="preserve"> de </w:t>
      </w:r>
      <w:r w:rsidR="009F4209">
        <w:rPr>
          <w:rFonts w:ascii="Bookman Old Style" w:hAnsi="Bookman Old Style" w:cs="Arial"/>
          <w:spacing w:val="-3"/>
          <w:lang w:val="es-CO"/>
        </w:rPr>
        <w:t xml:space="preserve">marzo </w:t>
      </w:r>
      <w:r w:rsidR="002A653A">
        <w:rPr>
          <w:rFonts w:ascii="Bookman Old Style" w:hAnsi="Bookman Old Style" w:cs="Arial"/>
          <w:spacing w:val="-3"/>
          <w:lang w:val="es-CO"/>
        </w:rPr>
        <w:t>de</w:t>
      </w:r>
      <w:r>
        <w:rPr>
          <w:rFonts w:ascii="Bookman Old Style" w:hAnsi="Bookman Old Style" w:cs="Arial"/>
          <w:spacing w:val="-3"/>
          <w:lang w:val="es-CO"/>
        </w:rPr>
        <w:t xml:space="preserve"> 201</w:t>
      </w:r>
      <w:r w:rsidR="009F4209">
        <w:rPr>
          <w:rFonts w:ascii="Bookman Old Style" w:hAnsi="Bookman Old Style" w:cs="Arial"/>
          <w:spacing w:val="-3"/>
          <w:lang w:val="es-CO"/>
        </w:rPr>
        <w:t>7</w:t>
      </w:r>
      <w:r w:rsidRPr="008F6B31">
        <w:rPr>
          <w:rFonts w:ascii="Bookman Old Style" w:hAnsi="Bookman Old Style" w:cs="Arial"/>
          <w:spacing w:val="-3"/>
          <w:lang w:val="es-CO"/>
        </w:rPr>
        <w:t xml:space="preserve">, la Comisión dio inicio a la actuación administrativa tendiente a actualizar el ingreso anual de la actividad de transmisión de </w:t>
      </w:r>
      <w:proofErr w:type="spellStart"/>
      <w:r w:rsidR="0051050B">
        <w:rPr>
          <w:rFonts w:ascii="Bookman Old Style" w:hAnsi="Bookman Old Style" w:cs="Arial"/>
          <w:spacing w:val="-3"/>
          <w:lang w:val="es-CO"/>
        </w:rPr>
        <w:t>Transelca</w:t>
      </w:r>
      <w:proofErr w:type="spellEnd"/>
      <w:r w:rsidRPr="008F6B31">
        <w:rPr>
          <w:rFonts w:ascii="Bookman Old Style" w:hAnsi="Bookman Old Style" w:cs="Arial"/>
          <w:spacing w:val="-3"/>
          <w:lang w:val="es-CO"/>
        </w:rPr>
        <w:t xml:space="preserve"> S.A. E.S.P., y ordenó la apertura del respectivo expediente que fu</w:t>
      </w:r>
      <w:r w:rsidR="009F4209">
        <w:rPr>
          <w:rFonts w:ascii="Bookman Old Style" w:hAnsi="Bookman Old Style" w:cs="Arial"/>
          <w:spacing w:val="-3"/>
          <w:lang w:val="es-CO"/>
        </w:rPr>
        <w:t>e distinguido con el número 2017</w:t>
      </w:r>
      <w:r>
        <w:rPr>
          <w:rFonts w:ascii="Bookman Old Style" w:hAnsi="Bookman Old Style" w:cs="Arial"/>
          <w:spacing w:val="-3"/>
          <w:lang w:val="es-CO"/>
        </w:rPr>
        <w:t>-0</w:t>
      </w:r>
      <w:r w:rsidR="009F4209">
        <w:rPr>
          <w:rFonts w:ascii="Bookman Old Style" w:hAnsi="Bookman Old Style" w:cs="Arial"/>
          <w:spacing w:val="-3"/>
          <w:lang w:val="es-CO"/>
        </w:rPr>
        <w:t>007</w:t>
      </w:r>
      <w:r w:rsidRPr="008F6B31">
        <w:rPr>
          <w:rFonts w:ascii="Bookman Old Style" w:hAnsi="Bookman Old Style" w:cs="Arial"/>
          <w:spacing w:val="-3"/>
          <w:lang w:val="es-CO"/>
        </w:rPr>
        <w:t xml:space="preserve">. </w:t>
      </w:r>
    </w:p>
    <w:p w:rsidR="008F6B31" w:rsidRPr="008F6B31" w:rsidRDefault="008F6B31" w:rsidP="008F6B31">
      <w:pPr>
        <w:ind w:left="0"/>
        <w:jc w:val="both"/>
        <w:rPr>
          <w:rFonts w:ascii="Bookman Old Style" w:hAnsi="Bookman Old Style" w:cs="Arial"/>
          <w:spacing w:val="-3"/>
          <w:lang w:val="es-CO"/>
        </w:rPr>
      </w:pPr>
    </w:p>
    <w:p w:rsidR="0018302B" w:rsidRDefault="008F6B31" w:rsidP="008F6B31">
      <w:pPr>
        <w:ind w:left="0"/>
        <w:jc w:val="both"/>
        <w:rPr>
          <w:rFonts w:ascii="Bookman Old Style" w:hAnsi="Bookman Old Style" w:cs="Arial"/>
          <w:spacing w:val="-3"/>
          <w:lang w:val="es-CO"/>
        </w:rPr>
      </w:pPr>
      <w:r w:rsidRPr="008F6B31">
        <w:rPr>
          <w:rFonts w:ascii="Bookman Old Style" w:hAnsi="Bookman Old Style" w:cs="Arial"/>
          <w:spacing w:val="-3"/>
          <w:lang w:val="es-CO"/>
        </w:rPr>
        <w:t xml:space="preserve">Posteriormente y en cumplimiento de lo establecido en el artículo 37 del Código de Procedimiento Administrativo y de lo Contencioso Administrativo, la CREG publicó en el </w:t>
      </w:r>
      <w:r w:rsidRPr="0071250D">
        <w:rPr>
          <w:rFonts w:ascii="Bookman Old Style" w:hAnsi="Bookman Old Style" w:cs="Arial"/>
          <w:i/>
          <w:spacing w:val="-3"/>
          <w:lang w:val="es-CO"/>
        </w:rPr>
        <w:t>Diario Oficial</w:t>
      </w:r>
      <w:r w:rsidRPr="008F6B31">
        <w:rPr>
          <w:rFonts w:ascii="Bookman Old Style" w:hAnsi="Bookman Old Style" w:cs="Arial"/>
          <w:spacing w:val="-3"/>
          <w:lang w:val="es-CO"/>
        </w:rPr>
        <w:t xml:space="preserve"> y en la página web de la entidad un resumen de la solicitud, con el fin de que los terceros interesados pudieran intervenir en la actuación administrativa.</w:t>
      </w:r>
    </w:p>
    <w:p w:rsidR="009F4209" w:rsidRDefault="009F4209" w:rsidP="008F6B31">
      <w:pPr>
        <w:ind w:left="0"/>
        <w:jc w:val="both"/>
        <w:rPr>
          <w:rFonts w:ascii="Bookman Old Style" w:hAnsi="Bookman Old Style" w:cs="Arial"/>
          <w:spacing w:val="-3"/>
          <w:lang w:val="es-CO"/>
        </w:rPr>
      </w:pPr>
    </w:p>
    <w:p w:rsidR="0054352E" w:rsidRDefault="003A3B14" w:rsidP="008F6B31">
      <w:pPr>
        <w:ind w:left="0"/>
        <w:jc w:val="both"/>
        <w:rPr>
          <w:rFonts w:ascii="Bookman Old Style" w:hAnsi="Bookman Old Style" w:cs="Arial"/>
          <w:spacing w:val="-3"/>
          <w:lang w:val="es-CO"/>
        </w:rPr>
      </w:pPr>
      <w:r>
        <w:rPr>
          <w:rFonts w:ascii="Bookman Old Style" w:hAnsi="Bookman Old Style" w:cs="Arial"/>
          <w:spacing w:val="-3"/>
          <w:lang w:val="es-CO"/>
        </w:rPr>
        <w:t xml:space="preserve">Tras la revisión de la solicitud de la empresa, la Comisión encuentra que </w:t>
      </w:r>
      <w:r w:rsidR="0054352E">
        <w:rPr>
          <w:rFonts w:ascii="Bookman Old Style" w:hAnsi="Bookman Old Style"/>
        </w:rPr>
        <w:t>las bahías de transformación de generadores y las bahías de transformadores conexión de OR al STN</w:t>
      </w:r>
      <w:r w:rsidR="0075661B">
        <w:rPr>
          <w:rFonts w:ascii="Bookman Old Style" w:hAnsi="Bookman Old Style"/>
        </w:rPr>
        <w:t>,</w:t>
      </w:r>
      <w:r w:rsidR="0054352E">
        <w:rPr>
          <w:rFonts w:ascii="Bookman Old Style" w:hAnsi="Bookman Old Style"/>
        </w:rPr>
        <w:t xml:space="preserve"> </w:t>
      </w:r>
      <w:r w:rsidR="00826EE6">
        <w:rPr>
          <w:rFonts w:ascii="Bookman Old Style" w:hAnsi="Bookman Old Style" w:cs="Arial"/>
          <w:spacing w:val="-3"/>
          <w:lang w:val="es-CO"/>
        </w:rPr>
        <w:t>que</w:t>
      </w:r>
      <w:r>
        <w:rPr>
          <w:rFonts w:ascii="Bookman Old Style" w:hAnsi="Bookman Old Style" w:cs="Arial"/>
          <w:spacing w:val="-3"/>
          <w:lang w:val="es-CO"/>
        </w:rPr>
        <w:t xml:space="preserve"> </w:t>
      </w:r>
      <w:proofErr w:type="spellStart"/>
      <w:r>
        <w:rPr>
          <w:rFonts w:ascii="Bookman Old Style" w:hAnsi="Bookman Old Style" w:cs="Arial"/>
          <w:spacing w:val="-3"/>
          <w:lang w:val="es-CO"/>
        </w:rPr>
        <w:t>Transelca</w:t>
      </w:r>
      <w:proofErr w:type="spellEnd"/>
      <w:r w:rsidR="0054352E">
        <w:rPr>
          <w:rFonts w:ascii="Bookman Old Style" w:hAnsi="Bookman Old Style" w:cs="Arial"/>
          <w:spacing w:val="-3"/>
          <w:lang w:val="es-CO"/>
        </w:rPr>
        <w:t xml:space="preserve"> </w:t>
      </w:r>
      <w:r w:rsidR="0054352E" w:rsidRPr="008F6B31">
        <w:rPr>
          <w:rFonts w:ascii="Bookman Old Style" w:hAnsi="Bookman Old Style" w:cs="Arial"/>
          <w:spacing w:val="-3"/>
          <w:lang w:val="es-CO"/>
        </w:rPr>
        <w:t>S.A. E.S.P.</w:t>
      </w:r>
      <w:r>
        <w:rPr>
          <w:rFonts w:ascii="Bookman Old Style" w:hAnsi="Bookman Old Style" w:cs="Arial"/>
          <w:spacing w:val="-3"/>
          <w:lang w:val="es-CO"/>
        </w:rPr>
        <w:t xml:space="preserve"> solicita incluir para el dimensionamiento del CSM</w:t>
      </w:r>
      <w:r w:rsidR="0075661B">
        <w:rPr>
          <w:rFonts w:ascii="Bookman Old Style" w:hAnsi="Bookman Old Style" w:cs="Arial"/>
          <w:spacing w:val="-3"/>
          <w:lang w:val="es-CO"/>
        </w:rPr>
        <w:t>,</w:t>
      </w:r>
      <w:r w:rsidR="00826EE6">
        <w:rPr>
          <w:rFonts w:ascii="Bookman Old Style" w:hAnsi="Bookman Old Style" w:cs="Arial"/>
          <w:spacing w:val="-3"/>
          <w:lang w:val="es-CO"/>
        </w:rPr>
        <w:t xml:space="preserve"> son activos que </w:t>
      </w:r>
      <w:r w:rsidR="0054352E">
        <w:rPr>
          <w:rFonts w:ascii="Bookman Old Style" w:hAnsi="Bookman Old Style" w:cs="Arial"/>
          <w:spacing w:val="-3"/>
          <w:lang w:val="es-CO"/>
        </w:rPr>
        <w:t>deben remunerarse</w:t>
      </w:r>
      <w:r w:rsidR="00826EE6">
        <w:rPr>
          <w:rFonts w:ascii="Bookman Old Style" w:hAnsi="Bookman Old Style" w:cs="Arial"/>
          <w:spacing w:val="-3"/>
          <w:lang w:val="es-CO"/>
        </w:rPr>
        <w:t xml:space="preserve"> a </w:t>
      </w:r>
      <w:r w:rsidR="0054352E">
        <w:rPr>
          <w:rFonts w:ascii="Bookman Old Style" w:hAnsi="Bookman Old Style" w:cs="Arial"/>
          <w:spacing w:val="-3"/>
          <w:lang w:val="es-CO"/>
        </w:rPr>
        <w:t>través de contratos con los usuarios, tal como se menciona en la definición de activos de conexión al STN contenida en el artículo 3 de la Resolución CREG 011 de 2009:</w:t>
      </w:r>
    </w:p>
    <w:p w:rsidR="0054352E" w:rsidRDefault="0054352E" w:rsidP="008F6B31">
      <w:pPr>
        <w:ind w:left="0"/>
        <w:jc w:val="both"/>
        <w:rPr>
          <w:rFonts w:ascii="Bookman Old Style" w:hAnsi="Bookman Old Style" w:cs="Arial"/>
          <w:spacing w:val="-3"/>
          <w:lang w:val="es-CO"/>
        </w:rPr>
      </w:pPr>
    </w:p>
    <w:p w:rsidR="0054352E" w:rsidRPr="00EE4046" w:rsidRDefault="0054352E" w:rsidP="00EE4046">
      <w:pPr>
        <w:tabs>
          <w:tab w:val="left" w:pos="8789"/>
        </w:tabs>
        <w:ind w:left="708" w:right="567"/>
        <w:jc w:val="both"/>
        <w:rPr>
          <w:rFonts w:ascii="Bookman Old Style" w:hAnsi="Bookman Old Style" w:cs="Arial"/>
          <w:spacing w:val="-3"/>
          <w:lang w:val="es-CO"/>
        </w:rPr>
      </w:pPr>
      <w:r w:rsidRPr="0054352E">
        <w:rPr>
          <w:rFonts w:ascii="Bookman Old Style" w:hAnsi="Bookman Old Style" w:cs="Arial"/>
          <w:b/>
          <w:i/>
          <w:spacing w:val="-3"/>
          <w:lang w:val="es-CO"/>
        </w:rPr>
        <w:t>Activos de Conexión al STN.</w:t>
      </w:r>
      <w:r w:rsidRPr="0054352E">
        <w:rPr>
          <w:rFonts w:ascii="Bookman Old Style" w:hAnsi="Bookman Old Style" w:cs="Arial"/>
          <w:i/>
          <w:spacing w:val="-3"/>
          <w:lang w:val="es-CO"/>
        </w:rPr>
        <w:t xml:space="preserve"> Son los bienes que se requieren para que un generador, Operador de Red, Usuario Final, o varios de los anteriores, se conecten físicamente al Sistema de Transmisión Nacional. Los Activos de Conexión al STN </w:t>
      </w:r>
      <w:r w:rsidRPr="0054352E">
        <w:rPr>
          <w:rFonts w:ascii="Bookman Old Style" w:hAnsi="Bookman Old Style" w:cs="Arial"/>
          <w:i/>
          <w:spacing w:val="-3"/>
          <w:u w:val="single"/>
          <w:lang w:val="es-CO"/>
        </w:rPr>
        <w:t>se remunerarán a través de contratos entre el propietario y los usuarios respectivos del activo de conexión</w:t>
      </w:r>
      <w:r w:rsidR="00826EE6" w:rsidRPr="0054352E">
        <w:rPr>
          <w:rFonts w:ascii="Bookman Old Style" w:hAnsi="Bookman Old Style" w:cs="Arial"/>
          <w:i/>
          <w:spacing w:val="-3"/>
          <w:lang w:val="es-CO"/>
        </w:rPr>
        <w:t>.</w:t>
      </w:r>
      <w:r w:rsidR="00EE4046">
        <w:rPr>
          <w:rFonts w:ascii="Bookman Old Style" w:hAnsi="Bookman Old Style" w:cs="Arial"/>
          <w:i/>
          <w:spacing w:val="-3"/>
          <w:lang w:val="es-CO"/>
        </w:rPr>
        <w:t xml:space="preserve"> </w:t>
      </w:r>
      <w:r w:rsidR="00EE4046" w:rsidRPr="00EE4046">
        <w:rPr>
          <w:rFonts w:ascii="Bookman Old Style" w:hAnsi="Bookman Old Style" w:cs="Arial"/>
          <w:spacing w:val="-3"/>
          <w:lang w:val="es-CO"/>
        </w:rPr>
        <w:t>(</w:t>
      </w:r>
      <w:r w:rsidRPr="00EE4046">
        <w:rPr>
          <w:rFonts w:ascii="Bookman Old Style" w:hAnsi="Bookman Old Style" w:cs="Arial"/>
          <w:spacing w:val="-3"/>
          <w:lang w:val="es-CO"/>
        </w:rPr>
        <w:t>Subrayado fuera de texto</w:t>
      </w:r>
      <w:r w:rsidR="00EE4046" w:rsidRPr="00EE4046">
        <w:rPr>
          <w:rFonts w:ascii="Bookman Old Style" w:hAnsi="Bookman Old Style" w:cs="Arial"/>
          <w:spacing w:val="-3"/>
          <w:lang w:val="es-CO"/>
        </w:rPr>
        <w:t>)</w:t>
      </w:r>
      <w:r w:rsidRPr="00EE4046">
        <w:rPr>
          <w:rFonts w:ascii="Bookman Old Style" w:hAnsi="Bookman Old Style" w:cs="Arial"/>
          <w:spacing w:val="-3"/>
          <w:lang w:val="es-CO"/>
        </w:rPr>
        <w:t>.</w:t>
      </w:r>
    </w:p>
    <w:p w:rsidR="009D4454" w:rsidRDefault="009D4454" w:rsidP="009D4454">
      <w:pPr>
        <w:ind w:left="0"/>
        <w:jc w:val="both"/>
        <w:rPr>
          <w:rFonts w:ascii="Bookman Old Style" w:hAnsi="Bookman Old Style"/>
        </w:rPr>
      </w:pPr>
    </w:p>
    <w:p w:rsidR="00A95753" w:rsidRDefault="00A76ED0" w:rsidP="009D4454">
      <w:pPr>
        <w:tabs>
          <w:tab w:val="center" w:pos="4680"/>
        </w:tabs>
        <w:ind w:left="0"/>
        <w:jc w:val="both"/>
        <w:rPr>
          <w:rFonts w:ascii="Bookman Old Style" w:hAnsi="Bookman Old Style" w:cs="Arial"/>
          <w:spacing w:val="-3"/>
        </w:rPr>
      </w:pPr>
      <w:r w:rsidRPr="00A76ED0">
        <w:rPr>
          <w:rFonts w:ascii="Bookman Old Style" w:hAnsi="Bookman Old Style" w:cs="Arial"/>
          <w:spacing w:val="-3"/>
        </w:rPr>
        <w:t xml:space="preserve">Con </w:t>
      </w:r>
      <w:r>
        <w:rPr>
          <w:rFonts w:ascii="Bookman Old Style" w:hAnsi="Bookman Old Style" w:cs="Arial"/>
          <w:spacing w:val="-3"/>
        </w:rPr>
        <w:t xml:space="preserve">respecto a </w:t>
      </w:r>
      <w:r w:rsidRPr="00A76ED0">
        <w:rPr>
          <w:rFonts w:ascii="Bookman Old Style" w:hAnsi="Bookman Old Style" w:cs="Arial"/>
          <w:spacing w:val="-3"/>
        </w:rPr>
        <w:t>los cortes centrales de las bahías con configuración interruptor y medio</w:t>
      </w:r>
      <w:r w:rsidR="007A3B96">
        <w:rPr>
          <w:rFonts w:ascii="Bookman Old Style" w:hAnsi="Bookman Old Style" w:cs="Arial"/>
          <w:spacing w:val="-3"/>
        </w:rPr>
        <w:t xml:space="preserve">, cuyo número de señales es obtenido por </w:t>
      </w:r>
      <w:proofErr w:type="spellStart"/>
      <w:r w:rsidR="007A3B96">
        <w:rPr>
          <w:rFonts w:ascii="Bookman Old Style" w:hAnsi="Bookman Old Style" w:cs="Arial"/>
          <w:spacing w:val="-3"/>
        </w:rPr>
        <w:t>Transelca</w:t>
      </w:r>
      <w:proofErr w:type="spellEnd"/>
      <w:r w:rsidR="007A3B96">
        <w:rPr>
          <w:rFonts w:ascii="Bookman Old Style" w:hAnsi="Bookman Old Style" w:cs="Arial"/>
          <w:spacing w:val="-3"/>
        </w:rPr>
        <w:t xml:space="preserve"> </w:t>
      </w:r>
      <w:r w:rsidR="007A3B96" w:rsidRPr="008F6B31">
        <w:rPr>
          <w:rFonts w:ascii="Bookman Old Style" w:hAnsi="Bookman Old Style" w:cs="Arial"/>
          <w:spacing w:val="-3"/>
          <w:lang w:val="es-CO"/>
        </w:rPr>
        <w:t>S.A. E.S.P.</w:t>
      </w:r>
      <w:r w:rsidR="007A3B96">
        <w:rPr>
          <w:rFonts w:ascii="Bookman Old Style" w:hAnsi="Bookman Old Style" w:cs="Arial"/>
          <w:spacing w:val="-3"/>
        </w:rPr>
        <w:t xml:space="preserve"> a través de la asimilación de estos elementos a bahías de acople, la Comisión encuentra que esta asimilación  no es correcta ya que el número de señales de los cortes centrales fue considerado para definir el número de señales reconocido en las bahías con </w:t>
      </w:r>
      <w:r w:rsidR="007A3B96">
        <w:rPr>
          <w:rFonts w:ascii="Bookman Old Style" w:hAnsi="Bookman Old Style" w:cs="Arial"/>
          <w:spacing w:val="-3"/>
        </w:rPr>
        <w:lastRenderedPageBreak/>
        <w:t xml:space="preserve">configuración interruptor y medio y por lo tanto no </w:t>
      </w:r>
      <w:r w:rsidR="004533F6">
        <w:rPr>
          <w:rFonts w:ascii="Bookman Old Style" w:hAnsi="Bookman Old Style" w:cs="Arial"/>
          <w:spacing w:val="-3"/>
        </w:rPr>
        <w:t>debe</w:t>
      </w:r>
      <w:r w:rsidR="007A3B96">
        <w:rPr>
          <w:rFonts w:ascii="Bookman Old Style" w:hAnsi="Bookman Old Style" w:cs="Arial"/>
          <w:spacing w:val="-3"/>
        </w:rPr>
        <w:t xml:space="preserve"> incluir</w:t>
      </w:r>
      <w:r w:rsidR="004533F6">
        <w:rPr>
          <w:rFonts w:ascii="Bookman Old Style" w:hAnsi="Bookman Old Style" w:cs="Arial"/>
          <w:spacing w:val="-3"/>
        </w:rPr>
        <w:t>se</w:t>
      </w:r>
      <w:r w:rsidR="007A3B96">
        <w:rPr>
          <w:rFonts w:ascii="Bookman Old Style" w:hAnsi="Bookman Old Style" w:cs="Arial"/>
          <w:spacing w:val="-3"/>
        </w:rPr>
        <w:t xml:space="preserve"> más de una vez el número de señales de un mismo elemento.</w:t>
      </w:r>
    </w:p>
    <w:p w:rsidR="007A3B96" w:rsidRDefault="007A3B96" w:rsidP="009D4454">
      <w:pPr>
        <w:tabs>
          <w:tab w:val="center" w:pos="4680"/>
        </w:tabs>
        <w:ind w:left="0"/>
        <w:jc w:val="both"/>
        <w:rPr>
          <w:rFonts w:ascii="Bookman Old Style" w:hAnsi="Bookman Old Style" w:cs="Arial"/>
          <w:spacing w:val="-3"/>
        </w:rPr>
      </w:pPr>
    </w:p>
    <w:p w:rsidR="007A3B96" w:rsidRPr="00A76ED0" w:rsidRDefault="00084CCD" w:rsidP="009D4454">
      <w:pPr>
        <w:tabs>
          <w:tab w:val="center" w:pos="4680"/>
        </w:tabs>
        <w:ind w:left="0"/>
        <w:jc w:val="both"/>
        <w:rPr>
          <w:rFonts w:ascii="Bookman Old Style" w:hAnsi="Bookman Old Style" w:cs="Arial"/>
          <w:spacing w:val="-3"/>
        </w:rPr>
      </w:pPr>
      <w:r>
        <w:rPr>
          <w:rFonts w:ascii="Bookman Old Style" w:hAnsi="Bookman Old Style" w:cs="Arial"/>
          <w:spacing w:val="-3"/>
        </w:rPr>
        <w:t>Con base en los anteriores argumentos, la Comisión considera que las empresas transmisoras de energía deben cumplir con las funciones definidas en el artículo 6 de la Resolución CREG 080 de 1999, independientemente de que los activos estén siendo remunerados a través del ingreso anual del transmisor establecido mediante resolución particular de la CREG o través de contratos entre las empresas y los respectivos usuarios de los activos de conexión al STN.</w:t>
      </w:r>
    </w:p>
    <w:p w:rsidR="0054352E" w:rsidRDefault="0054352E" w:rsidP="009D4454">
      <w:pPr>
        <w:tabs>
          <w:tab w:val="center" w:pos="4680"/>
        </w:tabs>
        <w:ind w:left="0"/>
        <w:jc w:val="both"/>
        <w:rPr>
          <w:rFonts w:ascii="Bookman Old Style" w:hAnsi="Bookman Old Style"/>
          <w:b/>
          <w:bCs/>
          <w:color w:val="000000"/>
          <w:sz w:val="20"/>
          <w:szCs w:val="20"/>
          <w:lang w:val="es-CO" w:eastAsia="es-CO"/>
        </w:rPr>
      </w:pPr>
    </w:p>
    <w:p w:rsidR="009D4454" w:rsidRPr="00B84711" w:rsidRDefault="00FB5434" w:rsidP="009D4454">
      <w:pPr>
        <w:tabs>
          <w:tab w:val="center" w:pos="4680"/>
        </w:tabs>
        <w:ind w:left="0"/>
        <w:jc w:val="both"/>
        <w:rPr>
          <w:rFonts w:ascii="Bookman Old Style" w:hAnsi="Bookman Old Style" w:cs="Arial"/>
          <w:spacing w:val="-3"/>
        </w:rPr>
      </w:pPr>
      <w:r>
        <w:rPr>
          <w:rFonts w:ascii="Bookman Old Style" w:hAnsi="Bookman Old Style" w:cs="Arial"/>
          <w:spacing w:val="-3"/>
        </w:rPr>
        <w:t>L</w:t>
      </w:r>
      <w:r w:rsidR="009D4454" w:rsidRPr="00B84711">
        <w:rPr>
          <w:rFonts w:ascii="Bookman Old Style" w:hAnsi="Bookman Old Style" w:cs="Arial"/>
          <w:spacing w:val="-3"/>
        </w:rPr>
        <w:t xml:space="preserve">a Comisión de Regulación de Energía y Gas en su sesión </w:t>
      </w:r>
      <w:r w:rsidR="00EB35DB">
        <w:rPr>
          <w:rFonts w:ascii="Bookman Old Style" w:hAnsi="Bookman Old Style" w:cs="Arial"/>
          <w:spacing w:val="-3"/>
        </w:rPr>
        <w:t>775</w:t>
      </w:r>
      <w:r w:rsidR="009D4454" w:rsidRPr="00B84711">
        <w:rPr>
          <w:rFonts w:ascii="Bookman Old Style" w:hAnsi="Bookman Old Style" w:cs="Arial"/>
          <w:spacing w:val="-3"/>
        </w:rPr>
        <w:t xml:space="preserve"> del </w:t>
      </w:r>
      <w:r w:rsidR="00EB35DB">
        <w:rPr>
          <w:rFonts w:ascii="Bookman Old Style" w:hAnsi="Bookman Old Style" w:cs="Arial"/>
          <w:spacing w:val="-3"/>
        </w:rPr>
        <w:t>5</w:t>
      </w:r>
      <w:r w:rsidR="009D4454" w:rsidRPr="00B84711">
        <w:rPr>
          <w:rFonts w:ascii="Bookman Old Style" w:hAnsi="Bookman Old Style" w:cs="Arial"/>
          <w:spacing w:val="-3"/>
        </w:rPr>
        <w:t xml:space="preserve"> de </w:t>
      </w:r>
      <w:r w:rsidR="00EB35DB">
        <w:rPr>
          <w:rFonts w:ascii="Bookman Old Style" w:hAnsi="Bookman Old Style" w:cs="Arial"/>
          <w:spacing w:val="-3"/>
        </w:rPr>
        <w:t>mayo</w:t>
      </w:r>
      <w:r w:rsidR="009D4454" w:rsidRPr="00B84711">
        <w:rPr>
          <w:rFonts w:ascii="Bookman Old Style" w:hAnsi="Bookman Old Style" w:cs="Arial"/>
          <w:spacing w:val="-3"/>
        </w:rPr>
        <w:t xml:space="preserve"> de 201</w:t>
      </w:r>
      <w:r w:rsidR="00084CCD">
        <w:rPr>
          <w:rFonts w:ascii="Bookman Old Style" w:hAnsi="Bookman Old Style" w:cs="Arial"/>
          <w:spacing w:val="-3"/>
        </w:rPr>
        <w:t>7</w:t>
      </w:r>
      <w:r w:rsidR="009D4454" w:rsidRPr="00B84711">
        <w:rPr>
          <w:rFonts w:ascii="Bookman Old Style" w:hAnsi="Bookman Old Style" w:cs="Arial"/>
          <w:spacing w:val="-3"/>
        </w:rPr>
        <w:t xml:space="preserve"> aprobó </w:t>
      </w:r>
      <w:r w:rsidR="009D4454">
        <w:rPr>
          <w:rFonts w:ascii="Bookman Old Style" w:hAnsi="Bookman Old Style"/>
        </w:rPr>
        <w:t>expedir la presente resolución</w:t>
      </w:r>
      <w:r w:rsidR="009D4454" w:rsidRPr="00B84711">
        <w:rPr>
          <w:rFonts w:ascii="Bookman Old Style" w:hAnsi="Bookman Old Style" w:cs="Arial"/>
          <w:spacing w:val="-3"/>
        </w:rPr>
        <w:t>.</w:t>
      </w:r>
    </w:p>
    <w:p w:rsidR="00D3543B" w:rsidRPr="00B84711" w:rsidRDefault="00D3543B" w:rsidP="009D4454">
      <w:pPr>
        <w:tabs>
          <w:tab w:val="left" w:pos="993"/>
        </w:tabs>
        <w:spacing w:after="120"/>
        <w:ind w:left="0"/>
        <w:jc w:val="both"/>
        <w:rPr>
          <w:rFonts w:ascii="Bookman Old Style" w:hAnsi="Bookman Old Style"/>
        </w:rPr>
      </w:pPr>
    </w:p>
    <w:p w:rsidR="009D4454" w:rsidRPr="00B84711" w:rsidRDefault="009D4454" w:rsidP="009D4454">
      <w:pPr>
        <w:jc w:val="center"/>
        <w:rPr>
          <w:rFonts w:ascii="Bookman Old Style" w:hAnsi="Bookman Old Style"/>
          <w:b/>
        </w:rPr>
      </w:pPr>
    </w:p>
    <w:p w:rsidR="009D4454" w:rsidRPr="00B84711" w:rsidRDefault="009D4454" w:rsidP="00D8517B">
      <w:pPr>
        <w:keepNext/>
        <w:ind w:left="0"/>
        <w:jc w:val="center"/>
        <w:rPr>
          <w:rFonts w:ascii="Bookman Old Style" w:hAnsi="Bookman Old Style"/>
          <w:b/>
        </w:rPr>
      </w:pPr>
      <w:r w:rsidRPr="00B84711">
        <w:rPr>
          <w:rFonts w:ascii="Bookman Old Style" w:hAnsi="Bookman Old Style"/>
          <w:b/>
        </w:rPr>
        <w:t>R E</w:t>
      </w:r>
      <w:r w:rsidRPr="00B84711">
        <w:rPr>
          <w:rFonts w:ascii="Bookman Old Style" w:hAnsi="Bookman Old Style"/>
        </w:rPr>
        <w:t xml:space="preserve"> </w:t>
      </w:r>
      <w:r w:rsidRPr="00B84711">
        <w:rPr>
          <w:rFonts w:ascii="Bookman Old Style" w:hAnsi="Bookman Old Style"/>
          <w:b/>
        </w:rPr>
        <w:t>S U E L V E:</w:t>
      </w:r>
    </w:p>
    <w:p w:rsidR="009D4454" w:rsidRDefault="009D4454" w:rsidP="00D8517B">
      <w:pPr>
        <w:keepNext/>
        <w:rPr>
          <w:rFonts w:ascii="Bookman Old Style" w:hAnsi="Bookman Old Style"/>
        </w:rPr>
      </w:pPr>
    </w:p>
    <w:p w:rsidR="00F57D37" w:rsidRDefault="00F57D37" w:rsidP="00D8517B">
      <w:pPr>
        <w:keepNext/>
        <w:rPr>
          <w:rFonts w:ascii="Bookman Old Style" w:hAnsi="Bookman Old Style"/>
        </w:rPr>
      </w:pPr>
    </w:p>
    <w:p w:rsidR="004533F6" w:rsidRDefault="004533F6" w:rsidP="004533F6">
      <w:pPr>
        <w:pStyle w:val="Prrafodelista"/>
        <w:numPr>
          <w:ilvl w:val="0"/>
          <w:numId w:val="17"/>
        </w:numPr>
        <w:rPr>
          <w:rFonts w:ascii="Bookman Old Style" w:hAnsi="Bookman Old Style"/>
          <w:sz w:val="24"/>
        </w:rPr>
      </w:pPr>
      <w:r w:rsidRPr="004533F6">
        <w:rPr>
          <w:rFonts w:ascii="Bookman Old Style" w:hAnsi="Bookman Old Style"/>
          <w:sz w:val="24"/>
        </w:rPr>
        <w:t xml:space="preserve">No actualizar el ingreso anual de </w:t>
      </w:r>
      <w:proofErr w:type="spellStart"/>
      <w:r>
        <w:rPr>
          <w:rFonts w:ascii="Bookman Old Style" w:hAnsi="Bookman Old Style"/>
          <w:sz w:val="24"/>
        </w:rPr>
        <w:t>Transelca</w:t>
      </w:r>
      <w:proofErr w:type="spellEnd"/>
      <w:r>
        <w:rPr>
          <w:rFonts w:ascii="Bookman Old Style" w:hAnsi="Bookman Old Style"/>
          <w:sz w:val="24"/>
        </w:rPr>
        <w:t xml:space="preserve"> S.A. E.S.P.</w:t>
      </w:r>
      <w:r w:rsidRPr="004533F6">
        <w:rPr>
          <w:rFonts w:ascii="Bookman Old Style" w:hAnsi="Bookman Old Style"/>
          <w:sz w:val="24"/>
        </w:rPr>
        <w:t xml:space="preserve"> con base en lo expuesto en los considerandos de esta resolución.</w:t>
      </w:r>
    </w:p>
    <w:p w:rsidR="00F57D37" w:rsidRPr="004533F6" w:rsidRDefault="00F57D37" w:rsidP="004533F6">
      <w:pPr>
        <w:ind w:left="0"/>
        <w:rPr>
          <w:rFonts w:ascii="Bookman Old Style" w:hAnsi="Bookman Old Style"/>
        </w:rPr>
      </w:pPr>
    </w:p>
    <w:p w:rsidR="001A6C12" w:rsidRDefault="001A6C12" w:rsidP="001A6C12">
      <w:pPr>
        <w:pStyle w:val="Prrafodelista"/>
        <w:numPr>
          <w:ilvl w:val="0"/>
          <w:numId w:val="17"/>
        </w:numPr>
        <w:jc w:val="both"/>
        <w:rPr>
          <w:rFonts w:ascii="Bookman Old Style" w:hAnsi="Bookman Old Style"/>
          <w:sz w:val="24"/>
        </w:rPr>
      </w:pPr>
      <w:r>
        <w:rPr>
          <w:rFonts w:ascii="Bookman Old Style" w:hAnsi="Bookman Old Style"/>
          <w:sz w:val="24"/>
        </w:rPr>
        <w:t>La presente r</w:t>
      </w:r>
      <w:r w:rsidRPr="004F2692">
        <w:rPr>
          <w:rFonts w:ascii="Bookman Old Style" w:hAnsi="Bookman Old Style"/>
          <w:sz w:val="24"/>
        </w:rPr>
        <w:t>esolución deberá notificarse a</w:t>
      </w:r>
      <w:r>
        <w:rPr>
          <w:rFonts w:ascii="Bookman Old Style" w:hAnsi="Bookman Old Style"/>
          <w:sz w:val="24"/>
        </w:rPr>
        <w:t>l representante legal de</w:t>
      </w:r>
      <w:r w:rsidRPr="004F2692">
        <w:rPr>
          <w:rFonts w:ascii="Bookman Old Style" w:hAnsi="Bookman Old Style"/>
          <w:sz w:val="24"/>
        </w:rPr>
        <w:t xml:space="preserve"> </w:t>
      </w:r>
      <w:proofErr w:type="spellStart"/>
      <w:r w:rsidR="0051050B">
        <w:rPr>
          <w:rFonts w:ascii="Bookman Old Style" w:hAnsi="Bookman Old Style"/>
          <w:sz w:val="24"/>
        </w:rPr>
        <w:t>Transelca</w:t>
      </w:r>
      <w:proofErr w:type="spellEnd"/>
      <w:r w:rsidRPr="001233C1">
        <w:rPr>
          <w:rFonts w:ascii="Bookman Old Style" w:hAnsi="Bookman Old Style"/>
          <w:sz w:val="24"/>
        </w:rPr>
        <w:t xml:space="preserve"> S.A. E.S.P.</w:t>
      </w:r>
      <w:r w:rsidRPr="004F2692">
        <w:rPr>
          <w:rFonts w:ascii="Bookman Old Style" w:hAnsi="Bookman Old Style"/>
          <w:sz w:val="24"/>
        </w:rPr>
        <w:t xml:space="preserve"> Contra lo dispuesto en este acto procede el recurso de reposición, el cual se podrá interponer ante la dirección ejecutiva de la CREG dentro de los cinco (5) días hábiles siguientes a la fecha de su notificación.</w:t>
      </w:r>
      <w:r>
        <w:rPr>
          <w:rFonts w:ascii="Bookman Old Style" w:hAnsi="Bookman Old Style"/>
          <w:sz w:val="24"/>
        </w:rPr>
        <w:t xml:space="preserve"> </w:t>
      </w:r>
    </w:p>
    <w:p w:rsidR="001A6C12" w:rsidRDefault="001A6C12" w:rsidP="009D4454">
      <w:pPr>
        <w:pStyle w:val="Prrafodelista"/>
        <w:ind w:left="0"/>
        <w:jc w:val="both"/>
        <w:rPr>
          <w:rFonts w:ascii="Bookman Old Style" w:hAnsi="Bookman Old Style"/>
          <w:sz w:val="24"/>
        </w:rPr>
      </w:pPr>
    </w:p>
    <w:p w:rsidR="001A6C12" w:rsidRPr="00B84711" w:rsidRDefault="001A6C12" w:rsidP="009D4454">
      <w:pPr>
        <w:pStyle w:val="Prrafodelista"/>
        <w:ind w:left="0"/>
        <w:jc w:val="both"/>
        <w:rPr>
          <w:rFonts w:ascii="Bookman Old Style" w:hAnsi="Bookman Old Style"/>
          <w:sz w:val="24"/>
        </w:rPr>
      </w:pPr>
    </w:p>
    <w:p w:rsidR="009D4454" w:rsidRPr="00B84711" w:rsidRDefault="009D4454" w:rsidP="009D4454">
      <w:pPr>
        <w:jc w:val="center"/>
        <w:rPr>
          <w:rFonts w:ascii="Bookman Old Style" w:hAnsi="Bookman Old Style" w:cs="Courier New"/>
          <w:b/>
          <w:bCs/>
          <w:spacing w:val="-3"/>
        </w:rPr>
      </w:pPr>
      <w:r w:rsidRPr="00B84711">
        <w:rPr>
          <w:rFonts w:ascii="Bookman Old Style" w:hAnsi="Bookman Old Style"/>
          <w:b/>
          <w:bCs/>
        </w:rPr>
        <w:t>NOTIFÍQUESE</w:t>
      </w:r>
      <w:r w:rsidR="0007269D">
        <w:rPr>
          <w:rFonts w:ascii="Bookman Old Style" w:hAnsi="Bookman Old Style"/>
          <w:b/>
          <w:bCs/>
        </w:rPr>
        <w:t>, PUBLÍQUESE</w:t>
      </w:r>
      <w:r w:rsidRPr="00B84711">
        <w:rPr>
          <w:rFonts w:ascii="Bookman Old Style" w:hAnsi="Bookman Old Style"/>
          <w:b/>
          <w:bCs/>
        </w:rPr>
        <w:t xml:space="preserve"> Y CÚMPLASE</w:t>
      </w:r>
    </w:p>
    <w:p w:rsidR="009D4454" w:rsidRPr="00B84711" w:rsidRDefault="009D4454" w:rsidP="009D4454">
      <w:pPr>
        <w:rPr>
          <w:rFonts w:ascii="Bookman Old Style" w:hAnsi="Bookman Old Style" w:cs="Arial"/>
          <w:spacing w:val="-3"/>
        </w:rPr>
      </w:pPr>
    </w:p>
    <w:p w:rsidR="009D4454" w:rsidRPr="00B84711" w:rsidRDefault="009D4454" w:rsidP="009D4454">
      <w:pPr>
        <w:rPr>
          <w:rFonts w:ascii="Bookman Old Style" w:hAnsi="Bookman Old Style" w:cs="Arial"/>
          <w:spacing w:val="-3"/>
        </w:rPr>
      </w:pPr>
    </w:p>
    <w:p w:rsidR="009D4454" w:rsidRPr="00B84711" w:rsidRDefault="009D4454" w:rsidP="009D4454">
      <w:pPr>
        <w:ind w:left="0"/>
        <w:rPr>
          <w:rFonts w:ascii="Bookman Old Style" w:hAnsi="Bookman Old Style" w:cs="Arial"/>
          <w:spacing w:val="-3"/>
        </w:rPr>
      </w:pPr>
      <w:r w:rsidRPr="00B84711">
        <w:rPr>
          <w:rFonts w:ascii="Bookman Old Style" w:hAnsi="Bookman Old Style" w:cs="Arial"/>
          <w:spacing w:val="-3"/>
        </w:rPr>
        <w:t xml:space="preserve">Dada en Bogotá, D.C. a </w:t>
      </w:r>
    </w:p>
    <w:p w:rsidR="009D4454" w:rsidRDefault="009D4454" w:rsidP="009D4454">
      <w:pPr>
        <w:ind w:left="0"/>
        <w:rPr>
          <w:rFonts w:ascii="Bookman Old Style" w:hAnsi="Bookman Old Style" w:cs="Arial"/>
        </w:rPr>
      </w:pPr>
    </w:p>
    <w:p w:rsidR="00EB35DB" w:rsidRDefault="00EB35DB" w:rsidP="009D4454">
      <w:pPr>
        <w:ind w:left="0"/>
        <w:rPr>
          <w:rFonts w:ascii="Bookman Old Style" w:hAnsi="Bookman Old Style" w:cs="Arial"/>
        </w:rPr>
      </w:pPr>
    </w:p>
    <w:p w:rsidR="00EB35DB" w:rsidRDefault="00EB35DB" w:rsidP="009D4454">
      <w:pPr>
        <w:ind w:left="0"/>
        <w:rPr>
          <w:rFonts w:ascii="Bookman Old Style" w:hAnsi="Bookman Old Style" w:cs="Arial"/>
        </w:rPr>
      </w:pPr>
    </w:p>
    <w:p w:rsidR="00EB35DB" w:rsidRDefault="00EB35DB" w:rsidP="009D4454">
      <w:pPr>
        <w:ind w:left="0"/>
        <w:rPr>
          <w:rFonts w:ascii="Bookman Old Style" w:hAnsi="Bookman Old Style" w:cs="Arial"/>
        </w:rPr>
      </w:pPr>
    </w:p>
    <w:p w:rsidR="00FA01FF" w:rsidRDefault="00FA01FF" w:rsidP="009D4454">
      <w:pPr>
        <w:ind w:left="0"/>
        <w:rPr>
          <w:rFonts w:ascii="Bookman Old Style" w:hAnsi="Bookman Old Style" w:cs="Arial"/>
        </w:rPr>
      </w:pPr>
    </w:p>
    <w:tbl>
      <w:tblPr>
        <w:tblW w:w="0" w:type="auto"/>
        <w:tblCellSpacing w:w="0" w:type="dxa"/>
        <w:tblInd w:w="-142" w:type="dxa"/>
        <w:shd w:val="clear" w:color="auto" w:fill="FFFFFF"/>
        <w:tblCellMar>
          <w:left w:w="0" w:type="dxa"/>
          <w:right w:w="0" w:type="dxa"/>
        </w:tblCellMar>
        <w:tblLook w:val="04A0" w:firstRow="1" w:lastRow="0" w:firstColumn="1" w:lastColumn="0" w:noHBand="0" w:noVBand="1"/>
      </w:tblPr>
      <w:tblGrid>
        <w:gridCol w:w="5387"/>
        <w:gridCol w:w="4111"/>
      </w:tblGrid>
      <w:tr w:rsidR="00EB35DB" w:rsidTr="00EB35DB">
        <w:trPr>
          <w:tblCellSpacing w:w="0" w:type="dxa"/>
        </w:trPr>
        <w:tc>
          <w:tcPr>
            <w:tcW w:w="5387" w:type="dxa"/>
            <w:shd w:val="clear" w:color="auto" w:fill="FFFFFF"/>
            <w:hideMark/>
          </w:tcPr>
          <w:p w:rsidR="00EB35DB" w:rsidRDefault="00EB35DB">
            <w:pPr>
              <w:ind w:left="142"/>
              <w:jc w:val="center"/>
              <w:rPr>
                <w:rFonts w:ascii="Bookman Old Style" w:hAnsi="Bookman Old Style" w:cs="Arial"/>
                <w:b/>
                <w:lang w:val="es-CO" w:eastAsia="es-CO"/>
              </w:rPr>
            </w:pPr>
            <w:r>
              <w:rPr>
                <w:rFonts w:ascii="Bookman Old Style" w:hAnsi="Bookman Old Style" w:cs="Arial"/>
                <w:b/>
                <w:bCs/>
                <w:lang w:val="es-CO" w:eastAsia="es-CO"/>
              </w:rPr>
              <w:t xml:space="preserve">RUTTY PAOLA </w:t>
            </w:r>
            <w:r>
              <w:rPr>
                <w:rFonts w:ascii="Bookman Old Style" w:hAnsi="Bookman Old Style"/>
                <w:b/>
              </w:rPr>
              <w:t>ORTIZ JARA</w:t>
            </w:r>
          </w:p>
        </w:tc>
        <w:tc>
          <w:tcPr>
            <w:tcW w:w="4111" w:type="dxa"/>
            <w:shd w:val="clear" w:color="auto" w:fill="FFFFFF"/>
            <w:hideMark/>
          </w:tcPr>
          <w:p w:rsidR="00EB35DB" w:rsidRDefault="00EB35DB">
            <w:pPr>
              <w:ind w:left="0"/>
              <w:jc w:val="center"/>
              <w:rPr>
                <w:rFonts w:ascii="Bookman Old Style" w:hAnsi="Bookman Old Style" w:cs="Arial"/>
                <w:highlight w:val="yellow"/>
                <w:lang w:val="es-CO" w:eastAsia="es-CO"/>
              </w:rPr>
            </w:pPr>
            <w:r>
              <w:rPr>
                <w:rFonts w:ascii="Bookman Old Style" w:hAnsi="Bookman Old Style" w:cs="Arial"/>
                <w:b/>
                <w:bCs/>
                <w:lang w:val="es-CO" w:eastAsia="es-CO"/>
              </w:rPr>
              <w:t>GERMÁN CASTRO FERREIRA</w:t>
            </w:r>
          </w:p>
        </w:tc>
      </w:tr>
      <w:tr w:rsidR="00EB35DB" w:rsidTr="00EB35DB">
        <w:trPr>
          <w:tblCellSpacing w:w="0" w:type="dxa"/>
        </w:trPr>
        <w:tc>
          <w:tcPr>
            <w:tcW w:w="5387" w:type="dxa"/>
            <w:shd w:val="clear" w:color="auto" w:fill="FFFFFF"/>
            <w:hideMark/>
          </w:tcPr>
          <w:p w:rsidR="00EB35DB" w:rsidRDefault="00EB35DB">
            <w:pPr>
              <w:ind w:left="142"/>
              <w:jc w:val="center"/>
              <w:rPr>
                <w:rFonts w:ascii="Bookman Old Style" w:hAnsi="Bookman Old Style" w:cs="Arial"/>
                <w:lang w:val="es-CO" w:eastAsia="es-CO"/>
              </w:rPr>
            </w:pPr>
            <w:r>
              <w:rPr>
                <w:rFonts w:ascii="Bookman Old Style" w:hAnsi="Bookman Old Style" w:cs="Arial"/>
                <w:lang w:val="es-CO" w:eastAsia="es-CO"/>
              </w:rPr>
              <w:t>Viceministra de Energía</w:t>
            </w:r>
          </w:p>
          <w:p w:rsidR="00EB35DB" w:rsidRDefault="00EB35DB">
            <w:pPr>
              <w:ind w:left="142"/>
              <w:jc w:val="center"/>
              <w:rPr>
                <w:rFonts w:ascii="Bookman Old Style" w:hAnsi="Bookman Old Style" w:cs="Arial"/>
                <w:lang w:val="es-CO" w:eastAsia="es-CO"/>
              </w:rPr>
            </w:pPr>
            <w:r>
              <w:rPr>
                <w:rFonts w:ascii="Bookman Old Style" w:hAnsi="Bookman Old Style" w:cs="Arial"/>
                <w:lang w:val="es-CO" w:eastAsia="es-CO"/>
              </w:rPr>
              <w:t>Delegada del Ministro de Minas y Energía</w:t>
            </w:r>
          </w:p>
        </w:tc>
        <w:tc>
          <w:tcPr>
            <w:tcW w:w="4111" w:type="dxa"/>
            <w:shd w:val="clear" w:color="auto" w:fill="FFFFFF"/>
            <w:hideMark/>
          </w:tcPr>
          <w:p w:rsidR="00EB35DB" w:rsidRDefault="00EB35DB">
            <w:pPr>
              <w:ind w:left="0"/>
              <w:jc w:val="center"/>
              <w:rPr>
                <w:rFonts w:ascii="Bookman Old Style" w:hAnsi="Bookman Old Style" w:cs="Arial"/>
                <w:lang w:val="es-CO" w:eastAsia="es-CO"/>
              </w:rPr>
            </w:pPr>
            <w:r>
              <w:rPr>
                <w:rFonts w:ascii="Bookman Old Style" w:hAnsi="Bookman Old Style" w:cs="Arial"/>
                <w:lang w:val="es-CO" w:eastAsia="es-CO"/>
              </w:rPr>
              <w:t>Director Ejecutivo</w:t>
            </w:r>
          </w:p>
        </w:tc>
      </w:tr>
      <w:tr w:rsidR="00EB35DB" w:rsidTr="00EB35DB">
        <w:trPr>
          <w:tblCellSpacing w:w="0" w:type="dxa"/>
        </w:trPr>
        <w:tc>
          <w:tcPr>
            <w:tcW w:w="5387" w:type="dxa"/>
            <w:shd w:val="clear" w:color="auto" w:fill="FFFFFF"/>
            <w:hideMark/>
          </w:tcPr>
          <w:p w:rsidR="00EB35DB" w:rsidRDefault="00EB35DB">
            <w:pPr>
              <w:ind w:left="142"/>
              <w:jc w:val="center"/>
              <w:rPr>
                <w:rFonts w:ascii="Bookman Old Style" w:hAnsi="Bookman Old Style" w:cs="Arial"/>
                <w:lang w:val="es-CO" w:eastAsia="es-CO"/>
              </w:rPr>
            </w:pPr>
            <w:r>
              <w:rPr>
                <w:rFonts w:ascii="Bookman Old Style" w:hAnsi="Bookman Old Style" w:cs="Arial"/>
                <w:lang w:val="es-CO" w:eastAsia="es-CO"/>
              </w:rPr>
              <w:t>Presidente</w:t>
            </w:r>
          </w:p>
        </w:tc>
        <w:tc>
          <w:tcPr>
            <w:tcW w:w="4111" w:type="dxa"/>
            <w:shd w:val="clear" w:color="auto" w:fill="FFFFFF"/>
            <w:hideMark/>
          </w:tcPr>
          <w:p w:rsidR="00EB35DB" w:rsidRDefault="00EB35DB">
            <w:pPr>
              <w:ind w:left="0"/>
              <w:rPr>
                <w:rFonts w:ascii="Bookman Old Style" w:hAnsi="Bookman Old Style" w:cs="Arial"/>
                <w:lang w:val="es-CO" w:eastAsia="es-CO"/>
              </w:rPr>
            </w:pPr>
            <w:r>
              <w:rPr>
                <w:rFonts w:ascii="Bookman Old Style" w:hAnsi="Bookman Old Style" w:cs="Arial"/>
                <w:noProof/>
                <w:lang w:val="es-CO" w:eastAsia="es-CO"/>
              </w:rPr>
              <w:drawing>
                <wp:inline distT="0" distB="0" distL="0" distR="0">
                  <wp:extent cx="9525" cy="9525"/>
                  <wp:effectExtent l="0" t="0" r="0" b="0"/>
                  <wp:docPr id="4" name="Imagen 4"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apolo.creg.gov.co/icons/ec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FA01FF" w:rsidRDefault="00FA01FF" w:rsidP="009D4454">
      <w:pPr>
        <w:ind w:left="0"/>
        <w:rPr>
          <w:rFonts w:ascii="Bookman Old Style" w:hAnsi="Bookman Old Style" w:cs="Arial"/>
        </w:rPr>
      </w:pPr>
    </w:p>
    <w:p w:rsidR="00E01463" w:rsidRDefault="00E01463" w:rsidP="00FA01FF">
      <w:pPr>
        <w:ind w:left="0"/>
        <w:rPr>
          <w:rFonts w:ascii="Bookman Old Style" w:hAnsi="Bookman Old Style" w:cs="Arial"/>
          <w:b/>
          <w:color w:val="000000"/>
        </w:rPr>
      </w:pPr>
    </w:p>
    <w:sectPr w:rsidR="00E01463"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6B0" w:rsidRDefault="004D06B0">
      <w:r>
        <w:separator/>
      </w:r>
    </w:p>
  </w:endnote>
  <w:endnote w:type="continuationSeparator" w:id="0">
    <w:p w:rsidR="004D06B0" w:rsidRDefault="004D0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6B0" w:rsidRDefault="004D06B0">
      <w:r>
        <w:separator/>
      </w:r>
    </w:p>
  </w:footnote>
  <w:footnote w:type="continuationSeparator" w:id="0">
    <w:p w:rsidR="004D06B0" w:rsidRDefault="004D06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32C" w:rsidRDefault="0061132C" w:rsidP="00951F79">
    <w:pPr>
      <w:pStyle w:val="Ttulo1"/>
      <w:ind w:right="6"/>
      <w:jc w:val="left"/>
      <w:rPr>
        <w:rFonts w:ascii="Bookman Old Style" w:hAnsi="Bookman Old Style" w:cs="Arial"/>
        <w:b w:val="0"/>
        <w:sz w:val="22"/>
        <w:szCs w:val="22"/>
      </w:rPr>
    </w:pPr>
  </w:p>
  <w:p w:rsidR="0061132C" w:rsidRPr="00951F79" w:rsidRDefault="0061132C"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AF4F92">
      <w:rPr>
        <w:rFonts w:ascii="Bookman Old Style" w:hAnsi="Bookman Old Style" w:cs="Arial"/>
        <w:b w:val="0"/>
        <w:noProof/>
        <w:sz w:val="22"/>
        <w:szCs w:val="22"/>
      </w:rPr>
      <w:t>3</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AF4F92" w:rsidRPr="00AF4F92">
        <w:rPr>
          <w:rFonts w:ascii="Bookman Old Style" w:hAnsi="Bookman Old Style" w:cs="Arial"/>
          <w:b w:val="0"/>
          <w:noProof/>
          <w:sz w:val="22"/>
          <w:szCs w:val="22"/>
        </w:rPr>
        <w:t>3</w:t>
      </w:r>
    </w:fldSimple>
  </w:p>
  <w:p w:rsidR="0061132C" w:rsidRDefault="00FB5434"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5E728E02" wp14:editId="6BBED2D1">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CBDD4"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61132C" w:rsidRDefault="00CD7469" w:rsidP="0081600D">
    <w:pPr>
      <w:pBdr>
        <w:bottom w:val="single" w:sz="4" w:space="1" w:color="auto"/>
      </w:pBdr>
      <w:ind w:left="142" w:right="148"/>
      <w:jc w:val="both"/>
      <w:rPr>
        <w:rFonts w:ascii="Bookman Old Style" w:hAnsi="Bookman Old Style" w:cs="Arial"/>
        <w:sz w:val="22"/>
        <w:szCs w:val="22"/>
      </w:rPr>
    </w:pPr>
    <w:r w:rsidRPr="00CD7469">
      <w:rPr>
        <w:rFonts w:ascii="Bookman Old Style" w:hAnsi="Bookman Old Style" w:cs="Arial"/>
        <w:sz w:val="22"/>
        <w:szCs w:val="22"/>
      </w:rPr>
      <w:t xml:space="preserve">Por la cual se decide sobre una solicitud de </w:t>
    </w:r>
    <w:proofErr w:type="spellStart"/>
    <w:r w:rsidRPr="00CD7469">
      <w:rPr>
        <w:rFonts w:ascii="Bookman Old Style" w:hAnsi="Bookman Old Style" w:cs="Arial"/>
        <w:sz w:val="22"/>
        <w:szCs w:val="22"/>
      </w:rPr>
      <w:t>Transelca</w:t>
    </w:r>
    <w:proofErr w:type="spellEnd"/>
    <w:r w:rsidRPr="00CD7469">
      <w:rPr>
        <w:rFonts w:ascii="Bookman Old Style" w:hAnsi="Bookman Old Style" w:cs="Arial"/>
        <w:sz w:val="22"/>
        <w:szCs w:val="22"/>
      </w:rPr>
      <w:t xml:space="preserve"> S.A. E.S.P. para actualizar su remuneración en el Sistema de Transmisión Nacional</w:t>
    </w:r>
    <w:r w:rsidR="009F7D9B" w:rsidRPr="009F7D9B">
      <w:rPr>
        <w:rFonts w:ascii="Bookman Old Style" w:hAnsi="Bookman Old Style" w:cs="Arial"/>
        <w:sz w:val="22"/>
        <w:szCs w:val="22"/>
      </w:rPr>
      <w:t>.</w:t>
    </w:r>
  </w:p>
  <w:p w:rsidR="0081600D" w:rsidRPr="006B4647" w:rsidRDefault="0081600D" w:rsidP="0081600D">
    <w:pPr>
      <w:ind w:left="142" w:right="148"/>
      <w:jc w:val="both"/>
      <w:rPr>
        <w:b/>
        <w:lang w:val="es-C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32C" w:rsidRDefault="0061132C"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61132C" w:rsidRDefault="0061132C">
    <w:pPr>
      <w:pStyle w:val="Encabezado"/>
      <w:jc w:val="center"/>
      <w:rPr>
        <w:rFonts w:ascii="Arial" w:hAnsi="Arial" w:cs="Arial"/>
        <w:spacing w:val="20"/>
        <w:sz w:val="20"/>
      </w:rPr>
    </w:pPr>
  </w:p>
  <w:p w:rsidR="0061132C" w:rsidRDefault="00FB5434"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EC0EE"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B8A41E2"/>
    <w:multiLevelType w:val="hybridMultilevel"/>
    <w:tmpl w:val="734EFB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1553C23"/>
    <w:multiLevelType w:val="hybridMultilevel"/>
    <w:tmpl w:val="7E343912"/>
    <w:lvl w:ilvl="0" w:tplc="D89E9FD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AC0FD1"/>
    <w:multiLevelType w:val="multilevel"/>
    <w:tmpl w:val="B3AEB4E4"/>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0" w15:restartNumberingAfterBreak="0">
    <w:nsid w:val="44332366"/>
    <w:multiLevelType w:val="hybridMultilevel"/>
    <w:tmpl w:val="49B06B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2"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4"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67771BC6"/>
    <w:multiLevelType w:val="hybridMultilevel"/>
    <w:tmpl w:val="A98AB71C"/>
    <w:lvl w:ilvl="0" w:tplc="5F442DE2">
      <w:numFmt w:val="bullet"/>
      <w:lvlText w:val="•"/>
      <w:lvlJc w:val="left"/>
      <w:pPr>
        <w:ind w:left="1068" w:hanging="708"/>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F0845FC"/>
    <w:multiLevelType w:val="hybridMultilevel"/>
    <w:tmpl w:val="11F897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1"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20"/>
  </w:num>
  <w:num w:numId="4">
    <w:abstractNumId w:val="6"/>
  </w:num>
  <w:num w:numId="5">
    <w:abstractNumId w:val="14"/>
  </w:num>
  <w:num w:numId="6">
    <w:abstractNumId w:val="3"/>
  </w:num>
  <w:num w:numId="7">
    <w:abstractNumId w:val="2"/>
  </w:num>
  <w:num w:numId="8">
    <w:abstractNumId w:val="16"/>
  </w:num>
  <w:num w:numId="9">
    <w:abstractNumId w:val="15"/>
  </w:num>
  <w:num w:numId="10">
    <w:abstractNumId w:val="12"/>
  </w:num>
  <w:num w:numId="11">
    <w:abstractNumId w:val="21"/>
  </w:num>
  <w:num w:numId="12">
    <w:abstractNumId w:val="19"/>
  </w:num>
  <w:num w:numId="13">
    <w:abstractNumId w:val="8"/>
  </w:num>
  <w:num w:numId="14">
    <w:abstractNumId w:val="1"/>
  </w:num>
  <w:num w:numId="15">
    <w:abstractNumId w:val="13"/>
  </w:num>
  <w:num w:numId="16">
    <w:abstractNumId w:val="0"/>
  </w:num>
  <w:num w:numId="17">
    <w:abstractNumId w:val="9"/>
  </w:num>
  <w:num w:numId="18">
    <w:abstractNumId w:val="18"/>
  </w:num>
  <w:num w:numId="19">
    <w:abstractNumId w:val="17"/>
  </w:num>
  <w:num w:numId="20">
    <w:abstractNumId w:val="10"/>
  </w:num>
  <w:num w:numId="21">
    <w:abstractNumId w:val="7"/>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6AE2"/>
    <w:rsid w:val="000076A1"/>
    <w:rsid w:val="00012259"/>
    <w:rsid w:val="000171CD"/>
    <w:rsid w:val="00025383"/>
    <w:rsid w:val="00037C5B"/>
    <w:rsid w:val="00063657"/>
    <w:rsid w:val="0007269D"/>
    <w:rsid w:val="0007399F"/>
    <w:rsid w:val="00076680"/>
    <w:rsid w:val="00076A1D"/>
    <w:rsid w:val="0008073E"/>
    <w:rsid w:val="00082146"/>
    <w:rsid w:val="00084CCD"/>
    <w:rsid w:val="00091CDB"/>
    <w:rsid w:val="00092A53"/>
    <w:rsid w:val="000A19AC"/>
    <w:rsid w:val="000B6BA7"/>
    <w:rsid w:val="000D0108"/>
    <w:rsid w:val="000D26F8"/>
    <w:rsid w:val="000D3171"/>
    <w:rsid w:val="001139D5"/>
    <w:rsid w:val="001216BE"/>
    <w:rsid w:val="001233C1"/>
    <w:rsid w:val="0012367A"/>
    <w:rsid w:val="001271BF"/>
    <w:rsid w:val="00127F03"/>
    <w:rsid w:val="00130107"/>
    <w:rsid w:val="001405C6"/>
    <w:rsid w:val="00141013"/>
    <w:rsid w:val="001646B1"/>
    <w:rsid w:val="00177CA1"/>
    <w:rsid w:val="0018302B"/>
    <w:rsid w:val="0018336D"/>
    <w:rsid w:val="00192CBF"/>
    <w:rsid w:val="00192FF1"/>
    <w:rsid w:val="001933B5"/>
    <w:rsid w:val="00195FA7"/>
    <w:rsid w:val="001A5F1B"/>
    <w:rsid w:val="001A6C12"/>
    <w:rsid w:val="001B1C22"/>
    <w:rsid w:val="001B25D2"/>
    <w:rsid w:val="001B2B3F"/>
    <w:rsid w:val="001B34C6"/>
    <w:rsid w:val="001D4FF5"/>
    <w:rsid w:val="001D7832"/>
    <w:rsid w:val="00204726"/>
    <w:rsid w:val="00211D34"/>
    <w:rsid w:val="00214F04"/>
    <w:rsid w:val="00234F36"/>
    <w:rsid w:val="00266CD6"/>
    <w:rsid w:val="00275DAB"/>
    <w:rsid w:val="00290144"/>
    <w:rsid w:val="002A653A"/>
    <w:rsid w:val="002A782A"/>
    <w:rsid w:val="002B11E2"/>
    <w:rsid w:val="002B24B8"/>
    <w:rsid w:val="002D3AE9"/>
    <w:rsid w:val="002D4510"/>
    <w:rsid w:val="002F0734"/>
    <w:rsid w:val="002F46E7"/>
    <w:rsid w:val="00306D37"/>
    <w:rsid w:val="003101DA"/>
    <w:rsid w:val="00314757"/>
    <w:rsid w:val="00316246"/>
    <w:rsid w:val="003211CE"/>
    <w:rsid w:val="00332BDB"/>
    <w:rsid w:val="00345CDC"/>
    <w:rsid w:val="0035403A"/>
    <w:rsid w:val="0036394B"/>
    <w:rsid w:val="00366DB6"/>
    <w:rsid w:val="00366DFB"/>
    <w:rsid w:val="003709B5"/>
    <w:rsid w:val="003759C2"/>
    <w:rsid w:val="00396D7A"/>
    <w:rsid w:val="00397365"/>
    <w:rsid w:val="003A31F6"/>
    <w:rsid w:val="003A3B14"/>
    <w:rsid w:val="003C3447"/>
    <w:rsid w:val="003D076C"/>
    <w:rsid w:val="003E78B5"/>
    <w:rsid w:val="00400A11"/>
    <w:rsid w:val="00412483"/>
    <w:rsid w:val="00415BAB"/>
    <w:rsid w:val="00415ED2"/>
    <w:rsid w:val="0041633E"/>
    <w:rsid w:val="0042068C"/>
    <w:rsid w:val="00426A17"/>
    <w:rsid w:val="004313A8"/>
    <w:rsid w:val="004354C0"/>
    <w:rsid w:val="00451D5E"/>
    <w:rsid w:val="004533F6"/>
    <w:rsid w:val="0046291D"/>
    <w:rsid w:val="00470F2F"/>
    <w:rsid w:val="0047122B"/>
    <w:rsid w:val="00473B7A"/>
    <w:rsid w:val="004858E5"/>
    <w:rsid w:val="004960E9"/>
    <w:rsid w:val="004A2E88"/>
    <w:rsid w:val="004A5305"/>
    <w:rsid w:val="004D06B0"/>
    <w:rsid w:val="004D7634"/>
    <w:rsid w:val="004F756F"/>
    <w:rsid w:val="0051050B"/>
    <w:rsid w:val="005125DB"/>
    <w:rsid w:val="00516DDD"/>
    <w:rsid w:val="00517AF4"/>
    <w:rsid w:val="00517D29"/>
    <w:rsid w:val="005300D3"/>
    <w:rsid w:val="00531433"/>
    <w:rsid w:val="0054352E"/>
    <w:rsid w:val="00544F82"/>
    <w:rsid w:val="0054514C"/>
    <w:rsid w:val="00556228"/>
    <w:rsid w:val="0056051E"/>
    <w:rsid w:val="005654E6"/>
    <w:rsid w:val="00570A66"/>
    <w:rsid w:val="005853D5"/>
    <w:rsid w:val="00593C4F"/>
    <w:rsid w:val="005946A8"/>
    <w:rsid w:val="0059581F"/>
    <w:rsid w:val="005A4407"/>
    <w:rsid w:val="005A59EF"/>
    <w:rsid w:val="005B1C7E"/>
    <w:rsid w:val="005C6976"/>
    <w:rsid w:val="005E0E19"/>
    <w:rsid w:val="005F0A19"/>
    <w:rsid w:val="005F4EF7"/>
    <w:rsid w:val="005F6F41"/>
    <w:rsid w:val="0061132C"/>
    <w:rsid w:val="00617F9D"/>
    <w:rsid w:val="00622AB5"/>
    <w:rsid w:val="00625DC6"/>
    <w:rsid w:val="0064391D"/>
    <w:rsid w:val="00651821"/>
    <w:rsid w:val="00654384"/>
    <w:rsid w:val="006675CD"/>
    <w:rsid w:val="006837CA"/>
    <w:rsid w:val="00684D9B"/>
    <w:rsid w:val="00697556"/>
    <w:rsid w:val="006B07BC"/>
    <w:rsid w:val="006B087F"/>
    <w:rsid w:val="006B2C6A"/>
    <w:rsid w:val="006B4647"/>
    <w:rsid w:val="006B4C2B"/>
    <w:rsid w:val="006B6D47"/>
    <w:rsid w:val="006C5AFE"/>
    <w:rsid w:val="006C6DEA"/>
    <w:rsid w:val="006E2272"/>
    <w:rsid w:val="006F6D95"/>
    <w:rsid w:val="00706F13"/>
    <w:rsid w:val="007072E8"/>
    <w:rsid w:val="00711124"/>
    <w:rsid w:val="0071250D"/>
    <w:rsid w:val="0071618D"/>
    <w:rsid w:val="00725FA4"/>
    <w:rsid w:val="00740446"/>
    <w:rsid w:val="007438A9"/>
    <w:rsid w:val="0074491E"/>
    <w:rsid w:val="0075661B"/>
    <w:rsid w:val="0076247A"/>
    <w:rsid w:val="00775964"/>
    <w:rsid w:val="007765FE"/>
    <w:rsid w:val="00777D1C"/>
    <w:rsid w:val="007933A3"/>
    <w:rsid w:val="00795BFB"/>
    <w:rsid w:val="007A003E"/>
    <w:rsid w:val="007A3B96"/>
    <w:rsid w:val="007B2760"/>
    <w:rsid w:val="007D3154"/>
    <w:rsid w:val="007D3D7C"/>
    <w:rsid w:val="00806C01"/>
    <w:rsid w:val="008148CC"/>
    <w:rsid w:val="0081600D"/>
    <w:rsid w:val="00817774"/>
    <w:rsid w:val="008211A4"/>
    <w:rsid w:val="00826EE6"/>
    <w:rsid w:val="00846CC1"/>
    <w:rsid w:val="008505BC"/>
    <w:rsid w:val="00873150"/>
    <w:rsid w:val="008758FC"/>
    <w:rsid w:val="0087657D"/>
    <w:rsid w:val="008807D5"/>
    <w:rsid w:val="00880832"/>
    <w:rsid w:val="00886EE1"/>
    <w:rsid w:val="0088727D"/>
    <w:rsid w:val="00897C75"/>
    <w:rsid w:val="008C1130"/>
    <w:rsid w:val="008C1FF8"/>
    <w:rsid w:val="008D18E6"/>
    <w:rsid w:val="008D7A9B"/>
    <w:rsid w:val="008E017C"/>
    <w:rsid w:val="008E76AC"/>
    <w:rsid w:val="008F21F6"/>
    <w:rsid w:val="008F6B31"/>
    <w:rsid w:val="00912523"/>
    <w:rsid w:val="00921BC0"/>
    <w:rsid w:val="00926AAC"/>
    <w:rsid w:val="00936D1C"/>
    <w:rsid w:val="00941AFB"/>
    <w:rsid w:val="00951F79"/>
    <w:rsid w:val="00952B23"/>
    <w:rsid w:val="00956EBF"/>
    <w:rsid w:val="00974AB5"/>
    <w:rsid w:val="009801EC"/>
    <w:rsid w:val="0098706D"/>
    <w:rsid w:val="009935FB"/>
    <w:rsid w:val="0099764A"/>
    <w:rsid w:val="009B35CF"/>
    <w:rsid w:val="009B600B"/>
    <w:rsid w:val="009B713E"/>
    <w:rsid w:val="009C7A6D"/>
    <w:rsid w:val="009D379D"/>
    <w:rsid w:val="009D4454"/>
    <w:rsid w:val="009F4209"/>
    <w:rsid w:val="009F4A54"/>
    <w:rsid w:val="009F4BEC"/>
    <w:rsid w:val="009F7D9B"/>
    <w:rsid w:val="00A11151"/>
    <w:rsid w:val="00A15A66"/>
    <w:rsid w:val="00A22AF8"/>
    <w:rsid w:val="00A25FD7"/>
    <w:rsid w:val="00A43AFF"/>
    <w:rsid w:val="00A5656A"/>
    <w:rsid w:val="00A6198D"/>
    <w:rsid w:val="00A74BFE"/>
    <w:rsid w:val="00A76ED0"/>
    <w:rsid w:val="00A7793A"/>
    <w:rsid w:val="00A94DB2"/>
    <w:rsid w:val="00A95753"/>
    <w:rsid w:val="00AA4CC7"/>
    <w:rsid w:val="00AA5E8E"/>
    <w:rsid w:val="00AB6CA7"/>
    <w:rsid w:val="00AC081C"/>
    <w:rsid w:val="00AD01E4"/>
    <w:rsid w:val="00AD0858"/>
    <w:rsid w:val="00AD5111"/>
    <w:rsid w:val="00AD7F46"/>
    <w:rsid w:val="00AE16B2"/>
    <w:rsid w:val="00AE7340"/>
    <w:rsid w:val="00AF1BBD"/>
    <w:rsid w:val="00AF4F92"/>
    <w:rsid w:val="00B0182E"/>
    <w:rsid w:val="00B10207"/>
    <w:rsid w:val="00B141E7"/>
    <w:rsid w:val="00B34ADA"/>
    <w:rsid w:val="00B351B4"/>
    <w:rsid w:val="00B46BCA"/>
    <w:rsid w:val="00B47341"/>
    <w:rsid w:val="00B478AA"/>
    <w:rsid w:val="00B5138A"/>
    <w:rsid w:val="00B556D6"/>
    <w:rsid w:val="00B76DEE"/>
    <w:rsid w:val="00B824FC"/>
    <w:rsid w:val="00B87806"/>
    <w:rsid w:val="00B87EC9"/>
    <w:rsid w:val="00B964BE"/>
    <w:rsid w:val="00BB3F88"/>
    <w:rsid w:val="00BC38FD"/>
    <w:rsid w:val="00BF6B29"/>
    <w:rsid w:val="00C02254"/>
    <w:rsid w:val="00C034CB"/>
    <w:rsid w:val="00C051A8"/>
    <w:rsid w:val="00C054BC"/>
    <w:rsid w:val="00C078D7"/>
    <w:rsid w:val="00C17897"/>
    <w:rsid w:val="00C409D5"/>
    <w:rsid w:val="00C435C3"/>
    <w:rsid w:val="00C472B9"/>
    <w:rsid w:val="00C6234B"/>
    <w:rsid w:val="00C63EAE"/>
    <w:rsid w:val="00C64382"/>
    <w:rsid w:val="00C7629F"/>
    <w:rsid w:val="00C8661B"/>
    <w:rsid w:val="00C90DD5"/>
    <w:rsid w:val="00CA139A"/>
    <w:rsid w:val="00CA2899"/>
    <w:rsid w:val="00CA3A3D"/>
    <w:rsid w:val="00CA77FB"/>
    <w:rsid w:val="00CB379B"/>
    <w:rsid w:val="00CB5DD0"/>
    <w:rsid w:val="00CC51D4"/>
    <w:rsid w:val="00CC65DA"/>
    <w:rsid w:val="00CD7469"/>
    <w:rsid w:val="00CF21B9"/>
    <w:rsid w:val="00CF48E0"/>
    <w:rsid w:val="00CF6BF9"/>
    <w:rsid w:val="00D03800"/>
    <w:rsid w:val="00D065D3"/>
    <w:rsid w:val="00D14C94"/>
    <w:rsid w:val="00D30714"/>
    <w:rsid w:val="00D342A6"/>
    <w:rsid w:val="00D3543B"/>
    <w:rsid w:val="00D37081"/>
    <w:rsid w:val="00D41DBF"/>
    <w:rsid w:val="00D437CB"/>
    <w:rsid w:val="00D464BF"/>
    <w:rsid w:val="00D53E26"/>
    <w:rsid w:val="00D555CB"/>
    <w:rsid w:val="00D60925"/>
    <w:rsid w:val="00D8517B"/>
    <w:rsid w:val="00DA47DC"/>
    <w:rsid w:val="00DB3FB0"/>
    <w:rsid w:val="00DD4F0E"/>
    <w:rsid w:val="00DD7450"/>
    <w:rsid w:val="00DE4B0A"/>
    <w:rsid w:val="00DF0BF0"/>
    <w:rsid w:val="00DF5714"/>
    <w:rsid w:val="00E01463"/>
    <w:rsid w:val="00E05E0A"/>
    <w:rsid w:val="00E27ECF"/>
    <w:rsid w:val="00E534CF"/>
    <w:rsid w:val="00E81CB4"/>
    <w:rsid w:val="00E8585B"/>
    <w:rsid w:val="00EA3F15"/>
    <w:rsid w:val="00EA7847"/>
    <w:rsid w:val="00EB35DB"/>
    <w:rsid w:val="00EB4C2F"/>
    <w:rsid w:val="00EE2E6E"/>
    <w:rsid w:val="00EE4046"/>
    <w:rsid w:val="00F0759E"/>
    <w:rsid w:val="00F16A43"/>
    <w:rsid w:val="00F222AC"/>
    <w:rsid w:val="00F46780"/>
    <w:rsid w:val="00F56459"/>
    <w:rsid w:val="00F57D37"/>
    <w:rsid w:val="00F605C8"/>
    <w:rsid w:val="00F821A3"/>
    <w:rsid w:val="00F9314A"/>
    <w:rsid w:val="00F93883"/>
    <w:rsid w:val="00FA01FF"/>
    <w:rsid w:val="00FA5C2F"/>
    <w:rsid w:val="00FB107B"/>
    <w:rsid w:val="00FB5434"/>
    <w:rsid w:val="00FB723A"/>
    <w:rsid w:val="00FC58EF"/>
    <w:rsid w:val="00FD33DF"/>
    <w:rsid w:val="00FD37EE"/>
    <w:rsid w:val="00FE39D7"/>
    <w:rsid w:val="00FF711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C023423-35A6-40F0-9398-D1BFBEA0E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Puesto">
    <w:name w:val="Title"/>
    <w:basedOn w:val="Normal"/>
    <w:link w:val="PuestoCar"/>
    <w:qFormat/>
    <w:rsid w:val="00795BFB"/>
    <w:pPr>
      <w:widowControl w:val="0"/>
      <w:adjustRightInd w:val="0"/>
      <w:spacing w:line="360" w:lineRule="atLeast"/>
      <w:jc w:val="center"/>
      <w:textAlignment w:val="baseline"/>
    </w:pPr>
    <w:rPr>
      <w:rFonts w:ascii="Arial" w:hAnsi="Arial" w:cs="Arial"/>
      <w:b/>
      <w:bCs/>
    </w:rPr>
  </w:style>
  <w:style w:type="character" w:customStyle="1" w:styleId="PuestoCar">
    <w:name w:val="Puesto Car"/>
    <w:link w:val="Puest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Descripcin">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Cita">
    <w:name w:val="Quote"/>
    <w:basedOn w:val="Normal"/>
    <w:next w:val="Normal"/>
    <w:link w:val="CitaCar"/>
    <w:uiPriority w:val="29"/>
    <w:qFormat/>
    <w:rsid w:val="005654E6"/>
    <w:pPr>
      <w:spacing w:before="120"/>
      <w:ind w:right="567"/>
      <w:jc w:val="both"/>
    </w:pPr>
    <w:rPr>
      <w:rFonts w:ascii="Bookman Old Style" w:hAnsi="Bookman Old Style"/>
      <w:i/>
      <w:sz w:val="22"/>
      <w:lang w:val="es-CO"/>
    </w:rPr>
  </w:style>
  <w:style w:type="character" w:customStyle="1" w:styleId="CitaCar">
    <w:name w:val="Cita Car"/>
    <w:basedOn w:val="Fuentedeprrafopredeter"/>
    <w:link w:val="Cita"/>
    <w:uiPriority w:val="29"/>
    <w:rsid w:val="005654E6"/>
    <w:rPr>
      <w:rFonts w:ascii="Bookman Old Style" w:hAnsi="Bookman Old Style"/>
      <w:i/>
      <w:sz w:val="22"/>
      <w:szCs w:val="24"/>
      <w:lang w:eastAsia="es-ES"/>
    </w:rPr>
  </w:style>
  <w:style w:type="character" w:styleId="Refdecomentario">
    <w:name w:val="annotation reference"/>
    <w:basedOn w:val="Fuentedeprrafopredeter"/>
    <w:uiPriority w:val="99"/>
    <w:semiHidden/>
    <w:unhideWhenUsed/>
    <w:rsid w:val="009C7A6D"/>
    <w:rPr>
      <w:sz w:val="16"/>
      <w:szCs w:val="16"/>
    </w:rPr>
  </w:style>
  <w:style w:type="paragraph" w:styleId="Textocomentario">
    <w:name w:val="annotation text"/>
    <w:basedOn w:val="Normal"/>
    <w:link w:val="TextocomentarioCar"/>
    <w:uiPriority w:val="99"/>
    <w:semiHidden/>
    <w:unhideWhenUsed/>
    <w:rsid w:val="009C7A6D"/>
    <w:rPr>
      <w:sz w:val="20"/>
      <w:szCs w:val="20"/>
    </w:rPr>
  </w:style>
  <w:style w:type="character" w:customStyle="1" w:styleId="TextocomentarioCar">
    <w:name w:val="Texto comentario Car"/>
    <w:basedOn w:val="Fuentedeprrafopredeter"/>
    <w:link w:val="Textocomentario"/>
    <w:uiPriority w:val="99"/>
    <w:semiHidden/>
    <w:rsid w:val="009C7A6D"/>
    <w:rPr>
      <w:lang w:val="es-ES" w:eastAsia="es-ES"/>
    </w:rPr>
  </w:style>
  <w:style w:type="paragraph" w:styleId="Asuntodelcomentario">
    <w:name w:val="annotation subject"/>
    <w:basedOn w:val="Textocomentario"/>
    <w:next w:val="Textocomentario"/>
    <w:link w:val="AsuntodelcomentarioCar"/>
    <w:uiPriority w:val="99"/>
    <w:semiHidden/>
    <w:unhideWhenUsed/>
    <w:rsid w:val="009C7A6D"/>
    <w:rPr>
      <w:b/>
      <w:bCs/>
    </w:rPr>
  </w:style>
  <w:style w:type="character" w:customStyle="1" w:styleId="AsuntodelcomentarioCar">
    <w:name w:val="Asunto del comentario Car"/>
    <w:basedOn w:val="TextocomentarioCar"/>
    <w:link w:val="Asuntodelcomentario"/>
    <w:uiPriority w:val="99"/>
    <w:semiHidden/>
    <w:rsid w:val="009C7A6D"/>
    <w:rPr>
      <w:b/>
      <w:bCs/>
      <w:lang w:val="es-ES" w:eastAsia="es-ES"/>
    </w:rPr>
  </w:style>
  <w:style w:type="paragraph" w:styleId="Revisin">
    <w:name w:val="Revision"/>
    <w:hidden/>
    <w:uiPriority w:val="99"/>
    <w:semiHidden/>
    <w:rsid w:val="008758FC"/>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08805">
      <w:bodyDiv w:val="1"/>
      <w:marLeft w:val="0"/>
      <w:marRight w:val="0"/>
      <w:marTop w:val="0"/>
      <w:marBottom w:val="0"/>
      <w:divBdr>
        <w:top w:val="none" w:sz="0" w:space="0" w:color="auto"/>
        <w:left w:val="none" w:sz="0" w:space="0" w:color="auto"/>
        <w:bottom w:val="none" w:sz="0" w:space="0" w:color="auto"/>
        <w:right w:val="none" w:sz="0" w:space="0" w:color="auto"/>
      </w:divBdr>
    </w:div>
    <w:div w:id="49354584">
      <w:bodyDiv w:val="1"/>
      <w:marLeft w:val="0"/>
      <w:marRight w:val="0"/>
      <w:marTop w:val="0"/>
      <w:marBottom w:val="0"/>
      <w:divBdr>
        <w:top w:val="none" w:sz="0" w:space="0" w:color="auto"/>
        <w:left w:val="none" w:sz="0" w:space="0" w:color="auto"/>
        <w:bottom w:val="none" w:sz="0" w:space="0" w:color="auto"/>
        <w:right w:val="none" w:sz="0" w:space="0" w:color="auto"/>
      </w:divBdr>
    </w:div>
    <w:div w:id="98255799">
      <w:bodyDiv w:val="1"/>
      <w:marLeft w:val="0"/>
      <w:marRight w:val="0"/>
      <w:marTop w:val="0"/>
      <w:marBottom w:val="0"/>
      <w:divBdr>
        <w:top w:val="none" w:sz="0" w:space="0" w:color="auto"/>
        <w:left w:val="none" w:sz="0" w:space="0" w:color="auto"/>
        <w:bottom w:val="none" w:sz="0" w:space="0" w:color="auto"/>
        <w:right w:val="none" w:sz="0" w:space="0" w:color="auto"/>
      </w:divBdr>
    </w:div>
    <w:div w:id="148642267">
      <w:bodyDiv w:val="1"/>
      <w:marLeft w:val="0"/>
      <w:marRight w:val="0"/>
      <w:marTop w:val="0"/>
      <w:marBottom w:val="0"/>
      <w:divBdr>
        <w:top w:val="none" w:sz="0" w:space="0" w:color="auto"/>
        <w:left w:val="none" w:sz="0" w:space="0" w:color="auto"/>
        <w:bottom w:val="none" w:sz="0" w:space="0" w:color="auto"/>
        <w:right w:val="none" w:sz="0" w:space="0" w:color="auto"/>
      </w:divBdr>
    </w:div>
    <w:div w:id="215551041">
      <w:bodyDiv w:val="1"/>
      <w:marLeft w:val="0"/>
      <w:marRight w:val="0"/>
      <w:marTop w:val="0"/>
      <w:marBottom w:val="0"/>
      <w:divBdr>
        <w:top w:val="none" w:sz="0" w:space="0" w:color="auto"/>
        <w:left w:val="none" w:sz="0" w:space="0" w:color="auto"/>
        <w:bottom w:val="none" w:sz="0" w:space="0" w:color="auto"/>
        <w:right w:val="none" w:sz="0" w:space="0" w:color="auto"/>
      </w:divBdr>
    </w:div>
    <w:div w:id="227768326">
      <w:bodyDiv w:val="1"/>
      <w:marLeft w:val="0"/>
      <w:marRight w:val="0"/>
      <w:marTop w:val="0"/>
      <w:marBottom w:val="0"/>
      <w:divBdr>
        <w:top w:val="none" w:sz="0" w:space="0" w:color="auto"/>
        <w:left w:val="none" w:sz="0" w:space="0" w:color="auto"/>
        <w:bottom w:val="none" w:sz="0" w:space="0" w:color="auto"/>
        <w:right w:val="none" w:sz="0" w:space="0" w:color="auto"/>
      </w:divBdr>
    </w:div>
    <w:div w:id="519588526">
      <w:bodyDiv w:val="1"/>
      <w:marLeft w:val="0"/>
      <w:marRight w:val="0"/>
      <w:marTop w:val="0"/>
      <w:marBottom w:val="0"/>
      <w:divBdr>
        <w:top w:val="none" w:sz="0" w:space="0" w:color="auto"/>
        <w:left w:val="none" w:sz="0" w:space="0" w:color="auto"/>
        <w:bottom w:val="none" w:sz="0" w:space="0" w:color="auto"/>
        <w:right w:val="none" w:sz="0" w:space="0" w:color="auto"/>
      </w:divBdr>
    </w:div>
    <w:div w:id="548880177">
      <w:bodyDiv w:val="1"/>
      <w:marLeft w:val="0"/>
      <w:marRight w:val="0"/>
      <w:marTop w:val="0"/>
      <w:marBottom w:val="0"/>
      <w:divBdr>
        <w:top w:val="none" w:sz="0" w:space="0" w:color="auto"/>
        <w:left w:val="none" w:sz="0" w:space="0" w:color="auto"/>
        <w:bottom w:val="none" w:sz="0" w:space="0" w:color="auto"/>
        <w:right w:val="none" w:sz="0" w:space="0" w:color="auto"/>
      </w:divBdr>
    </w:div>
    <w:div w:id="983006737">
      <w:bodyDiv w:val="1"/>
      <w:marLeft w:val="0"/>
      <w:marRight w:val="0"/>
      <w:marTop w:val="0"/>
      <w:marBottom w:val="0"/>
      <w:divBdr>
        <w:top w:val="none" w:sz="0" w:space="0" w:color="auto"/>
        <w:left w:val="none" w:sz="0" w:space="0" w:color="auto"/>
        <w:bottom w:val="none" w:sz="0" w:space="0" w:color="auto"/>
        <w:right w:val="none" w:sz="0" w:space="0" w:color="auto"/>
      </w:divBdr>
    </w:div>
    <w:div w:id="1076786642">
      <w:bodyDiv w:val="1"/>
      <w:marLeft w:val="0"/>
      <w:marRight w:val="0"/>
      <w:marTop w:val="0"/>
      <w:marBottom w:val="0"/>
      <w:divBdr>
        <w:top w:val="none" w:sz="0" w:space="0" w:color="auto"/>
        <w:left w:val="none" w:sz="0" w:space="0" w:color="auto"/>
        <w:bottom w:val="none" w:sz="0" w:space="0" w:color="auto"/>
        <w:right w:val="none" w:sz="0" w:space="0" w:color="auto"/>
      </w:divBdr>
    </w:div>
    <w:div w:id="1164979011">
      <w:bodyDiv w:val="1"/>
      <w:marLeft w:val="0"/>
      <w:marRight w:val="0"/>
      <w:marTop w:val="0"/>
      <w:marBottom w:val="0"/>
      <w:divBdr>
        <w:top w:val="none" w:sz="0" w:space="0" w:color="auto"/>
        <w:left w:val="none" w:sz="0" w:space="0" w:color="auto"/>
        <w:bottom w:val="none" w:sz="0" w:space="0" w:color="auto"/>
        <w:right w:val="none" w:sz="0" w:space="0" w:color="auto"/>
      </w:divBdr>
    </w:div>
    <w:div w:id="1171338896">
      <w:bodyDiv w:val="1"/>
      <w:marLeft w:val="0"/>
      <w:marRight w:val="0"/>
      <w:marTop w:val="0"/>
      <w:marBottom w:val="0"/>
      <w:divBdr>
        <w:top w:val="none" w:sz="0" w:space="0" w:color="auto"/>
        <w:left w:val="none" w:sz="0" w:space="0" w:color="auto"/>
        <w:bottom w:val="none" w:sz="0" w:space="0" w:color="auto"/>
        <w:right w:val="none" w:sz="0" w:space="0" w:color="auto"/>
      </w:divBdr>
    </w:div>
    <w:div w:id="1297763816">
      <w:bodyDiv w:val="1"/>
      <w:marLeft w:val="0"/>
      <w:marRight w:val="0"/>
      <w:marTop w:val="0"/>
      <w:marBottom w:val="0"/>
      <w:divBdr>
        <w:top w:val="none" w:sz="0" w:space="0" w:color="auto"/>
        <w:left w:val="none" w:sz="0" w:space="0" w:color="auto"/>
        <w:bottom w:val="none" w:sz="0" w:space="0" w:color="auto"/>
        <w:right w:val="none" w:sz="0" w:space="0" w:color="auto"/>
      </w:divBdr>
    </w:div>
    <w:div w:id="1345400800">
      <w:bodyDiv w:val="1"/>
      <w:marLeft w:val="0"/>
      <w:marRight w:val="0"/>
      <w:marTop w:val="0"/>
      <w:marBottom w:val="0"/>
      <w:divBdr>
        <w:top w:val="none" w:sz="0" w:space="0" w:color="auto"/>
        <w:left w:val="none" w:sz="0" w:space="0" w:color="auto"/>
        <w:bottom w:val="none" w:sz="0" w:space="0" w:color="auto"/>
        <w:right w:val="none" w:sz="0" w:space="0" w:color="auto"/>
      </w:divBdr>
    </w:div>
    <w:div w:id="1505972419">
      <w:bodyDiv w:val="1"/>
      <w:marLeft w:val="0"/>
      <w:marRight w:val="0"/>
      <w:marTop w:val="0"/>
      <w:marBottom w:val="0"/>
      <w:divBdr>
        <w:top w:val="none" w:sz="0" w:space="0" w:color="auto"/>
        <w:left w:val="none" w:sz="0" w:space="0" w:color="auto"/>
        <w:bottom w:val="none" w:sz="0" w:space="0" w:color="auto"/>
        <w:right w:val="none" w:sz="0" w:space="0" w:color="auto"/>
      </w:divBdr>
    </w:div>
    <w:div w:id="1663774870">
      <w:bodyDiv w:val="1"/>
      <w:marLeft w:val="0"/>
      <w:marRight w:val="0"/>
      <w:marTop w:val="0"/>
      <w:marBottom w:val="0"/>
      <w:divBdr>
        <w:top w:val="none" w:sz="0" w:space="0" w:color="auto"/>
        <w:left w:val="none" w:sz="0" w:space="0" w:color="auto"/>
        <w:bottom w:val="none" w:sz="0" w:space="0" w:color="auto"/>
        <w:right w:val="none" w:sz="0" w:space="0" w:color="auto"/>
      </w:divBdr>
    </w:div>
    <w:div w:id="1674801360">
      <w:bodyDiv w:val="1"/>
      <w:marLeft w:val="0"/>
      <w:marRight w:val="0"/>
      <w:marTop w:val="0"/>
      <w:marBottom w:val="0"/>
      <w:divBdr>
        <w:top w:val="none" w:sz="0" w:space="0" w:color="auto"/>
        <w:left w:val="none" w:sz="0" w:space="0" w:color="auto"/>
        <w:bottom w:val="none" w:sz="0" w:space="0" w:color="auto"/>
        <w:right w:val="none" w:sz="0" w:space="0" w:color="auto"/>
      </w:divBdr>
    </w:div>
    <w:div w:id="1757242185">
      <w:bodyDiv w:val="1"/>
      <w:marLeft w:val="0"/>
      <w:marRight w:val="0"/>
      <w:marTop w:val="0"/>
      <w:marBottom w:val="0"/>
      <w:divBdr>
        <w:top w:val="none" w:sz="0" w:space="0" w:color="auto"/>
        <w:left w:val="none" w:sz="0" w:space="0" w:color="auto"/>
        <w:bottom w:val="none" w:sz="0" w:space="0" w:color="auto"/>
        <w:right w:val="none" w:sz="0" w:space="0" w:color="auto"/>
      </w:divBdr>
    </w:div>
    <w:div w:id="1941064619">
      <w:bodyDiv w:val="1"/>
      <w:marLeft w:val="0"/>
      <w:marRight w:val="0"/>
      <w:marTop w:val="0"/>
      <w:marBottom w:val="0"/>
      <w:divBdr>
        <w:top w:val="none" w:sz="0" w:space="0" w:color="auto"/>
        <w:left w:val="none" w:sz="0" w:space="0" w:color="auto"/>
        <w:bottom w:val="none" w:sz="0" w:space="0" w:color="auto"/>
        <w:right w:val="none" w:sz="0" w:space="0" w:color="auto"/>
      </w:divBdr>
    </w:div>
    <w:div w:id="197421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PLANTILLA1.dotx</Template>
  <TotalTime>0</TotalTime>
  <Pages>3</Pages>
  <Words>1056</Words>
  <Characters>5254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6298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2016-06-08T20:38:00Z</cp:lastPrinted>
  <dcterms:created xsi:type="dcterms:W3CDTF">2017-05-19T21:25:00Z</dcterms:created>
  <dcterms:modified xsi:type="dcterms:W3CDTF">2017-05-19T21:25:00Z</dcterms:modified>
</cp:coreProperties>
</file>