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DE53B8" w:rsidRDefault="002C2EB9"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69567391" r:id="rId10"/>
        </w:pict>
      </w:r>
    </w:p>
    <w:p w:rsidR="00625DC6" w:rsidRPr="00DE53B8" w:rsidRDefault="00625DC6"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C461B6">
        <w:rPr>
          <w:b/>
          <w:spacing w:val="20"/>
        </w:rPr>
        <w:t>1</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Pr>
          <w:rFonts w:cs="Arial"/>
          <w:color w:val="000000"/>
        </w:rPr>
        <w:t xml:space="preserve">Compañía Energética del Tolima </w:t>
      </w:r>
      <w:r w:rsidRPr="003A7B6B">
        <w:rPr>
          <w:rFonts w:cs="Arial"/>
          <w:color w:val="000000"/>
        </w:rPr>
        <w:t>S.A. E.S.P. en el Sistema de Transmisión Regional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34654" w:rsidRPr="00DE53B8" w:rsidRDefault="00034654"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0E1218" w:rsidP="000E1218">
      <w:pPr>
        <w:rPr>
          <w:rFonts w:cs="Arial"/>
          <w:color w:val="000000"/>
        </w:rPr>
      </w:pPr>
      <w:r w:rsidRPr="00DE53B8">
        <w:rPr>
          <w:rFonts w:cs="Arial"/>
          <w:color w:val="000000"/>
        </w:rPr>
        <w:t>En ejercicio de sus facultades legales, en especial de las conferidas por las Leyes 142 y 143 de 1994, y en desarrollo de l</w:t>
      </w:r>
      <w:r w:rsidR="003A7B6B">
        <w:rPr>
          <w:rFonts w:cs="Arial"/>
          <w:color w:val="000000"/>
        </w:rPr>
        <w:t>os Decretos 1524 y 2253 de 1994</w:t>
      </w:r>
      <w:r w:rsidRPr="00DE53B8">
        <w:rPr>
          <w:rFonts w:cs="Arial"/>
          <w:color w:val="000000"/>
        </w:rPr>
        <w:t>,</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0E1218" w:rsidRDefault="000E1218" w:rsidP="000E1218">
      <w:pPr>
        <w:rPr>
          <w:rFonts w:cs="Arial"/>
          <w:color w:val="000000"/>
        </w:rPr>
      </w:pPr>
    </w:p>
    <w:p w:rsidR="006B4527" w:rsidRPr="00DE53B8" w:rsidRDefault="006B4527" w:rsidP="000E1218">
      <w:pPr>
        <w:rPr>
          <w:rFonts w:cs="Arial"/>
          <w:color w:val="000000"/>
        </w:rPr>
      </w:pPr>
    </w:p>
    <w:p w:rsidR="00D160BD" w:rsidRPr="003A7B6B" w:rsidRDefault="00D160BD" w:rsidP="00D160BD">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Pr="003A7B6B">
        <w:rPr>
          <w:rFonts w:cs="Arial"/>
          <w:color w:val="000000"/>
        </w:rPr>
        <w:t>Artículo 23</w:t>
      </w:r>
      <w:r>
        <w:rPr>
          <w:rFonts w:cs="Arial"/>
          <w:color w:val="000000"/>
        </w:rPr>
        <w:t xml:space="preserve"> y en el Artículo </w:t>
      </w:r>
      <w:r w:rsidRPr="003A7B6B">
        <w:rPr>
          <w:rFonts w:cs="Arial"/>
          <w:color w:val="000000"/>
        </w:rPr>
        <w:t xml:space="preserve">41 de la Ley 143 de 1994, es función de la Comisión de Regulación de Energía y Gas </w:t>
      </w:r>
      <w:r>
        <w:rPr>
          <w:rFonts w:cs="Arial"/>
          <w:color w:val="000000"/>
        </w:rPr>
        <w:t xml:space="preserve">-CREG- </w:t>
      </w:r>
      <w:r w:rsidRPr="003A7B6B">
        <w:rPr>
          <w:rFonts w:cs="Arial"/>
          <w:color w:val="000000"/>
        </w:rPr>
        <w:t>fijar las tarifas por el acceso y uso de las red</w:t>
      </w:r>
      <w:r>
        <w:rPr>
          <w:rFonts w:cs="Arial"/>
          <w:color w:val="000000"/>
        </w:rPr>
        <w:t>es eléctricas.</w:t>
      </w:r>
    </w:p>
    <w:p w:rsidR="00D160BD" w:rsidRPr="003A7B6B" w:rsidRDefault="00D160BD" w:rsidP="00D160BD">
      <w:pPr>
        <w:rPr>
          <w:rFonts w:cs="Arial"/>
          <w:color w:val="000000"/>
        </w:rPr>
      </w:pPr>
    </w:p>
    <w:p w:rsidR="00D160BD" w:rsidRPr="003A7B6B" w:rsidRDefault="00D160BD" w:rsidP="00D160BD">
      <w:pPr>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esoluciones CREG 133, 135 y 166 de 2008, la Comisión aprobó los principios generales y la metodología para el establecimiento de los Cargos por Uso de los Sistemas de Transmisión Regional (STR) y de Distribución Local (SDL)</w:t>
      </w:r>
      <w:r>
        <w:rPr>
          <w:rFonts w:cs="Arial"/>
          <w:color w:val="000000"/>
        </w:rPr>
        <w:t>.</w:t>
      </w:r>
    </w:p>
    <w:p w:rsidR="00D160BD" w:rsidRPr="003A7B6B" w:rsidRDefault="00D160BD" w:rsidP="00D160BD">
      <w:pPr>
        <w:rPr>
          <w:rFonts w:cs="Arial"/>
          <w:color w:val="000000"/>
        </w:rPr>
      </w:pPr>
    </w:p>
    <w:p w:rsidR="00D160BD" w:rsidRPr="003A7B6B" w:rsidRDefault="00D160BD" w:rsidP="00D160BD">
      <w:pPr>
        <w:rPr>
          <w:rFonts w:cs="Arial"/>
          <w:color w:val="000000"/>
        </w:rPr>
      </w:pPr>
      <w:r>
        <w:rPr>
          <w:rFonts w:cs="Arial"/>
          <w:color w:val="000000"/>
        </w:rPr>
        <w:t>L</w:t>
      </w:r>
      <w:r w:rsidRPr="003A7B6B">
        <w:rPr>
          <w:rFonts w:cs="Arial"/>
          <w:color w:val="000000"/>
        </w:rPr>
        <w:t>a Comisión expidió la Resolución CREG 1</w:t>
      </w:r>
      <w:r>
        <w:rPr>
          <w:rFonts w:cs="Arial"/>
          <w:color w:val="000000"/>
        </w:rPr>
        <w:t>12 de 2009</w:t>
      </w:r>
      <w:r w:rsidRPr="003A7B6B">
        <w:rPr>
          <w:rFonts w:cs="Arial"/>
          <w:color w:val="000000"/>
        </w:rPr>
        <w:t xml:space="preserve">, </w:t>
      </w:r>
      <w:r>
        <w:rPr>
          <w:rFonts w:cs="Arial"/>
          <w:color w:val="000000"/>
        </w:rPr>
        <w:t xml:space="preserve">mediante la </w:t>
      </w:r>
      <w:r w:rsidRPr="003A7B6B">
        <w:rPr>
          <w:rFonts w:cs="Arial"/>
          <w:color w:val="000000"/>
        </w:rPr>
        <w:t>cual se apr</w:t>
      </w:r>
      <w:r>
        <w:rPr>
          <w:rFonts w:cs="Arial"/>
          <w:color w:val="000000"/>
        </w:rPr>
        <w:t>obaron</w:t>
      </w:r>
      <w:r w:rsidRPr="003A7B6B">
        <w:rPr>
          <w:rFonts w:cs="Arial"/>
          <w:color w:val="000000"/>
        </w:rPr>
        <w:t xml:space="preserve"> el Costo Anual por el uso de los Activos del Nivel de Tensión 4 y los Cargos Máximos de los Niveles de Tensión 3, 2 y 1 de los activos operados por la </w:t>
      </w:r>
      <w:r w:rsidRPr="00621E73">
        <w:rPr>
          <w:rFonts w:cs="Arial"/>
          <w:color w:val="000000"/>
        </w:rPr>
        <w:t xml:space="preserve">Compañía Energética del Tolima S.A. E.S.P. </w:t>
      </w:r>
      <w:r w:rsidRPr="003A7B6B">
        <w:rPr>
          <w:rFonts w:cs="Arial"/>
          <w:color w:val="000000"/>
        </w:rPr>
        <w:t>en el Sistema de Transmisión Regional (STR) y en el Sist</w:t>
      </w:r>
      <w:r>
        <w:rPr>
          <w:rFonts w:cs="Arial"/>
          <w:color w:val="000000"/>
        </w:rPr>
        <w:t>ema de Distribución Local (SDL).</w:t>
      </w:r>
    </w:p>
    <w:p w:rsidR="00D160BD" w:rsidRPr="003A7B6B" w:rsidRDefault="00D160BD" w:rsidP="00D160BD">
      <w:pPr>
        <w:rPr>
          <w:rFonts w:cs="Arial"/>
          <w:color w:val="000000"/>
        </w:rPr>
      </w:pPr>
    </w:p>
    <w:p w:rsidR="00D160BD" w:rsidRPr="00DE53B8" w:rsidRDefault="00D160BD" w:rsidP="00D160BD">
      <w:pPr>
        <w:rPr>
          <w:rFonts w:cs="Arial"/>
          <w:color w:val="000000"/>
        </w:rPr>
      </w:pPr>
      <w:r>
        <w:rPr>
          <w:rFonts w:cs="Arial"/>
          <w:color w:val="000000"/>
        </w:rPr>
        <w:t>M</w:t>
      </w:r>
      <w:r w:rsidRPr="003A7B6B">
        <w:rPr>
          <w:rFonts w:cs="Arial"/>
          <w:color w:val="000000"/>
        </w:rPr>
        <w:t xml:space="preserve">ediante la Resolución CREG </w:t>
      </w:r>
      <w:r>
        <w:rPr>
          <w:rFonts w:cs="Arial"/>
          <w:color w:val="000000"/>
        </w:rPr>
        <w:t xml:space="preserve">027 </w:t>
      </w:r>
      <w:r w:rsidRPr="003A7B6B">
        <w:rPr>
          <w:rFonts w:cs="Arial"/>
          <w:color w:val="000000"/>
        </w:rPr>
        <w:t>de 20</w:t>
      </w:r>
      <w:r>
        <w:rPr>
          <w:rFonts w:cs="Arial"/>
          <w:color w:val="000000"/>
        </w:rPr>
        <w:t>10</w:t>
      </w:r>
      <w:r w:rsidRPr="003A7B6B">
        <w:rPr>
          <w:rFonts w:cs="Arial"/>
          <w:color w:val="000000"/>
        </w:rPr>
        <w:t xml:space="preserve">, la Comisión resolvió el recurso de reposición interpuesto por la </w:t>
      </w:r>
      <w:r w:rsidRPr="00621E73">
        <w:rPr>
          <w:rFonts w:cs="Arial"/>
          <w:color w:val="000000"/>
        </w:rPr>
        <w:t xml:space="preserve">Compañía Energética del Tolima S.A. E.S.P. </w:t>
      </w:r>
      <w:r w:rsidRPr="003A7B6B">
        <w:rPr>
          <w:rFonts w:cs="Arial"/>
          <w:color w:val="000000"/>
        </w:rPr>
        <w:t>contra la Resolución CREG 1</w:t>
      </w:r>
      <w:r>
        <w:rPr>
          <w:rFonts w:cs="Arial"/>
          <w:color w:val="000000"/>
        </w:rPr>
        <w:t>12</w:t>
      </w:r>
      <w:r w:rsidRPr="003A7B6B">
        <w:rPr>
          <w:rFonts w:cs="Arial"/>
          <w:color w:val="000000"/>
        </w:rPr>
        <w:t xml:space="preserve"> de 2009</w:t>
      </w:r>
      <w:r w:rsidRPr="0021658E">
        <w:t xml:space="preserve"> </w:t>
      </w:r>
      <w:r>
        <w:t>y modificó el artículo 1 de la misma Resolución</w:t>
      </w:r>
      <w:r w:rsidRPr="00DE53B8">
        <w:rPr>
          <w:rFonts w:cs="Arial"/>
          <w:color w:val="000000"/>
        </w:rPr>
        <w:t>.</w:t>
      </w:r>
    </w:p>
    <w:p w:rsidR="00D160BD" w:rsidRDefault="00D160BD" w:rsidP="00D160BD">
      <w:pPr>
        <w:rPr>
          <w:rFonts w:cs="Arial"/>
          <w:color w:val="000000"/>
        </w:rPr>
      </w:pPr>
    </w:p>
    <w:p w:rsidR="00D160BD" w:rsidRPr="00621E73" w:rsidRDefault="00D160BD" w:rsidP="00D160BD">
      <w:pPr>
        <w:rPr>
          <w:rFonts w:cs="Arial"/>
          <w:color w:val="000000"/>
        </w:rPr>
      </w:pPr>
      <w:r>
        <w:rPr>
          <w:rFonts w:cs="Arial"/>
          <w:color w:val="000000"/>
        </w:rPr>
        <w:t>D</w:t>
      </w:r>
      <w:r w:rsidRPr="00621E73">
        <w:rPr>
          <w:rFonts w:cs="Arial"/>
          <w:color w:val="000000"/>
        </w:rPr>
        <w:t xml:space="preserve">e acuerdo con lo establecido en el Artículo 9 de la Resolución CREG 097 de 2008, cuando entren en operación nuevos Activos de Uso se actualizarán los </w:t>
      </w:r>
      <w:r w:rsidRPr="00621E73">
        <w:rPr>
          <w:rFonts w:cs="Arial"/>
          <w:color w:val="000000"/>
        </w:rPr>
        <w:lastRenderedPageBreak/>
        <w:t xml:space="preserve">cargos correspondientes, siempre que se cumplan las condiciones establecidas en el Capítulo 4 del Anexo General de </w:t>
      </w:r>
      <w:r>
        <w:rPr>
          <w:rFonts w:cs="Arial"/>
          <w:color w:val="000000"/>
        </w:rPr>
        <w:t>la citada resolución.</w:t>
      </w:r>
    </w:p>
    <w:p w:rsidR="00D160BD" w:rsidRPr="008112B1" w:rsidRDefault="00D160BD" w:rsidP="00D160BD">
      <w:pPr>
        <w:rPr>
          <w:rFonts w:cs="Arial"/>
          <w:color w:val="000000"/>
          <w:sz w:val="20"/>
        </w:rPr>
      </w:pPr>
    </w:p>
    <w:p w:rsidR="00D160BD" w:rsidRDefault="00D160BD" w:rsidP="00D160BD">
      <w:pPr>
        <w:rPr>
          <w:rFonts w:cs="Arial"/>
          <w:color w:val="000000"/>
        </w:rPr>
      </w:pPr>
      <w:r>
        <w:rPr>
          <w:rFonts w:cs="Arial"/>
          <w:color w:val="000000"/>
        </w:rPr>
        <w:t>E</w:t>
      </w:r>
      <w:r w:rsidRPr="00621E73">
        <w:rPr>
          <w:rFonts w:cs="Arial"/>
          <w:color w:val="000000"/>
        </w:rPr>
        <w:t>n el numeral 4.1 del Anexo general de la Resolución CREG 097 de 2008 se establece</w:t>
      </w:r>
      <w:r>
        <w:rPr>
          <w:rFonts w:cs="Arial"/>
          <w:color w:val="000000"/>
        </w:rPr>
        <w:t>n los requisitos que debe acreditar el OR junto con su solicitud de actualización de cargos para que la CREG proceda a la revisión.</w:t>
      </w:r>
    </w:p>
    <w:p w:rsidR="00D160BD" w:rsidRPr="008112B1" w:rsidRDefault="00D160BD" w:rsidP="00D160BD">
      <w:pPr>
        <w:rPr>
          <w:rFonts w:cs="Arial"/>
          <w:color w:val="000000"/>
          <w:sz w:val="18"/>
        </w:rPr>
      </w:pPr>
    </w:p>
    <w:p w:rsidR="00D160BD" w:rsidRDefault="00D160BD" w:rsidP="00D160BD">
      <w:pPr>
        <w:rPr>
          <w:rFonts w:cs="Arial"/>
          <w:color w:val="000000"/>
        </w:rPr>
      </w:pPr>
      <w:r w:rsidRPr="00176A78">
        <w:rPr>
          <w:rFonts w:cs="Arial"/>
          <w:color w:val="000000"/>
        </w:rPr>
        <w:t xml:space="preserve">La Compañía Energética del Tolima S.A. E.S.P., mediante comunicaciones radicadas en la CREG con los números E-2010-012059 y E-2010-012152, solicitó la actualización del costo anual del nivel de tensión 4 por la entrada en operación de </w:t>
      </w:r>
      <w:r w:rsidRPr="00621E73">
        <w:rPr>
          <w:rFonts w:cs="Arial"/>
          <w:color w:val="000000"/>
        </w:rPr>
        <w:t xml:space="preserve">un </w:t>
      </w:r>
      <w:r>
        <w:rPr>
          <w:rFonts w:cs="Arial"/>
          <w:color w:val="000000"/>
        </w:rPr>
        <w:t xml:space="preserve">banco de </w:t>
      </w:r>
      <w:r w:rsidRPr="00621E73">
        <w:rPr>
          <w:rFonts w:cs="Arial"/>
          <w:color w:val="000000"/>
        </w:rPr>
        <w:t>transformador</w:t>
      </w:r>
      <w:r>
        <w:rPr>
          <w:rFonts w:cs="Arial"/>
          <w:color w:val="000000"/>
        </w:rPr>
        <w:t>es</w:t>
      </w:r>
      <w:r w:rsidRPr="00621E73">
        <w:rPr>
          <w:rFonts w:cs="Arial"/>
          <w:color w:val="000000"/>
        </w:rPr>
        <w:t xml:space="preserve"> de conexión al STN, en la subestación </w:t>
      </w:r>
      <w:r>
        <w:rPr>
          <w:rFonts w:cs="Arial"/>
          <w:color w:val="000000"/>
        </w:rPr>
        <w:t>Mirolindo.</w:t>
      </w:r>
    </w:p>
    <w:p w:rsidR="00D160BD" w:rsidRPr="008112B1" w:rsidRDefault="00D160BD" w:rsidP="00D160BD">
      <w:pPr>
        <w:rPr>
          <w:rFonts w:cs="Arial"/>
          <w:color w:val="000000"/>
          <w:sz w:val="18"/>
        </w:rPr>
      </w:pPr>
    </w:p>
    <w:p w:rsidR="00D160BD" w:rsidRDefault="00D160BD" w:rsidP="00D160BD">
      <w:pPr>
        <w:rPr>
          <w:rFonts w:cs="Arial"/>
          <w:color w:val="000000"/>
        </w:rPr>
      </w:pPr>
      <w:r>
        <w:rPr>
          <w:rFonts w:cs="Arial"/>
          <w:color w:val="000000"/>
        </w:rPr>
        <w:t xml:space="preserve">La empresa adjunta a su solicitud el concepto emitido por la UPME el 25 de febrero de 2009, el cual fue actualizado mediante el concepto de la UPME del </w:t>
      </w:r>
      <w:r w:rsidRPr="0021658E">
        <w:rPr>
          <w:rFonts w:cs="Arial"/>
          <w:color w:val="000000"/>
        </w:rPr>
        <w:t>1</w:t>
      </w:r>
      <w:r>
        <w:rPr>
          <w:rFonts w:cs="Arial"/>
          <w:color w:val="000000"/>
        </w:rPr>
        <w:t>7</w:t>
      </w:r>
      <w:r w:rsidRPr="0021658E">
        <w:rPr>
          <w:rFonts w:cs="Arial"/>
          <w:color w:val="000000"/>
        </w:rPr>
        <w:t xml:space="preserve"> de </w:t>
      </w:r>
      <w:r>
        <w:rPr>
          <w:rFonts w:cs="Arial"/>
          <w:color w:val="000000"/>
        </w:rPr>
        <w:t>marzo</w:t>
      </w:r>
      <w:r w:rsidRPr="0021658E">
        <w:rPr>
          <w:rFonts w:cs="Arial"/>
          <w:color w:val="000000"/>
        </w:rPr>
        <w:t xml:space="preserve"> de 2009</w:t>
      </w:r>
      <w:r>
        <w:rPr>
          <w:rFonts w:cs="Arial"/>
          <w:color w:val="000000"/>
        </w:rPr>
        <w:t xml:space="preserve">, junto con el contrato de conexión 4000777 del 13 de abril de 2010, suscrito con Interconexión Eléctrica </w:t>
      </w:r>
      <w:r w:rsidRPr="00176A78">
        <w:rPr>
          <w:rFonts w:cs="Arial"/>
          <w:color w:val="000000"/>
        </w:rPr>
        <w:t>S.A. E.S.P.</w:t>
      </w:r>
      <w:r>
        <w:rPr>
          <w:rFonts w:cs="Arial"/>
          <w:color w:val="000000"/>
        </w:rPr>
        <w:t xml:space="preserve">, </w:t>
      </w:r>
      <w:r w:rsidRPr="00C35B46">
        <w:rPr>
          <w:rFonts w:cs="Arial"/>
          <w:color w:val="000000"/>
        </w:rPr>
        <w:t>transpor</w:t>
      </w:r>
      <w:r>
        <w:rPr>
          <w:rFonts w:cs="Arial"/>
          <w:color w:val="000000"/>
        </w:rPr>
        <w:softHyphen/>
      </w:r>
      <w:r w:rsidRPr="00C35B46">
        <w:rPr>
          <w:rFonts w:cs="Arial"/>
          <w:color w:val="000000"/>
        </w:rPr>
        <w:t>tador responsable de la red de transmisión en el punto de conexión</w:t>
      </w:r>
      <w:r>
        <w:rPr>
          <w:rFonts w:cs="Arial"/>
          <w:color w:val="000000"/>
        </w:rPr>
        <w:t xml:space="preserve"> al STN.</w:t>
      </w:r>
      <w:r w:rsidRPr="00176A78">
        <w:rPr>
          <w:rFonts w:cs="Arial"/>
          <w:color w:val="000000"/>
        </w:rPr>
        <w:t xml:space="preserve"> </w:t>
      </w:r>
    </w:p>
    <w:p w:rsidR="00D160BD" w:rsidRPr="008112B1" w:rsidRDefault="00D160BD" w:rsidP="00D160BD">
      <w:pPr>
        <w:rPr>
          <w:rFonts w:cs="Arial"/>
          <w:color w:val="000000"/>
          <w:sz w:val="18"/>
        </w:rPr>
      </w:pPr>
    </w:p>
    <w:p w:rsidR="00D160BD" w:rsidRPr="00BE43AD" w:rsidRDefault="00D160BD" w:rsidP="00D160BD">
      <w:pPr>
        <w:rPr>
          <w:rFonts w:cs="Arial"/>
          <w:color w:val="000000"/>
        </w:rPr>
      </w:pPr>
      <w:r>
        <w:rPr>
          <w:rFonts w:cs="Arial"/>
          <w:color w:val="000000"/>
        </w:rPr>
        <w:t>M</w:t>
      </w:r>
      <w:r w:rsidRPr="00BE43AD">
        <w:rPr>
          <w:rFonts w:cs="Arial"/>
          <w:color w:val="000000"/>
        </w:rPr>
        <w:t xml:space="preserve">ediante auto del </w:t>
      </w:r>
      <w:r>
        <w:rPr>
          <w:rFonts w:cs="Arial"/>
          <w:color w:val="000000"/>
        </w:rPr>
        <w:t>14</w:t>
      </w:r>
      <w:r w:rsidRPr="00BE43AD">
        <w:rPr>
          <w:rFonts w:cs="Arial"/>
          <w:color w:val="000000"/>
        </w:rPr>
        <w:t xml:space="preserve"> de </w:t>
      </w:r>
      <w:r>
        <w:rPr>
          <w:rFonts w:cs="Arial"/>
          <w:color w:val="000000"/>
        </w:rPr>
        <w:t>enero</w:t>
      </w:r>
      <w:r w:rsidRPr="00BE43AD">
        <w:rPr>
          <w:rFonts w:cs="Arial"/>
          <w:color w:val="000000"/>
        </w:rPr>
        <w:t xml:space="preserve"> de 201</w:t>
      </w:r>
      <w:r>
        <w:rPr>
          <w:rFonts w:cs="Arial"/>
          <w:color w:val="000000"/>
        </w:rPr>
        <w:t>1</w:t>
      </w:r>
      <w:r w:rsidRPr="00BE43AD">
        <w:rPr>
          <w:rFonts w:cs="Arial"/>
          <w:color w:val="000000"/>
        </w:rPr>
        <w:t xml:space="preserve">, la CREG inició la Actuación Administrativa con el objeto de decidir </w:t>
      </w:r>
      <w:r>
        <w:rPr>
          <w:rFonts w:cs="Arial"/>
          <w:color w:val="000000"/>
        </w:rPr>
        <w:t xml:space="preserve">sobre </w:t>
      </w:r>
      <w:r w:rsidRPr="00BE43AD">
        <w:rPr>
          <w:rFonts w:cs="Arial"/>
          <w:color w:val="000000"/>
        </w:rPr>
        <w:t>la solicitud de modificación del Costo Anual por Uso de los Activos de Nivel de Tensión 4 de la Compañía Energética del Tolima S.A. E.S.P. y</w:t>
      </w:r>
      <w:r>
        <w:rPr>
          <w:rFonts w:cs="Arial"/>
          <w:color w:val="000000"/>
        </w:rPr>
        <w:t xml:space="preserve"> </w:t>
      </w:r>
      <w:r w:rsidRPr="00BE43AD">
        <w:rPr>
          <w:rFonts w:cs="Arial"/>
          <w:color w:val="000000"/>
        </w:rPr>
        <w:t>si</w:t>
      </w:r>
      <w:r>
        <w:rPr>
          <w:rFonts w:cs="Arial"/>
          <w:color w:val="000000"/>
        </w:rPr>
        <w:t>,</w:t>
      </w:r>
      <w:r w:rsidRPr="00BE43AD">
        <w:rPr>
          <w:rFonts w:cs="Arial"/>
          <w:color w:val="000000"/>
        </w:rPr>
        <w:t xml:space="preserve"> como consecuencia de los análisis realizados, los valores aprobados </w:t>
      </w:r>
      <w:r>
        <w:rPr>
          <w:rFonts w:cs="Arial"/>
          <w:color w:val="000000"/>
        </w:rPr>
        <w:t xml:space="preserve">a esta empresa </w:t>
      </w:r>
      <w:r w:rsidRPr="00BE43AD">
        <w:rPr>
          <w:rFonts w:cs="Arial"/>
          <w:color w:val="000000"/>
        </w:rPr>
        <w:t>deben ser modificados</w:t>
      </w:r>
      <w:r>
        <w:rPr>
          <w:rFonts w:cs="Arial"/>
          <w:color w:val="000000"/>
        </w:rPr>
        <w:t>.</w:t>
      </w:r>
    </w:p>
    <w:p w:rsidR="00D160BD" w:rsidRPr="008112B1" w:rsidRDefault="00D160BD" w:rsidP="00D160BD">
      <w:pPr>
        <w:rPr>
          <w:rFonts w:cs="Arial"/>
          <w:color w:val="000000"/>
          <w:sz w:val="20"/>
        </w:rPr>
      </w:pPr>
    </w:p>
    <w:p w:rsidR="00D160BD" w:rsidRPr="00BE43AD" w:rsidRDefault="00D160BD" w:rsidP="00D160BD">
      <w:pPr>
        <w:rPr>
          <w:rFonts w:cs="Arial"/>
          <w:color w:val="000000"/>
        </w:rPr>
      </w:pPr>
      <w:r>
        <w:rPr>
          <w:rFonts w:cs="Arial"/>
          <w:color w:val="000000"/>
        </w:rPr>
        <w:t>M</w:t>
      </w:r>
      <w:r w:rsidRPr="00BE43AD">
        <w:rPr>
          <w:rFonts w:cs="Arial"/>
          <w:color w:val="000000"/>
        </w:rPr>
        <w:t>ediante</w:t>
      </w:r>
      <w:r>
        <w:rPr>
          <w:rFonts w:cs="Arial"/>
          <w:color w:val="000000"/>
        </w:rPr>
        <w:t xml:space="preserve"> </w:t>
      </w:r>
      <w:r w:rsidRPr="00BE43AD">
        <w:rPr>
          <w:rFonts w:cs="Arial"/>
          <w:color w:val="000000"/>
        </w:rPr>
        <w:t>la comunicación CREG S-201</w:t>
      </w:r>
      <w:r>
        <w:rPr>
          <w:rFonts w:cs="Arial"/>
          <w:color w:val="000000"/>
        </w:rPr>
        <w:t>1</w:t>
      </w:r>
      <w:r w:rsidRPr="00BE43AD">
        <w:rPr>
          <w:rFonts w:cs="Arial"/>
          <w:color w:val="000000"/>
        </w:rPr>
        <w:t>-00</w:t>
      </w:r>
      <w:r>
        <w:rPr>
          <w:rFonts w:cs="Arial"/>
          <w:color w:val="000000"/>
        </w:rPr>
        <w:t>0053</w:t>
      </w:r>
      <w:r w:rsidRPr="00BE43AD">
        <w:rPr>
          <w:rFonts w:cs="Arial"/>
          <w:color w:val="000000"/>
        </w:rPr>
        <w:t xml:space="preserve"> del </w:t>
      </w:r>
      <w:r>
        <w:rPr>
          <w:rFonts w:cs="Arial"/>
          <w:color w:val="000000"/>
        </w:rPr>
        <w:t>14</w:t>
      </w:r>
      <w:r w:rsidRPr="00BE43AD">
        <w:rPr>
          <w:rFonts w:cs="Arial"/>
          <w:color w:val="000000"/>
        </w:rPr>
        <w:t xml:space="preserve"> de </w:t>
      </w:r>
      <w:r w:rsidRPr="00176A78">
        <w:rPr>
          <w:rFonts w:cs="Arial"/>
          <w:color w:val="000000"/>
        </w:rPr>
        <w:t>enero de 2011</w:t>
      </w:r>
      <w:r w:rsidRPr="00BE43AD">
        <w:rPr>
          <w:rFonts w:cs="Arial"/>
          <w:color w:val="000000"/>
        </w:rPr>
        <w:t xml:space="preserve">, se solicitó a la Compañía Energética del Tolima </w:t>
      </w:r>
      <w:r>
        <w:rPr>
          <w:rFonts w:cs="Arial"/>
          <w:color w:val="000000"/>
        </w:rPr>
        <w:t>S.A. E.S.P.</w:t>
      </w:r>
      <w:r w:rsidRPr="00BE43AD">
        <w:rPr>
          <w:rFonts w:cs="Arial"/>
          <w:color w:val="000000"/>
        </w:rPr>
        <w:t>, la publicación del resumen de su solicitud en u</w:t>
      </w:r>
      <w:r>
        <w:rPr>
          <w:rFonts w:cs="Arial"/>
          <w:color w:val="000000"/>
        </w:rPr>
        <w:t xml:space="preserve">n diario de amplia circulación. La respuesta se </w:t>
      </w:r>
      <w:r w:rsidRPr="00BE43AD">
        <w:rPr>
          <w:rFonts w:cs="Arial"/>
          <w:color w:val="000000"/>
        </w:rPr>
        <w:t>radic</w:t>
      </w:r>
      <w:r>
        <w:rPr>
          <w:rFonts w:cs="Arial"/>
          <w:color w:val="000000"/>
        </w:rPr>
        <w:t>ó</w:t>
      </w:r>
      <w:r w:rsidRPr="00BE43AD">
        <w:rPr>
          <w:rFonts w:cs="Arial"/>
          <w:color w:val="000000"/>
        </w:rPr>
        <w:t xml:space="preserve"> en la CREG con el número E-201</w:t>
      </w:r>
      <w:r>
        <w:rPr>
          <w:rFonts w:cs="Arial"/>
          <w:color w:val="000000"/>
        </w:rPr>
        <w:t>1</w:t>
      </w:r>
      <w:r w:rsidRPr="00BE43AD">
        <w:rPr>
          <w:rFonts w:cs="Arial"/>
          <w:color w:val="000000"/>
        </w:rPr>
        <w:t>-0</w:t>
      </w:r>
      <w:r>
        <w:rPr>
          <w:rFonts w:cs="Arial"/>
          <w:color w:val="000000"/>
        </w:rPr>
        <w:t>00623</w:t>
      </w:r>
      <w:r w:rsidRPr="00BE43AD">
        <w:rPr>
          <w:rFonts w:cs="Arial"/>
          <w:color w:val="000000"/>
        </w:rPr>
        <w:t xml:space="preserve"> de</w:t>
      </w:r>
      <w:r>
        <w:rPr>
          <w:rFonts w:cs="Arial"/>
          <w:color w:val="000000"/>
        </w:rPr>
        <w:t>l 20 de</w:t>
      </w:r>
      <w:r w:rsidRPr="00BE43AD">
        <w:rPr>
          <w:rFonts w:cs="Arial"/>
          <w:color w:val="000000"/>
        </w:rPr>
        <w:t xml:space="preserve"> </w:t>
      </w:r>
      <w:r>
        <w:rPr>
          <w:rFonts w:cs="Arial"/>
          <w:color w:val="000000"/>
        </w:rPr>
        <w:t>enero</w:t>
      </w:r>
      <w:r w:rsidRPr="00BE43AD">
        <w:rPr>
          <w:rFonts w:cs="Arial"/>
          <w:color w:val="000000"/>
        </w:rPr>
        <w:t xml:space="preserve"> de 201</w:t>
      </w:r>
      <w:r>
        <w:rPr>
          <w:rFonts w:cs="Arial"/>
          <w:color w:val="000000"/>
        </w:rPr>
        <w:t>1</w:t>
      </w:r>
      <w:r w:rsidRPr="00BE43AD">
        <w:rPr>
          <w:rFonts w:cs="Arial"/>
          <w:color w:val="000000"/>
        </w:rPr>
        <w:t xml:space="preserve">, </w:t>
      </w:r>
      <w:r>
        <w:rPr>
          <w:rFonts w:cs="Arial"/>
          <w:color w:val="000000"/>
        </w:rPr>
        <w:t xml:space="preserve">con la cual </w:t>
      </w:r>
      <w:r w:rsidRPr="00BE43AD">
        <w:rPr>
          <w:rFonts w:cs="Arial"/>
          <w:color w:val="000000"/>
        </w:rPr>
        <w:t xml:space="preserve">la Compañía Energética del Tolima S.A. E.S.P. allegó copia del aviso publicado en el diario </w:t>
      </w:r>
      <w:r w:rsidRPr="00DF78E8">
        <w:rPr>
          <w:rFonts w:cs="Arial"/>
          <w:i/>
          <w:color w:val="000000"/>
        </w:rPr>
        <w:t>La República</w:t>
      </w:r>
      <w:r w:rsidRPr="00BE43AD">
        <w:rPr>
          <w:rFonts w:cs="Arial"/>
          <w:color w:val="000000"/>
        </w:rPr>
        <w:t xml:space="preserve"> del </w:t>
      </w:r>
      <w:r>
        <w:rPr>
          <w:rFonts w:cs="Arial"/>
          <w:color w:val="000000"/>
        </w:rPr>
        <w:t>20</w:t>
      </w:r>
      <w:r w:rsidRPr="00BE43AD">
        <w:rPr>
          <w:rFonts w:cs="Arial"/>
          <w:color w:val="000000"/>
        </w:rPr>
        <w:t xml:space="preserve"> de </w:t>
      </w:r>
      <w:r>
        <w:rPr>
          <w:rFonts w:cs="Arial"/>
          <w:color w:val="000000"/>
        </w:rPr>
        <w:t>enero</w:t>
      </w:r>
      <w:r w:rsidRPr="00BE43AD">
        <w:rPr>
          <w:rFonts w:cs="Arial"/>
          <w:color w:val="000000"/>
        </w:rPr>
        <w:t xml:space="preserve"> de 201</w:t>
      </w:r>
      <w:r>
        <w:rPr>
          <w:rFonts w:cs="Arial"/>
          <w:color w:val="000000"/>
        </w:rPr>
        <w:t>1.</w:t>
      </w:r>
    </w:p>
    <w:p w:rsidR="00D160BD" w:rsidRPr="00BE43AD" w:rsidRDefault="00D160BD" w:rsidP="00D160BD">
      <w:pPr>
        <w:rPr>
          <w:rFonts w:cs="Arial"/>
          <w:color w:val="000000"/>
        </w:rPr>
      </w:pPr>
    </w:p>
    <w:p w:rsidR="00D160BD" w:rsidRDefault="00D160BD" w:rsidP="00D160BD">
      <w:pPr>
        <w:rPr>
          <w:rFonts w:cs="Arial"/>
          <w:color w:val="000000"/>
        </w:rPr>
      </w:pPr>
      <w:r>
        <w:rPr>
          <w:rFonts w:cs="Arial"/>
          <w:color w:val="000000"/>
        </w:rPr>
        <w:t xml:space="preserve">La Comisión, mediante comunicación S-2011-000521 del 11 de febrero de 2011, solicitó a la </w:t>
      </w:r>
      <w:r w:rsidRPr="00FF702C">
        <w:rPr>
          <w:rFonts w:cs="Arial"/>
          <w:color w:val="000000"/>
        </w:rPr>
        <w:t xml:space="preserve">Compañía Energética del Tolima S.A. E.S.P. </w:t>
      </w:r>
      <w:r>
        <w:rPr>
          <w:rFonts w:cs="Arial"/>
          <w:color w:val="000000"/>
        </w:rPr>
        <w:t>aclaraciones sobre la Unidad Constructiva N4EQ1, incluida en su solicitud de actualización, las cuales fueron respondidas en la comunicación E-2011-001809 radicada en la CREG el 24 de febrero de 2011.</w:t>
      </w:r>
    </w:p>
    <w:p w:rsidR="00D160BD" w:rsidRDefault="00D160BD" w:rsidP="00D160BD">
      <w:pPr>
        <w:rPr>
          <w:rFonts w:cs="Arial"/>
          <w:color w:val="000000"/>
        </w:rPr>
      </w:pPr>
    </w:p>
    <w:p w:rsidR="00D160BD" w:rsidRDefault="00D160BD" w:rsidP="00D160BD">
      <w:pPr>
        <w:rPr>
          <w:rFonts w:cs="Arial"/>
          <w:color w:val="000000"/>
        </w:rPr>
      </w:pPr>
      <w:r>
        <w:rPr>
          <w:rFonts w:cs="Arial"/>
          <w:color w:val="000000"/>
        </w:rPr>
        <w:t xml:space="preserve">Como se analiza en el documento </w:t>
      </w:r>
      <w:r w:rsidRPr="006C57E4">
        <w:rPr>
          <w:rFonts w:cs="Arial"/>
        </w:rPr>
        <w:t xml:space="preserve">CREG </w:t>
      </w:r>
      <w:r w:rsidR="006C57E4" w:rsidRPr="006C57E4">
        <w:rPr>
          <w:rFonts w:cs="Arial"/>
        </w:rPr>
        <w:t>053</w:t>
      </w:r>
      <w:r>
        <w:rPr>
          <w:rFonts w:cs="Arial"/>
          <w:color w:val="000000"/>
        </w:rPr>
        <w:t xml:space="preserve"> de 2011, ni en la respuesta recibida </w:t>
      </w:r>
      <w:r w:rsidR="003C69EB">
        <w:rPr>
          <w:rFonts w:cs="Arial"/>
          <w:color w:val="000000"/>
        </w:rPr>
        <w:t xml:space="preserve">por parte de la empresa, </w:t>
      </w:r>
      <w:r>
        <w:rPr>
          <w:rFonts w:cs="Arial"/>
          <w:color w:val="000000"/>
        </w:rPr>
        <w:t xml:space="preserve">ni en la visita realizada </w:t>
      </w:r>
      <w:r w:rsidR="003C69EB">
        <w:rPr>
          <w:rFonts w:cs="Arial"/>
          <w:color w:val="000000"/>
        </w:rPr>
        <w:t xml:space="preserve">por la Comisión </w:t>
      </w:r>
      <w:r>
        <w:rPr>
          <w:rFonts w:cs="Arial"/>
          <w:color w:val="000000"/>
        </w:rPr>
        <w:t>el 6 de mayo de 2011 a la subestación Mirolindo</w:t>
      </w:r>
      <w:r w:rsidR="003C69EB">
        <w:rPr>
          <w:rFonts w:cs="Arial"/>
          <w:color w:val="000000"/>
        </w:rPr>
        <w:t>,</w:t>
      </w:r>
      <w:r>
        <w:rPr>
          <w:rFonts w:cs="Arial"/>
          <w:color w:val="000000"/>
        </w:rPr>
        <w:t xml:space="preserve"> se evidenció la existencia de un equipo que desempeñara las funciones </w:t>
      </w:r>
      <w:r w:rsidR="00F92E6C">
        <w:rPr>
          <w:rFonts w:cs="Arial"/>
          <w:color w:val="000000"/>
        </w:rPr>
        <w:t>correspondientes</w:t>
      </w:r>
      <w:r w:rsidR="00FA611E">
        <w:rPr>
          <w:rFonts w:cs="Arial"/>
          <w:color w:val="000000"/>
        </w:rPr>
        <w:t xml:space="preserve"> </w:t>
      </w:r>
      <w:r w:rsidR="008112B1">
        <w:rPr>
          <w:rFonts w:cs="Arial"/>
          <w:color w:val="000000"/>
        </w:rPr>
        <w:t>a la unidad constructiva N4EQ1 aportada, por lo cual no se incluirá dentro de los activos a reconocer.</w:t>
      </w:r>
    </w:p>
    <w:p w:rsidR="00D160BD" w:rsidRPr="00BE43AD" w:rsidRDefault="00D160BD" w:rsidP="00D160BD">
      <w:pPr>
        <w:rPr>
          <w:rFonts w:cs="Arial"/>
          <w:color w:val="000000"/>
        </w:rPr>
      </w:pPr>
    </w:p>
    <w:p w:rsidR="00D160BD" w:rsidRDefault="00D160BD" w:rsidP="00D160BD">
      <w:pPr>
        <w:rPr>
          <w:rFonts w:cs="Arial"/>
          <w:color w:val="000000"/>
        </w:rPr>
      </w:pPr>
      <w:r w:rsidRPr="00032C0F">
        <w:rPr>
          <w:rFonts w:cs="Arial"/>
          <w:color w:val="000000"/>
        </w:rPr>
        <w:t>La Compañía Energética del Tolima, mediante comunicación radicada en la CREG con el número E-2011-003222 del 31 de marzo de 2011, entreg</w:t>
      </w:r>
      <w:r>
        <w:rPr>
          <w:rFonts w:cs="Arial"/>
          <w:color w:val="000000"/>
        </w:rPr>
        <w:t>ó</w:t>
      </w:r>
      <w:r w:rsidRPr="00032C0F">
        <w:rPr>
          <w:rFonts w:cs="Arial"/>
          <w:color w:val="000000"/>
        </w:rPr>
        <w:t xml:space="preserve"> copia de la comunicación enviada por XM Compañía de Expertos en Mercados, en su calidad de Centro Nacional de Despacho, en la que informa que el Transformador Mirolindo 2, 150 MVA, 230/115 kV, entró en operación comercial el 24 de marzo de 2011.</w:t>
      </w:r>
    </w:p>
    <w:p w:rsidR="00D160BD" w:rsidRPr="00BE43AD" w:rsidRDefault="00D160BD" w:rsidP="00D160BD">
      <w:pPr>
        <w:rPr>
          <w:rFonts w:cs="Arial"/>
          <w:color w:val="000000"/>
        </w:rPr>
      </w:pPr>
      <w:r>
        <w:rPr>
          <w:rFonts w:cs="Arial"/>
          <w:color w:val="000000"/>
        </w:rPr>
        <w:lastRenderedPageBreak/>
        <w:t>C</w:t>
      </w:r>
      <w:r w:rsidRPr="00BE43AD">
        <w:rPr>
          <w:rFonts w:cs="Arial"/>
          <w:color w:val="000000"/>
        </w:rPr>
        <w:t xml:space="preserve">on base en los análisis efectuados y aplicando la metodología contenida en la Resolución CREG 097 de 2008 se realizaron los ajustes pertinentes para el sistema operado por la </w:t>
      </w:r>
      <w:r w:rsidRPr="00C35B46">
        <w:rPr>
          <w:rFonts w:cs="Arial"/>
          <w:color w:val="000000"/>
        </w:rPr>
        <w:t>Compañía Energética del Tolima S.A. E.S.P.</w:t>
      </w:r>
      <w:r>
        <w:rPr>
          <w:rFonts w:cs="Arial"/>
          <w:color w:val="000000"/>
        </w:rPr>
        <w:t>,</w:t>
      </w:r>
      <w:r w:rsidRPr="00C35B46">
        <w:rPr>
          <w:rFonts w:cs="Arial"/>
          <w:color w:val="000000"/>
        </w:rPr>
        <w:t xml:space="preserve"> </w:t>
      </w:r>
      <w:r>
        <w:rPr>
          <w:rFonts w:cs="Arial"/>
          <w:color w:val="000000"/>
        </w:rPr>
        <w:t xml:space="preserve">incluyendo en </w:t>
      </w:r>
      <w:r w:rsidRPr="00BE43AD">
        <w:rPr>
          <w:rFonts w:cs="Arial"/>
          <w:color w:val="000000"/>
        </w:rPr>
        <w:t xml:space="preserve">el inventario </w:t>
      </w:r>
      <w:r>
        <w:rPr>
          <w:rFonts w:cs="Arial"/>
          <w:color w:val="000000"/>
        </w:rPr>
        <w:t>las siguientes unidades constructivas, ubicadas en la subestación Mirolindo</w:t>
      </w:r>
      <w:r w:rsidRPr="00BE43AD">
        <w:rPr>
          <w:rFonts w:cs="Arial"/>
          <w:color w:val="000000"/>
        </w:rPr>
        <w:t xml:space="preserve">: </w:t>
      </w:r>
    </w:p>
    <w:p w:rsidR="00D160BD" w:rsidRDefault="00D160BD" w:rsidP="00D160BD">
      <w:pPr>
        <w:rPr>
          <w:rFonts w:cs="Arial"/>
          <w:color w:val="000000"/>
        </w:rPr>
      </w:pPr>
    </w:p>
    <w:tbl>
      <w:tblPr>
        <w:tblStyle w:val="Tablaconcuadrcula"/>
        <w:tblW w:w="8886" w:type="dxa"/>
        <w:jc w:val="center"/>
        <w:tblInd w:w="99" w:type="dxa"/>
        <w:tblLook w:val="04A0" w:firstRow="1" w:lastRow="0" w:firstColumn="1" w:lastColumn="0" w:noHBand="0" w:noVBand="1"/>
      </w:tblPr>
      <w:tblGrid>
        <w:gridCol w:w="1174"/>
        <w:gridCol w:w="1161"/>
        <w:gridCol w:w="6551"/>
      </w:tblGrid>
      <w:tr w:rsidR="00D160BD" w:rsidRPr="000F195B" w:rsidTr="00D410D3">
        <w:trPr>
          <w:trHeight w:val="510"/>
          <w:jc w:val="center"/>
        </w:trPr>
        <w:tc>
          <w:tcPr>
            <w:tcW w:w="1174" w:type="dxa"/>
            <w:noWrap/>
            <w:vAlign w:val="center"/>
            <w:hideMark/>
          </w:tcPr>
          <w:p w:rsidR="00D160BD" w:rsidRPr="0051140A" w:rsidRDefault="00D160BD" w:rsidP="00D410D3">
            <w:pPr>
              <w:jc w:val="center"/>
              <w:rPr>
                <w:rFonts w:cs="Arial"/>
                <w:b/>
                <w:bCs/>
                <w:sz w:val="20"/>
                <w:szCs w:val="20"/>
                <w:lang w:val="es-CO" w:eastAsia="es-CO"/>
              </w:rPr>
            </w:pPr>
            <w:r w:rsidRPr="0051140A">
              <w:rPr>
                <w:rFonts w:cs="Arial"/>
                <w:b/>
                <w:bCs/>
                <w:sz w:val="20"/>
                <w:szCs w:val="20"/>
                <w:lang w:val="es-CO" w:eastAsia="es-CO"/>
              </w:rPr>
              <w:t>Cantidad</w:t>
            </w:r>
          </w:p>
        </w:tc>
        <w:tc>
          <w:tcPr>
            <w:tcW w:w="1161" w:type="dxa"/>
            <w:noWrap/>
            <w:vAlign w:val="center"/>
            <w:hideMark/>
          </w:tcPr>
          <w:p w:rsidR="00D160BD" w:rsidRPr="0051140A" w:rsidRDefault="00D160BD" w:rsidP="00D410D3">
            <w:pPr>
              <w:jc w:val="center"/>
              <w:rPr>
                <w:rFonts w:cs="Arial"/>
                <w:b/>
                <w:bCs/>
                <w:sz w:val="20"/>
                <w:szCs w:val="20"/>
                <w:lang w:val="es-CO" w:eastAsia="es-CO"/>
              </w:rPr>
            </w:pPr>
            <w:r w:rsidRPr="0051140A">
              <w:rPr>
                <w:rFonts w:cs="Arial"/>
                <w:b/>
                <w:bCs/>
                <w:sz w:val="20"/>
                <w:szCs w:val="20"/>
                <w:lang w:val="es-CO" w:eastAsia="es-CO"/>
              </w:rPr>
              <w:t>UC</w:t>
            </w:r>
          </w:p>
        </w:tc>
        <w:tc>
          <w:tcPr>
            <w:tcW w:w="6551" w:type="dxa"/>
            <w:noWrap/>
            <w:vAlign w:val="center"/>
            <w:hideMark/>
          </w:tcPr>
          <w:p w:rsidR="00D160BD" w:rsidRPr="0051140A" w:rsidRDefault="00D160BD" w:rsidP="00D410D3">
            <w:pPr>
              <w:jc w:val="center"/>
              <w:rPr>
                <w:rFonts w:cs="Arial"/>
                <w:b/>
                <w:bCs/>
                <w:sz w:val="20"/>
                <w:szCs w:val="20"/>
                <w:lang w:val="es-CO" w:eastAsia="es-CO"/>
              </w:rPr>
            </w:pPr>
            <w:r w:rsidRPr="0051140A">
              <w:rPr>
                <w:rFonts w:cs="Arial"/>
                <w:b/>
                <w:bCs/>
                <w:sz w:val="20"/>
                <w:szCs w:val="20"/>
                <w:lang w:val="es-CO" w:eastAsia="es-CO"/>
              </w:rPr>
              <w:t>Descripción</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N5S3</w:t>
            </w:r>
          </w:p>
        </w:tc>
        <w:tc>
          <w:tcPr>
            <w:tcW w:w="6551" w:type="dxa"/>
            <w:vAlign w:val="center"/>
            <w:hideMark/>
          </w:tcPr>
          <w:p w:rsidR="00D160BD" w:rsidRPr="000F195B" w:rsidRDefault="00D160BD" w:rsidP="00D410D3">
            <w:pPr>
              <w:tabs>
                <w:tab w:val="left" w:pos="1418"/>
                <w:tab w:val="left" w:pos="3126"/>
              </w:tabs>
              <w:jc w:val="left"/>
              <w:rPr>
                <w:rFonts w:cs="Arial"/>
                <w:sz w:val="20"/>
                <w:szCs w:val="20"/>
              </w:rPr>
            </w:pPr>
            <w:r w:rsidRPr="000F195B">
              <w:rPr>
                <w:rFonts w:cs="Arial"/>
                <w:sz w:val="20"/>
                <w:szCs w:val="20"/>
                <w:lang w:val="es-CO" w:eastAsia="es-CO"/>
              </w:rPr>
              <w:t>Bahía de transformador, barra principal y transferencia, 230 kV</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N4S8</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Bahía de transformador - configuración barra principal y transferencia - tipo convencional</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N2EQ37</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Transformador de puesta a tierra</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N4S19</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Protección diferencial de barras de una/dos/tres/cuatro zonas</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N4EQ4</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Unidad de calidad de potencia (PQ) CREG 024 de 2005</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N4EQ3</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Armario concentrador (Marshall in kiosk)</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3</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N4EQ2</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Transformador de tensión nivel 4</w:t>
            </w:r>
          </w:p>
        </w:tc>
      </w:tr>
      <w:tr w:rsidR="00D160BD" w:rsidRPr="000F195B" w:rsidTr="00D410D3">
        <w:trPr>
          <w:trHeight w:val="340"/>
          <w:jc w:val="center"/>
        </w:trPr>
        <w:tc>
          <w:tcPr>
            <w:tcW w:w="1174"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3</w:t>
            </w:r>
          </w:p>
        </w:tc>
        <w:tc>
          <w:tcPr>
            <w:tcW w:w="1161" w:type="dxa"/>
            <w:noWrap/>
            <w:vAlign w:val="center"/>
            <w:hideMark/>
          </w:tcPr>
          <w:p w:rsidR="00D160BD" w:rsidRPr="0051140A" w:rsidRDefault="00D160BD" w:rsidP="00D410D3">
            <w:pPr>
              <w:jc w:val="center"/>
              <w:rPr>
                <w:rFonts w:cs="Arial"/>
                <w:sz w:val="20"/>
                <w:szCs w:val="20"/>
                <w:lang w:val="es-CO" w:eastAsia="es-CO"/>
              </w:rPr>
            </w:pPr>
            <w:r w:rsidRPr="0051140A">
              <w:rPr>
                <w:rFonts w:cs="Arial"/>
                <w:sz w:val="20"/>
                <w:szCs w:val="20"/>
                <w:lang w:val="es-CO" w:eastAsia="es-CO"/>
              </w:rPr>
              <w:t>N5T13</w:t>
            </w:r>
          </w:p>
        </w:tc>
        <w:tc>
          <w:tcPr>
            <w:tcW w:w="6551" w:type="dxa"/>
            <w:vAlign w:val="center"/>
            <w:hideMark/>
          </w:tcPr>
          <w:p w:rsidR="00D160BD" w:rsidRPr="000F195B" w:rsidRDefault="00D160BD" w:rsidP="00D410D3">
            <w:pPr>
              <w:tabs>
                <w:tab w:val="left" w:pos="1418"/>
                <w:tab w:val="left" w:pos="1974"/>
                <w:tab w:val="left" w:pos="3126"/>
              </w:tabs>
              <w:jc w:val="left"/>
              <w:rPr>
                <w:rFonts w:cs="Arial"/>
                <w:sz w:val="20"/>
                <w:szCs w:val="20"/>
              </w:rPr>
            </w:pPr>
            <w:r w:rsidRPr="000F195B">
              <w:rPr>
                <w:rFonts w:cs="Arial"/>
                <w:sz w:val="20"/>
                <w:szCs w:val="20"/>
                <w:lang w:val="es-CO" w:eastAsia="es-CO"/>
              </w:rPr>
              <w:t>Autotransformador monofásico (OLTC) - conexión al STN - capacidad final de 41 a 50 MVA</w:t>
            </w:r>
          </w:p>
        </w:tc>
      </w:tr>
    </w:tbl>
    <w:p w:rsidR="00D160BD" w:rsidRPr="000F195B" w:rsidRDefault="00D160BD" w:rsidP="00D160BD">
      <w:pPr>
        <w:rPr>
          <w:rFonts w:cs="Arial"/>
          <w:color w:val="000000"/>
          <w:lang w:val="es-CO"/>
        </w:rPr>
      </w:pPr>
    </w:p>
    <w:p w:rsidR="00D160BD" w:rsidRPr="00FE2727" w:rsidRDefault="00D160BD" w:rsidP="00D160BD">
      <w:pPr>
        <w:rPr>
          <w:rFonts w:cs="Arial"/>
          <w:color w:val="000000"/>
        </w:rPr>
      </w:pPr>
      <w:r w:rsidRPr="00FE2727">
        <w:rPr>
          <w:rFonts w:cs="Arial"/>
          <w:color w:val="000000"/>
        </w:rPr>
        <w:t>Teniendo en cuenta lo expuesto, para el nivel de tensión 4 se obtienen las siguientes variables, expresadas en pesos de diciembre de 2007:</w:t>
      </w:r>
    </w:p>
    <w:p w:rsidR="00D160BD" w:rsidRPr="00FE2727" w:rsidRDefault="00D160BD" w:rsidP="00D160BD">
      <w:pPr>
        <w:rPr>
          <w:rFonts w:cs="Arial"/>
          <w:color w:val="000000"/>
        </w:rPr>
      </w:pPr>
    </w:p>
    <w:p w:rsidR="00D160BD" w:rsidRPr="00FE2727" w:rsidRDefault="00D160BD" w:rsidP="00D160BD">
      <w:pPr>
        <w:rPr>
          <w:rFonts w:cs="Arial"/>
          <w:color w:val="000000"/>
        </w:rPr>
      </w:pPr>
      <w:r w:rsidRPr="00FE2727">
        <w:rPr>
          <w:noProof/>
          <w:lang w:val="es-CO" w:eastAsia="es-CO"/>
        </w:rPr>
        <w:drawing>
          <wp:inline distT="0" distB="0" distL="0" distR="0" wp14:anchorId="33FA4382" wp14:editId="22FC97E9">
            <wp:extent cx="5875655"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5655" cy="552450"/>
                    </a:xfrm>
                    <a:prstGeom prst="rect">
                      <a:avLst/>
                    </a:prstGeom>
                    <a:noFill/>
                    <a:ln>
                      <a:noFill/>
                    </a:ln>
                  </pic:spPr>
                </pic:pic>
              </a:graphicData>
            </a:graphic>
          </wp:inline>
        </w:drawing>
      </w:r>
    </w:p>
    <w:p w:rsidR="00D160BD" w:rsidRPr="00FE2727" w:rsidRDefault="00D160BD" w:rsidP="00D160BD">
      <w:pPr>
        <w:rPr>
          <w:rFonts w:cs="Arial"/>
          <w:color w:val="000000"/>
        </w:rPr>
      </w:pPr>
    </w:p>
    <w:p w:rsidR="00D160BD" w:rsidRPr="00FE2727" w:rsidRDefault="00D160BD" w:rsidP="00D160BD">
      <w:pPr>
        <w:rPr>
          <w:rFonts w:cs="Arial"/>
          <w:color w:val="000000"/>
        </w:rPr>
      </w:pPr>
      <w:r w:rsidRPr="00FE2727">
        <w:rPr>
          <w:rFonts w:cs="Arial"/>
          <w:color w:val="000000"/>
        </w:rPr>
        <w:t xml:space="preserve">Con base en lo anterior, se modificará el Costo Anual por el Uso de los Activos de Nivel de Tensión 4 y el Costo de Reposición de la Inversión del Nivel de Tensión 4, como se muestra en el documento CREG </w:t>
      </w:r>
      <w:r w:rsidR="006C57E4" w:rsidRPr="006C57E4">
        <w:rPr>
          <w:rFonts w:cs="Arial"/>
        </w:rPr>
        <w:t>053</w:t>
      </w:r>
      <w:r w:rsidRPr="00C461B6">
        <w:rPr>
          <w:rFonts w:cs="Arial"/>
          <w:color w:val="FF0000"/>
        </w:rPr>
        <w:t xml:space="preserve"> </w:t>
      </w:r>
      <w:r w:rsidRPr="00FE2727">
        <w:rPr>
          <w:rFonts w:cs="Arial"/>
          <w:color w:val="000000"/>
        </w:rPr>
        <w:t>de 2011 y en la parte resolutiva de este acto.</w:t>
      </w:r>
    </w:p>
    <w:p w:rsidR="00D160BD" w:rsidRPr="00FE2727" w:rsidRDefault="00D160BD" w:rsidP="00D160BD">
      <w:pPr>
        <w:rPr>
          <w:rFonts w:cs="Arial"/>
          <w:color w:val="000000"/>
        </w:rPr>
      </w:pPr>
    </w:p>
    <w:p w:rsidR="00D160BD" w:rsidRDefault="00D160BD" w:rsidP="00D160BD">
      <w:pPr>
        <w:rPr>
          <w:rFonts w:cs="Arial"/>
          <w:color w:val="000000"/>
        </w:rPr>
      </w:pPr>
      <w:r>
        <w:rPr>
          <w:rFonts w:cs="Arial"/>
          <w:color w:val="000000"/>
        </w:rPr>
        <w:t>L</w:t>
      </w:r>
      <w:r w:rsidRPr="00DA225C">
        <w:rPr>
          <w:rFonts w:cs="Arial"/>
          <w:color w:val="000000"/>
        </w:rPr>
        <w:t>a Comisión, en Sesión No</w:t>
      </w:r>
      <w:r w:rsidR="006C57E4" w:rsidRPr="006C57E4">
        <w:rPr>
          <w:rFonts w:cs="Arial"/>
        </w:rPr>
        <w:t>. 486</w:t>
      </w:r>
      <w:r w:rsidRPr="006C57E4">
        <w:rPr>
          <w:rFonts w:cs="Arial"/>
        </w:rPr>
        <w:t xml:space="preserve"> del día </w:t>
      </w:r>
      <w:r w:rsidR="006C57E4" w:rsidRPr="006C57E4">
        <w:rPr>
          <w:rFonts w:cs="Arial"/>
        </w:rPr>
        <w:t>2</w:t>
      </w:r>
      <w:r w:rsidRPr="006C57E4">
        <w:rPr>
          <w:rFonts w:cs="Arial"/>
        </w:rPr>
        <w:t xml:space="preserve"> de </w:t>
      </w:r>
      <w:r w:rsidR="006C57E4" w:rsidRPr="006C57E4">
        <w:rPr>
          <w:rFonts w:cs="Arial"/>
        </w:rPr>
        <w:t>junio</w:t>
      </w:r>
      <w:r w:rsidRPr="006C57E4">
        <w:rPr>
          <w:rFonts w:cs="Arial"/>
        </w:rPr>
        <w:t xml:space="preserve"> de 2011</w:t>
      </w:r>
      <w:r w:rsidRPr="00DA225C">
        <w:rPr>
          <w:rFonts w:cs="Arial"/>
          <w:color w:val="000000"/>
        </w:rPr>
        <w:t>, acordó</w:t>
      </w:r>
      <w:r>
        <w:rPr>
          <w:rFonts w:cs="Arial"/>
          <w:color w:val="000000"/>
        </w:rPr>
        <w:t xml:space="preserve"> expedir la presente Resolución.</w:t>
      </w:r>
    </w:p>
    <w:p w:rsidR="00D160BD" w:rsidRPr="00DE53B8" w:rsidRDefault="00D160BD" w:rsidP="00D160BD">
      <w:pPr>
        <w:rPr>
          <w:rFonts w:cs="Arial"/>
          <w:color w:val="000000"/>
        </w:rPr>
      </w:pPr>
    </w:p>
    <w:p w:rsidR="00D160BD" w:rsidRPr="00DE53B8" w:rsidRDefault="00D160BD" w:rsidP="00D160BD">
      <w:pPr>
        <w:rPr>
          <w:rFonts w:cs="Arial"/>
          <w:color w:val="000000"/>
        </w:rPr>
      </w:pPr>
    </w:p>
    <w:p w:rsidR="00D160BD" w:rsidRPr="00DE53B8" w:rsidRDefault="00D160BD" w:rsidP="00D160BD">
      <w:pPr>
        <w:jc w:val="center"/>
        <w:rPr>
          <w:rFonts w:cs="Arial"/>
        </w:rPr>
      </w:pPr>
      <w:r w:rsidRPr="00DE53B8">
        <w:rPr>
          <w:rFonts w:cs="Arial"/>
          <w:b/>
          <w:spacing w:val="80"/>
        </w:rPr>
        <w:t>RESUELVE</w:t>
      </w:r>
      <w:r w:rsidRPr="00DE53B8">
        <w:rPr>
          <w:rFonts w:cs="Arial"/>
        </w:rPr>
        <w:t>:</w:t>
      </w:r>
    </w:p>
    <w:p w:rsidR="00D160BD" w:rsidRDefault="00D160BD" w:rsidP="00D160BD">
      <w:pPr>
        <w:jc w:val="left"/>
        <w:rPr>
          <w:bCs/>
          <w:lang w:val="es-CO"/>
        </w:rPr>
      </w:pPr>
    </w:p>
    <w:p w:rsidR="00D160BD" w:rsidRPr="00DE53B8" w:rsidRDefault="00D160BD" w:rsidP="00D160BD">
      <w:pPr>
        <w:jc w:val="left"/>
        <w:rPr>
          <w:bCs/>
          <w:lang w:val="es-CO"/>
        </w:rPr>
      </w:pPr>
    </w:p>
    <w:p w:rsidR="00D160BD" w:rsidRPr="00DE53B8" w:rsidRDefault="00D160BD" w:rsidP="00D160BD">
      <w:pPr>
        <w:pStyle w:val="Artculo"/>
        <w:ind w:left="0" w:firstLine="0"/>
        <w:rPr>
          <w:b w:val="0"/>
        </w:rPr>
      </w:pPr>
      <w:r w:rsidRPr="001115BB">
        <w:rPr>
          <w:b w:val="0"/>
        </w:rPr>
        <w:t>Modificar el Artículo 1 de la Resolución CREG 1</w:t>
      </w:r>
      <w:r>
        <w:rPr>
          <w:b w:val="0"/>
        </w:rPr>
        <w:t>12</w:t>
      </w:r>
      <w:r w:rsidRPr="001115BB">
        <w:rPr>
          <w:b w:val="0"/>
        </w:rPr>
        <w:t xml:space="preserve"> de 2009, </w:t>
      </w:r>
      <w:r>
        <w:rPr>
          <w:b w:val="0"/>
        </w:rPr>
        <w:t xml:space="preserve">modificado por la Resolución CREG 027 de 2010, </w:t>
      </w:r>
      <w:r w:rsidRPr="001115BB">
        <w:rPr>
          <w:b w:val="0"/>
        </w:rPr>
        <w:t>el cual queda así:</w:t>
      </w:r>
    </w:p>
    <w:p w:rsidR="00D160BD" w:rsidRPr="004549AD" w:rsidRDefault="00D160BD" w:rsidP="00D160BD">
      <w:pPr>
        <w:rPr>
          <w:rFonts w:cs="Arial"/>
          <w:spacing w:val="-3"/>
        </w:rPr>
      </w:pPr>
    </w:p>
    <w:p w:rsidR="00D160BD" w:rsidRDefault="00D160BD" w:rsidP="00D160BD">
      <w:pPr>
        <w:ind w:left="284" w:right="193"/>
      </w:pPr>
      <w:r>
        <w:rPr>
          <w:b/>
          <w:spacing w:val="-3"/>
        </w:rPr>
        <w:t>“</w:t>
      </w:r>
      <w:r w:rsidRPr="004549AD">
        <w:rPr>
          <w:b/>
          <w:spacing w:val="-3"/>
        </w:rPr>
        <w:t>Artículo 1.</w:t>
      </w:r>
      <w:r w:rsidRPr="004549AD">
        <w:rPr>
          <w:b/>
          <w:spacing w:val="-3"/>
        </w:rPr>
        <w:tab/>
      </w:r>
      <w:r w:rsidRPr="004549AD">
        <w:rPr>
          <w:b/>
        </w:rPr>
        <w:t>Costo Anual por el uso de los activos del Nivel de Tensión 4.</w:t>
      </w:r>
      <w:r w:rsidRPr="004549AD">
        <w:t xml:space="preserve"> El Costo Anual por el Uso de los Activos del Nivel de Tensión 4 operados por la </w:t>
      </w:r>
      <w:r>
        <w:rPr>
          <w:rFonts w:cs="Arial"/>
          <w:color w:val="000000"/>
        </w:rPr>
        <w:t>Compañía Energética del Tolima S.A. E.S.P.</w:t>
      </w:r>
      <w:r w:rsidRPr="004549AD">
        <w:t>, calculado en la forma establecida en la Resolución CREG 097 de 2008, es el siguiente:</w:t>
      </w:r>
    </w:p>
    <w:p w:rsidR="00D160BD" w:rsidRDefault="00D160BD" w:rsidP="00D160BD"/>
    <w:p w:rsidR="00D160BD" w:rsidRDefault="00D160BD" w:rsidP="00D160BD">
      <w:pPr>
        <w:jc w:val="center"/>
      </w:pPr>
      <w:r w:rsidRPr="00FE2727">
        <w:t xml:space="preserve"> </w:t>
      </w:r>
      <w:r w:rsidRPr="00FE2727">
        <w:rPr>
          <w:noProof/>
          <w:lang w:val="es-CO" w:eastAsia="es-CO"/>
        </w:rPr>
        <w:drawing>
          <wp:inline distT="0" distB="0" distL="0" distR="0" wp14:anchorId="4F5C9CA3" wp14:editId="2EF1EEA2">
            <wp:extent cx="3441700" cy="534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0" cy="534670"/>
                    </a:xfrm>
                    <a:prstGeom prst="rect">
                      <a:avLst/>
                    </a:prstGeom>
                    <a:noFill/>
                    <a:ln>
                      <a:noFill/>
                    </a:ln>
                  </pic:spPr>
                </pic:pic>
              </a:graphicData>
            </a:graphic>
          </wp:inline>
        </w:drawing>
      </w:r>
      <w:r>
        <w:t>”</w:t>
      </w:r>
    </w:p>
    <w:p w:rsidR="00D160BD" w:rsidRDefault="00D160BD" w:rsidP="00D160BD">
      <w:pPr>
        <w:pStyle w:val="Artculo"/>
        <w:ind w:left="0" w:firstLine="0"/>
        <w:rPr>
          <w:b w:val="0"/>
        </w:rPr>
      </w:pPr>
      <w:r w:rsidRPr="001115BB">
        <w:rPr>
          <w:b w:val="0"/>
        </w:rPr>
        <w:lastRenderedPageBreak/>
        <w:t xml:space="preserve">Modificar el Artículo 5 de la </w:t>
      </w:r>
      <w:r w:rsidRPr="00B97A0A">
        <w:rPr>
          <w:b w:val="0"/>
        </w:rPr>
        <w:t>Resolución CREG 112 de 2009, modificado por la Resolución CREG 027 de 2010,</w:t>
      </w:r>
      <w:r w:rsidRPr="001115BB">
        <w:rPr>
          <w:b w:val="0"/>
        </w:rPr>
        <w:t xml:space="preserve"> el cual queda así</w:t>
      </w:r>
      <w:r>
        <w:rPr>
          <w:b w:val="0"/>
        </w:rPr>
        <w:t>:</w:t>
      </w:r>
    </w:p>
    <w:p w:rsidR="00D160BD" w:rsidRDefault="00D160BD" w:rsidP="00D160BD">
      <w:pPr>
        <w:spacing w:before="240"/>
        <w:ind w:left="284" w:right="193"/>
      </w:pPr>
      <w:r>
        <w:rPr>
          <w:b/>
        </w:rPr>
        <w:t>“</w:t>
      </w:r>
      <w:r w:rsidRPr="004549AD">
        <w:rPr>
          <w:b/>
        </w:rPr>
        <w:t xml:space="preserve">Artículo 5. Costos de reposición de la inversión. </w:t>
      </w:r>
      <w:r w:rsidRPr="004549AD">
        <w:t>Los costos de reposición de la inversión de</w:t>
      </w:r>
      <w:r>
        <w:t xml:space="preserve"> la </w:t>
      </w:r>
      <w:r>
        <w:rPr>
          <w:rFonts w:cs="Arial"/>
          <w:color w:val="000000"/>
        </w:rPr>
        <w:t xml:space="preserve">Compañía Energética del Tolima </w:t>
      </w:r>
      <w:r w:rsidRPr="003A7B6B">
        <w:rPr>
          <w:rFonts w:cs="Arial"/>
          <w:color w:val="000000"/>
        </w:rPr>
        <w:t xml:space="preserve">S.A. E.S.P. </w:t>
      </w:r>
      <w:r w:rsidRPr="004549AD">
        <w:t>para cada nivel de tensión, calculados en la forma establecida en la Resolución CREG 097 de 2008, son los siguientes:</w:t>
      </w:r>
    </w:p>
    <w:p w:rsidR="00D160BD" w:rsidRDefault="00D160BD" w:rsidP="00D160BD">
      <w:pPr>
        <w:pStyle w:val="Artculo"/>
        <w:numPr>
          <w:ilvl w:val="0"/>
          <w:numId w:val="0"/>
        </w:numPr>
        <w:ind w:left="360" w:hanging="360"/>
        <w:rPr>
          <w:b w:val="0"/>
        </w:rPr>
      </w:pPr>
    </w:p>
    <w:p w:rsidR="00D160BD" w:rsidRDefault="00D160BD" w:rsidP="00D160BD">
      <w:pPr>
        <w:pStyle w:val="Artculo"/>
        <w:numPr>
          <w:ilvl w:val="0"/>
          <w:numId w:val="0"/>
        </w:numPr>
        <w:ind w:left="360" w:hanging="360"/>
        <w:jc w:val="center"/>
        <w:rPr>
          <w:b w:val="0"/>
        </w:rPr>
      </w:pPr>
      <w:r w:rsidRPr="00CC3B20">
        <w:t xml:space="preserve"> </w:t>
      </w:r>
      <w:r w:rsidRPr="00CC3B20">
        <w:rPr>
          <w:noProof/>
          <w:lang w:val="es-CO" w:eastAsia="es-CO"/>
        </w:rPr>
        <w:drawing>
          <wp:inline distT="0" distB="0" distL="0" distR="0" wp14:anchorId="125C9964" wp14:editId="05755152">
            <wp:extent cx="4270375" cy="110426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0375" cy="1104265"/>
                    </a:xfrm>
                    <a:prstGeom prst="rect">
                      <a:avLst/>
                    </a:prstGeom>
                    <a:noFill/>
                    <a:ln>
                      <a:noFill/>
                    </a:ln>
                  </pic:spPr>
                </pic:pic>
              </a:graphicData>
            </a:graphic>
          </wp:inline>
        </w:drawing>
      </w:r>
      <w:r>
        <w:rPr>
          <w:b w:val="0"/>
        </w:rPr>
        <w:t>”</w:t>
      </w:r>
    </w:p>
    <w:p w:rsidR="00D160BD" w:rsidRDefault="00D160BD" w:rsidP="00D160BD">
      <w:pPr>
        <w:pStyle w:val="Artculo"/>
        <w:numPr>
          <w:ilvl w:val="0"/>
          <w:numId w:val="0"/>
        </w:numPr>
        <w:rPr>
          <w:b w:val="0"/>
        </w:rPr>
      </w:pPr>
    </w:p>
    <w:p w:rsidR="00D160BD" w:rsidRPr="00DE53B8" w:rsidRDefault="00D160BD" w:rsidP="00D160BD">
      <w:pPr>
        <w:pStyle w:val="Artculo"/>
        <w:numPr>
          <w:ilvl w:val="0"/>
          <w:numId w:val="0"/>
        </w:numPr>
        <w:rPr>
          <w:b w:val="0"/>
        </w:rPr>
      </w:pPr>
    </w:p>
    <w:p w:rsidR="00D160BD" w:rsidRPr="00DE53B8" w:rsidRDefault="00D160BD" w:rsidP="00D160BD">
      <w:pPr>
        <w:pStyle w:val="Artculo"/>
        <w:ind w:left="0" w:firstLine="0"/>
        <w:rPr>
          <w:b w:val="0"/>
        </w:rPr>
      </w:pPr>
      <w:r w:rsidRPr="004B1D3E">
        <w:t>Recursos.</w:t>
      </w:r>
      <w:r>
        <w:rPr>
          <w:b w:val="0"/>
        </w:rPr>
        <w:t xml:space="preserve"> </w:t>
      </w:r>
      <w:r w:rsidRPr="00B97A0A">
        <w:rPr>
          <w:b w:val="0"/>
        </w:rPr>
        <w:t xml:space="preserve">La presente Resolución deberá notificarse a la </w:t>
      </w:r>
      <w:r w:rsidRPr="00B97A0A">
        <w:rPr>
          <w:b w:val="0"/>
          <w:color w:val="000000"/>
        </w:rPr>
        <w:t>Compañía Energética del Tolima S.A. E.S.P</w:t>
      </w:r>
      <w:r w:rsidR="000B4EB1">
        <w:rPr>
          <w:b w:val="0"/>
          <w:color w:val="000000"/>
        </w:rPr>
        <w:t>.</w:t>
      </w:r>
      <w:r w:rsidRPr="00B97A0A">
        <w:rPr>
          <w:b w:val="0"/>
          <w:color w:val="000000"/>
        </w:rPr>
        <w:t xml:space="preserve">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D160BD" w:rsidRPr="00DE53B8" w:rsidRDefault="00D160BD" w:rsidP="00D160BD"/>
    <w:p w:rsidR="00D160BD" w:rsidRPr="00DE53B8" w:rsidRDefault="00D160BD" w:rsidP="00D160BD">
      <w:pPr>
        <w:pStyle w:val="Artculo"/>
        <w:numPr>
          <w:ilvl w:val="0"/>
          <w:numId w:val="0"/>
        </w:numPr>
        <w:ind w:left="360" w:hanging="360"/>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D160BD" w:rsidRPr="00DE53B8" w:rsidRDefault="00D160BD" w:rsidP="00D160BD">
      <w:pPr>
        <w:rPr>
          <w:rFonts w:cs="Arial"/>
        </w:rPr>
      </w:pPr>
      <w:r w:rsidRPr="00DE53B8">
        <w:rPr>
          <w:rFonts w:cs="Arial"/>
        </w:rPr>
        <w:t>Dada en Bogotá, D.C. a los</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D160BD" w:rsidRPr="00DE53B8" w:rsidTr="00D410D3">
        <w:trPr>
          <w:trHeight w:val="329"/>
          <w:jc w:val="center"/>
        </w:trPr>
        <w:tc>
          <w:tcPr>
            <w:tcW w:w="4962" w:type="dxa"/>
            <w:vAlign w:val="center"/>
          </w:tcPr>
          <w:p w:rsidR="00D160BD" w:rsidRPr="00DE53B8" w:rsidRDefault="00D160BD" w:rsidP="00D410D3">
            <w:pPr>
              <w:jc w:val="center"/>
              <w:rPr>
                <w:rFonts w:cs="Arial"/>
                <w:b/>
                <w:spacing w:val="-3"/>
              </w:rPr>
            </w:pPr>
            <w:r w:rsidRPr="00DE53B8">
              <w:rPr>
                <w:rFonts w:cs="Arial"/>
                <w:b/>
                <w:spacing w:val="-3"/>
              </w:rPr>
              <w:t>TOMÁS GONZÁLEZ ESTRADA</w:t>
            </w:r>
          </w:p>
        </w:tc>
        <w:tc>
          <w:tcPr>
            <w:tcW w:w="4347" w:type="dxa"/>
            <w:vAlign w:val="center"/>
          </w:tcPr>
          <w:p w:rsidR="00D160BD" w:rsidRPr="00DE53B8" w:rsidRDefault="00D160BD" w:rsidP="00D410D3">
            <w:pPr>
              <w:tabs>
                <w:tab w:val="left" w:pos="-720"/>
              </w:tabs>
              <w:jc w:val="center"/>
              <w:rPr>
                <w:rFonts w:cs="Arial"/>
                <w:b/>
                <w:spacing w:val="-3"/>
              </w:rPr>
            </w:pPr>
            <w:r w:rsidRPr="00DE53B8">
              <w:rPr>
                <w:rFonts w:cs="Arial"/>
                <w:b/>
                <w:spacing w:val="-3"/>
              </w:rPr>
              <w:t>JAVIER AUGUSTO DÍAZ VELASCO</w:t>
            </w:r>
          </w:p>
        </w:tc>
      </w:tr>
      <w:tr w:rsidR="00D160BD" w:rsidRPr="00DE53B8" w:rsidTr="00D410D3">
        <w:trPr>
          <w:trHeight w:val="329"/>
          <w:jc w:val="center"/>
        </w:trPr>
        <w:tc>
          <w:tcPr>
            <w:tcW w:w="4962" w:type="dxa"/>
            <w:vAlign w:val="center"/>
          </w:tcPr>
          <w:p w:rsidR="00D160BD" w:rsidRPr="00DE53B8" w:rsidRDefault="00D160BD" w:rsidP="00D410D3">
            <w:pPr>
              <w:jc w:val="center"/>
              <w:rPr>
                <w:rFonts w:cs="Arial"/>
                <w:spacing w:val="-3"/>
              </w:rPr>
            </w:pPr>
            <w:r w:rsidRPr="00DE53B8">
              <w:rPr>
                <w:rFonts w:cs="Arial"/>
                <w:spacing w:val="-3"/>
              </w:rPr>
              <w:t>Viceministro de Minas y Energía</w:t>
            </w:r>
          </w:p>
        </w:tc>
        <w:tc>
          <w:tcPr>
            <w:tcW w:w="4347" w:type="dxa"/>
            <w:vAlign w:val="center"/>
          </w:tcPr>
          <w:p w:rsidR="00D160BD" w:rsidRPr="00DE53B8" w:rsidRDefault="00D160BD" w:rsidP="00D410D3">
            <w:pPr>
              <w:tabs>
                <w:tab w:val="left" w:pos="-720"/>
              </w:tabs>
              <w:jc w:val="center"/>
              <w:rPr>
                <w:rFonts w:cs="Arial"/>
                <w:spacing w:val="-3"/>
              </w:rPr>
            </w:pPr>
            <w:r w:rsidRPr="00DE53B8">
              <w:rPr>
                <w:rFonts w:cs="Arial"/>
                <w:spacing w:val="-3"/>
              </w:rPr>
              <w:t>Director Ejecutivo</w:t>
            </w:r>
          </w:p>
        </w:tc>
      </w:tr>
      <w:tr w:rsidR="00D160BD" w:rsidRPr="00DE53B8" w:rsidTr="00D410D3">
        <w:trPr>
          <w:trHeight w:val="329"/>
          <w:jc w:val="center"/>
        </w:trPr>
        <w:tc>
          <w:tcPr>
            <w:tcW w:w="4962" w:type="dxa"/>
            <w:vAlign w:val="center"/>
          </w:tcPr>
          <w:p w:rsidR="00D160BD" w:rsidRPr="00DE53B8" w:rsidRDefault="00D160BD" w:rsidP="00D410D3">
            <w:pPr>
              <w:jc w:val="center"/>
              <w:rPr>
                <w:rFonts w:cs="Arial"/>
                <w:spacing w:val="-3"/>
              </w:rPr>
            </w:pPr>
            <w:r w:rsidRPr="00DE53B8">
              <w:rPr>
                <w:rFonts w:cs="Arial"/>
                <w:spacing w:val="-3"/>
              </w:rPr>
              <w:t>Delegado del Ministro de Minas y Energía</w:t>
            </w:r>
          </w:p>
          <w:p w:rsidR="00D160BD" w:rsidRPr="00DE53B8" w:rsidRDefault="00D160BD" w:rsidP="00D410D3">
            <w:pPr>
              <w:jc w:val="center"/>
              <w:rPr>
                <w:rFonts w:cs="Arial"/>
                <w:spacing w:val="-3"/>
              </w:rPr>
            </w:pPr>
            <w:r w:rsidRPr="00DE53B8">
              <w:rPr>
                <w:rFonts w:cs="Arial"/>
                <w:spacing w:val="-3"/>
              </w:rPr>
              <w:t>Presidente</w:t>
            </w:r>
          </w:p>
        </w:tc>
        <w:tc>
          <w:tcPr>
            <w:tcW w:w="4347" w:type="dxa"/>
            <w:vAlign w:val="center"/>
          </w:tcPr>
          <w:p w:rsidR="00D160BD" w:rsidRPr="00DE53B8" w:rsidRDefault="00D160BD" w:rsidP="00D410D3">
            <w:pPr>
              <w:tabs>
                <w:tab w:val="left" w:pos="-720"/>
              </w:tabs>
              <w:jc w:val="center"/>
              <w:rPr>
                <w:rFonts w:cs="Arial"/>
                <w:b/>
                <w:spacing w:val="-3"/>
              </w:rPr>
            </w:pPr>
          </w:p>
        </w:tc>
      </w:tr>
    </w:tbl>
    <w:p w:rsidR="00D160BD" w:rsidRDefault="00D160BD" w:rsidP="00D160BD">
      <w:pPr>
        <w:jc w:val="left"/>
        <w:rPr>
          <w:bCs/>
          <w:lang w:val="es-CO"/>
        </w:rPr>
      </w:pPr>
    </w:p>
    <w:p w:rsidR="00EC7BBA" w:rsidRDefault="00EC7BBA" w:rsidP="00D160BD">
      <w:pPr>
        <w:rPr>
          <w:bCs/>
          <w:lang w:val="es-CO"/>
        </w:rPr>
      </w:pPr>
    </w:p>
    <w:sectPr w:rsidR="00EC7B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0F" w:rsidRDefault="00032C0F">
      <w:r>
        <w:separator/>
      </w:r>
    </w:p>
  </w:endnote>
  <w:endnote w:type="continuationSeparator" w:id="0">
    <w:p w:rsidR="00032C0F" w:rsidRDefault="0003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0F" w:rsidRDefault="00032C0F">
      <w:r>
        <w:separator/>
      </w:r>
    </w:p>
  </w:footnote>
  <w:footnote w:type="continuationSeparator" w:id="0">
    <w:p w:rsidR="00032C0F" w:rsidRDefault="0003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2C2EB9">
      <w:rPr>
        <w:noProof/>
      </w:rPr>
      <w:t>4</w:t>
    </w:r>
    <w:r w:rsidR="002C6A9B">
      <w:rPr>
        <w:noProof/>
      </w:rPr>
      <w:fldChar w:fldCharType="end"/>
    </w:r>
    <w:r w:rsidRPr="00654384">
      <w:t>/</w:t>
    </w:r>
    <w:fldSimple w:instr=" NUMPAGES  \* MERGEFORMAT ">
      <w:r w:rsidR="002C2EB9">
        <w:rPr>
          <w:noProof/>
        </w:rPr>
        <w:t>4</w:t>
      </w:r>
    </w:fldSimple>
  </w:p>
  <w:p w:rsidR="00032C0F" w:rsidRDefault="002C2EB9"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1A605E" w:rsidRDefault="00032C0F" w:rsidP="00934E08">
    <w:pPr>
      <w:tabs>
        <w:tab w:val="left" w:pos="-851"/>
        <w:tab w:val="left" w:pos="-720"/>
        <w:tab w:val="left" w:pos="-567"/>
      </w:tabs>
      <w:rPr>
        <w:rFonts w:cs="Arial"/>
        <w:spacing w:val="-3"/>
        <w:sz w:val="22"/>
        <w:szCs w:val="22"/>
      </w:rPr>
    </w:pPr>
    <w:r w:rsidRPr="00112C91">
      <w:rPr>
        <w:rFonts w:cs="Arial"/>
        <w:spacing w:val="-3"/>
        <w:sz w:val="22"/>
        <w:szCs w:val="22"/>
      </w:rPr>
      <w:t>Por la cual se actualiza el Costo Anual por el uso de los Activos del Nivel de Tensión 4 operados por la Compañía Energética del Tolima S.A. E.S.P. en el Sistema de Transmisión Regional (STR)</w:t>
    </w:r>
    <w:r w:rsidRPr="001A605E">
      <w:rPr>
        <w:rFonts w:cs="Arial"/>
        <w:spacing w:val="-3"/>
        <w:sz w:val="22"/>
        <w:szCs w:val="22"/>
      </w:rPr>
      <w:t>.</w:t>
    </w:r>
  </w:p>
  <w:p w:rsidR="00032C0F" w:rsidRPr="00DF40E1" w:rsidRDefault="00032C0F" w:rsidP="00341540">
    <w:pPr>
      <w:pBdr>
        <w:bottom w:val="single" w:sz="4" w:space="1" w:color="auto"/>
      </w:pBdr>
      <w:tabs>
        <w:tab w:val="left" w:pos="-851"/>
        <w:tab w:val="left" w:pos="-720"/>
        <w:tab w:val="left" w:pos="-567"/>
      </w:tabs>
      <w:rPr>
        <w:rFonts w:cs="Arial"/>
        <w:spacing w:val="-3"/>
        <w:sz w:val="16"/>
        <w:szCs w:val="22"/>
      </w:rPr>
    </w:pPr>
  </w:p>
  <w:p w:rsidR="00032C0F" w:rsidRPr="00DF40E1" w:rsidRDefault="00032C0F"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2C2EB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1">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0"/>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19"/>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1"/>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120"/>
  <w:displayHorizont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3C5E"/>
    <w:rsid w:val="00052ED2"/>
    <w:rsid w:val="0005390B"/>
    <w:rsid w:val="00057118"/>
    <w:rsid w:val="00063657"/>
    <w:rsid w:val="0006438C"/>
    <w:rsid w:val="00070CA9"/>
    <w:rsid w:val="00076680"/>
    <w:rsid w:val="00077C46"/>
    <w:rsid w:val="0008073E"/>
    <w:rsid w:val="000813E1"/>
    <w:rsid w:val="00091CDB"/>
    <w:rsid w:val="0009527B"/>
    <w:rsid w:val="00096A9C"/>
    <w:rsid w:val="000A19AC"/>
    <w:rsid w:val="000A3D48"/>
    <w:rsid w:val="000A532F"/>
    <w:rsid w:val="000A75B4"/>
    <w:rsid w:val="000B4EB1"/>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15BB"/>
    <w:rsid w:val="00112C91"/>
    <w:rsid w:val="00113281"/>
    <w:rsid w:val="0012332D"/>
    <w:rsid w:val="001264D6"/>
    <w:rsid w:val="0013272E"/>
    <w:rsid w:val="001405C6"/>
    <w:rsid w:val="00140B61"/>
    <w:rsid w:val="00141013"/>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57D8"/>
    <w:rsid w:val="00201132"/>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77CA"/>
    <w:rsid w:val="002B11E2"/>
    <w:rsid w:val="002B24B8"/>
    <w:rsid w:val="002B54AB"/>
    <w:rsid w:val="002C2EB9"/>
    <w:rsid w:val="002C2EF2"/>
    <w:rsid w:val="002C2FC7"/>
    <w:rsid w:val="002C6A9B"/>
    <w:rsid w:val="002C6D5B"/>
    <w:rsid w:val="002D26E5"/>
    <w:rsid w:val="002D3AE9"/>
    <w:rsid w:val="002D732C"/>
    <w:rsid w:val="002E2E97"/>
    <w:rsid w:val="002E7458"/>
    <w:rsid w:val="002E7AF8"/>
    <w:rsid w:val="002F0734"/>
    <w:rsid w:val="002F46E7"/>
    <w:rsid w:val="002F5392"/>
    <w:rsid w:val="002F5FEA"/>
    <w:rsid w:val="002F6AD5"/>
    <w:rsid w:val="003101DA"/>
    <w:rsid w:val="00314757"/>
    <w:rsid w:val="003211CE"/>
    <w:rsid w:val="00321AD1"/>
    <w:rsid w:val="003309AB"/>
    <w:rsid w:val="00336526"/>
    <w:rsid w:val="00341540"/>
    <w:rsid w:val="00343A7B"/>
    <w:rsid w:val="0035403A"/>
    <w:rsid w:val="003542CD"/>
    <w:rsid w:val="003565E6"/>
    <w:rsid w:val="0036394B"/>
    <w:rsid w:val="003709B5"/>
    <w:rsid w:val="003759C2"/>
    <w:rsid w:val="003826FA"/>
    <w:rsid w:val="00382D23"/>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6E9A"/>
    <w:rsid w:val="00402B5C"/>
    <w:rsid w:val="004030EE"/>
    <w:rsid w:val="00403F0E"/>
    <w:rsid w:val="00413A60"/>
    <w:rsid w:val="00414D91"/>
    <w:rsid w:val="00415BAB"/>
    <w:rsid w:val="00415ED2"/>
    <w:rsid w:val="00416F4F"/>
    <w:rsid w:val="0042068C"/>
    <w:rsid w:val="00424BD7"/>
    <w:rsid w:val="00431503"/>
    <w:rsid w:val="00435E51"/>
    <w:rsid w:val="00437A27"/>
    <w:rsid w:val="00446E84"/>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C68AC"/>
    <w:rsid w:val="004D7634"/>
    <w:rsid w:val="004E1FCC"/>
    <w:rsid w:val="004E7FF7"/>
    <w:rsid w:val="004F6D80"/>
    <w:rsid w:val="00501938"/>
    <w:rsid w:val="00515AAC"/>
    <w:rsid w:val="005300D3"/>
    <w:rsid w:val="00544F82"/>
    <w:rsid w:val="0054530F"/>
    <w:rsid w:val="00546974"/>
    <w:rsid w:val="00550373"/>
    <w:rsid w:val="00551CE8"/>
    <w:rsid w:val="00553553"/>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C0F38"/>
    <w:rsid w:val="005C19CC"/>
    <w:rsid w:val="005C5DFC"/>
    <w:rsid w:val="00621E73"/>
    <w:rsid w:val="00625DC6"/>
    <w:rsid w:val="00632500"/>
    <w:rsid w:val="00651821"/>
    <w:rsid w:val="00654384"/>
    <w:rsid w:val="00660F3C"/>
    <w:rsid w:val="00664E94"/>
    <w:rsid w:val="006675CD"/>
    <w:rsid w:val="00674CDC"/>
    <w:rsid w:val="00684D9B"/>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56AD"/>
    <w:rsid w:val="006F1BBE"/>
    <w:rsid w:val="006F6D95"/>
    <w:rsid w:val="00701ACB"/>
    <w:rsid w:val="00706F13"/>
    <w:rsid w:val="007072E8"/>
    <w:rsid w:val="00713159"/>
    <w:rsid w:val="0071618D"/>
    <w:rsid w:val="00716318"/>
    <w:rsid w:val="00717DD5"/>
    <w:rsid w:val="0072380F"/>
    <w:rsid w:val="00725FA4"/>
    <w:rsid w:val="0073443E"/>
    <w:rsid w:val="007354A4"/>
    <w:rsid w:val="00740446"/>
    <w:rsid w:val="007438A9"/>
    <w:rsid w:val="0074491E"/>
    <w:rsid w:val="007571D6"/>
    <w:rsid w:val="00765F68"/>
    <w:rsid w:val="00766F89"/>
    <w:rsid w:val="00767652"/>
    <w:rsid w:val="00775964"/>
    <w:rsid w:val="00776257"/>
    <w:rsid w:val="00776376"/>
    <w:rsid w:val="00780870"/>
    <w:rsid w:val="0078136C"/>
    <w:rsid w:val="007918F6"/>
    <w:rsid w:val="00795BFB"/>
    <w:rsid w:val="007A6BB5"/>
    <w:rsid w:val="007B2760"/>
    <w:rsid w:val="007B4F8C"/>
    <w:rsid w:val="007B7B7A"/>
    <w:rsid w:val="007C0224"/>
    <w:rsid w:val="007C38DD"/>
    <w:rsid w:val="007E0CAD"/>
    <w:rsid w:val="007E6E52"/>
    <w:rsid w:val="007F3525"/>
    <w:rsid w:val="007F4339"/>
    <w:rsid w:val="007F5241"/>
    <w:rsid w:val="008002A1"/>
    <w:rsid w:val="00806C01"/>
    <w:rsid w:val="00810E7B"/>
    <w:rsid w:val="008112B1"/>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73150"/>
    <w:rsid w:val="00875E17"/>
    <w:rsid w:val="0087657D"/>
    <w:rsid w:val="008803A1"/>
    <w:rsid w:val="008807D5"/>
    <w:rsid w:val="00880832"/>
    <w:rsid w:val="00886EE1"/>
    <w:rsid w:val="0088727D"/>
    <w:rsid w:val="00891130"/>
    <w:rsid w:val="00892684"/>
    <w:rsid w:val="00897C75"/>
    <w:rsid w:val="008A5CED"/>
    <w:rsid w:val="008A7457"/>
    <w:rsid w:val="008C1130"/>
    <w:rsid w:val="008C1CFA"/>
    <w:rsid w:val="008D0A20"/>
    <w:rsid w:val="008D18E6"/>
    <w:rsid w:val="008D7A9B"/>
    <w:rsid w:val="008E76AC"/>
    <w:rsid w:val="008F21F6"/>
    <w:rsid w:val="008F6530"/>
    <w:rsid w:val="00900465"/>
    <w:rsid w:val="009065D7"/>
    <w:rsid w:val="0090780F"/>
    <w:rsid w:val="009115EA"/>
    <w:rsid w:val="00911BEF"/>
    <w:rsid w:val="00911FBC"/>
    <w:rsid w:val="009137C4"/>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A0C26"/>
    <w:rsid w:val="009A1782"/>
    <w:rsid w:val="009D4900"/>
    <w:rsid w:val="009D507F"/>
    <w:rsid w:val="009E3EB5"/>
    <w:rsid w:val="009E480B"/>
    <w:rsid w:val="009E4D64"/>
    <w:rsid w:val="009E6CF7"/>
    <w:rsid w:val="009F4A54"/>
    <w:rsid w:val="009F4BEC"/>
    <w:rsid w:val="009F5BFE"/>
    <w:rsid w:val="009F5D1F"/>
    <w:rsid w:val="00A02A71"/>
    <w:rsid w:val="00A04597"/>
    <w:rsid w:val="00A12BAF"/>
    <w:rsid w:val="00A25B4A"/>
    <w:rsid w:val="00A25FD7"/>
    <w:rsid w:val="00A36E12"/>
    <w:rsid w:val="00A40A79"/>
    <w:rsid w:val="00A43AFF"/>
    <w:rsid w:val="00A441E9"/>
    <w:rsid w:val="00A466BC"/>
    <w:rsid w:val="00A55A9E"/>
    <w:rsid w:val="00A606AA"/>
    <w:rsid w:val="00A70F06"/>
    <w:rsid w:val="00A7793A"/>
    <w:rsid w:val="00A80287"/>
    <w:rsid w:val="00A818AC"/>
    <w:rsid w:val="00A8650D"/>
    <w:rsid w:val="00A908AC"/>
    <w:rsid w:val="00A94C83"/>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C38FD"/>
    <w:rsid w:val="00BC709E"/>
    <w:rsid w:val="00BD5C61"/>
    <w:rsid w:val="00BE43AD"/>
    <w:rsid w:val="00BF2AEA"/>
    <w:rsid w:val="00C034CB"/>
    <w:rsid w:val="00C051A8"/>
    <w:rsid w:val="00C054BC"/>
    <w:rsid w:val="00C055B9"/>
    <w:rsid w:val="00C17897"/>
    <w:rsid w:val="00C30C8F"/>
    <w:rsid w:val="00C35B46"/>
    <w:rsid w:val="00C362FB"/>
    <w:rsid w:val="00C40072"/>
    <w:rsid w:val="00C40279"/>
    <w:rsid w:val="00C409D5"/>
    <w:rsid w:val="00C427C5"/>
    <w:rsid w:val="00C4558E"/>
    <w:rsid w:val="00C461B6"/>
    <w:rsid w:val="00C5380E"/>
    <w:rsid w:val="00C54013"/>
    <w:rsid w:val="00C6234B"/>
    <w:rsid w:val="00C63EAE"/>
    <w:rsid w:val="00C7096A"/>
    <w:rsid w:val="00C7629F"/>
    <w:rsid w:val="00C8661B"/>
    <w:rsid w:val="00CA139A"/>
    <w:rsid w:val="00CA2899"/>
    <w:rsid w:val="00CA77FB"/>
    <w:rsid w:val="00CB149F"/>
    <w:rsid w:val="00CB379B"/>
    <w:rsid w:val="00CB4B5E"/>
    <w:rsid w:val="00CB5DD0"/>
    <w:rsid w:val="00CC031B"/>
    <w:rsid w:val="00CC51D4"/>
    <w:rsid w:val="00CC5AFD"/>
    <w:rsid w:val="00CC65DA"/>
    <w:rsid w:val="00CD002C"/>
    <w:rsid w:val="00CE4C66"/>
    <w:rsid w:val="00CE742A"/>
    <w:rsid w:val="00CF21B9"/>
    <w:rsid w:val="00CF4B84"/>
    <w:rsid w:val="00CF6BF9"/>
    <w:rsid w:val="00D01388"/>
    <w:rsid w:val="00D02CA4"/>
    <w:rsid w:val="00D03800"/>
    <w:rsid w:val="00D065D3"/>
    <w:rsid w:val="00D14C94"/>
    <w:rsid w:val="00D160BD"/>
    <w:rsid w:val="00D21071"/>
    <w:rsid w:val="00D2342A"/>
    <w:rsid w:val="00D342A6"/>
    <w:rsid w:val="00D45184"/>
    <w:rsid w:val="00D464BF"/>
    <w:rsid w:val="00D53E26"/>
    <w:rsid w:val="00D56930"/>
    <w:rsid w:val="00D749EF"/>
    <w:rsid w:val="00D77097"/>
    <w:rsid w:val="00D77F9F"/>
    <w:rsid w:val="00DA225C"/>
    <w:rsid w:val="00DA294E"/>
    <w:rsid w:val="00DB4FE2"/>
    <w:rsid w:val="00DC7BD4"/>
    <w:rsid w:val="00DD4F0E"/>
    <w:rsid w:val="00DD6645"/>
    <w:rsid w:val="00DE3F7C"/>
    <w:rsid w:val="00DE53B8"/>
    <w:rsid w:val="00DE62E3"/>
    <w:rsid w:val="00DF11ED"/>
    <w:rsid w:val="00DF24F7"/>
    <w:rsid w:val="00DF40E1"/>
    <w:rsid w:val="00DF40E2"/>
    <w:rsid w:val="00DF78E8"/>
    <w:rsid w:val="00E02D66"/>
    <w:rsid w:val="00E05E0A"/>
    <w:rsid w:val="00E16FA0"/>
    <w:rsid w:val="00E213CE"/>
    <w:rsid w:val="00E26585"/>
    <w:rsid w:val="00E32726"/>
    <w:rsid w:val="00E41E7D"/>
    <w:rsid w:val="00E42045"/>
    <w:rsid w:val="00E5184F"/>
    <w:rsid w:val="00E534CF"/>
    <w:rsid w:val="00E5689C"/>
    <w:rsid w:val="00E638DD"/>
    <w:rsid w:val="00E6564C"/>
    <w:rsid w:val="00E7418C"/>
    <w:rsid w:val="00E81CB4"/>
    <w:rsid w:val="00E8585B"/>
    <w:rsid w:val="00EA30B5"/>
    <w:rsid w:val="00EA3F15"/>
    <w:rsid w:val="00EA460D"/>
    <w:rsid w:val="00EA7847"/>
    <w:rsid w:val="00EC1C6F"/>
    <w:rsid w:val="00EC2904"/>
    <w:rsid w:val="00EC75CB"/>
    <w:rsid w:val="00EC7BBA"/>
    <w:rsid w:val="00ED3149"/>
    <w:rsid w:val="00ED7FDF"/>
    <w:rsid w:val="00EE2E6E"/>
    <w:rsid w:val="00EE4140"/>
    <w:rsid w:val="00F03968"/>
    <w:rsid w:val="00F0759E"/>
    <w:rsid w:val="00F11C4C"/>
    <w:rsid w:val="00F27942"/>
    <w:rsid w:val="00F379EF"/>
    <w:rsid w:val="00F50B3D"/>
    <w:rsid w:val="00F64922"/>
    <w:rsid w:val="00F665DA"/>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4E0A-6110-465C-B4C0-CC82A1CF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2011-06-08T19:04:00Z</cp:lastPrinted>
  <dcterms:created xsi:type="dcterms:W3CDTF">2011-06-14T19:37:00Z</dcterms:created>
  <dcterms:modified xsi:type="dcterms:W3CDTF">2011-06-14T19:37:00Z</dcterms:modified>
</cp:coreProperties>
</file>