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79" w:rsidRPr="00EF4769" w:rsidRDefault="00B95B06" w:rsidP="00EC2ABD">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12224999" r:id="rId10"/>
        </w:pict>
      </w:r>
    </w:p>
    <w:p w:rsidR="00445D79" w:rsidRPr="00EF4769" w:rsidRDefault="00445D79" w:rsidP="00EC2ABD">
      <w:pPr>
        <w:pStyle w:val="Encabezado"/>
        <w:tabs>
          <w:tab w:val="clear" w:pos="8504"/>
          <w:tab w:val="left" w:pos="0"/>
          <w:tab w:val="right" w:pos="9356"/>
        </w:tabs>
        <w:ind w:left="0"/>
        <w:jc w:val="both"/>
        <w:rPr>
          <w:rFonts w:ascii="Bookman Old Style" w:hAnsi="Bookman Old Style"/>
          <w:szCs w:val="24"/>
        </w:rPr>
      </w:pPr>
    </w:p>
    <w:p w:rsidR="00445D79" w:rsidRPr="00EF4769" w:rsidRDefault="00445D79" w:rsidP="00EC2ABD">
      <w:pPr>
        <w:pStyle w:val="Ttulo4"/>
        <w:tabs>
          <w:tab w:val="left" w:pos="0"/>
          <w:tab w:val="right" w:pos="9356"/>
        </w:tabs>
        <w:ind w:left="0"/>
        <w:rPr>
          <w:rFonts w:ascii="Bookman Old Style" w:hAnsi="Bookman Old Style"/>
          <w:b w:val="0"/>
          <w:bCs/>
          <w:noProof/>
          <w:sz w:val="24"/>
          <w:szCs w:val="24"/>
          <w:lang w:val="es-ES"/>
        </w:rPr>
      </w:pPr>
      <w:r w:rsidRPr="00EF4769">
        <w:rPr>
          <w:rFonts w:ascii="Bookman Old Style" w:hAnsi="Bookman Old Style"/>
          <w:b w:val="0"/>
          <w:bCs/>
          <w:sz w:val="24"/>
          <w:szCs w:val="24"/>
        </w:rPr>
        <w:t>Ministerio de Minas y Energía</w:t>
      </w:r>
    </w:p>
    <w:p w:rsidR="00445D79" w:rsidRPr="00EF4769" w:rsidRDefault="00445D79" w:rsidP="00EC2ABD">
      <w:pPr>
        <w:pStyle w:val="Ttulo4"/>
        <w:tabs>
          <w:tab w:val="left" w:pos="0"/>
          <w:tab w:val="right" w:pos="9356"/>
        </w:tabs>
        <w:ind w:left="0"/>
        <w:rPr>
          <w:rFonts w:ascii="Bookman Old Style" w:hAnsi="Bookman Old Style"/>
          <w:b w:val="0"/>
          <w:bCs/>
          <w:sz w:val="24"/>
          <w:szCs w:val="24"/>
        </w:rPr>
      </w:pPr>
    </w:p>
    <w:p w:rsidR="00445D79" w:rsidRPr="00EF4769" w:rsidRDefault="00445D79" w:rsidP="00EC2ABD">
      <w:pPr>
        <w:pStyle w:val="Ttulo3"/>
        <w:tabs>
          <w:tab w:val="left" w:pos="0"/>
          <w:tab w:val="right" w:pos="9356"/>
        </w:tabs>
        <w:ind w:left="0"/>
        <w:rPr>
          <w:rFonts w:ascii="Bookman Old Style" w:hAnsi="Bookman Old Style" w:cs="Arial"/>
          <w:spacing w:val="20"/>
          <w:szCs w:val="24"/>
        </w:rPr>
      </w:pPr>
      <w:r w:rsidRPr="00EF4769">
        <w:rPr>
          <w:rFonts w:ascii="Bookman Old Style" w:hAnsi="Bookman Old Style" w:cs="Arial"/>
          <w:spacing w:val="20"/>
          <w:szCs w:val="24"/>
        </w:rPr>
        <w:t>COMISIÓN DE REGULACIÓN DE ENERGÍA Y GAS</w:t>
      </w: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r w:rsidRPr="00EF4769">
        <w:rPr>
          <w:rFonts w:ascii="Bookman Old Style" w:hAnsi="Bookman Old Style"/>
          <w:sz w:val="24"/>
          <w:szCs w:val="24"/>
        </w:rPr>
        <w:t xml:space="preserve">RESOLUCIÓN No.                   </w:t>
      </w:r>
      <w:r w:rsidR="000929C4">
        <w:rPr>
          <w:rFonts w:ascii="Bookman Old Style" w:hAnsi="Bookman Old Style"/>
          <w:sz w:val="24"/>
          <w:szCs w:val="24"/>
        </w:rPr>
        <w:t>DE 2015</w:t>
      </w:r>
    </w:p>
    <w:p w:rsidR="00445D79" w:rsidRPr="00EF4769" w:rsidRDefault="00445D79" w:rsidP="00EC2ABD">
      <w:pPr>
        <w:tabs>
          <w:tab w:val="left" w:pos="0"/>
          <w:tab w:val="right" w:pos="9356"/>
        </w:tabs>
        <w:ind w:left="0"/>
        <w:jc w:val="center"/>
        <w:rPr>
          <w:rFonts w:ascii="Bookman Old Style" w:hAnsi="Bookman Old Style" w:cs="Arial"/>
          <w:b/>
          <w:snapToGrid w:val="0"/>
          <w:color w:val="000000"/>
          <w:lang w:val="es-ES_tradnl"/>
        </w:rPr>
      </w:pPr>
    </w:p>
    <w:p w:rsidR="00445D79" w:rsidRPr="00EF4769" w:rsidRDefault="00445D79" w:rsidP="00EC2ABD">
      <w:pPr>
        <w:pStyle w:val="Ttulo3"/>
        <w:tabs>
          <w:tab w:val="left" w:pos="0"/>
          <w:tab w:val="right" w:pos="9356"/>
        </w:tabs>
        <w:ind w:left="0"/>
        <w:rPr>
          <w:rFonts w:ascii="Bookman Old Style" w:hAnsi="Bookman Old Style"/>
          <w:b w:val="0"/>
          <w:snapToGrid/>
          <w:szCs w:val="24"/>
        </w:rPr>
      </w:pPr>
      <w:r w:rsidRPr="00EF4769">
        <w:rPr>
          <w:rFonts w:ascii="Bookman Old Style" w:hAnsi="Bookman Old Style"/>
          <w:b w:val="0"/>
          <w:szCs w:val="24"/>
        </w:rPr>
        <w:t>(                                  )</w:t>
      </w:r>
    </w:p>
    <w:p w:rsidR="00445D79" w:rsidRPr="00EF4769" w:rsidRDefault="00445D79" w:rsidP="00EC2ABD">
      <w:pPr>
        <w:ind w:left="0"/>
        <w:rPr>
          <w:rFonts w:ascii="Bookman Old Style" w:hAnsi="Bookman Old Style"/>
          <w:bCs/>
          <w:lang w:val="es-CO"/>
        </w:rPr>
      </w:pPr>
    </w:p>
    <w:p w:rsidR="00445D79" w:rsidRPr="00EF4769" w:rsidRDefault="00445D79" w:rsidP="00EC2ABD">
      <w:pPr>
        <w:pStyle w:val="Sinespaciado"/>
        <w:jc w:val="both"/>
        <w:rPr>
          <w:rFonts w:ascii="Bookman Old Style" w:hAnsi="Bookman Old Style" w:cs="Arial"/>
          <w:b/>
          <w:sz w:val="24"/>
          <w:szCs w:val="24"/>
        </w:rPr>
      </w:pPr>
    </w:p>
    <w:p w:rsidR="00317298" w:rsidRPr="00EF4769" w:rsidRDefault="00317298" w:rsidP="00EC2ABD">
      <w:pPr>
        <w:pStyle w:val="Sinespaciado"/>
        <w:jc w:val="both"/>
        <w:rPr>
          <w:rFonts w:ascii="Bookman Old Style" w:hAnsi="Bookman Old Style" w:cs="Arial"/>
          <w:b/>
          <w:sz w:val="24"/>
          <w:szCs w:val="24"/>
        </w:rPr>
      </w:pPr>
    </w:p>
    <w:p w:rsidR="000074D5" w:rsidRPr="000074D5" w:rsidRDefault="000074D5" w:rsidP="002E5F61">
      <w:pPr>
        <w:ind w:left="0"/>
        <w:jc w:val="both"/>
        <w:rPr>
          <w:rFonts w:ascii="Bookman Old Style" w:hAnsi="Bookman Old Style" w:cs="Arial"/>
          <w:lang w:eastAsia="es-CO"/>
        </w:rPr>
      </w:pPr>
      <w:r w:rsidRPr="000074D5">
        <w:rPr>
          <w:rFonts w:ascii="Bookman Old Style" w:hAnsi="Bookman Old Style" w:cs="Arial"/>
          <w:color w:val="000000"/>
          <w:lang w:eastAsia="es-CO"/>
        </w:rPr>
        <w:t xml:space="preserve">Por la cual se </w:t>
      </w:r>
      <w:r w:rsidR="00246C9C">
        <w:rPr>
          <w:rFonts w:ascii="Bookman Old Style" w:hAnsi="Bookman Old Style" w:cs="Arial"/>
          <w:color w:val="000000"/>
          <w:lang w:eastAsia="es-CO"/>
        </w:rPr>
        <w:t xml:space="preserve">aprueba </w:t>
      </w:r>
      <w:r w:rsidR="000929C4">
        <w:rPr>
          <w:rFonts w:ascii="Bookman Old Style" w:hAnsi="Bookman Old Style" w:cs="Arial"/>
        </w:rPr>
        <w:t xml:space="preserve">el costo base de comercialización, el riesgo de cartera para usuarios tradicionales y </w:t>
      </w:r>
      <w:r w:rsidR="00246C9C">
        <w:rPr>
          <w:rFonts w:ascii="Bookman Old Style" w:hAnsi="Bookman Old Style" w:cs="Arial"/>
        </w:rPr>
        <w:t xml:space="preserve">para </w:t>
      </w:r>
      <w:r w:rsidR="000929C4">
        <w:rPr>
          <w:rFonts w:ascii="Bookman Old Style" w:hAnsi="Bookman Old Style" w:cs="Arial"/>
        </w:rPr>
        <w:t xml:space="preserve">usuarios </w:t>
      </w:r>
      <w:r w:rsidR="00E17A71">
        <w:rPr>
          <w:rFonts w:ascii="Bookman Old Style" w:hAnsi="Bookman Old Style" w:cs="Arial"/>
        </w:rPr>
        <w:t>en</w:t>
      </w:r>
      <w:r w:rsidR="000929C4">
        <w:rPr>
          <w:rFonts w:ascii="Bookman Old Style" w:hAnsi="Bookman Old Style" w:cs="Arial"/>
        </w:rPr>
        <w:t xml:space="preserve"> áreas especiales </w:t>
      </w:r>
      <w:r w:rsidR="00B13FE8">
        <w:rPr>
          <w:rFonts w:ascii="Bookman Old Style" w:hAnsi="Bookman Old Style" w:cs="Arial"/>
        </w:rPr>
        <w:t xml:space="preserve">del mercado de comercialización atendido por </w:t>
      </w:r>
      <w:r w:rsidR="00703799">
        <w:rPr>
          <w:rFonts w:ascii="Bookman Old Style" w:hAnsi="Bookman Old Style" w:cs="Arial"/>
        </w:rPr>
        <w:t>Centrales Eléctricas del Norte de Santander S.A.</w:t>
      </w:r>
      <w:r w:rsidR="00315DC5">
        <w:rPr>
          <w:rFonts w:ascii="Bookman Old Style" w:hAnsi="Bookman Old Style" w:cs="Arial"/>
        </w:rPr>
        <w:t xml:space="preserve"> </w:t>
      </w:r>
      <w:r w:rsidR="00246C9C">
        <w:rPr>
          <w:rFonts w:ascii="Bookman Old Style" w:hAnsi="Bookman Old Style" w:cs="Arial"/>
        </w:rPr>
        <w:t>E.S.P.</w:t>
      </w:r>
      <w:r w:rsidR="00315DC5">
        <w:rPr>
          <w:rFonts w:ascii="Bookman Old Style" w:hAnsi="Bookman Old Style" w:cs="Arial"/>
        </w:rPr>
        <w:t xml:space="preserve">, </w:t>
      </w:r>
      <w:proofErr w:type="spellStart"/>
      <w:r w:rsidR="00703799">
        <w:rPr>
          <w:rFonts w:ascii="Bookman Old Style" w:hAnsi="Bookman Old Style" w:cs="Arial"/>
        </w:rPr>
        <w:t>C</w:t>
      </w:r>
      <w:r w:rsidR="00B0232C">
        <w:rPr>
          <w:rFonts w:ascii="Bookman Old Style" w:hAnsi="Bookman Old Style" w:cs="Arial"/>
        </w:rPr>
        <w:t>ens</w:t>
      </w:r>
      <w:proofErr w:type="spellEnd"/>
      <w:r w:rsidR="00315DC5">
        <w:rPr>
          <w:rFonts w:ascii="Bookman Old Style" w:hAnsi="Bookman Old Style" w:cs="Arial"/>
        </w:rPr>
        <w:t xml:space="preserve">.  </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b/>
        </w:rPr>
      </w:pPr>
      <w:r w:rsidRPr="000074D5">
        <w:rPr>
          <w:rFonts w:ascii="Bookman Old Style" w:hAnsi="Bookman Old Style" w:cs="Arial"/>
          <w:b/>
        </w:rPr>
        <w:t>LA COMISIÓN DE REGULACIÓN DE ENERGÍA Y GAS</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B13FE8">
      <w:pPr>
        <w:ind w:left="0"/>
        <w:jc w:val="both"/>
        <w:rPr>
          <w:rFonts w:ascii="Bookman Old Style" w:hAnsi="Bookman Old Style" w:cs="Arial"/>
        </w:rPr>
      </w:pPr>
      <w:r w:rsidRPr="000074D5">
        <w:rPr>
          <w:rFonts w:ascii="Bookman Old Style" w:hAnsi="Bookman Old Style" w:cs="Arial"/>
        </w:rPr>
        <w:t>En ejercicio de las atribuciones legales, en especial las conferidas por las Leyes 142 y 143 de 1994, y en d</w:t>
      </w:r>
      <w:r w:rsidR="00DE12ED">
        <w:rPr>
          <w:rFonts w:ascii="Bookman Old Style" w:hAnsi="Bookman Old Style" w:cs="Arial"/>
        </w:rPr>
        <w:t>esarrollo de los Decretos 1524,</w:t>
      </w:r>
      <w:r w:rsidR="00427DEF">
        <w:rPr>
          <w:rFonts w:ascii="Bookman Old Style" w:hAnsi="Bookman Old Style" w:cs="Arial"/>
        </w:rPr>
        <w:t xml:space="preserve"> 2253 de 1994</w:t>
      </w:r>
      <w:r w:rsidR="00DE12ED">
        <w:rPr>
          <w:rFonts w:ascii="Bookman Old Style" w:hAnsi="Bookman Old Style" w:cs="Arial"/>
        </w:rPr>
        <w:t xml:space="preserve"> </w:t>
      </w:r>
      <w:r w:rsidRPr="000074D5">
        <w:rPr>
          <w:rFonts w:ascii="Bookman Old Style" w:hAnsi="Bookman Old Style" w:cs="Arial"/>
        </w:rPr>
        <w:t>y</w:t>
      </w:r>
      <w:r w:rsidR="00DE12ED">
        <w:rPr>
          <w:rFonts w:ascii="Bookman Old Style" w:hAnsi="Bookman Old Style" w:cs="Arial"/>
        </w:rPr>
        <w:t xml:space="preserve"> 1260 de 2013 y</w:t>
      </w:r>
      <w:r w:rsidR="002365D2">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F671CE" w:rsidRDefault="002E5F61" w:rsidP="000074D5">
      <w:pPr>
        <w:ind w:left="0"/>
        <w:jc w:val="center"/>
        <w:rPr>
          <w:rFonts w:ascii="Bookman Old Style" w:hAnsi="Bookman Old Style" w:cs="Arial"/>
          <w:spacing w:val="60"/>
          <w:lang w:val="es-CO"/>
        </w:rPr>
      </w:pPr>
      <w:r w:rsidRPr="00F671CE">
        <w:rPr>
          <w:rFonts w:ascii="Bookman Old Style" w:hAnsi="Bookman Old Style" w:cs="Arial"/>
          <w:b/>
          <w:spacing w:val="60"/>
          <w:lang w:val="es-CO"/>
        </w:rPr>
        <w:t>CONSIDERAND</w:t>
      </w:r>
      <w:r w:rsidR="000074D5" w:rsidRPr="00F671CE">
        <w:rPr>
          <w:rFonts w:ascii="Bookman Old Style" w:hAnsi="Bookman Old Style" w:cs="Arial"/>
          <w:b/>
          <w:spacing w:val="60"/>
          <w:lang w:val="es-CO"/>
        </w:rPr>
        <w:t>O</w:t>
      </w:r>
      <w:r w:rsidRPr="00F671CE">
        <w:rPr>
          <w:rFonts w:ascii="Bookman Old Style" w:hAnsi="Bookman Old Style" w:cs="Arial"/>
          <w:b/>
          <w:spacing w:val="60"/>
          <w:lang w:val="es-CO"/>
        </w:rPr>
        <w:t xml:space="preserve"> QUE</w:t>
      </w:r>
      <w:r w:rsidR="000074D5" w:rsidRPr="00F671CE">
        <w:rPr>
          <w:rFonts w:ascii="Bookman Old Style" w:hAnsi="Bookman Old Style" w:cs="Arial"/>
          <w:b/>
          <w:spacing w:val="60"/>
          <w:lang w:val="es-CO"/>
        </w:rPr>
        <w:t>:</w:t>
      </w:r>
    </w:p>
    <w:p w:rsidR="00EF4769" w:rsidRPr="00F671CE" w:rsidRDefault="00EF4769" w:rsidP="000074D5">
      <w:pPr>
        <w:ind w:left="0"/>
        <w:jc w:val="both"/>
        <w:rPr>
          <w:rFonts w:ascii="Bookman Old Style" w:hAnsi="Bookman Old Style" w:cs="Arial"/>
          <w:lang w:val="es-CO"/>
        </w:rPr>
      </w:pPr>
    </w:p>
    <w:p w:rsidR="000929C4" w:rsidRPr="000929C4" w:rsidRDefault="000929C4" w:rsidP="001A315F">
      <w:pPr>
        <w:spacing w:before="240" w:after="240"/>
        <w:ind w:left="0"/>
        <w:jc w:val="both"/>
        <w:rPr>
          <w:rFonts w:ascii="Bookman Old Style" w:hAnsi="Bookman Old Style"/>
        </w:rPr>
      </w:pPr>
      <w:r w:rsidRPr="000929C4">
        <w:rPr>
          <w:rFonts w:ascii="Bookman Old Style" w:hAnsi="Bookman Old Style"/>
          <w:spacing w:val="-3"/>
        </w:rPr>
        <w:t>De conformidad con lo dispuesto en el artículo 73 de la Ley 142 de 1994, es función de la Comisión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0855C4" w:rsidRPr="000855C4" w:rsidRDefault="000855C4" w:rsidP="000855C4">
      <w:pPr>
        <w:spacing w:before="240" w:after="240"/>
        <w:ind w:left="0"/>
        <w:jc w:val="both"/>
        <w:rPr>
          <w:rFonts w:ascii="Bookman Old Style" w:hAnsi="Bookman Old Style"/>
        </w:rPr>
      </w:pPr>
      <w:r w:rsidRPr="000855C4">
        <w:rPr>
          <w:rFonts w:ascii="Bookman Old Style" w:hAnsi="Bookman Old Style"/>
        </w:rPr>
        <w:t>El artículo 73.11 de la Ley 142 de 1994 atribuyó a las Comisiones de Regulación la facultad de establecer las fórmulas para la fijación de las tarifas de los servicios públicos, cuando ello corresponda según lo previsto en el artículo 88; y señalar cuándo hay suficiente competencia como para que la fijación de las tarifas sea libre.</w:t>
      </w:r>
    </w:p>
    <w:p w:rsidR="000855C4" w:rsidRPr="000855C4" w:rsidRDefault="000855C4" w:rsidP="000855C4">
      <w:pPr>
        <w:tabs>
          <w:tab w:val="left" w:pos="-720"/>
        </w:tabs>
        <w:suppressAutoHyphens/>
        <w:spacing w:before="240" w:after="240"/>
        <w:ind w:left="0"/>
        <w:jc w:val="both"/>
        <w:rPr>
          <w:rFonts w:ascii="Bookman Old Style" w:hAnsi="Bookman Old Style"/>
          <w:spacing w:val="-3"/>
        </w:rPr>
      </w:pPr>
      <w:r w:rsidRPr="000855C4">
        <w:rPr>
          <w:rFonts w:ascii="Bookman Old Style" w:hAnsi="Bookman Old Style"/>
          <w:spacing w:val="-3"/>
        </w:rPr>
        <w:t>En virtud del principio de suficiencia financiera definido en numeral 87.4 del artículo 87 de la Ley 142 de 1994, se debe garantizar a las empresas eficientes la recuperación de sus costos de inversión y sus gastos de administración, operación y mantenimiento, y permitir la remuneración del patrimonio de los accionistas en la misma forma en la que lo habría remunerado una empresa eficiente en un sector de riesgo comparable.</w:t>
      </w:r>
    </w:p>
    <w:p w:rsidR="000855C4" w:rsidRPr="000855C4" w:rsidRDefault="000855C4" w:rsidP="00260796">
      <w:pPr>
        <w:ind w:left="0"/>
        <w:jc w:val="both"/>
        <w:rPr>
          <w:rFonts w:ascii="Bookman Old Style" w:hAnsi="Bookman Old Style"/>
        </w:rPr>
      </w:pPr>
      <w:r w:rsidRPr="000855C4">
        <w:rPr>
          <w:rFonts w:ascii="Bookman Old Style" w:hAnsi="Bookman Old Style"/>
        </w:rPr>
        <w:lastRenderedPageBreak/>
        <w:t xml:space="preserve">De conformidad con el numeral 87.8 del artículo 87 de la Ley 142 de 1994 </w:t>
      </w:r>
      <w:r w:rsidRPr="000855C4">
        <w:rPr>
          <w:rFonts w:ascii="Bookman Old Style" w:hAnsi="Bookman Old Style"/>
          <w:i/>
        </w:rPr>
        <w:t>“(…) toda tarifa tendrá un carácter integral en el sentido que supondrá una calidad y grado de cobertura del servicio, cuyas características definirán las comisiones reguladoras (…)”</w:t>
      </w:r>
      <w:r w:rsidRPr="000855C4">
        <w:rPr>
          <w:rFonts w:ascii="Bookman Old Style" w:hAnsi="Bookman Old Style"/>
        </w:rPr>
        <w:t>.</w:t>
      </w:r>
    </w:p>
    <w:p w:rsidR="00704DB3" w:rsidRPr="00514DDB"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w:t>
      </w:r>
      <w:r w:rsidR="007D63EF" w:rsidRPr="00514DDB">
        <w:rPr>
          <w:rFonts w:ascii="Bookman Old Style" w:hAnsi="Bookman Old Style"/>
          <w:spacing w:val="-3"/>
        </w:rPr>
        <w:t>ediante Resolución CREG 180 de 23 de diciembre de 2014, se establec</w:t>
      </w:r>
      <w:r w:rsidR="00C84563">
        <w:rPr>
          <w:rFonts w:ascii="Bookman Old Style" w:hAnsi="Bookman Old Style"/>
          <w:spacing w:val="-3"/>
        </w:rPr>
        <w:t>ieron</w:t>
      </w:r>
      <w:r w:rsidR="007D63EF" w:rsidRPr="00514DDB">
        <w:rPr>
          <w:rFonts w:ascii="Bookman Old Style" w:hAnsi="Bookman Old Style"/>
          <w:spacing w:val="-3"/>
        </w:rPr>
        <w:t xml:space="preserve"> los criterios generales para determinar la remuneración de la actividad de comercialización de energía eléctrica a usuarios regulados en el Sistema Interconectado Nacional.</w:t>
      </w:r>
    </w:p>
    <w:p w:rsidR="007D63EF"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w:t>
      </w:r>
      <w:r w:rsidR="007D63EF" w:rsidRPr="00514DDB">
        <w:rPr>
          <w:rFonts w:ascii="Bookman Old Style" w:hAnsi="Bookman Old Style"/>
          <w:spacing w:val="-3"/>
        </w:rPr>
        <w:t xml:space="preserve">l artículo 21 de la Resolución CREG 180 de 2014, establece el procedimiento para que los comercializadores integrados con el </w:t>
      </w:r>
      <w:r w:rsidR="009A5AEA">
        <w:rPr>
          <w:rFonts w:ascii="Bookman Old Style" w:hAnsi="Bookman Old Style"/>
          <w:spacing w:val="-3"/>
        </w:rPr>
        <w:t xml:space="preserve">operador de red, </w:t>
      </w:r>
      <w:r w:rsidR="007D63EF" w:rsidRPr="00514DDB">
        <w:rPr>
          <w:rFonts w:ascii="Bookman Old Style" w:hAnsi="Bookman Old Style"/>
          <w:spacing w:val="-3"/>
        </w:rPr>
        <w:t xml:space="preserve">OR, soliciten a la Dirección Ejecutiva de la CREG el </w:t>
      </w:r>
      <w:r w:rsidR="002069C6" w:rsidRPr="00514DDB">
        <w:rPr>
          <w:rFonts w:ascii="Bookman Old Style" w:hAnsi="Bookman Old Style"/>
          <w:spacing w:val="-3"/>
        </w:rPr>
        <w:t>reconocimiento</w:t>
      </w:r>
      <w:r w:rsidR="007D63EF" w:rsidRPr="00514DDB">
        <w:rPr>
          <w:rFonts w:ascii="Bookman Old Style" w:hAnsi="Bookman Old Style"/>
          <w:spacing w:val="-3"/>
        </w:rPr>
        <w:t xml:space="preserve"> del costo base de comercialización de energía eléctrica, el riesgo de cartera de usuarios tradicionales y el riesgo de cartera de </w:t>
      </w:r>
      <w:r w:rsidR="004D32A2">
        <w:rPr>
          <w:rFonts w:ascii="Bookman Old Style" w:hAnsi="Bookman Old Style"/>
          <w:spacing w:val="-3"/>
        </w:rPr>
        <w:t xml:space="preserve">usuarios en </w:t>
      </w:r>
      <w:r w:rsidR="007D63EF" w:rsidRPr="00514DDB">
        <w:rPr>
          <w:rFonts w:ascii="Bookman Old Style" w:hAnsi="Bookman Old Style"/>
          <w:spacing w:val="-3"/>
        </w:rPr>
        <w:t>áreas especiales con fundamento en la metodol</w:t>
      </w:r>
      <w:r w:rsidR="004D32A2">
        <w:rPr>
          <w:rFonts w:ascii="Bookman Old Style" w:hAnsi="Bookman Old Style"/>
          <w:spacing w:val="-3"/>
        </w:rPr>
        <w:t>ogía dispuesta en la precitada r</w:t>
      </w:r>
      <w:r w:rsidR="007D63EF" w:rsidRPr="00514DDB">
        <w:rPr>
          <w:rFonts w:ascii="Bookman Old Style" w:hAnsi="Bookman Old Style"/>
          <w:spacing w:val="-3"/>
        </w:rPr>
        <w:t>esolución.</w:t>
      </w:r>
    </w:p>
    <w:p w:rsidR="003660FA" w:rsidRPr="00514DDB" w:rsidRDefault="002E46D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w:t>
      </w:r>
      <w:r w:rsidR="003660FA">
        <w:rPr>
          <w:rFonts w:ascii="Bookman Old Style" w:hAnsi="Bookman Old Style"/>
          <w:spacing w:val="-3"/>
        </w:rPr>
        <w:t>ircular CREG 007 del 3 de febrero de 2015 la Comisión, en cumplimiento de lo establecido en el artículo 22 de la Resolución CREG 180 de 2014 publicó los formatos que las empresas debían diligenciar en su solicitud.</w:t>
      </w:r>
    </w:p>
    <w:p w:rsidR="007D63EF" w:rsidRDefault="00703799" w:rsidP="00514DDB">
      <w:pPr>
        <w:tabs>
          <w:tab w:val="left" w:pos="-720"/>
        </w:tabs>
        <w:suppressAutoHyphens/>
        <w:spacing w:before="240" w:after="240"/>
        <w:ind w:left="0"/>
        <w:jc w:val="both"/>
        <w:rPr>
          <w:rFonts w:ascii="Bookman Old Style" w:hAnsi="Bookman Old Style"/>
          <w:spacing w:val="-3"/>
        </w:rPr>
      </w:pPr>
      <w:proofErr w:type="spellStart"/>
      <w:r>
        <w:rPr>
          <w:rFonts w:ascii="Bookman Old Style" w:hAnsi="Bookman Old Style"/>
          <w:spacing w:val="-3"/>
        </w:rPr>
        <w:t>C</w:t>
      </w:r>
      <w:r w:rsidR="00B0232C">
        <w:rPr>
          <w:rFonts w:ascii="Bookman Old Style" w:hAnsi="Bookman Old Style"/>
          <w:spacing w:val="-3"/>
        </w:rPr>
        <w:t>ens</w:t>
      </w:r>
      <w:proofErr w:type="spellEnd"/>
      <w:r>
        <w:rPr>
          <w:rFonts w:ascii="Bookman Old Style" w:hAnsi="Bookman Old Style"/>
          <w:spacing w:val="-3"/>
        </w:rPr>
        <w:t xml:space="preserve"> S.A.</w:t>
      </w:r>
      <w:r w:rsidR="00514DDB">
        <w:rPr>
          <w:rFonts w:ascii="Bookman Old Style" w:hAnsi="Bookman Old Style"/>
          <w:spacing w:val="-3"/>
        </w:rPr>
        <w:t xml:space="preserve"> E.S.P.</w:t>
      </w:r>
      <w:r w:rsidR="00050A5A">
        <w:rPr>
          <w:rFonts w:ascii="Bookman Old Style" w:hAnsi="Bookman Old Style"/>
          <w:spacing w:val="-3"/>
        </w:rPr>
        <w:t xml:space="preserve"> </w:t>
      </w:r>
      <w:r w:rsidR="009A5AEA">
        <w:rPr>
          <w:rFonts w:ascii="Bookman Old Style" w:hAnsi="Bookman Old Style"/>
          <w:spacing w:val="-3"/>
        </w:rPr>
        <w:t>solicitó</w:t>
      </w:r>
      <w:r w:rsidR="007D63EF" w:rsidRPr="00514DDB">
        <w:rPr>
          <w:rFonts w:ascii="Bookman Old Style" w:hAnsi="Bookman Old Style"/>
          <w:spacing w:val="-3"/>
        </w:rPr>
        <w:t xml:space="preserve"> </w:t>
      </w:r>
      <w:r w:rsidR="009A5AEA">
        <w:rPr>
          <w:rFonts w:ascii="Bookman Old Style" w:hAnsi="Bookman Old Style"/>
          <w:spacing w:val="-3"/>
        </w:rPr>
        <w:t>el</w:t>
      </w:r>
      <w:r w:rsidR="007D63EF" w:rsidRPr="00514DDB">
        <w:rPr>
          <w:rFonts w:ascii="Bookman Old Style" w:hAnsi="Bookman Old Style"/>
          <w:spacing w:val="-3"/>
        </w:rPr>
        <w:t xml:space="preserve"> reconocimiento del costo base de comercialización de energía eléctrica, el riesgo de cartera de usuarios tradicionales y el riesgo de c</w:t>
      </w:r>
      <w:r w:rsidR="00514DDB">
        <w:rPr>
          <w:rFonts w:ascii="Bookman Old Style" w:hAnsi="Bookman Old Style"/>
          <w:spacing w:val="-3"/>
        </w:rPr>
        <w:t xml:space="preserve">artera </w:t>
      </w:r>
      <w:r w:rsidR="002E46D6">
        <w:rPr>
          <w:rFonts w:ascii="Bookman Old Style" w:hAnsi="Bookman Old Style"/>
          <w:spacing w:val="-3"/>
        </w:rPr>
        <w:t>para usuarios en</w:t>
      </w:r>
      <w:r w:rsidR="00514DDB">
        <w:rPr>
          <w:rFonts w:ascii="Bookman Old Style" w:hAnsi="Bookman Old Style"/>
          <w:spacing w:val="-3"/>
        </w:rPr>
        <w:t xml:space="preserve"> áreas especiales el dí</w:t>
      </w:r>
      <w:r w:rsidR="007D63EF" w:rsidRPr="00514DDB">
        <w:rPr>
          <w:rFonts w:ascii="Bookman Old Style" w:hAnsi="Bookman Old Style"/>
          <w:spacing w:val="-3"/>
        </w:rPr>
        <w:t xml:space="preserve">a </w:t>
      </w:r>
      <w:r w:rsidR="00C84563">
        <w:rPr>
          <w:rFonts w:ascii="Bookman Old Style" w:hAnsi="Bookman Old Style"/>
          <w:spacing w:val="-3"/>
        </w:rPr>
        <w:t>3 de marzo</w:t>
      </w:r>
      <w:r w:rsidR="00514DDB">
        <w:rPr>
          <w:rFonts w:ascii="Bookman Old Style" w:hAnsi="Bookman Old Style"/>
          <w:spacing w:val="-3"/>
        </w:rPr>
        <w:t xml:space="preserve"> de 2015</w:t>
      </w:r>
      <w:r w:rsidR="009A5AEA">
        <w:rPr>
          <w:rFonts w:ascii="Bookman Old Style" w:hAnsi="Bookman Old Style"/>
          <w:spacing w:val="-3"/>
        </w:rPr>
        <w:t>, mediante comunicación radicada en la CREG bajo el número E</w:t>
      </w:r>
      <w:r w:rsidR="009A5AEA">
        <w:rPr>
          <w:rFonts w:ascii="Bookman Old Style" w:hAnsi="Bookman Old Style"/>
          <w:spacing w:val="-3"/>
        </w:rPr>
        <w:noBreakHyphen/>
        <w:t>2015</w:t>
      </w:r>
      <w:r w:rsidR="009A5AEA">
        <w:rPr>
          <w:rFonts w:ascii="Bookman Old Style" w:hAnsi="Bookman Old Style"/>
          <w:spacing w:val="-3"/>
        </w:rPr>
        <w:noBreakHyphen/>
        <w:t>00</w:t>
      </w:r>
      <w:r w:rsidR="00C84563">
        <w:rPr>
          <w:rFonts w:ascii="Bookman Old Style" w:hAnsi="Bookman Old Style"/>
          <w:spacing w:val="-3"/>
        </w:rPr>
        <w:t>2</w:t>
      </w:r>
      <w:r w:rsidR="001B7F91">
        <w:rPr>
          <w:rFonts w:ascii="Bookman Old Style" w:hAnsi="Bookman Old Style"/>
          <w:spacing w:val="-3"/>
        </w:rPr>
        <w:t>206</w:t>
      </w:r>
      <w:r w:rsidR="007D63EF" w:rsidRPr="00514DDB">
        <w:rPr>
          <w:rFonts w:ascii="Bookman Old Style" w:hAnsi="Bookman Old Style"/>
          <w:spacing w:val="-3"/>
        </w:rPr>
        <w:t>.</w:t>
      </w:r>
      <w:r w:rsidR="009A5AEA">
        <w:rPr>
          <w:rFonts w:ascii="Bookman Old Style" w:hAnsi="Bookman Old Style"/>
          <w:spacing w:val="-3"/>
        </w:rPr>
        <w:t xml:space="preserve"> </w:t>
      </w:r>
    </w:p>
    <w:p w:rsidR="003660FA"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w:t>
      </w:r>
      <w:r w:rsidR="007D63EF" w:rsidRPr="00514DDB">
        <w:rPr>
          <w:rFonts w:ascii="Bookman Old Style" w:hAnsi="Bookman Old Style"/>
          <w:spacing w:val="-3"/>
        </w:rPr>
        <w:t>e conformidad con lo anterior</w:t>
      </w:r>
      <w:r w:rsidR="005045E1">
        <w:rPr>
          <w:rFonts w:ascii="Bookman Old Style" w:hAnsi="Bookman Old Style"/>
          <w:spacing w:val="-3"/>
        </w:rPr>
        <w:t>,</w:t>
      </w:r>
      <w:r w:rsidR="007D63EF" w:rsidRPr="00514DDB">
        <w:rPr>
          <w:rFonts w:ascii="Bookman Old Style" w:hAnsi="Bookman Old Style"/>
          <w:spacing w:val="-3"/>
        </w:rPr>
        <w:t xml:space="preserve"> la</w:t>
      </w:r>
      <w:r w:rsidR="005045E1">
        <w:rPr>
          <w:rFonts w:ascii="Bookman Old Style" w:hAnsi="Bookman Old Style"/>
          <w:spacing w:val="-3"/>
        </w:rPr>
        <w:t xml:space="preserve"> Dirección Ejecutiva de la CREG</w:t>
      </w:r>
      <w:r w:rsidR="007D63EF" w:rsidRPr="00514DDB">
        <w:rPr>
          <w:rFonts w:ascii="Bookman Old Style" w:hAnsi="Bookman Old Style"/>
          <w:spacing w:val="-3"/>
        </w:rPr>
        <w:t xml:space="preserve"> profirió el auto de fecha </w:t>
      </w:r>
      <w:r w:rsidR="00315DC5">
        <w:rPr>
          <w:rFonts w:ascii="Bookman Old Style" w:hAnsi="Bookman Old Style"/>
          <w:spacing w:val="-3"/>
        </w:rPr>
        <w:t>10</w:t>
      </w:r>
      <w:r w:rsidR="00C84563">
        <w:rPr>
          <w:rFonts w:ascii="Bookman Old Style" w:hAnsi="Bookman Old Style"/>
          <w:spacing w:val="-3"/>
        </w:rPr>
        <w:t xml:space="preserve"> de marzo</w:t>
      </w:r>
      <w:r>
        <w:rPr>
          <w:rFonts w:ascii="Bookman Old Style" w:hAnsi="Bookman Old Style"/>
          <w:spacing w:val="-3"/>
        </w:rPr>
        <w:t xml:space="preserve"> de 2015</w:t>
      </w:r>
      <w:r w:rsidR="004E2BB6" w:rsidRPr="00514DDB">
        <w:rPr>
          <w:rFonts w:ascii="Bookman Old Style" w:hAnsi="Bookman Old Style"/>
          <w:spacing w:val="-3"/>
        </w:rPr>
        <w:t xml:space="preserve"> ordenando abrir procedimiento administrativo </w:t>
      </w:r>
      <w:r>
        <w:rPr>
          <w:rFonts w:ascii="Bookman Old Style" w:hAnsi="Bookman Old Style"/>
          <w:spacing w:val="-3"/>
        </w:rPr>
        <w:t>el cual se estableció en el expediente 2015</w:t>
      </w:r>
      <w:r>
        <w:rPr>
          <w:rFonts w:ascii="Bookman Old Style" w:hAnsi="Bookman Old Style"/>
          <w:spacing w:val="-3"/>
        </w:rPr>
        <w:noBreakHyphen/>
        <w:t>00</w:t>
      </w:r>
      <w:r w:rsidR="00C84563">
        <w:rPr>
          <w:rFonts w:ascii="Bookman Old Style" w:hAnsi="Bookman Old Style"/>
          <w:spacing w:val="-3"/>
        </w:rPr>
        <w:t>3</w:t>
      </w:r>
      <w:r w:rsidR="001B7F91">
        <w:rPr>
          <w:rFonts w:ascii="Bookman Old Style" w:hAnsi="Bookman Old Style"/>
          <w:spacing w:val="-3"/>
        </w:rPr>
        <w:t>8</w:t>
      </w:r>
      <w:r>
        <w:rPr>
          <w:rFonts w:ascii="Bookman Old Style" w:hAnsi="Bookman Old Style"/>
          <w:spacing w:val="-3"/>
        </w:rPr>
        <w:t>.</w:t>
      </w:r>
    </w:p>
    <w:p w:rsidR="00972D76" w:rsidRDefault="00972D7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Con el propósito de dar a conocer a los </w:t>
      </w:r>
      <w:r w:rsidRPr="00972D76">
        <w:rPr>
          <w:rFonts w:ascii="Bookman Old Style" w:hAnsi="Bookman Old Style"/>
          <w:spacing w:val="-3"/>
        </w:rPr>
        <w:t xml:space="preserve">terceros interesados del inicio de la actuación administrativa, </w:t>
      </w:r>
      <w:r>
        <w:rPr>
          <w:rFonts w:ascii="Bookman Old Style" w:hAnsi="Bookman Old Style"/>
          <w:spacing w:val="-3"/>
        </w:rPr>
        <w:t>se publicó</w:t>
      </w:r>
      <w:r w:rsidR="000C1597">
        <w:rPr>
          <w:rFonts w:ascii="Bookman Old Style" w:hAnsi="Bookman Old Style"/>
          <w:spacing w:val="-3"/>
        </w:rPr>
        <w:t xml:space="preserve"> en la página w</w:t>
      </w:r>
      <w:r w:rsidRPr="00972D76">
        <w:rPr>
          <w:rFonts w:ascii="Bookman Old Style" w:hAnsi="Bookman Old Style"/>
          <w:spacing w:val="-3"/>
        </w:rPr>
        <w:t>eb de la CREG y en el Diario Oficial</w:t>
      </w:r>
      <w:r>
        <w:rPr>
          <w:rFonts w:ascii="Bookman Old Style" w:hAnsi="Bookman Old Style"/>
          <w:spacing w:val="-3"/>
        </w:rPr>
        <w:t xml:space="preserve"> 49.4</w:t>
      </w:r>
      <w:r w:rsidR="00C84563">
        <w:rPr>
          <w:rFonts w:ascii="Bookman Old Style" w:hAnsi="Bookman Old Style"/>
          <w:spacing w:val="-3"/>
        </w:rPr>
        <w:t>55</w:t>
      </w:r>
      <w:r w:rsidRPr="00972D76">
        <w:rPr>
          <w:rFonts w:ascii="Bookman Old Style" w:hAnsi="Bookman Old Style"/>
          <w:spacing w:val="-3"/>
        </w:rPr>
        <w:t>, el extracto del aviso de comunicación, en cumplimiento del artículo 37 del Código de Procedimiento Administrativo y de lo Contencioso Administrativo</w:t>
      </w:r>
    </w:p>
    <w:p w:rsidR="007D63EF"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Mediante comunicación radicada en la CREG bajo el número </w:t>
      </w:r>
      <w:r w:rsidR="00F033A4">
        <w:rPr>
          <w:rFonts w:ascii="Bookman Old Style" w:hAnsi="Bookman Old Style"/>
          <w:spacing w:val="-3"/>
        </w:rPr>
        <w:t>S</w:t>
      </w:r>
      <w:r w:rsidR="00F033A4">
        <w:rPr>
          <w:rFonts w:ascii="Bookman Old Style" w:hAnsi="Bookman Old Style"/>
          <w:spacing w:val="-3"/>
        </w:rPr>
        <w:noBreakHyphen/>
        <w:t>2015</w:t>
      </w:r>
      <w:r w:rsidR="00F033A4">
        <w:rPr>
          <w:rFonts w:ascii="Bookman Old Style" w:hAnsi="Bookman Old Style"/>
          <w:spacing w:val="-3"/>
        </w:rPr>
        <w:noBreakHyphen/>
        <w:t>00</w:t>
      </w:r>
      <w:r w:rsidR="00486A3B">
        <w:rPr>
          <w:rFonts w:ascii="Bookman Old Style" w:hAnsi="Bookman Old Style"/>
          <w:spacing w:val="-3"/>
        </w:rPr>
        <w:t>1</w:t>
      </w:r>
      <w:r w:rsidR="001B7F91">
        <w:rPr>
          <w:rFonts w:ascii="Bookman Old Style" w:hAnsi="Bookman Old Style"/>
          <w:spacing w:val="-3"/>
        </w:rPr>
        <w:t>147</w:t>
      </w:r>
      <w:r w:rsidR="004D1231">
        <w:rPr>
          <w:rFonts w:ascii="Bookman Old Style" w:hAnsi="Bookman Old Style"/>
          <w:spacing w:val="-3"/>
        </w:rPr>
        <w:t xml:space="preserve"> del </w:t>
      </w:r>
      <w:r w:rsidR="00486A3B">
        <w:rPr>
          <w:rFonts w:ascii="Bookman Old Style" w:hAnsi="Bookman Old Style"/>
          <w:spacing w:val="-3"/>
        </w:rPr>
        <w:t>1</w:t>
      </w:r>
      <w:r w:rsidR="001B7F91">
        <w:rPr>
          <w:rFonts w:ascii="Bookman Old Style" w:hAnsi="Bookman Old Style"/>
          <w:spacing w:val="-3"/>
        </w:rPr>
        <w:t>3</w:t>
      </w:r>
      <w:r w:rsidR="00486A3B">
        <w:rPr>
          <w:rFonts w:ascii="Bookman Old Style" w:hAnsi="Bookman Old Style"/>
          <w:spacing w:val="-3"/>
        </w:rPr>
        <w:t xml:space="preserve"> de marzo</w:t>
      </w:r>
      <w:r w:rsidR="004D1231">
        <w:rPr>
          <w:rFonts w:ascii="Bookman Old Style" w:hAnsi="Bookman Old Style"/>
          <w:spacing w:val="-3"/>
        </w:rPr>
        <w:t xml:space="preserve"> de 2015, se comunicó a la empresa el inicio de la actuación y se envió copia del auto de apertura de la misma</w:t>
      </w:r>
      <w:r w:rsidR="004E2BB6" w:rsidRPr="00514DDB">
        <w:rPr>
          <w:rFonts w:ascii="Bookman Old Style" w:hAnsi="Bookman Old Style"/>
          <w:spacing w:val="-3"/>
        </w:rPr>
        <w:t>.</w:t>
      </w:r>
    </w:p>
    <w:p w:rsidR="00633688" w:rsidRPr="00514DDB" w:rsidRDefault="00633688"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Del proceso</w:t>
      </w:r>
      <w:r w:rsidR="00A63FAC">
        <w:rPr>
          <w:rFonts w:ascii="Bookman Old Style" w:hAnsi="Bookman Old Style"/>
          <w:spacing w:val="-3"/>
        </w:rPr>
        <w:t xml:space="preserve"> se hicieron parte las empresas comercializadoras </w:t>
      </w:r>
      <w:proofErr w:type="spellStart"/>
      <w:r w:rsidR="00A63FAC">
        <w:rPr>
          <w:rFonts w:ascii="Bookman Old Style" w:hAnsi="Bookman Old Style"/>
          <w:spacing w:val="-3"/>
        </w:rPr>
        <w:t>Enertotal</w:t>
      </w:r>
      <w:proofErr w:type="spellEnd"/>
      <w:r w:rsidR="00A63FAC">
        <w:rPr>
          <w:rFonts w:ascii="Bookman Old Style" w:hAnsi="Bookman Old Style"/>
          <w:spacing w:val="-3"/>
        </w:rPr>
        <w:t xml:space="preserve"> y </w:t>
      </w:r>
      <w:proofErr w:type="spellStart"/>
      <w:r w:rsidR="00A63FAC">
        <w:rPr>
          <w:rFonts w:ascii="Bookman Old Style" w:hAnsi="Bookman Old Style"/>
          <w:spacing w:val="-3"/>
        </w:rPr>
        <w:t>Dicel</w:t>
      </w:r>
      <w:proofErr w:type="spellEnd"/>
      <w:r w:rsidR="00A63FAC">
        <w:rPr>
          <w:rFonts w:ascii="Bookman Old Style" w:hAnsi="Bookman Old Style"/>
          <w:spacing w:val="-3"/>
        </w:rPr>
        <w:t xml:space="preserve">. </w:t>
      </w:r>
      <w:proofErr w:type="spellStart"/>
      <w:r w:rsidR="00A63FAC">
        <w:rPr>
          <w:rFonts w:ascii="Bookman Old Style" w:hAnsi="Bookman Old Style"/>
          <w:spacing w:val="-3"/>
        </w:rPr>
        <w:t>Enertotal</w:t>
      </w:r>
      <w:proofErr w:type="spellEnd"/>
      <w:r w:rsidR="00A63FAC">
        <w:rPr>
          <w:rFonts w:ascii="Bookman Old Style" w:hAnsi="Bookman Old Style"/>
          <w:spacing w:val="-3"/>
        </w:rPr>
        <w:t xml:space="preserve"> fue admitida mediante auto del </w:t>
      </w:r>
      <w:r w:rsidR="001B7F91">
        <w:rPr>
          <w:rFonts w:ascii="Bookman Old Style" w:hAnsi="Bookman Old Style"/>
          <w:spacing w:val="-3"/>
        </w:rPr>
        <w:t>10</w:t>
      </w:r>
      <w:r w:rsidR="00A63FAC">
        <w:rPr>
          <w:rFonts w:ascii="Bookman Old Style" w:hAnsi="Bookman Old Style"/>
          <w:spacing w:val="-3"/>
        </w:rPr>
        <w:t xml:space="preserve"> de junio de 2015 y </w:t>
      </w:r>
      <w:proofErr w:type="spellStart"/>
      <w:r w:rsidR="00A63FAC">
        <w:rPr>
          <w:rFonts w:ascii="Bookman Old Style" w:hAnsi="Bookman Old Style"/>
          <w:spacing w:val="-3"/>
        </w:rPr>
        <w:t>Dicel</w:t>
      </w:r>
      <w:proofErr w:type="spellEnd"/>
      <w:r w:rsidR="00A63FAC">
        <w:rPr>
          <w:rFonts w:ascii="Bookman Old Style" w:hAnsi="Bookman Old Style"/>
          <w:spacing w:val="-3"/>
        </w:rPr>
        <w:t xml:space="preserve"> mediante auto del </w:t>
      </w:r>
      <w:r w:rsidR="001B7F91">
        <w:rPr>
          <w:rFonts w:ascii="Bookman Old Style" w:hAnsi="Bookman Old Style"/>
          <w:spacing w:val="-3"/>
        </w:rPr>
        <w:t>2</w:t>
      </w:r>
      <w:r w:rsidR="00A63FAC">
        <w:rPr>
          <w:rFonts w:ascii="Bookman Old Style" w:hAnsi="Bookman Old Style"/>
          <w:spacing w:val="-3"/>
        </w:rPr>
        <w:t>6 de junio de 2015.</w:t>
      </w:r>
      <w:r w:rsidR="00CB1679">
        <w:rPr>
          <w:rFonts w:ascii="Bookman Old Style" w:hAnsi="Bookman Old Style"/>
          <w:spacing w:val="-3"/>
        </w:rPr>
        <w:t xml:space="preserve"> Copia de estos autos fue remitida a </w:t>
      </w:r>
      <w:proofErr w:type="spellStart"/>
      <w:r w:rsidR="001B7F91">
        <w:rPr>
          <w:rFonts w:ascii="Bookman Old Style" w:hAnsi="Bookman Old Style"/>
          <w:spacing w:val="-3"/>
        </w:rPr>
        <w:t>C</w:t>
      </w:r>
      <w:r w:rsidR="00B0232C">
        <w:rPr>
          <w:rFonts w:ascii="Bookman Old Style" w:hAnsi="Bookman Old Style"/>
          <w:spacing w:val="-3"/>
        </w:rPr>
        <w:t>ens</w:t>
      </w:r>
      <w:proofErr w:type="spellEnd"/>
      <w:r w:rsidR="00CB1679">
        <w:rPr>
          <w:rFonts w:ascii="Bookman Old Style" w:hAnsi="Bookman Old Style"/>
          <w:spacing w:val="-3"/>
        </w:rPr>
        <w:t>.</w:t>
      </w:r>
    </w:p>
    <w:p w:rsidR="004E2BB6" w:rsidRPr="00514DDB" w:rsidRDefault="004D1231"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R</w:t>
      </w:r>
      <w:r w:rsidR="004E2BB6" w:rsidRPr="00514DDB">
        <w:rPr>
          <w:rFonts w:ascii="Bookman Old Style" w:hAnsi="Bookman Old Style"/>
          <w:spacing w:val="-3"/>
        </w:rPr>
        <w:t>evisado</w:t>
      </w:r>
      <w:r>
        <w:rPr>
          <w:rFonts w:ascii="Bookman Old Style" w:hAnsi="Bookman Old Style"/>
          <w:spacing w:val="-3"/>
        </w:rPr>
        <w:t>s</w:t>
      </w:r>
      <w:r w:rsidR="004E2BB6" w:rsidRPr="00514DDB">
        <w:rPr>
          <w:rFonts w:ascii="Bookman Old Style" w:hAnsi="Bookman Old Style"/>
          <w:spacing w:val="-3"/>
        </w:rPr>
        <w:t xml:space="preserve"> los documentos aportados por </w:t>
      </w:r>
      <w:proofErr w:type="spellStart"/>
      <w:r w:rsidR="001B7F91">
        <w:rPr>
          <w:rFonts w:ascii="Bookman Old Style" w:hAnsi="Bookman Old Style"/>
          <w:spacing w:val="-3"/>
        </w:rPr>
        <w:t>C</w:t>
      </w:r>
      <w:r w:rsidR="00B0232C">
        <w:rPr>
          <w:rFonts w:ascii="Bookman Old Style" w:hAnsi="Bookman Old Style"/>
          <w:spacing w:val="-3"/>
        </w:rPr>
        <w:t>ens</w:t>
      </w:r>
      <w:proofErr w:type="spellEnd"/>
      <w:r w:rsidR="00050A5A">
        <w:rPr>
          <w:rFonts w:ascii="Bookman Old Style" w:hAnsi="Bookman Old Style"/>
          <w:spacing w:val="-3"/>
        </w:rPr>
        <w:t>,</w:t>
      </w:r>
      <w:r w:rsidR="004E2BB6" w:rsidRPr="00514DDB">
        <w:rPr>
          <w:rFonts w:ascii="Bookman Old Style" w:hAnsi="Bookman Old Style"/>
          <w:spacing w:val="-3"/>
        </w:rPr>
        <w:t xml:space="preserve"> </w:t>
      </w:r>
      <w:r>
        <w:rPr>
          <w:rFonts w:ascii="Bookman Old Style" w:hAnsi="Bookman Old Style"/>
          <w:spacing w:val="-3"/>
        </w:rPr>
        <w:t>fue necesario solicitar algunas aclaraciones que se consolidaron en la comunicación CREG S</w:t>
      </w:r>
      <w:r>
        <w:rPr>
          <w:rFonts w:ascii="Bookman Old Style" w:hAnsi="Bookman Old Style"/>
          <w:spacing w:val="-3"/>
        </w:rPr>
        <w:noBreakHyphen/>
        <w:t>2015</w:t>
      </w:r>
      <w:r>
        <w:rPr>
          <w:rFonts w:ascii="Bookman Old Style" w:hAnsi="Bookman Old Style"/>
          <w:spacing w:val="-3"/>
        </w:rPr>
        <w:noBreakHyphen/>
        <w:t>00</w:t>
      </w:r>
      <w:r w:rsidR="007750EF">
        <w:rPr>
          <w:rFonts w:ascii="Bookman Old Style" w:hAnsi="Bookman Old Style"/>
          <w:spacing w:val="-3"/>
        </w:rPr>
        <w:t>342</w:t>
      </w:r>
      <w:r w:rsidR="00C051FF">
        <w:rPr>
          <w:rFonts w:ascii="Bookman Old Style" w:hAnsi="Bookman Old Style"/>
          <w:spacing w:val="-3"/>
        </w:rPr>
        <w:t>2</w:t>
      </w:r>
      <w:r>
        <w:rPr>
          <w:rFonts w:ascii="Bookman Old Style" w:hAnsi="Bookman Old Style"/>
          <w:spacing w:val="-3"/>
        </w:rPr>
        <w:t xml:space="preserve"> </w:t>
      </w:r>
      <w:r w:rsidR="00462965">
        <w:rPr>
          <w:rFonts w:ascii="Bookman Old Style" w:hAnsi="Bookman Old Style"/>
          <w:spacing w:val="-3"/>
        </w:rPr>
        <w:t>relacionadas con diferencias encontradas entre la información reportada por la empresa en la solicitud respecto de l</w:t>
      </w:r>
      <w:r w:rsidR="000C1597">
        <w:rPr>
          <w:rFonts w:ascii="Bookman Old Style" w:hAnsi="Bookman Old Style"/>
          <w:spacing w:val="-3"/>
        </w:rPr>
        <w:t>os datos</w:t>
      </w:r>
      <w:r w:rsidR="00462965">
        <w:rPr>
          <w:rFonts w:ascii="Bookman Old Style" w:hAnsi="Bookman Old Style"/>
          <w:spacing w:val="-3"/>
        </w:rPr>
        <w:t xml:space="preserve"> disponible</w:t>
      </w:r>
      <w:r w:rsidR="000C1597">
        <w:rPr>
          <w:rFonts w:ascii="Bookman Old Style" w:hAnsi="Bookman Old Style"/>
          <w:spacing w:val="-3"/>
        </w:rPr>
        <w:t>s</w:t>
      </w:r>
      <w:r w:rsidR="00462965">
        <w:rPr>
          <w:rFonts w:ascii="Bookman Old Style" w:hAnsi="Bookman Old Style"/>
          <w:spacing w:val="-3"/>
        </w:rPr>
        <w:t xml:space="preserve"> en la CREG </w:t>
      </w:r>
      <w:r w:rsidR="000C1597">
        <w:rPr>
          <w:rFonts w:ascii="Bookman Old Style" w:hAnsi="Bookman Old Style"/>
          <w:spacing w:val="-3"/>
        </w:rPr>
        <w:t xml:space="preserve">provenientes </w:t>
      </w:r>
      <w:r w:rsidR="00462965">
        <w:rPr>
          <w:rFonts w:ascii="Bookman Old Style" w:hAnsi="Bookman Old Style"/>
          <w:spacing w:val="-3"/>
        </w:rPr>
        <w:t>de la misma empresa.</w:t>
      </w:r>
    </w:p>
    <w:p w:rsidR="00050A5A" w:rsidRDefault="00462965"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comunicaci</w:t>
      </w:r>
      <w:r w:rsidR="00C35440">
        <w:rPr>
          <w:rFonts w:ascii="Bookman Old Style" w:hAnsi="Bookman Old Style"/>
          <w:spacing w:val="-3"/>
        </w:rPr>
        <w:t>ones</w:t>
      </w:r>
      <w:r>
        <w:rPr>
          <w:rFonts w:ascii="Bookman Old Style" w:hAnsi="Bookman Old Style"/>
          <w:spacing w:val="-3"/>
        </w:rPr>
        <w:t xml:space="preserve"> radicada</w:t>
      </w:r>
      <w:r w:rsidR="00C35440">
        <w:rPr>
          <w:rFonts w:ascii="Bookman Old Style" w:hAnsi="Bookman Old Style"/>
          <w:spacing w:val="-3"/>
        </w:rPr>
        <w:t>s</w:t>
      </w:r>
      <w:r>
        <w:rPr>
          <w:rFonts w:ascii="Bookman Old Style" w:hAnsi="Bookman Old Style"/>
          <w:spacing w:val="-3"/>
        </w:rPr>
        <w:t xml:space="preserve"> en la CREG bajo </w:t>
      </w:r>
      <w:r w:rsidR="00C35440">
        <w:rPr>
          <w:rFonts w:ascii="Bookman Old Style" w:hAnsi="Bookman Old Style"/>
          <w:spacing w:val="-3"/>
        </w:rPr>
        <w:t>los</w:t>
      </w:r>
      <w:r>
        <w:rPr>
          <w:rFonts w:ascii="Bookman Old Style" w:hAnsi="Bookman Old Style"/>
          <w:spacing w:val="-3"/>
        </w:rPr>
        <w:t xml:space="preserve"> número</w:t>
      </w:r>
      <w:r w:rsidR="00C35440">
        <w:rPr>
          <w:rFonts w:ascii="Bookman Old Style" w:hAnsi="Bookman Old Style"/>
          <w:spacing w:val="-3"/>
        </w:rPr>
        <w:t>s</w:t>
      </w:r>
      <w:r>
        <w:rPr>
          <w:rFonts w:ascii="Bookman Old Style" w:hAnsi="Bookman Old Style"/>
          <w:spacing w:val="-3"/>
        </w:rPr>
        <w:t xml:space="preserve"> E</w:t>
      </w:r>
      <w:r>
        <w:rPr>
          <w:rFonts w:ascii="Bookman Old Style" w:hAnsi="Bookman Old Style"/>
          <w:spacing w:val="-3"/>
        </w:rPr>
        <w:noBreakHyphen/>
        <w:t>2015</w:t>
      </w:r>
      <w:r>
        <w:rPr>
          <w:rFonts w:ascii="Bookman Old Style" w:hAnsi="Bookman Old Style"/>
          <w:spacing w:val="-3"/>
        </w:rPr>
        <w:noBreakHyphen/>
        <w:t>00</w:t>
      </w:r>
      <w:r w:rsidR="00C051FF">
        <w:rPr>
          <w:rFonts w:ascii="Bookman Old Style" w:hAnsi="Bookman Old Style"/>
          <w:spacing w:val="-3"/>
        </w:rPr>
        <w:t>8</w:t>
      </w:r>
      <w:r w:rsidR="00C35440">
        <w:rPr>
          <w:rFonts w:ascii="Bookman Old Style" w:hAnsi="Bookman Old Style"/>
          <w:spacing w:val="-3"/>
        </w:rPr>
        <w:t>7</w:t>
      </w:r>
      <w:r w:rsidR="00C051FF">
        <w:rPr>
          <w:rFonts w:ascii="Bookman Old Style" w:hAnsi="Bookman Old Style"/>
          <w:spacing w:val="-3"/>
        </w:rPr>
        <w:t>84</w:t>
      </w:r>
      <w:r>
        <w:rPr>
          <w:rFonts w:ascii="Bookman Old Style" w:hAnsi="Bookman Old Style"/>
          <w:spacing w:val="-3"/>
        </w:rPr>
        <w:t xml:space="preserve"> </w:t>
      </w:r>
      <w:r w:rsidR="00C051FF">
        <w:rPr>
          <w:rFonts w:ascii="Bookman Old Style" w:hAnsi="Bookman Old Style"/>
          <w:spacing w:val="-3"/>
        </w:rPr>
        <w:t xml:space="preserve">del 31 de agosto, </w:t>
      </w:r>
      <w:r w:rsidR="00C35440">
        <w:rPr>
          <w:rFonts w:ascii="Bookman Old Style" w:hAnsi="Bookman Old Style"/>
          <w:spacing w:val="-3"/>
        </w:rPr>
        <w:t>E</w:t>
      </w:r>
      <w:r w:rsidR="00C35440">
        <w:rPr>
          <w:rFonts w:ascii="Bookman Old Style" w:hAnsi="Bookman Old Style"/>
          <w:spacing w:val="-3"/>
        </w:rPr>
        <w:noBreakHyphen/>
        <w:t>2015</w:t>
      </w:r>
      <w:r w:rsidR="00C35440">
        <w:rPr>
          <w:rFonts w:ascii="Bookman Old Style" w:hAnsi="Bookman Old Style"/>
          <w:spacing w:val="-3"/>
        </w:rPr>
        <w:noBreakHyphen/>
        <w:t>0093</w:t>
      </w:r>
      <w:r w:rsidR="00C051FF">
        <w:rPr>
          <w:rFonts w:ascii="Bookman Old Style" w:hAnsi="Bookman Old Style"/>
          <w:spacing w:val="-3"/>
        </w:rPr>
        <w:t>86</w:t>
      </w:r>
      <w:r w:rsidR="00C35440">
        <w:rPr>
          <w:rFonts w:ascii="Bookman Old Style" w:hAnsi="Bookman Old Style"/>
          <w:spacing w:val="-3"/>
        </w:rPr>
        <w:t xml:space="preserve"> del </w:t>
      </w:r>
      <w:r w:rsidR="00C051FF">
        <w:rPr>
          <w:rFonts w:ascii="Bookman Old Style" w:hAnsi="Bookman Old Style"/>
          <w:spacing w:val="-3"/>
        </w:rPr>
        <w:t xml:space="preserve">15 de septiembre, </w:t>
      </w:r>
      <w:r w:rsidR="00C051FF">
        <w:rPr>
          <w:rFonts w:ascii="Bookman Old Style" w:hAnsi="Bookman Old Style"/>
          <w:spacing w:val="-3"/>
        </w:rPr>
        <w:lastRenderedPageBreak/>
        <w:t>E</w:t>
      </w:r>
      <w:r w:rsidR="00412404">
        <w:rPr>
          <w:rFonts w:ascii="Bookman Old Style" w:hAnsi="Bookman Old Style"/>
          <w:spacing w:val="-3"/>
        </w:rPr>
        <w:noBreakHyphen/>
      </w:r>
      <w:r w:rsidR="00C051FF">
        <w:rPr>
          <w:rFonts w:ascii="Bookman Old Style" w:hAnsi="Bookman Old Style"/>
          <w:spacing w:val="-3"/>
        </w:rPr>
        <w:t>2015</w:t>
      </w:r>
      <w:r w:rsidR="00412404">
        <w:rPr>
          <w:rFonts w:ascii="Bookman Old Style" w:hAnsi="Bookman Old Style"/>
          <w:spacing w:val="-3"/>
        </w:rPr>
        <w:noBreakHyphen/>
      </w:r>
      <w:r w:rsidR="00C051FF">
        <w:rPr>
          <w:rFonts w:ascii="Bookman Old Style" w:hAnsi="Bookman Old Style"/>
          <w:spacing w:val="-3"/>
        </w:rPr>
        <w:t xml:space="preserve">010338 </w:t>
      </w:r>
      <w:r w:rsidR="00C35440">
        <w:rPr>
          <w:rFonts w:ascii="Bookman Old Style" w:hAnsi="Bookman Old Style"/>
          <w:spacing w:val="-3"/>
        </w:rPr>
        <w:t>de</w:t>
      </w:r>
      <w:r w:rsidR="00C051FF">
        <w:rPr>
          <w:rFonts w:ascii="Bookman Old Style" w:hAnsi="Bookman Old Style"/>
          <w:spacing w:val="-3"/>
        </w:rPr>
        <w:t>l 9 de octubre, E-2015-011348 del 3 de noviembre y E</w:t>
      </w:r>
      <w:r w:rsidR="00412404">
        <w:rPr>
          <w:rFonts w:ascii="Bookman Old Style" w:hAnsi="Bookman Old Style"/>
          <w:spacing w:val="-3"/>
        </w:rPr>
        <w:noBreakHyphen/>
      </w:r>
      <w:r w:rsidR="00C051FF">
        <w:rPr>
          <w:rFonts w:ascii="Bookman Old Style" w:hAnsi="Bookman Old Style"/>
          <w:spacing w:val="-3"/>
        </w:rPr>
        <w:t>2015</w:t>
      </w:r>
      <w:r w:rsidR="00412404">
        <w:rPr>
          <w:rFonts w:ascii="Bookman Old Style" w:hAnsi="Bookman Old Style"/>
          <w:spacing w:val="-3"/>
        </w:rPr>
        <w:noBreakHyphen/>
      </w:r>
      <w:r w:rsidR="00C051FF">
        <w:rPr>
          <w:rFonts w:ascii="Bookman Old Style" w:hAnsi="Bookman Old Style"/>
          <w:spacing w:val="-3"/>
        </w:rPr>
        <w:t>011</w:t>
      </w:r>
      <w:r w:rsidR="00412404">
        <w:rPr>
          <w:rFonts w:ascii="Bookman Old Style" w:hAnsi="Bookman Old Style"/>
          <w:spacing w:val="-3"/>
        </w:rPr>
        <w:t>776</w:t>
      </w:r>
      <w:r w:rsidR="00C051FF">
        <w:rPr>
          <w:rFonts w:ascii="Bookman Old Style" w:hAnsi="Bookman Old Style"/>
          <w:spacing w:val="-3"/>
        </w:rPr>
        <w:t xml:space="preserve"> del </w:t>
      </w:r>
      <w:r w:rsidR="00412404">
        <w:rPr>
          <w:rFonts w:ascii="Bookman Old Style" w:hAnsi="Bookman Old Style"/>
          <w:spacing w:val="-3"/>
        </w:rPr>
        <w:t>11</w:t>
      </w:r>
      <w:r w:rsidR="00C051FF">
        <w:rPr>
          <w:rFonts w:ascii="Bookman Old Style" w:hAnsi="Bookman Old Style"/>
          <w:spacing w:val="-3"/>
        </w:rPr>
        <w:t xml:space="preserve"> de noviembre</w:t>
      </w:r>
      <w:r w:rsidR="00412404">
        <w:rPr>
          <w:rFonts w:ascii="Bookman Old Style" w:hAnsi="Bookman Old Style"/>
          <w:spacing w:val="-3"/>
        </w:rPr>
        <w:t xml:space="preserve"> todas del 2015</w:t>
      </w:r>
      <w:r w:rsidR="00050A5A">
        <w:rPr>
          <w:rFonts w:ascii="Bookman Old Style" w:hAnsi="Bookman Old Style"/>
          <w:spacing w:val="-3"/>
        </w:rPr>
        <w:t>, la empresa resolvió todas las inquietudes</w:t>
      </w:r>
      <w:r w:rsidR="00313690">
        <w:rPr>
          <w:rFonts w:ascii="Bookman Old Style" w:hAnsi="Bookman Old Style"/>
          <w:spacing w:val="-3"/>
        </w:rPr>
        <w:t>.</w:t>
      </w:r>
    </w:p>
    <w:p w:rsidR="001E1574" w:rsidRPr="00514DDB" w:rsidRDefault="001E1574" w:rsidP="001E1574">
      <w:pPr>
        <w:tabs>
          <w:tab w:val="left" w:pos="-720"/>
        </w:tabs>
        <w:suppressAutoHyphens/>
        <w:spacing w:before="240" w:after="240"/>
        <w:ind w:left="0"/>
        <w:jc w:val="both"/>
        <w:rPr>
          <w:rFonts w:ascii="Bookman Old Style" w:hAnsi="Bookman Old Style"/>
          <w:spacing w:val="-3"/>
        </w:rPr>
      </w:pPr>
      <w:r>
        <w:rPr>
          <w:rFonts w:ascii="Bookman Old Style" w:hAnsi="Bookman Old Style"/>
        </w:rPr>
        <w:t>C</w:t>
      </w:r>
      <w:r w:rsidRPr="000D33E7">
        <w:rPr>
          <w:rFonts w:ascii="Bookman Old Style" w:hAnsi="Bookman Old Style"/>
        </w:rPr>
        <w:t xml:space="preserve">omo resultado del análisis de la información y de las respuestas presentadas a la Comisión por </w:t>
      </w:r>
      <w:proofErr w:type="spellStart"/>
      <w:r w:rsidR="00085BED">
        <w:rPr>
          <w:rFonts w:ascii="Bookman Old Style" w:hAnsi="Bookman Old Style"/>
        </w:rPr>
        <w:t>C</w:t>
      </w:r>
      <w:r w:rsidR="00B0232C">
        <w:rPr>
          <w:rFonts w:ascii="Bookman Old Style" w:hAnsi="Bookman Old Style"/>
        </w:rPr>
        <w:t>ens</w:t>
      </w:r>
      <w:proofErr w:type="spellEnd"/>
      <w:r w:rsidR="00085BED">
        <w:rPr>
          <w:rFonts w:ascii="Bookman Old Style" w:hAnsi="Bookman Old Style"/>
        </w:rPr>
        <w:t xml:space="preserve"> S.A.</w:t>
      </w:r>
      <w:r>
        <w:rPr>
          <w:rFonts w:ascii="Bookman Old Style" w:hAnsi="Bookman Old Style"/>
        </w:rPr>
        <w:t xml:space="preserve"> E.S.P.</w:t>
      </w:r>
      <w:r w:rsidRPr="000D33E7">
        <w:rPr>
          <w:rFonts w:ascii="Bookman Old Style" w:hAnsi="Bookman Old Style"/>
        </w:rPr>
        <w:t xml:space="preserve">, se realizaron los ajustes pertinentes a la información </w:t>
      </w:r>
      <w:r>
        <w:rPr>
          <w:rFonts w:ascii="Bookman Old Style" w:hAnsi="Bookman Old Style"/>
        </w:rPr>
        <w:t>remitida por la empresa y los cálculos correspondientes conforme a la metodología establecida en la Resolución CREG 180 de 2014</w:t>
      </w:r>
      <w:r w:rsidRPr="000D33E7">
        <w:rPr>
          <w:rFonts w:ascii="Bookman Old Style" w:hAnsi="Bookman Old Style"/>
        </w:rPr>
        <w:t>, según se relacionan</w:t>
      </w:r>
      <w:r>
        <w:rPr>
          <w:rFonts w:ascii="Bookman Old Style" w:hAnsi="Bookman Old Style"/>
        </w:rPr>
        <w:t xml:space="preserve"> </w:t>
      </w:r>
      <w:r w:rsidRPr="000D33E7">
        <w:rPr>
          <w:rFonts w:ascii="Bookman Old Style" w:hAnsi="Bookman Old Style"/>
        </w:rPr>
        <w:t>en el do</w:t>
      </w:r>
      <w:r>
        <w:rPr>
          <w:rFonts w:ascii="Bookman Old Style" w:hAnsi="Bookman Old Style"/>
        </w:rPr>
        <w:t>cumento soporte de la presente resolución.</w:t>
      </w:r>
    </w:p>
    <w:p w:rsidR="004E2BB6" w:rsidRDefault="00050A5A" w:rsidP="00260796">
      <w:pPr>
        <w:tabs>
          <w:tab w:val="left" w:pos="-720"/>
        </w:tabs>
        <w:suppressAutoHyphens/>
        <w:ind w:left="0"/>
        <w:jc w:val="both"/>
        <w:rPr>
          <w:rFonts w:ascii="Bookman Old Style" w:hAnsi="Bookman Old Style"/>
          <w:spacing w:val="-3"/>
        </w:rPr>
      </w:pPr>
      <w:r>
        <w:rPr>
          <w:rFonts w:ascii="Bookman Old Style" w:hAnsi="Bookman Old Style"/>
          <w:spacing w:val="-3"/>
        </w:rPr>
        <w:t>T</w:t>
      </w:r>
      <w:r w:rsidR="004E2BB6" w:rsidRPr="00514DDB">
        <w:rPr>
          <w:rFonts w:ascii="Bookman Old Style" w:hAnsi="Bookman Old Style"/>
          <w:spacing w:val="-3"/>
        </w:rPr>
        <w:t>eniendo los suficient</w:t>
      </w:r>
      <w:r w:rsidR="00DC7B34" w:rsidRPr="00514DDB">
        <w:rPr>
          <w:rFonts w:ascii="Bookman Old Style" w:hAnsi="Bookman Old Style"/>
          <w:spacing w:val="-3"/>
        </w:rPr>
        <w:t>es elementos probatorios, se pro</w:t>
      </w:r>
      <w:r w:rsidR="004E2BB6" w:rsidRPr="00514DDB">
        <w:rPr>
          <w:rFonts w:ascii="Bookman Old Style" w:hAnsi="Bookman Old Style"/>
          <w:spacing w:val="-3"/>
        </w:rPr>
        <w:t xml:space="preserve">cedió al cálculo del costo base de comercialización de energía eléctrica, el riesgo de cartera de usuarios tradicionales y el riesgo de cartera de </w:t>
      </w:r>
      <w:r w:rsidR="00791115">
        <w:rPr>
          <w:rFonts w:ascii="Bookman Old Style" w:hAnsi="Bookman Old Style"/>
          <w:spacing w:val="-3"/>
        </w:rPr>
        <w:t xml:space="preserve">usuarios en áreas especiales para </w:t>
      </w:r>
      <w:proofErr w:type="spellStart"/>
      <w:r w:rsidR="00085BED">
        <w:rPr>
          <w:rFonts w:ascii="Bookman Old Style" w:hAnsi="Bookman Old Style"/>
          <w:spacing w:val="-3"/>
        </w:rPr>
        <w:t>C</w:t>
      </w:r>
      <w:r w:rsidR="00B0232C">
        <w:rPr>
          <w:rFonts w:ascii="Bookman Old Style" w:hAnsi="Bookman Old Style"/>
          <w:spacing w:val="-3"/>
        </w:rPr>
        <w:t>ens</w:t>
      </w:r>
      <w:proofErr w:type="spellEnd"/>
      <w:r w:rsidR="00085BED">
        <w:rPr>
          <w:rFonts w:ascii="Bookman Old Style" w:hAnsi="Bookman Old Style"/>
          <w:spacing w:val="-3"/>
        </w:rPr>
        <w:t xml:space="preserve"> S.A.</w:t>
      </w:r>
      <w:r w:rsidR="00C35440">
        <w:rPr>
          <w:rFonts w:ascii="Bookman Old Style" w:hAnsi="Bookman Old Style"/>
          <w:spacing w:val="-3"/>
        </w:rPr>
        <w:t xml:space="preserve"> </w:t>
      </w:r>
      <w:r w:rsidR="00895037">
        <w:rPr>
          <w:rFonts w:ascii="Bookman Old Style" w:hAnsi="Bookman Old Style"/>
          <w:spacing w:val="-3"/>
        </w:rPr>
        <w:t>E.S.P.</w:t>
      </w:r>
      <w:r>
        <w:rPr>
          <w:rFonts w:ascii="Bookman Old Style" w:hAnsi="Bookman Old Style"/>
          <w:spacing w:val="-3"/>
        </w:rPr>
        <w:t>,</w:t>
      </w:r>
      <w:r w:rsidR="004E2BB6" w:rsidRPr="00514DDB">
        <w:rPr>
          <w:rFonts w:ascii="Bookman Old Style" w:hAnsi="Bookman Old Style"/>
          <w:spacing w:val="-3"/>
        </w:rPr>
        <w:t xml:space="preserve"> con fundamento en la metodología dispuesta en la Resolución CREG 180 de 2014.</w:t>
      </w:r>
    </w:p>
    <w:p w:rsidR="000074D5" w:rsidRPr="00514DDB" w:rsidRDefault="004E2BB6"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w:t>
      </w:r>
      <w:r w:rsidR="000074D5" w:rsidRPr="00514DDB">
        <w:rPr>
          <w:rFonts w:ascii="Bookman Old Style" w:hAnsi="Bookman Old Style"/>
          <w:spacing w:val="-3"/>
        </w:rPr>
        <w:t xml:space="preserve">ado que el presente acto administrativo es de carácter particular, no requiere ser remitido a la </w:t>
      </w:r>
      <w:r w:rsidR="00050A5A">
        <w:rPr>
          <w:rFonts w:ascii="Bookman Old Style" w:hAnsi="Bookman Old Style"/>
          <w:spacing w:val="-3"/>
        </w:rPr>
        <w:t xml:space="preserve">Superintendencia de Industria y Comercio, </w:t>
      </w:r>
      <w:r w:rsidR="000074D5" w:rsidRPr="00514DDB">
        <w:rPr>
          <w:rFonts w:ascii="Bookman Old Style" w:hAnsi="Bookman Old Style"/>
          <w:spacing w:val="-3"/>
        </w:rPr>
        <w:t>SIC</w:t>
      </w:r>
      <w:r w:rsidR="00DF6607">
        <w:rPr>
          <w:rFonts w:ascii="Bookman Old Style" w:hAnsi="Bookman Old Style"/>
          <w:spacing w:val="-3"/>
        </w:rPr>
        <w:t>,</w:t>
      </w:r>
      <w:r w:rsidR="000074D5" w:rsidRPr="00514DDB">
        <w:rPr>
          <w:rFonts w:ascii="Bookman Old Style" w:hAnsi="Bookman Old Style"/>
          <w:spacing w:val="-3"/>
        </w:rPr>
        <w:t xml:space="preserve"> para </w:t>
      </w:r>
      <w:r w:rsidR="00DF6607">
        <w:rPr>
          <w:rFonts w:ascii="Bookman Old Style" w:hAnsi="Bookman Old Style"/>
          <w:spacing w:val="-3"/>
        </w:rPr>
        <w:t>los efectos establecidos en el a</w:t>
      </w:r>
      <w:r w:rsidR="000074D5" w:rsidRPr="00514DDB">
        <w:rPr>
          <w:rFonts w:ascii="Bookman Old Style" w:hAnsi="Bookman Old Style"/>
          <w:spacing w:val="-3"/>
        </w:rPr>
        <w:t>rtículo 7 de la Ley 1340 de 2009, reglamentado por el Decreto 2897 de 2010.</w:t>
      </w:r>
    </w:p>
    <w:p w:rsidR="000074D5" w:rsidRDefault="00313690" w:rsidP="00260796">
      <w:pPr>
        <w:tabs>
          <w:tab w:val="left" w:pos="-720"/>
        </w:tabs>
        <w:suppressAutoHyphens/>
        <w:ind w:left="0"/>
        <w:jc w:val="both"/>
        <w:rPr>
          <w:rFonts w:ascii="Bookman Old Style" w:hAnsi="Bookman Old Style"/>
          <w:spacing w:val="-3"/>
        </w:rPr>
      </w:pPr>
      <w:r>
        <w:rPr>
          <w:rFonts w:ascii="Bookman Old Style" w:hAnsi="Bookman Old Style"/>
          <w:spacing w:val="-3"/>
        </w:rPr>
        <w:t>La Comisión de Regulación de Energía y Gas en su sesi</w:t>
      </w:r>
      <w:r w:rsidR="00A62468">
        <w:rPr>
          <w:rFonts w:ascii="Bookman Old Style" w:hAnsi="Bookman Old Style"/>
          <w:spacing w:val="-3"/>
        </w:rPr>
        <w:t xml:space="preserve">ón </w:t>
      </w:r>
      <w:r w:rsidR="00202CDB">
        <w:rPr>
          <w:rFonts w:ascii="Bookman Old Style" w:hAnsi="Bookman Old Style"/>
          <w:spacing w:val="-3"/>
        </w:rPr>
        <w:t>689</w:t>
      </w:r>
      <w:r w:rsidR="00A62468">
        <w:rPr>
          <w:rFonts w:ascii="Bookman Old Style" w:hAnsi="Bookman Old Style"/>
          <w:spacing w:val="-3"/>
        </w:rPr>
        <w:t xml:space="preserve"> del </w:t>
      </w:r>
      <w:r w:rsidR="00202CDB">
        <w:rPr>
          <w:rFonts w:ascii="Bookman Old Style" w:hAnsi="Bookman Old Style"/>
          <w:spacing w:val="-3"/>
        </w:rPr>
        <w:t>24</w:t>
      </w:r>
      <w:r w:rsidR="00A62468">
        <w:rPr>
          <w:rFonts w:ascii="Bookman Old Style" w:hAnsi="Bookman Old Style"/>
          <w:spacing w:val="-3"/>
        </w:rPr>
        <w:t xml:space="preserve"> de</w:t>
      </w:r>
      <w:r w:rsidR="00260796">
        <w:rPr>
          <w:rFonts w:ascii="Bookman Old Style" w:hAnsi="Bookman Old Style"/>
          <w:spacing w:val="-3"/>
        </w:rPr>
        <w:t xml:space="preserve"> </w:t>
      </w:r>
      <w:r w:rsidR="00202CDB">
        <w:rPr>
          <w:rFonts w:ascii="Bookman Old Style" w:hAnsi="Bookman Old Style"/>
          <w:spacing w:val="-3"/>
        </w:rPr>
        <w:t>noviembre</w:t>
      </w:r>
      <w:r w:rsidR="00260796">
        <w:rPr>
          <w:rFonts w:ascii="Bookman Old Style" w:hAnsi="Bookman Old Style"/>
          <w:spacing w:val="-3"/>
        </w:rPr>
        <w:t xml:space="preserve"> de </w:t>
      </w:r>
      <w:r w:rsidR="00A62468">
        <w:rPr>
          <w:rFonts w:ascii="Bookman Old Style" w:hAnsi="Bookman Old Style"/>
          <w:spacing w:val="-3"/>
        </w:rPr>
        <w:t xml:space="preserve">2015, </w:t>
      </w:r>
      <w:r w:rsidR="00DF6607">
        <w:rPr>
          <w:rFonts w:ascii="Bookman Old Style" w:hAnsi="Bookman Old Style"/>
          <w:spacing w:val="-3"/>
        </w:rPr>
        <w:t>acordó expedir la presente resolución</w:t>
      </w:r>
      <w:r w:rsidR="00A62468">
        <w:rPr>
          <w:rFonts w:ascii="Bookman Old Style" w:hAnsi="Bookman Old Style"/>
          <w:spacing w:val="-3"/>
        </w:rPr>
        <w:t>.</w:t>
      </w:r>
    </w:p>
    <w:p w:rsidR="00260796" w:rsidRDefault="00260796" w:rsidP="00260796">
      <w:pPr>
        <w:tabs>
          <w:tab w:val="left" w:pos="-720"/>
        </w:tabs>
        <w:suppressAutoHyphens/>
        <w:ind w:left="0"/>
        <w:jc w:val="both"/>
        <w:rPr>
          <w:rFonts w:ascii="Bookman Old Style" w:hAnsi="Bookman Old Style"/>
          <w:spacing w:val="-3"/>
        </w:rPr>
      </w:pPr>
    </w:p>
    <w:p w:rsidR="00260796" w:rsidRDefault="00260796" w:rsidP="00260796">
      <w:pPr>
        <w:tabs>
          <w:tab w:val="left" w:pos="-720"/>
        </w:tabs>
        <w:suppressAutoHyphens/>
        <w:ind w:left="0"/>
        <w:jc w:val="both"/>
        <w:rPr>
          <w:rFonts w:ascii="Bookman Old Style" w:hAnsi="Bookman Old Style"/>
          <w:spacing w:val="-3"/>
        </w:rPr>
      </w:pPr>
    </w:p>
    <w:p w:rsidR="000074D5" w:rsidRPr="00A62468" w:rsidRDefault="00A62468" w:rsidP="00260796">
      <w:pPr>
        <w:tabs>
          <w:tab w:val="left" w:pos="-720"/>
        </w:tabs>
        <w:suppressAutoHyphens/>
        <w:ind w:left="0"/>
        <w:jc w:val="center"/>
        <w:rPr>
          <w:rFonts w:ascii="Bookman Old Style" w:hAnsi="Bookman Old Style"/>
          <w:b/>
          <w:spacing w:val="60"/>
        </w:rPr>
      </w:pPr>
      <w:r w:rsidRPr="00A62468">
        <w:rPr>
          <w:rFonts w:ascii="Bookman Old Style" w:hAnsi="Bookman Old Style"/>
          <w:b/>
          <w:spacing w:val="60"/>
        </w:rPr>
        <w:t>RESUELV</w:t>
      </w:r>
      <w:r w:rsidR="000074D5" w:rsidRPr="00A62468">
        <w:rPr>
          <w:rFonts w:ascii="Bookman Old Style" w:hAnsi="Bookman Old Style"/>
          <w:b/>
          <w:spacing w:val="60"/>
        </w:rPr>
        <w:t>E:</w:t>
      </w:r>
    </w:p>
    <w:p w:rsidR="000074D5" w:rsidRDefault="000074D5" w:rsidP="00260796">
      <w:pPr>
        <w:tabs>
          <w:tab w:val="left" w:pos="-720"/>
        </w:tabs>
        <w:suppressAutoHyphens/>
        <w:ind w:left="0"/>
        <w:jc w:val="both"/>
        <w:rPr>
          <w:rFonts w:ascii="Bookman Old Style" w:hAnsi="Bookman Old Style"/>
          <w:spacing w:val="-3"/>
        </w:rPr>
      </w:pPr>
    </w:p>
    <w:p w:rsidR="00260796" w:rsidRPr="00514DDB" w:rsidRDefault="00260796" w:rsidP="00260796">
      <w:pPr>
        <w:tabs>
          <w:tab w:val="left" w:pos="-720"/>
        </w:tabs>
        <w:suppressAutoHyphens/>
        <w:ind w:left="0"/>
        <w:jc w:val="both"/>
        <w:rPr>
          <w:rFonts w:ascii="Bookman Old Style" w:hAnsi="Bookman Old Style"/>
          <w:spacing w:val="-3"/>
        </w:rPr>
      </w:pPr>
    </w:p>
    <w:p w:rsidR="002322D9" w:rsidRDefault="0016052E" w:rsidP="00223A26">
      <w:pPr>
        <w:numPr>
          <w:ilvl w:val="0"/>
          <w:numId w:val="13"/>
        </w:numPr>
        <w:tabs>
          <w:tab w:val="left" w:pos="1418"/>
        </w:tabs>
        <w:suppressAutoHyphens/>
        <w:spacing w:before="120"/>
        <w:ind w:left="0" w:firstLine="0"/>
        <w:jc w:val="both"/>
        <w:rPr>
          <w:rFonts w:ascii="Bookman Old Style" w:hAnsi="Bookman Old Style"/>
          <w:spacing w:val="-3"/>
        </w:rPr>
      </w:pPr>
      <w:r>
        <w:rPr>
          <w:rFonts w:ascii="Bookman Old Style" w:hAnsi="Bookman Old Style"/>
          <w:b/>
          <w:spacing w:val="-3"/>
        </w:rPr>
        <w:t xml:space="preserve">Costo base de comercialización. </w:t>
      </w:r>
      <w:r>
        <w:rPr>
          <w:rFonts w:ascii="Bookman Old Style" w:hAnsi="Bookman Old Style"/>
          <w:spacing w:val="-3"/>
        </w:rPr>
        <w:t xml:space="preserve">El costo base de comercialización para </w:t>
      </w:r>
      <w:r w:rsidR="004663AD">
        <w:rPr>
          <w:rFonts w:ascii="Bookman Old Style" w:hAnsi="Bookman Old Style"/>
          <w:spacing w:val="-3"/>
        </w:rPr>
        <w:t xml:space="preserve">el mercado de comercialización atendido por </w:t>
      </w:r>
      <w:proofErr w:type="spellStart"/>
      <w:r w:rsidR="00085BED">
        <w:rPr>
          <w:rFonts w:ascii="Bookman Old Style" w:hAnsi="Bookman Old Style"/>
          <w:spacing w:val="-3"/>
        </w:rPr>
        <w:t>C</w:t>
      </w:r>
      <w:r w:rsidR="00B0232C">
        <w:rPr>
          <w:rFonts w:ascii="Bookman Old Style" w:hAnsi="Bookman Old Style"/>
          <w:spacing w:val="-3"/>
        </w:rPr>
        <w:t>ens</w:t>
      </w:r>
      <w:proofErr w:type="spellEnd"/>
      <w:r w:rsidR="00085BED">
        <w:rPr>
          <w:rFonts w:ascii="Bookman Old Style" w:hAnsi="Bookman Old Style"/>
          <w:spacing w:val="-3"/>
        </w:rPr>
        <w:t xml:space="preserve"> S.A.</w:t>
      </w:r>
      <w:r w:rsidR="004663AD">
        <w:rPr>
          <w:rFonts w:ascii="Bookman Old Style" w:hAnsi="Bookman Old Style"/>
          <w:spacing w:val="-3"/>
        </w:rPr>
        <w:t xml:space="preserve"> E.S</w:t>
      </w:r>
      <w:r w:rsidR="004F0123">
        <w:rPr>
          <w:rFonts w:ascii="Bookman Old Style" w:hAnsi="Bookman Old Style"/>
          <w:spacing w:val="-3"/>
        </w:rPr>
        <w:t>.</w:t>
      </w:r>
      <w:r w:rsidR="004663AD">
        <w:rPr>
          <w:rFonts w:ascii="Bookman Old Style" w:hAnsi="Bookman Old Style"/>
          <w:spacing w:val="-3"/>
        </w:rPr>
        <w:t>P., conforme a lo establecido en el artículo 6 de la Resolución CREG 180 de 2014 es:</w:t>
      </w:r>
    </w:p>
    <w:p w:rsidR="00260796" w:rsidRPr="002322D9" w:rsidRDefault="00260796" w:rsidP="00260796">
      <w:pPr>
        <w:tabs>
          <w:tab w:val="left" w:pos="1418"/>
        </w:tabs>
        <w:suppressAutoHyphens/>
        <w:ind w:left="0"/>
        <w:jc w:val="both"/>
        <w:rPr>
          <w:rFonts w:ascii="Bookman Old Style" w:hAnsi="Bookman Old Style"/>
          <w:spacing w:val="-3"/>
        </w:rPr>
      </w:pPr>
    </w:p>
    <w:tbl>
      <w:tblPr>
        <w:tblStyle w:val="Tablaconcuadrcula"/>
        <w:tblW w:w="9328" w:type="dxa"/>
        <w:jc w:val="center"/>
        <w:tblLook w:val="04A0" w:firstRow="1" w:lastRow="0" w:firstColumn="1" w:lastColumn="0" w:noHBand="0" w:noVBand="1"/>
      </w:tblPr>
      <w:tblGrid>
        <w:gridCol w:w="3118"/>
        <w:gridCol w:w="1242"/>
        <w:gridCol w:w="1242"/>
        <w:gridCol w:w="1242"/>
        <w:gridCol w:w="1242"/>
        <w:gridCol w:w="1242"/>
      </w:tblGrid>
      <w:tr w:rsidR="00085BED" w:rsidTr="00085BED">
        <w:trPr>
          <w:trHeight w:val="447"/>
          <w:jc w:val="center"/>
        </w:trPr>
        <w:tc>
          <w:tcPr>
            <w:tcW w:w="3118" w:type="dxa"/>
            <w:vAlign w:val="center"/>
          </w:tcPr>
          <w:p w:rsidR="00085BED" w:rsidRPr="002322D9" w:rsidRDefault="00085BED" w:rsidP="002322D9">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Año</w:t>
            </w:r>
          </w:p>
        </w:tc>
        <w:tc>
          <w:tcPr>
            <w:tcW w:w="1242" w:type="dxa"/>
            <w:vAlign w:val="center"/>
          </w:tcPr>
          <w:p w:rsidR="00085BED" w:rsidRPr="002322D9" w:rsidRDefault="00085BED" w:rsidP="00085BED">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2015</w:t>
            </w:r>
          </w:p>
        </w:tc>
        <w:tc>
          <w:tcPr>
            <w:tcW w:w="1242" w:type="dxa"/>
            <w:vAlign w:val="center"/>
          </w:tcPr>
          <w:p w:rsidR="00085BED" w:rsidRPr="002322D9" w:rsidRDefault="00085BED" w:rsidP="00085BED">
            <w:pPr>
              <w:tabs>
                <w:tab w:val="left" w:pos="1418"/>
              </w:tabs>
              <w:suppressAutoHyphens/>
              <w:ind w:left="0"/>
              <w:jc w:val="center"/>
              <w:rPr>
                <w:rFonts w:ascii="Bookman Old Style" w:hAnsi="Bookman Old Style"/>
                <w:b/>
                <w:spacing w:val="-3"/>
              </w:rPr>
            </w:pPr>
            <w:r>
              <w:rPr>
                <w:rFonts w:ascii="Bookman Old Style" w:hAnsi="Bookman Old Style"/>
                <w:b/>
                <w:spacing w:val="-3"/>
              </w:rPr>
              <w:t>2016</w:t>
            </w:r>
          </w:p>
        </w:tc>
        <w:tc>
          <w:tcPr>
            <w:tcW w:w="1242" w:type="dxa"/>
            <w:vAlign w:val="center"/>
          </w:tcPr>
          <w:p w:rsidR="00085BED" w:rsidRPr="002322D9" w:rsidRDefault="00085BED" w:rsidP="00085BED">
            <w:pPr>
              <w:tabs>
                <w:tab w:val="left" w:pos="1418"/>
              </w:tabs>
              <w:suppressAutoHyphens/>
              <w:ind w:left="0"/>
              <w:jc w:val="center"/>
              <w:rPr>
                <w:rFonts w:ascii="Bookman Old Style" w:hAnsi="Bookman Old Style"/>
                <w:b/>
                <w:spacing w:val="-3"/>
              </w:rPr>
            </w:pPr>
            <w:r>
              <w:rPr>
                <w:rFonts w:ascii="Bookman Old Style" w:hAnsi="Bookman Old Style"/>
                <w:b/>
                <w:spacing w:val="-3"/>
              </w:rPr>
              <w:t>2017</w:t>
            </w:r>
          </w:p>
        </w:tc>
        <w:tc>
          <w:tcPr>
            <w:tcW w:w="1242" w:type="dxa"/>
            <w:vAlign w:val="center"/>
          </w:tcPr>
          <w:p w:rsidR="00085BED" w:rsidRPr="002322D9" w:rsidRDefault="00085BED" w:rsidP="00085BED">
            <w:pPr>
              <w:tabs>
                <w:tab w:val="left" w:pos="1418"/>
              </w:tabs>
              <w:suppressAutoHyphens/>
              <w:ind w:left="0"/>
              <w:jc w:val="center"/>
              <w:rPr>
                <w:rFonts w:ascii="Bookman Old Style" w:hAnsi="Bookman Old Style"/>
                <w:b/>
                <w:spacing w:val="-3"/>
              </w:rPr>
            </w:pPr>
            <w:r>
              <w:rPr>
                <w:rFonts w:ascii="Bookman Old Style" w:hAnsi="Bookman Old Style"/>
                <w:b/>
                <w:spacing w:val="-3"/>
              </w:rPr>
              <w:t>2018</w:t>
            </w:r>
          </w:p>
        </w:tc>
        <w:tc>
          <w:tcPr>
            <w:tcW w:w="1242" w:type="dxa"/>
            <w:vAlign w:val="center"/>
          </w:tcPr>
          <w:p w:rsidR="00085BED" w:rsidRPr="002322D9" w:rsidRDefault="00085BED" w:rsidP="00085BED">
            <w:pPr>
              <w:tabs>
                <w:tab w:val="left" w:pos="1418"/>
              </w:tabs>
              <w:suppressAutoHyphens/>
              <w:ind w:left="0"/>
              <w:jc w:val="center"/>
              <w:rPr>
                <w:rFonts w:ascii="Bookman Old Style" w:hAnsi="Bookman Old Style"/>
                <w:b/>
                <w:spacing w:val="-3"/>
              </w:rPr>
            </w:pPr>
            <w:r>
              <w:rPr>
                <w:rFonts w:ascii="Bookman Old Style" w:hAnsi="Bookman Old Style"/>
                <w:b/>
                <w:spacing w:val="-3"/>
              </w:rPr>
              <w:t>2019</w:t>
            </w:r>
          </w:p>
        </w:tc>
      </w:tr>
      <w:tr w:rsidR="00085BED" w:rsidTr="00085BED">
        <w:trPr>
          <w:trHeight w:val="423"/>
          <w:jc w:val="center"/>
        </w:trPr>
        <w:tc>
          <w:tcPr>
            <w:tcW w:w="3118" w:type="dxa"/>
            <w:vAlign w:val="center"/>
          </w:tcPr>
          <w:p w:rsidR="00085BED" w:rsidRPr="002322D9" w:rsidRDefault="00085BED" w:rsidP="00085BED">
            <w:pPr>
              <w:tabs>
                <w:tab w:val="left" w:pos="-720"/>
              </w:tabs>
              <w:suppressAutoHyphens/>
              <w:ind w:left="0"/>
              <w:jc w:val="right"/>
              <w:rPr>
                <w:rFonts w:ascii="Bookman Old Style" w:hAnsi="Bookman Old Style"/>
                <w:b/>
                <w:spacing w:val="-3"/>
              </w:rPr>
            </w:pPr>
            <w:proofErr w:type="spellStart"/>
            <w:r w:rsidRPr="0049328A">
              <w:rPr>
                <w:rFonts w:ascii="Bookman Old Style" w:hAnsi="Bookman Old Style"/>
                <w:b/>
                <w:i/>
                <w:spacing w:val="-3"/>
                <w:sz w:val="28"/>
              </w:rPr>
              <w:t>Cf</w:t>
            </w:r>
            <w:r w:rsidRPr="0049328A">
              <w:rPr>
                <w:rFonts w:ascii="Bookman Old Style" w:hAnsi="Bookman Old Style"/>
                <w:b/>
                <w:i/>
                <w:spacing w:val="-3"/>
                <w:sz w:val="28"/>
                <w:vertAlign w:val="subscript"/>
              </w:rPr>
              <w:t>j</w:t>
            </w:r>
            <w:proofErr w:type="spellEnd"/>
            <w:r w:rsidRPr="0049328A">
              <w:rPr>
                <w:rFonts w:ascii="Bookman Old Style" w:hAnsi="Bookman Old Style"/>
                <w:b/>
                <w:i/>
                <w:spacing w:val="-3"/>
                <w:sz w:val="28"/>
                <w:vertAlign w:val="subscript"/>
              </w:rPr>
              <w:t xml:space="preserve"> </w:t>
            </w:r>
            <w:r>
              <w:rPr>
                <w:rFonts w:ascii="Bookman Old Style" w:hAnsi="Bookman Old Style"/>
                <w:b/>
                <w:i/>
                <w:spacing w:val="-3"/>
                <w:sz w:val="28"/>
                <w:vertAlign w:val="subscript"/>
              </w:rPr>
              <w:t xml:space="preserve"> </w:t>
            </w:r>
            <w:r w:rsidRPr="002322D9">
              <w:rPr>
                <w:rFonts w:ascii="Bookman Old Style" w:hAnsi="Bookman Old Style"/>
                <w:b/>
                <w:spacing w:val="-3"/>
                <w:sz w:val="22"/>
              </w:rPr>
              <w:t>[$ dic-2013 / factura]</w:t>
            </w:r>
          </w:p>
        </w:tc>
        <w:tc>
          <w:tcPr>
            <w:tcW w:w="1242" w:type="dxa"/>
            <w:vAlign w:val="center"/>
          </w:tcPr>
          <w:p w:rsidR="00085BED" w:rsidRPr="00085BED" w:rsidRDefault="00085BED" w:rsidP="00085BED">
            <w:pPr>
              <w:ind w:left="3"/>
              <w:jc w:val="right"/>
              <w:rPr>
                <w:rFonts w:ascii="Bookman Old Style" w:hAnsi="Bookman Old Style"/>
                <w:b/>
                <w:color w:val="000000"/>
                <w:sz w:val="22"/>
                <w:szCs w:val="22"/>
              </w:rPr>
            </w:pPr>
            <w:r w:rsidRPr="00085BED">
              <w:rPr>
                <w:rFonts w:ascii="Bookman Old Style" w:hAnsi="Bookman Old Style"/>
                <w:b/>
                <w:color w:val="000000"/>
                <w:sz w:val="22"/>
                <w:szCs w:val="22"/>
              </w:rPr>
              <w:t>6,275.89</w:t>
            </w:r>
          </w:p>
        </w:tc>
        <w:tc>
          <w:tcPr>
            <w:tcW w:w="1242" w:type="dxa"/>
            <w:vAlign w:val="center"/>
          </w:tcPr>
          <w:p w:rsidR="00085BED" w:rsidRPr="00085BED" w:rsidRDefault="00085BED" w:rsidP="00085BED">
            <w:pPr>
              <w:ind w:left="3"/>
              <w:jc w:val="right"/>
              <w:rPr>
                <w:rFonts w:ascii="Bookman Old Style" w:hAnsi="Bookman Old Style"/>
                <w:b/>
                <w:color w:val="000000"/>
                <w:sz w:val="22"/>
                <w:szCs w:val="22"/>
              </w:rPr>
            </w:pPr>
            <w:r w:rsidRPr="00085BED">
              <w:rPr>
                <w:rFonts w:ascii="Bookman Old Style" w:hAnsi="Bookman Old Style"/>
                <w:b/>
                <w:color w:val="000000"/>
                <w:sz w:val="22"/>
                <w:szCs w:val="22"/>
              </w:rPr>
              <w:t>6,272.39</w:t>
            </w:r>
          </w:p>
        </w:tc>
        <w:tc>
          <w:tcPr>
            <w:tcW w:w="1242" w:type="dxa"/>
            <w:vAlign w:val="center"/>
          </w:tcPr>
          <w:p w:rsidR="00085BED" w:rsidRPr="00085BED" w:rsidRDefault="00085BED" w:rsidP="00085BED">
            <w:pPr>
              <w:ind w:left="3"/>
              <w:jc w:val="right"/>
              <w:rPr>
                <w:rFonts w:ascii="Bookman Old Style" w:hAnsi="Bookman Old Style"/>
                <w:b/>
                <w:color w:val="000000"/>
                <w:sz w:val="22"/>
                <w:szCs w:val="22"/>
              </w:rPr>
            </w:pPr>
            <w:r w:rsidRPr="00085BED">
              <w:rPr>
                <w:rFonts w:ascii="Bookman Old Style" w:hAnsi="Bookman Old Style"/>
                <w:b/>
                <w:color w:val="000000"/>
                <w:sz w:val="22"/>
                <w:szCs w:val="22"/>
              </w:rPr>
              <w:t>6,268.89</w:t>
            </w:r>
          </w:p>
        </w:tc>
        <w:tc>
          <w:tcPr>
            <w:tcW w:w="1242" w:type="dxa"/>
            <w:vAlign w:val="center"/>
          </w:tcPr>
          <w:p w:rsidR="00085BED" w:rsidRPr="00085BED" w:rsidRDefault="00085BED" w:rsidP="00085BED">
            <w:pPr>
              <w:ind w:left="3"/>
              <w:jc w:val="right"/>
              <w:rPr>
                <w:rFonts w:ascii="Bookman Old Style" w:hAnsi="Bookman Old Style"/>
                <w:b/>
                <w:color w:val="000000"/>
                <w:sz w:val="22"/>
                <w:szCs w:val="22"/>
              </w:rPr>
            </w:pPr>
            <w:r w:rsidRPr="00085BED">
              <w:rPr>
                <w:rFonts w:ascii="Bookman Old Style" w:hAnsi="Bookman Old Style"/>
                <w:b/>
                <w:color w:val="000000"/>
                <w:sz w:val="22"/>
                <w:szCs w:val="22"/>
              </w:rPr>
              <w:t>6,265.40</w:t>
            </w:r>
          </w:p>
        </w:tc>
        <w:tc>
          <w:tcPr>
            <w:tcW w:w="1242" w:type="dxa"/>
            <w:vAlign w:val="center"/>
          </w:tcPr>
          <w:p w:rsidR="00085BED" w:rsidRPr="00085BED" w:rsidRDefault="00085BED" w:rsidP="00085BED">
            <w:pPr>
              <w:ind w:left="3"/>
              <w:jc w:val="right"/>
              <w:rPr>
                <w:rFonts w:ascii="Bookman Old Style" w:hAnsi="Bookman Old Style"/>
                <w:b/>
                <w:color w:val="000000"/>
                <w:sz w:val="22"/>
                <w:szCs w:val="22"/>
              </w:rPr>
            </w:pPr>
            <w:r w:rsidRPr="00085BED">
              <w:rPr>
                <w:rFonts w:ascii="Bookman Old Style" w:hAnsi="Bookman Old Style"/>
                <w:b/>
                <w:color w:val="000000"/>
                <w:sz w:val="22"/>
                <w:szCs w:val="22"/>
              </w:rPr>
              <w:t>6,261.90</w:t>
            </w:r>
          </w:p>
        </w:tc>
      </w:tr>
    </w:tbl>
    <w:p w:rsidR="00260796" w:rsidRDefault="00260796" w:rsidP="00260796">
      <w:pPr>
        <w:pStyle w:val="Prrafodelista"/>
        <w:suppressAutoHyphens/>
        <w:ind w:left="0"/>
        <w:jc w:val="both"/>
        <w:rPr>
          <w:rFonts w:ascii="Bookman Old Style" w:hAnsi="Bookman Old Style"/>
          <w:b/>
          <w:spacing w:val="-3"/>
          <w:sz w:val="24"/>
          <w:szCs w:val="24"/>
          <w:lang w:val="es-ES"/>
        </w:rPr>
      </w:pPr>
    </w:p>
    <w:p w:rsidR="000074D5" w:rsidRPr="00565063" w:rsidRDefault="00565063" w:rsidP="00223A26">
      <w:pPr>
        <w:pStyle w:val="Prrafodelista"/>
        <w:numPr>
          <w:ilvl w:val="0"/>
          <w:numId w:val="13"/>
        </w:numPr>
        <w:suppressAutoHyphens/>
        <w:spacing w:before="120"/>
        <w:ind w:left="0" w:firstLine="0"/>
        <w:jc w:val="both"/>
        <w:rPr>
          <w:rFonts w:ascii="Bookman Old Style" w:hAnsi="Bookman Old Style"/>
          <w:b/>
          <w:spacing w:val="-3"/>
          <w:sz w:val="24"/>
          <w:szCs w:val="24"/>
          <w:lang w:val="es-ES"/>
        </w:rPr>
      </w:pPr>
      <w:r>
        <w:rPr>
          <w:rFonts w:ascii="Bookman Old Style" w:hAnsi="Bookman Old Style"/>
          <w:b/>
          <w:spacing w:val="-3"/>
          <w:sz w:val="24"/>
          <w:szCs w:val="24"/>
          <w:lang w:val="es-ES"/>
        </w:rPr>
        <w:t xml:space="preserve">Riesgo de cartera para usuarios tradicionales. </w:t>
      </w:r>
      <w:r w:rsidR="001B6A46">
        <w:rPr>
          <w:rFonts w:ascii="Bookman Old Style" w:hAnsi="Bookman Old Style"/>
          <w:spacing w:val="-3"/>
          <w:sz w:val="24"/>
          <w:szCs w:val="24"/>
          <w:lang w:val="es-ES"/>
        </w:rPr>
        <w:t>La prima de</w:t>
      </w:r>
      <w:r>
        <w:rPr>
          <w:rFonts w:ascii="Bookman Old Style" w:hAnsi="Bookman Old Style"/>
          <w:spacing w:val="-3"/>
          <w:sz w:val="24"/>
          <w:szCs w:val="24"/>
          <w:lang w:val="es-ES"/>
        </w:rPr>
        <w:t xml:space="preserve"> riesgo de cartera</w:t>
      </w:r>
      <w:r w:rsidR="001B6A46">
        <w:rPr>
          <w:rFonts w:ascii="Bookman Old Style" w:hAnsi="Bookman Old Style"/>
          <w:spacing w:val="-3"/>
          <w:sz w:val="24"/>
          <w:szCs w:val="24"/>
          <w:lang w:val="es-ES"/>
        </w:rPr>
        <w:t xml:space="preserve"> no gestionable de los</w:t>
      </w:r>
      <w:r>
        <w:rPr>
          <w:rFonts w:ascii="Bookman Old Style" w:hAnsi="Bookman Old Style"/>
          <w:spacing w:val="-3"/>
          <w:sz w:val="24"/>
          <w:szCs w:val="24"/>
          <w:lang w:val="es-ES"/>
        </w:rPr>
        <w:t xml:space="preserve"> usuarios tradicionales </w:t>
      </w:r>
      <w:r w:rsidR="001B6A46">
        <w:rPr>
          <w:rFonts w:ascii="Bookman Old Style" w:hAnsi="Bookman Old Style"/>
          <w:spacing w:val="-3"/>
          <w:sz w:val="24"/>
          <w:szCs w:val="24"/>
          <w:lang w:val="es-ES"/>
        </w:rPr>
        <w:t xml:space="preserve">en el mercado de comercialización atendido por </w:t>
      </w:r>
      <w:proofErr w:type="spellStart"/>
      <w:r w:rsidR="004F0123" w:rsidRPr="004F0123">
        <w:rPr>
          <w:rFonts w:ascii="Bookman Old Style" w:hAnsi="Bookman Old Style"/>
          <w:spacing w:val="-3"/>
          <w:sz w:val="24"/>
          <w:szCs w:val="24"/>
        </w:rPr>
        <w:t>C</w:t>
      </w:r>
      <w:r w:rsidR="00B0232C" w:rsidRPr="004F0123">
        <w:rPr>
          <w:rFonts w:ascii="Bookman Old Style" w:hAnsi="Bookman Old Style"/>
          <w:spacing w:val="-3"/>
          <w:sz w:val="24"/>
          <w:szCs w:val="24"/>
        </w:rPr>
        <w:t>ens</w:t>
      </w:r>
      <w:proofErr w:type="spellEnd"/>
      <w:r w:rsidR="004F0123" w:rsidRPr="004F0123">
        <w:rPr>
          <w:rFonts w:ascii="Bookman Old Style" w:hAnsi="Bookman Old Style"/>
          <w:spacing w:val="-3"/>
          <w:sz w:val="24"/>
          <w:szCs w:val="24"/>
        </w:rPr>
        <w:t xml:space="preserve"> S.A. E.S</w:t>
      </w:r>
      <w:r w:rsidR="004F0123">
        <w:rPr>
          <w:rFonts w:ascii="Bookman Old Style" w:hAnsi="Bookman Old Style"/>
          <w:spacing w:val="-3"/>
          <w:sz w:val="24"/>
          <w:szCs w:val="24"/>
        </w:rPr>
        <w:t>.</w:t>
      </w:r>
      <w:r w:rsidR="004F0123" w:rsidRPr="004F0123">
        <w:rPr>
          <w:rFonts w:ascii="Bookman Old Style" w:hAnsi="Bookman Old Style"/>
          <w:spacing w:val="-3"/>
          <w:sz w:val="24"/>
          <w:szCs w:val="24"/>
        </w:rPr>
        <w:t>P.</w:t>
      </w:r>
      <w:r w:rsidR="001B6A46" w:rsidRPr="004F0123">
        <w:rPr>
          <w:rFonts w:ascii="Bookman Old Style" w:hAnsi="Bookman Old Style"/>
          <w:spacing w:val="-3"/>
          <w:sz w:val="24"/>
          <w:szCs w:val="24"/>
          <w:lang w:val="es-ES"/>
        </w:rPr>
        <w:t>,</w:t>
      </w:r>
      <w:r w:rsidR="001B6A46">
        <w:rPr>
          <w:rFonts w:ascii="Bookman Old Style" w:hAnsi="Bookman Old Style"/>
          <w:spacing w:val="-3"/>
          <w:sz w:val="24"/>
          <w:szCs w:val="24"/>
          <w:lang w:val="es-ES"/>
        </w:rPr>
        <w:t xml:space="preserve"> </w:t>
      </w:r>
      <w:r w:rsidR="004B7260">
        <w:rPr>
          <w:rFonts w:ascii="Bookman Old Style" w:hAnsi="Bookman Old Style"/>
          <w:spacing w:val="-3"/>
          <w:sz w:val="24"/>
          <w:szCs w:val="24"/>
          <w:lang w:val="es-ES"/>
        </w:rPr>
        <w:t xml:space="preserve">conforme </w:t>
      </w:r>
      <w:r w:rsidR="00B0232C">
        <w:rPr>
          <w:rFonts w:ascii="Bookman Old Style" w:hAnsi="Bookman Old Style"/>
          <w:spacing w:val="-3"/>
          <w:sz w:val="24"/>
          <w:szCs w:val="24"/>
          <w:lang w:val="es-ES"/>
        </w:rPr>
        <w:t>con</w:t>
      </w:r>
      <w:r w:rsidR="004B7260">
        <w:rPr>
          <w:rFonts w:ascii="Bookman Old Style" w:hAnsi="Bookman Old Style"/>
          <w:spacing w:val="-3"/>
          <w:sz w:val="24"/>
          <w:szCs w:val="24"/>
          <w:lang w:val="es-ES"/>
        </w:rPr>
        <w:t xml:space="preserve"> lo establecido en el numeral 1 del artículo 14 </w:t>
      </w:r>
      <w:r w:rsidR="00CC0023" w:rsidRPr="00CC0023">
        <w:rPr>
          <w:rFonts w:ascii="Bookman Old Style" w:hAnsi="Bookman Old Style"/>
          <w:spacing w:val="-3"/>
          <w:sz w:val="24"/>
          <w:szCs w:val="24"/>
          <w:lang w:val="es-ES"/>
        </w:rPr>
        <w:t xml:space="preserve">de la Resolución CREG 180 de 2014 </w:t>
      </w:r>
      <w:r w:rsidR="004B7260">
        <w:rPr>
          <w:rFonts w:ascii="Bookman Old Style" w:hAnsi="Bookman Old Style"/>
          <w:spacing w:val="-3"/>
          <w:sz w:val="24"/>
          <w:szCs w:val="24"/>
          <w:lang w:val="es-ES"/>
        </w:rPr>
        <w:t>es:</w:t>
      </w:r>
    </w:p>
    <w:p w:rsidR="000074D5" w:rsidRPr="00CC0023" w:rsidRDefault="004B7260" w:rsidP="004B7260">
      <w:pPr>
        <w:tabs>
          <w:tab w:val="left" w:pos="-720"/>
        </w:tabs>
        <w:suppressAutoHyphens/>
        <w:spacing w:before="240" w:after="240"/>
        <w:ind w:left="0"/>
        <w:jc w:val="center"/>
        <w:rPr>
          <w:rFonts w:ascii="Bookman Old Style" w:hAnsi="Bookman Old Style"/>
          <w:b/>
          <w:spacing w:val="-3"/>
        </w:rPr>
      </w:pPr>
      <w:proofErr w:type="spellStart"/>
      <w:r w:rsidRPr="00CC0023">
        <w:rPr>
          <w:rFonts w:ascii="Bookman Old Style" w:hAnsi="Bookman Old Style"/>
          <w:b/>
          <w:spacing w:val="-3"/>
        </w:rPr>
        <w:t>RCT</w:t>
      </w:r>
      <w:r w:rsidRPr="00CC0023">
        <w:rPr>
          <w:rFonts w:ascii="Bookman Old Style" w:hAnsi="Bookman Old Style"/>
          <w:b/>
          <w:spacing w:val="-3"/>
          <w:vertAlign w:val="subscript"/>
        </w:rPr>
        <w:t>j</w:t>
      </w:r>
      <w:proofErr w:type="spellEnd"/>
      <w:r w:rsidRPr="00CC0023">
        <w:rPr>
          <w:rFonts w:ascii="Bookman Old Style" w:hAnsi="Bookman Old Style"/>
          <w:b/>
          <w:spacing w:val="-3"/>
        </w:rPr>
        <w:t xml:space="preserve"> =</w:t>
      </w:r>
      <w:r w:rsidR="00C01C41" w:rsidRPr="00CC0023">
        <w:rPr>
          <w:rFonts w:ascii="Bookman Old Style" w:hAnsi="Bookman Old Style"/>
          <w:b/>
          <w:spacing w:val="-3"/>
        </w:rPr>
        <w:t xml:space="preserve"> </w:t>
      </w:r>
      <w:r w:rsidR="00C35440" w:rsidRPr="00C35440">
        <w:rPr>
          <w:rFonts w:ascii="Bookman Old Style" w:hAnsi="Bookman Old Style"/>
          <w:b/>
          <w:spacing w:val="-3"/>
        </w:rPr>
        <w:t>0.03</w:t>
      </w:r>
      <w:r w:rsidR="002F5C2F">
        <w:rPr>
          <w:rFonts w:ascii="Bookman Old Style" w:hAnsi="Bookman Old Style"/>
          <w:b/>
          <w:spacing w:val="-3"/>
        </w:rPr>
        <w:t>45</w:t>
      </w:r>
      <w:r w:rsidR="00C35440" w:rsidRPr="00C35440">
        <w:rPr>
          <w:rFonts w:ascii="Bookman Old Style" w:hAnsi="Bookman Old Style"/>
          <w:b/>
          <w:spacing w:val="-3"/>
        </w:rPr>
        <w:t>%</w:t>
      </w:r>
    </w:p>
    <w:p w:rsidR="004B7260" w:rsidRDefault="004B7260" w:rsidP="00223A26">
      <w:pPr>
        <w:pStyle w:val="Prrafodelista"/>
        <w:numPr>
          <w:ilvl w:val="0"/>
          <w:numId w:val="13"/>
        </w:numPr>
        <w:tabs>
          <w:tab w:val="left" w:pos="-720"/>
          <w:tab w:val="left" w:pos="1418"/>
        </w:tabs>
        <w:suppressAutoHyphens/>
        <w:spacing w:before="120"/>
        <w:ind w:left="0" w:firstLine="0"/>
        <w:jc w:val="both"/>
        <w:rPr>
          <w:rFonts w:ascii="Bookman Old Style" w:hAnsi="Bookman Old Style"/>
          <w:b/>
          <w:spacing w:val="-3"/>
          <w:sz w:val="24"/>
          <w:szCs w:val="24"/>
          <w:lang w:val="es-ES"/>
        </w:rPr>
      </w:pPr>
      <w:r w:rsidRPr="004B7260">
        <w:rPr>
          <w:rFonts w:ascii="Bookman Old Style" w:hAnsi="Bookman Old Style"/>
          <w:b/>
          <w:spacing w:val="-3"/>
          <w:sz w:val="24"/>
          <w:szCs w:val="24"/>
          <w:lang w:val="es-ES"/>
        </w:rPr>
        <w:t xml:space="preserve">Riesgo de cartera para </w:t>
      </w:r>
      <w:r>
        <w:rPr>
          <w:rFonts w:ascii="Bookman Old Style" w:hAnsi="Bookman Old Style"/>
          <w:b/>
          <w:spacing w:val="-3"/>
          <w:sz w:val="24"/>
          <w:szCs w:val="24"/>
          <w:lang w:val="es-ES"/>
        </w:rPr>
        <w:t xml:space="preserve">la atención de </w:t>
      </w:r>
      <w:r w:rsidRPr="004B7260">
        <w:rPr>
          <w:rFonts w:ascii="Bookman Old Style" w:hAnsi="Bookman Old Style"/>
          <w:b/>
          <w:spacing w:val="-3"/>
          <w:sz w:val="24"/>
          <w:szCs w:val="24"/>
          <w:lang w:val="es-ES"/>
        </w:rPr>
        <w:t xml:space="preserve">usuarios </w:t>
      </w:r>
      <w:r>
        <w:rPr>
          <w:rFonts w:ascii="Bookman Old Style" w:hAnsi="Bookman Old Style"/>
          <w:b/>
          <w:spacing w:val="-3"/>
          <w:sz w:val="24"/>
          <w:szCs w:val="24"/>
          <w:lang w:val="es-ES"/>
        </w:rPr>
        <w:t>ubicados en áreas especiales</w:t>
      </w:r>
      <w:r w:rsidRPr="004B7260">
        <w:rPr>
          <w:rFonts w:ascii="Bookman Old Style" w:hAnsi="Bookman Old Style"/>
          <w:b/>
          <w:spacing w:val="-3"/>
          <w:sz w:val="24"/>
          <w:szCs w:val="24"/>
          <w:lang w:val="es-ES"/>
        </w:rPr>
        <w:t xml:space="preserve">. </w:t>
      </w:r>
      <w:r>
        <w:rPr>
          <w:rFonts w:ascii="Bookman Old Style" w:hAnsi="Bookman Old Style"/>
          <w:spacing w:val="-3"/>
          <w:sz w:val="24"/>
          <w:szCs w:val="24"/>
          <w:lang w:val="es-ES"/>
        </w:rPr>
        <w:t>La prima de riesgo de cartera</w:t>
      </w:r>
      <w:r w:rsidR="002E7968">
        <w:rPr>
          <w:rFonts w:ascii="Bookman Old Style" w:hAnsi="Bookman Old Style"/>
          <w:spacing w:val="-3"/>
          <w:sz w:val="24"/>
          <w:szCs w:val="24"/>
          <w:lang w:val="es-ES"/>
        </w:rPr>
        <w:t xml:space="preserve"> por </w:t>
      </w:r>
      <w:r>
        <w:rPr>
          <w:rFonts w:ascii="Bookman Old Style" w:hAnsi="Bookman Old Style"/>
          <w:spacing w:val="-3"/>
          <w:sz w:val="24"/>
          <w:szCs w:val="24"/>
          <w:lang w:val="es-ES"/>
        </w:rPr>
        <w:t xml:space="preserve">la atención de usuarios ubicados en áreas especiales </w:t>
      </w:r>
      <w:r w:rsidR="002E7968">
        <w:rPr>
          <w:rFonts w:ascii="Bookman Old Style" w:hAnsi="Bookman Old Style"/>
          <w:spacing w:val="-3"/>
          <w:sz w:val="24"/>
          <w:szCs w:val="24"/>
          <w:lang w:val="es-ES"/>
        </w:rPr>
        <w:t>en el mercado de comercialización</w:t>
      </w:r>
      <w:r>
        <w:rPr>
          <w:rFonts w:ascii="Bookman Old Style" w:hAnsi="Bookman Old Style"/>
          <w:spacing w:val="-3"/>
          <w:sz w:val="24"/>
          <w:szCs w:val="24"/>
          <w:lang w:val="es-ES"/>
        </w:rPr>
        <w:t xml:space="preserve"> </w:t>
      </w:r>
      <w:r w:rsidR="002E7968">
        <w:rPr>
          <w:rFonts w:ascii="Bookman Old Style" w:hAnsi="Bookman Old Style"/>
          <w:spacing w:val="-3"/>
          <w:sz w:val="24"/>
          <w:szCs w:val="24"/>
          <w:lang w:val="es-ES"/>
        </w:rPr>
        <w:t xml:space="preserve">atendido por </w:t>
      </w:r>
      <w:proofErr w:type="spellStart"/>
      <w:r w:rsidR="004F0123" w:rsidRPr="004F0123">
        <w:rPr>
          <w:rFonts w:ascii="Bookman Old Style" w:hAnsi="Bookman Old Style"/>
          <w:spacing w:val="-3"/>
          <w:sz w:val="24"/>
          <w:szCs w:val="24"/>
        </w:rPr>
        <w:t>C</w:t>
      </w:r>
      <w:r w:rsidR="00B0232C" w:rsidRPr="004F0123">
        <w:rPr>
          <w:rFonts w:ascii="Bookman Old Style" w:hAnsi="Bookman Old Style"/>
          <w:spacing w:val="-3"/>
          <w:sz w:val="24"/>
          <w:szCs w:val="24"/>
        </w:rPr>
        <w:t>ens</w:t>
      </w:r>
      <w:proofErr w:type="spellEnd"/>
      <w:r w:rsidR="004F0123" w:rsidRPr="004F0123">
        <w:rPr>
          <w:rFonts w:ascii="Bookman Old Style" w:hAnsi="Bookman Old Style"/>
          <w:spacing w:val="-3"/>
          <w:sz w:val="24"/>
          <w:szCs w:val="24"/>
        </w:rPr>
        <w:t xml:space="preserve"> S.A. E.S</w:t>
      </w:r>
      <w:r w:rsidR="004F0123">
        <w:rPr>
          <w:rFonts w:ascii="Bookman Old Style" w:hAnsi="Bookman Old Style"/>
          <w:spacing w:val="-3"/>
          <w:sz w:val="24"/>
          <w:szCs w:val="24"/>
        </w:rPr>
        <w:t>.</w:t>
      </w:r>
      <w:r w:rsidR="004F0123" w:rsidRPr="004F0123">
        <w:rPr>
          <w:rFonts w:ascii="Bookman Old Style" w:hAnsi="Bookman Old Style"/>
          <w:spacing w:val="-3"/>
          <w:sz w:val="24"/>
          <w:szCs w:val="24"/>
        </w:rPr>
        <w:t>P.</w:t>
      </w:r>
      <w:r w:rsidR="001B6A46" w:rsidRPr="004F0123">
        <w:rPr>
          <w:rFonts w:ascii="Bookman Old Style" w:hAnsi="Bookman Old Style"/>
          <w:spacing w:val="-3"/>
          <w:sz w:val="24"/>
          <w:szCs w:val="24"/>
          <w:lang w:val="es-ES"/>
        </w:rPr>
        <w:t>,</w:t>
      </w:r>
      <w:r>
        <w:rPr>
          <w:rFonts w:ascii="Bookman Old Style" w:hAnsi="Bookman Old Style"/>
          <w:spacing w:val="-3"/>
          <w:sz w:val="24"/>
          <w:szCs w:val="24"/>
          <w:lang w:val="es-ES"/>
        </w:rPr>
        <w:t xml:space="preserve"> </w:t>
      </w:r>
      <w:r w:rsidR="00CC0023">
        <w:rPr>
          <w:rFonts w:ascii="Bookman Old Style" w:hAnsi="Bookman Old Style"/>
          <w:spacing w:val="-3"/>
          <w:sz w:val="24"/>
          <w:szCs w:val="24"/>
          <w:lang w:val="es-ES"/>
        </w:rPr>
        <w:t xml:space="preserve">conforme </w:t>
      </w:r>
      <w:r w:rsidR="00B0232C">
        <w:rPr>
          <w:rFonts w:ascii="Bookman Old Style" w:hAnsi="Bookman Old Style"/>
          <w:spacing w:val="-3"/>
          <w:sz w:val="24"/>
          <w:szCs w:val="24"/>
          <w:lang w:val="es-ES"/>
        </w:rPr>
        <w:t>con</w:t>
      </w:r>
      <w:r w:rsidR="00CC0023">
        <w:rPr>
          <w:rFonts w:ascii="Bookman Old Style" w:hAnsi="Bookman Old Style"/>
          <w:spacing w:val="-3"/>
          <w:sz w:val="24"/>
          <w:szCs w:val="24"/>
          <w:lang w:val="es-ES"/>
        </w:rPr>
        <w:t xml:space="preserve"> lo establecido en el numeral 2 del artículo 14 de la Resolución CREG 180 de 2014 </w:t>
      </w:r>
      <w:r w:rsidR="00C01C41">
        <w:rPr>
          <w:rFonts w:ascii="Bookman Old Style" w:hAnsi="Bookman Old Style"/>
          <w:spacing w:val="-3"/>
          <w:sz w:val="24"/>
          <w:szCs w:val="24"/>
          <w:lang w:val="es-ES"/>
        </w:rPr>
        <w:t>es:</w:t>
      </w:r>
    </w:p>
    <w:p w:rsidR="00C01C41" w:rsidRDefault="00C01C41" w:rsidP="00C01C41">
      <w:pPr>
        <w:tabs>
          <w:tab w:val="left" w:pos="-720"/>
          <w:tab w:val="left" w:pos="1418"/>
        </w:tabs>
        <w:suppressAutoHyphens/>
        <w:spacing w:before="240" w:after="240"/>
        <w:jc w:val="center"/>
        <w:rPr>
          <w:rFonts w:ascii="Bookman Old Style" w:hAnsi="Bookman Old Style"/>
          <w:b/>
          <w:spacing w:val="-3"/>
        </w:rPr>
      </w:pPr>
      <w:proofErr w:type="spellStart"/>
      <w:r w:rsidRPr="00CC0023">
        <w:rPr>
          <w:rFonts w:ascii="Bookman Old Style" w:hAnsi="Bookman Old Style"/>
          <w:b/>
          <w:spacing w:val="-3"/>
        </w:rPr>
        <w:t>RCAE</w:t>
      </w:r>
      <w:r w:rsidRPr="00CC0023">
        <w:rPr>
          <w:rFonts w:ascii="Bookman Old Style" w:hAnsi="Bookman Old Style"/>
          <w:b/>
          <w:spacing w:val="-3"/>
          <w:vertAlign w:val="subscript"/>
        </w:rPr>
        <w:t>j</w:t>
      </w:r>
      <w:proofErr w:type="gramStart"/>
      <w:r w:rsidRPr="00CC0023">
        <w:rPr>
          <w:rFonts w:ascii="Bookman Old Style" w:hAnsi="Bookman Old Style"/>
          <w:b/>
          <w:spacing w:val="-3"/>
          <w:vertAlign w:val="subscript"/>
        </w:rPr>
        <w:t>,t</w:t>
      </w:r>
      <w:proofErr w:type="spellEnd"/>
      <w:proofErr w:type="gramEnd"/>
      <w:r w:rsidRPr="00CC0023">
        <w:rPr>
          <w:rFonts w:ascii="Bookman Old Style" w:hAnsi="Bookman Old Style"/>
          <w:b/>
          <w:spacing w:val="-3"/>
          <w:vertAlign w:val="subscript"/>
        </w:rPr>
        <w:t xml:space="preserve"> </w:t>
      </w:r>
      <w:r w:rsidRPr="00CC0023">
        <w:rPr>
          <w:rFonts w:ascii="Bookman Old Style" w:hAnsi="Bookman Old Style"/>
          <w:b/>
          <w:spacing w:val="-3"/>
        </w:rPr>
        <w:t xml:space="preserve">= </w:t>
      </w:r>
      <w:r w:rsidR="002F5C2F">
        <w:rPr>
          <w:rFonts w:ascii="Bookman Old Style" w:hAnsi="Bookman Old Style"/>
          <w:b/>
          <w:spacing w:val="-3"/>
        </w:rPr>
        <w:t>0</w:t>
      </w:r>
      <w:r w:rsidR="00797D72" w:rsidRPr="00797D72">
        <w:rPr>
          <w:rFonts w:ascii="Bookman Old Style" w:hAnsi="Bookman Old Style"/>
          <w:b/>
          <w:spacing w:val="-3"/>
        </w:rPr>
        <w:t>.</w:t>
      </w:r>
      <w:r w:rsidR="002F5C2F">
        <w:rPr>
          <w:rFonts w:ascii="Bookman Old Style" w:hAnsi="Bookman Old Style"/>
          <w:b/>
          <w:spacing w:val="-3"/>
        </w:rPr>
        <w:t>12</w:t>
      </w:r>
      <w:r w:rsidR="00797D72" w:rsidRPr="00797D72">
        <w:rPr>
          <w:rFonts w:ascii="Bookman Old Style" w:hAnsi="Bookman Old Style"/>
          <w:b/>
          <w:spacing w:val="-3"/>
        </w:rPr>
        <w:t>%</w:t>
      </w:r>
    </w:p>
    <w:p w:rsidR="00514544" w:rsidRDefault="00C01C41" w:rsidP="00514544">
      <w:pPr>
        <w:pStyle w:val="Estilo2"/>
        <w:numPr>
          <w:ilvl w:val="0"/>
          <w:numId w:val="13"/>
        </w:numPr>
        <w:ind w:left="0" w:firstLine="0"/>
        <w:rPr>
          <w:b w:val="0"/>
        </w:rPr>
      </w:pPr>
      <w:r w:rsidRPr="00C01C41">
        <w:rPr>
          <w:spacing w:val="-3"/>
        </w:rPr>
        <w:lastRenderedPageBreak/>
        <w:t xml:space="preserve">Vigencia. </w:t>
      </w:r>
      <w:r w:rsidRPr="00514544">
        <w:rPr>
          <w:b w:val="0"/>
          <w:spacing w:val="-3"/>
        </w:rPr>
        <w:t xml:space="preserve">De conformidad con lo previsto por el artículo 25 de la Resolución CREG 180 de 2014, </w:t>
      </w:r>
      <w:r w:rsidR="00514544" w:rsidRPr="00514544">
        <w:rPr>
          <w:b w:val="0"/>
          <w:spacing w:val="-3"/>
        </w:rPr>
        <w:t xml:space="preserve">el </w:t>
      </w:r>
      <w:r w:rsidR="00514544" w:rsidRPr="00514544">
        <w:rPr>
          <w:b w:val="0"/>
        </w:rPr>
        <w:t xml:space="preserve">costos base de comercialización y los riesgos de cartera </w:t>
      </w:r>
      <w:r w:rsidR="00E47E35">
        <w:rPr>
          <w:b w:val="0"/>
          <w:shd w:val="clear" w:color="auto" w:fill="FFFFFF"/>
        </w:rPr>
        <w:t xml:space="preserve">aprobados en esta </w:t>
      </w:r>
      <w:r w:rsidR="00514544">
        <w:rPr>
          <w:b w:val="0"/>
          <w:shd w:val="clear" w:color="auto" w:fill="FFFFFF"/>
        </w:rPr>
        <w:t>resolución</w:t>
      </w:r>
      <w:r w:rsidR="00514544" w:rsidRPr="00514544">
        <w:rPr>
          <w:b w:val="0"/>
          <w:shd w:val="clear" w:color="auto" w:fill="FFFFFF"/>
        </w:rPr>
        <w:t xml:space="preserve"> estarán vigentes desde la fecha en que quede en firme y hasta cuando se cumplan cinco años desde la entrada en vigencia</w:t>
      </w:r>
      <w:r w:rsidR="00E47E35">
        <w:rPr>
          <w:b w:val="0"/>
          <w:shd w:val="clear" w:color="auto" w:fill="FFFFFF"/>
        </w:rPr>
        <w:t xml:space="preserve">. </w:t>
      </w:r>
      <w:r w:rsidR="00514544" w:rsidRPr="00514544">
        <w:rPr>
          <w:b w:val="0"/>
        </w:rPr>
        <w:t>Vencido el plazo, éstos continuarán rigiendo hasta que la Comisión apruebe los nuevos.</w:t>
      </w:r>
    </w:p>
    <w:p w:rsidR="00C01C41" w:rsidRDefault="00C01C41" w:rsidP="00C35440">
      <w:pPr>
        <w:pStyle w:val="Estilo2"/>
        <w:numPr>
          <w:ilvl w:val="0"/>
          <w:numId w:val="13"/>
        </w:numPr>
        <w:ind w:left="0" w:firstLine="0"/>
        <w:rPr>
          <w:b w:val="0"/>
        </w:rPr>
      </w:pPr>
      <w:r w:rsidRPr="00514544">
        <w:t xml:space="preserve"> Recursos. </w:t>
      </w:r>
      <w:r w:rsidR="00545E6D">
        <w:rPr>
          <w:b w:val="0"/>
        </w:rPr>
        <w:t>La presente r</w:t>
      </w:r>
      <w:r w:rsidR="00545E6D" w:rsidRPr="00514544">
        <w:rPr>
          <w:b w:val="0"/>
        </w:rPr>
        <w:t xml:space="preserve">esolución deberá notificarse a </w:t>
      </w:r>
      <w:proofErr w:type="spellStart"/>
      <w:r w:rsidR="004F0123" w:rsidRPr="00B0232C">
        <w:rPr>
          <w:b w:val="0"/>
          <w:spacing w:val="-3"/>
        </w:rPr>
        <w:t>C</w:t>
      </w:r>
      <w:r w:rsidR="00B0232C" w:rsidRPr="00B0232C">
        <w:rPr>
          <w:b w:val="0"/>
          <w:spacing w:val="-3"/>
        </w:rPr>
        <w:t>ens</w:t>
      </w:r>
      <w:proofErr w:type="spellEnd"/>
      <w:r w:rsidR="00B0232C" w:rsidRPr="00B0232C">
        <w:rPr>
          <w:b w:val="0"/>
          <w:spacing w:val="-3"/>
        </w:rPr>
        <w:t xml:space="preserve"> </w:t>
      </w:r>
      <w:r w:rsidR="004F0123" w:rsidRPr="00B0232C">
        <w:rPr>
          <w:b w:val="0"/>
          <w:spacing w:val="-3"/>
        </w:rPr>
        <w:t>S.A. E.SP.</w:t>
      </w:r>
      <w:r w:rsidR="00545E6D">
        <w:rPr>
          <w:b w:val="0"/>
          <w:spacing w:val="-3"/>
        </w:rPr>
        <w:t xml:space="preserve"> </w:t>
      </w:r>
      <w:r w:rsidR="00545E6D">
        <w:rPr>
          <w:b w:val="0"/>
        </w:rPr>
        <w:t xml:space="preserve">y a </w:t>
      </w:r>
      <w:proofErr w:type="spellStart"/>
      <w:r w:rsidR="00545E6D">
        <w:rPr>
          <w:b w:val="0"/>
        </w:rPr>
        <w:t>Enertotal</w:t>
      </w:r>
      <w:proofErr w:type="spellEnd"/>
      <w:r w:rsidR="00545E6D">
        <w:rPr>
          <w:b w:val="0"/>
        </w:rPr>
        <w:t xml:space="preserve"> y </w:t>
      </w:r>
      <w:proofErr w:type="spellStart"/>
      <w:r w:rsidR="00545E6D">
        <w:rPr>
          <w:b w:val="0"/>
        </w:rPr>
        <w:t>Dicel</w:t>
      </w:r>
      <w:proofErr w:type="spellEnd"/>
      <w:r w:rsidR="00545E6D">
        <w:rPr>
          <w:b w:val="0"/>
        </w:rPr>
        <w:t xml:space="preserve"> reconocidos como terceros interesados en la actuación administrativa.</w:t>
      </w:r>
      <w:r w:rsidR="00545E6D" w:rsidRPr="006330A6">
        <w:rPr>
          <w:b w:val="0"/>
        </w:rPr>
        <w:t xml:space="preserve"> </w:t>
      </w:r>
      <w:r w:rsidR="00545E6D" w:rsidRPr="00514544">
        <w:rPr>
          <w:b w:val="0"/>
        </w:rPr>
        <w:t xml:space="preserve">Contra lo dispuesto en este acto procede el recurso de reposición, el cual </w:t>
      </w:r>
      <w:r w:rsidR="00A002A2">
        <w:rPr>
          <w:b w:val="0"/>
        </w:rPr>
        <w:t>podrá interponer</w:t>
      </w:r>
      <w:r w:rsidR="00A002A2" w:rsidRPr="00514544">
        <w:rPr>
          <w:b w:val="0"/>
        </w:rPr>
        <w:t xml:space="preserve">se </w:t>
      </w:r>
      <w:r w:rsidR="00545E6D" w:rsidRPr="00514544">
        <w:rPr>
          <w:b w:val="0"/>
        </w:rPr>
        <w:t>ante la Dirección Ejecutiva de la CREG dentro de los cinco (5) días hábiles siguientes a la fecha de su notificación.</w:t>
      </w:r>
    </w:p>
    <w:p w:rsidR="001B6A46" w:rsidRPr="001B6A46" w:rsidRDefault="00260796" w:rsidP="00260796">
      <w:pPr>
        <w:tabs>
          <w:tab w:val="left" w:pos="-720"/>
          <w:tab w:val="left" w:pos="1418"/>
        </w:tabs>
        <w:suppressAutoHyphens/>
        <w:spacing w:before="240" w:after="240"/>
        <w:ind w:left="0"/>
        <w:jc w:val="center"/>
        <w:rPr>
          <w:rFonts w:ascii="Bookman Old Style" w:hAnsi="Bookman Old Style"/>
          <w:b/>
          <w:spacing w:val="-3"/>
          <w:lang w:val="es-CO"/>
        </w:rPr>
      </w:pPr>
      <w:r>
        <w:rPr>
          <w:rFonts w:ascii="Bookman Old Style" w:hAnsi="Bookman Old Style"/>
          <w:b/>
          <w:spacing w:val="-3"/>
          <w:lang w:val="es-CO"/>
        </w:rPr>
        <w:t>NOTIFÍQUESE Y CÚMPLASE</w:t>
      </w:r>
    </w:p>
    <w:p w:rsidR="000074D5" w:rsidRPr="00514DDB" w:rsidRDefault="000074D5"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Dada en Bogotá D.C.,  a</w:t>
      </w:r>
    </w:p>
    <w:p w:rsidR="000074D5" w:rsidRPr="00514DDB" w:rsidRDefault="000074D5" w:rsidP="00514DDB">
      <w:pPr>
        <w:tabs>
          <w:tab w:val="left" w:pos="-720"/>
        </w:tabs>
        <w:suppressAutoHyphens/>
        <w:spacing w:before="240" w:after="240"/>
        <w:ind w:left="0"/>
        <w:jc w:val="both"/>
        <w:rPr>
          <w:rFonts w:ascii="Bookman Old Style" w:hAnsi="Bookman Old Style"/>
          <w:spacing w:val="-3"/>
        </w:rPr>
      </w:pPr>
    </w:p>
    <w:p w:rsidR="000074D5" w:rsidRPr="000074D5" w:rsidRDefault="000074D5"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tbl>
      <w:tblPr>
        <w:tblStyle w:val="Tablaconcuadrcula"/>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95"/>
      </w:tblGrid>
      <w:tr w:rsidR="00514544" w:rsidTr="00E21046">
        <w:tc>
          <w:tcPr>
            <w:tcW w:w="5211" w:type="dxa"/>
          </w:tcPr>
          <w:p w:rsidR="00514544" w:rsidRDefault="00202CDB" w:rsidP="00D20000">
            <w:pPr>
              <w:ind w:left="0"/>
              <w:jc w:val="center"/>
              <w:rPr>
                <w:rFonts w:ascii="Bookman Old Style" w:hAnsi="Bookman Old Style" w:cs="Arial"/>
                <w:lang w:val="es-ES_tradnl"/>
              </w:rPr>
            </w:pPr>
            <w:r>
              <w:rPr>
                <w:rFonts w:ascii="Bookman Old Style" w:hAnsi="Bookman Old Style" w:cs="Arial"/>
                <w:b/>
                <w:spacing w:val="-3"/>
                <w:lang w:eastAsia="en-US"/>
              </w:rPr>
              <w:t>CARLOS FERNANDO ERASO CALERO</w:t>
            </w:r>
          </w:p>
        </w:tc>
        <w:tc>
          <w:tcPr>
            <w:tcW w:w="4395" w:type="dxa"/>
          </w:tcPr>
          <w:p w:rsidR="00514544" w:rsidRDefault="00514544" w:rsidP="00D20000">
            <w:pPr>
              <w:ind w:left="0"/>
              <w:jc w:val="center"/>
              <w:rPr>
                <w:rFonts w:ascii="Bookman Old Style" w:hAnsi="Bookman Old Style" w:cs="Arial"/>
                <w:lang w:val="es-ES_tradnl"/>
              </w:rPr>
            </w:pPr>
            <w:r>
              <w:rPr>
                <w:rFonts w:ascii="Bookman Old Style" w:hAnsi="Bookman Old Style" w:cs="Arial"/>
                <w:b/>
                <w:spacing w:val="-3"/>
                <w:lang w:eastAsia="en-US"/>
              </w:rPr>
              <w:t>JORGE PINTO NOLLA</w:t>
            </w:r>
          </w:p>
        </w:tc>
      </w:tr>
      <w:tr w:rsidR="00514544" w:rsidTr="00E21046">
        <w:tc>
          <w:tcPr>
            <w:tcW w:w="5211" w:type="dxa"/>
          </w:tcPr>
          <w:p w:rsidR="00514544" w:rsidRDefault="00202CDB" w:rsidP="000D1567">
            <w:pPr>
              <w:ind w:left="0"/>
              <w:jc w:val="center"/>
              <w:rPr>
                <w:rFonts w:ascii="Bookman Old Style" w:hAnsi="Bookman Old Style" w:cs="Arial"/>
                <w:spacing w:val="-3"/>
              </w:rPr>
            </w:pPr>
            <w:r>
              <w:rPr>
                <w:rFonts w:ascii="Bookman Old Style" w:hAnsi="Bookman Old Style" w:cs="Arial"/>
                <w:spacing w:val="-3"/>
              </w:rPr>
              <w:t>Vicem</w:t>
            </w:r>
            <w:r w:rsidR="00514544" w:rsidRPr="000074D5">
              <w:rPr>
                <w:rFonts w:ascii="Bookman Old Style" w:hAnsi="Bookman Old Style" w:cs="Arial"/>
                <w:spacing w:val="-3"/>
              </w:rPr>
              <w:t xml:space="preserve">inistro </w:t>
            </w:r>
            <w:r>
              <w:rPr>
                <w:rFonts w:ascii="Bookman Old Style" w:hAnsi="Bookman Old Style" w:cs="Arial"/>
                <w:spacing w:val="-3"/>
              </w:rPr>
              <w:t>de</w:t>
            </w:r>
            <w:r w:rsidR="006430D4">
              <w:rPr>
                <w:rFonts w:ascii="Bookman Old Style" w:hAnsi="Bookman Old Style" w:cs="Arial"/>
                <w:spacing w:val="-3"/>
              </w:rPr>
              <w:t xml:space="preserve"> </w:t>
            </w:r>
            <w:r w:rsidR="00514544" w:rsidRPr="000074D5">
              <w:rPr>
                <w:rFonts w:ascii="Bookman Old Style" w:hAnsi="Bookman Old Style" w:cs="Arial"/>
                <w:spacing w:val="-3"/>
              </w:rPr>
              <w:t>Energía</w:t>
            </w:r>
          </w:p>
          <w:p w:rsidR="00202CDB" w:rsidRDefault="00202CDB" w:rsidP="000D1567">
            <w:pPr>
              <w:ind w:left="0"/>
              <w:jc w:val="center"/>
              <w:rPr>
                <w:rFonts w:ascii="Bookman Old Style" w:hAnsi="Bookman Old Style" w:cs="Arial"/>
                <w:spacing w:val="-3"/>
              </w:rPr>
            </w:pPr>
            <w:r>
              <w:rPr>
                <w:rFonts w:ascii="Bookman Old Style" w:hAnsi="Bookman Old Style" w:cs="Arial"/>
                <w:spacing w:val="-3"/>
              </w:rPr>
              <w:t>Delegado del Ministro de Minas y Energía</w:t>
            </w:r>
          </w:p>
          <w:p w:rsidR="000D1567" w:rsidRPr="006430D4" w:rsidRDefault="006430D4" w:rsidP="000D1567">
            <w:pPr>
              <w:ind w:left="0"/>
              <w:jc w:val="center"/>
              <w:rPr>
                <w:rFonts w:ascii="Bookman Old Style" w:hAnsi="Bookman Old Style" w:cs="Arial"/>
                <w:spacing w:val="-3"/>
                <w:lang w:eastAsia="en-US"/>
              </w:rPr>
            </w:pPr>
            <w:r w:rsidRPr="006430D4">
              <w:rPr>
                <w:rFonts w:ascii="Bookman Old Style" w:hAnsi="Bookman Old Style" w:cs="Arial"/>
                <w:spacing w:val="-3"/>
                <w:lang w:eastAsia="en-US"/>
              </w:rPr>
              <w:t>Presidente</w:t>
            </w:r>
          </w:p>
        </w:tc>
        <w:tc>
          <w:tcPr>
            <w:tcW w:w="4395" w:type="dxa"/>
          </w:tcPr>
          <w:p w:rsidR="00514544" w:rsidRDefault="00514544" w:rsidP="00D20000">
            <w:pPr>
              <w:ind w:left="0"/>
              <w:jc w:val="center"/>
              <w:rPr>
                <w:rFonts w:ascii="Bookman Old Style" w:hAnsi="Bookman Old Style" w:cs="Arial"/>
                <w:b/>
                <w:spacing w:val="-3"/>
                <w:lang w:eastAsia="en-US"/>
              </w:rPr>
            </w:pPr>
            <w:r w:rsidRPr="000074D5">
              <w:rPr>
                <w:rFonts w:ascii="Bookman Old Style" w:hAnsi="Bookman Old Style" w:cs="Arial"/>
                <w:spacing w:val="-3"/>
                <w:lang w:eastAsia="en-US"/>
              </w:rPr>
              <w:t>Director Ejecutivo</w:t>
            </w:r>
          </w:p>
        </w:tc>
      </w:tr>
      <w:tr w:rsidR="00514544" w:rsidTr="00E21046">
        <w:tc>
          <w:tcPr>
            <w:tcW w:w="5211" w:type="dxa"/>
          </w:tcPr>
          <w:p w:rsidR="00514544" w:rsidRPr="000074D5" w:rsidRDefault="00514544" w:rsidP="00D20000">
            <w:pPr>
              <w:ind w:left="0"/>
              <w:jc w:val="center"/>
              <w:rPr>
                <w:rFonts w:ascii="Bookman Old Style" w:hAnsi="Bookman Old Style" w:cs="Arial"/>
                <w:spacing w:val="-3"/>
              </w:rPr>
            </w:pPr>
          </w:p>
        </w:tc>
        <w:tc>
          <w:tcPr>
            <w:tcW w:w="4395" w:type="dxa"/>
          </w:tcPr>
          <w:p w:rsidR="00514544" w:rsidRPr="000074D5" w:rsidRDefault="00514544" w:rsidP="00D20000">
            <w:pPr>
              <w:ind w:left="0"/>
              <w:jc w:val="center"/>
              <w:rPr>
                <w:rFonts w:ascii="Bookman Old Style" w:hAnsi="Bookman Old Style" w:cs="Arial"/>
                <w:spacing w:val="-3"/>
                <w:lang w:eastAsia="en-US"/>
              </w:rPr>
            </w:pPr>
          </w:p>
        </w:tc>
      </w:tr>
    </w:tbl>
    <w:p w:rsidR="000074D5" w:rsidRPr="000074D5" w:rsidRDefault="000074D5" w:rsidP="000074D5">
      <w:pPr>
        <w:ind w:left="0"/>
        <w:rPr>
          <w:rFonts w:ascii="Bookman Old Style" w:hAnsi="Bookman Old Style" w:cs="Arial"/>
          <w:lang w:val="es-ES_tradnl"/>
        </w:rPr>
      </w:pPr>
    </w:p>
    <w:sectPr w:rsidR="000074D5" w:rsidRPr="000074D5" w:rsidSect="00EC2ABD">
      <w:headerReference w:type="even" r:id="rId11"/>
      <w:headerReference w:type="default" r:id="rId12"/>
      <w:footerReference w:type="even" r:id="rId13"/>
      <w:footerReference w:type="default" r:id="rId14"/>
      <w:headerReference w:type="first" r:id="rId15"/>
      <w:footerReference w:type="first" r:id="rId16"/>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632" w:rsidRDefault="00631632" w:rsidP="00445D79">
      <w:r>
        <w:separator/>
      </w:r>
    </w:p>
  </w:endnote>
  <w:endnote w:type="continuationSeparator" w:id="0">
    <w:p w:rsidR="00631632" w:rsidRDefault="00631632" w:rsidP="004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AB3" w:rsidRDefault="00767AB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AB3" w:rsidRDefault="00767AB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AB3" w:rsidRDefault="00767AB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632" w:rsidRDefault="00631632" w:rsidP="00445D79">
      <w:r>
        <w:separator/>
      </w:r>
    </w:p>
  </w:footnote>
  <w:footnote w:type="continuationSeparator" w:id="0">
    <w:p w:rsidR="00631632" w:rsidRDefault="00631632" w:rsidP="00445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AB3" w:rsidRDefault="00767A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Default="00895037" w:rsidP="00EC2ABD">
    <w:pPr>
      <w:pStyle w:val="Ttulo1"/>
      <w:ind w:right="6"/>
      <w:jc w:val="left"/>
      <w:rPr>
        <w:rFonts w:ascii="Bookman Old Style" w:hAnsi="Bookman Old Style" w:cs="Arial"/>
        <w:b w:val="0"/>
        <w:sz w:val="22"/>
        <w:szCs w:val="22"/>
      </w:rPr>
    </w:pPr>
  </w:p>
  <w:p w:rsidR="00895037" w:rsidRPr="00951F79" w:rsidRDefault="00895037" w:rsidP="00EC2AB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w:t>
    </w:r>
    <w:r w:rsidR="00076BD2">
      <w:rPr>
        <w:rFonts w:ascii="Bookman Old Style" w:hAnsi="Bookman Old Style" w:cs="Arial"/>
        <w:b w:val="0"/>
        <w:sz w:val="22"/>
        <w:szCs w:val="22"/>
      </w:rPr>
      <w:t>__</w:t>
    </w:r>
    <w:r>
      <w:rPr>
        <w:rFonts w:ascii="Bookman Old Style" w:hAnsi="Bookman Old Style" w:cs="Arial"/>
        <w:b w:val="0"/>
        <w:sz w:val="22"/>
        <w:szCs w:val="22"/>
      </w:rPr>
      <w:t>____</w:t>
    </w:r>
    <w:r w:rsidRPr="00654384">
      <w:rPr>
        <w:rFonts w:ascii="Bookman Old Style" w:hAnsi="Bookman Old Style" w:cs="Arial"/>
        <w:b w:val="0"/>
        <w:sz w:val="22"/>
        <w:szCs w:val="22"/>
      </w:rPr>
      <w:tab/>
    </w:r>
    <w:r>
      <w:rPr>
        <w:rFonts w:ascii="Bookman Old Style" w:hAnsi="Bookman Old Style" w:cs="Arial"/>
        <w:b w:val="0"/>
        <w:sz w:val="22"/>
        <w:szCs w:val="22"/>
      </w:rPr>
      <w:t>DE ________</w:t>
    </w:r>
    <w:r w:rsidR="00076BD2">
      <w:rPr>
        <w:rFonts w:ascii="Bookman Old Style" w:hAnsi="Bookman Old Style" w:cs="Arial"/>
        <w:b w:val="0"/>
        <w:sz w:val="22"/>
        <w:szCs w:val="22"/>
      </w:rPr>
      <w:t>__</w:t>
    </w:r>
    <w:r>
      <w:rPr>
        <w:rFonts w:ascii="Bookman Old Style" w:hAnsi="Bookman Old Style" w:cs="Arial"/>
        <w:b w:val="0"/>
        <w:sz w:val="22"/>
        <w:szCs w:val="22"/>
      </w:rPr>
      <w:t>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B95B06">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B95B06" w:rsidRPr="00B95B06">
        <w:rPr>
          <w:rFonts w:ascii="Bookman Old Style" w:hAnsi="Bookman Old Style" w:cs="Arial"/>
          <w:b w:val="0"/>
          <w:noProof/>
          <w:sz w:val="22"/>
          <w:szCs w:val="22"/>
        </w:rPr>
        <w:t>4</w:t>
      </w:r>
    </w:fldSimple>
  </w:p>
  <w:p w:rsidR="00895037" w:rsidRDefault="00895037" w:rsidP="00EC2ABD">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24868D78" wp14:editId="58EDE7EB">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E9190E" w:rsidRPr="00223A26" w:rsidRDefault="00703799" w:rsidP="00E9190E">
    <w:pPr>
      <w:pBdr>
        <w:bottom w:val="single" w:sz="4" w:space="1" w:color="auto"/>
      </w:pBdr>
      <w:ind w:left="0"/>
      <w:jc w:val="both"/>
      <w:rPr>
        <w:rFonts w:ascii="Bookman Old Style" w:hAnsi="Bookman Old Style"/>
        <w:sz w:val="22"/>
        <w:szCs w:val="22"/>
      </w:rPr>
    </w:pPr>
    <w:r w:rsidRPr="00FF7BAA">
      <w:rPr>
        <w:rFonts w:ascii="Bookman Old Style" w:hAnsi="Bookman Old Style" w:cs="Arial"/>
        <w:color w:val="000000"/>
        <w:spacing w:val="-6"/>
        <w:sz w:val="22"/>
        <w:lang w:eastAsia="es-CO"/>
      </w:rPr>
      <w:t xml:space="preserve">Por la cual se aprueba el costo base de comercialización, el riesgo de cartera para usuarios tradicionales y para usuarios en áreas especiales del mercado de comercialización atendido por Centrales Eléctricas del Norte de Santander S.A. E.S.P., </w:t>
    </w:r>
    <w:proofErr w:type="spellStart"/>
    <w:r w:rsidRPr="00FF7BAA">
      <w:rPr>
        <w:rFonts w:ascii="Bookman Old Style" w:hAnsi="Bookman Old Style" w:cs="Arial"/>
        <w:color w:val="000000"/>
        <w:spacing w:val="-6"/>
        <w:sz w:val="22"/>
        <w:lang w:eastAsia="es-CO"/>
      </w:rPr>
      <w:t>C</w:t>
    </w:r>
    <w:r w:rsidR="00B0232C" w:rsidRPr="00FF7BAA">
      <w:rPr>
        <w:rFonts w:ascii="Bookman Old Style" w:hAnsi="Bookman Old Style" w:cs="Arial"/>
        <w:color w:val="000000"/>
        <w:spacing w:val="-6"/>
        <w:sz w:val="22"/>
        <w:lang w:eastAsia="es-CO"/>
      </w:rPr>
      <w:t>ens</w:t>
    </w:r>
    <w:proofErr w:type="spellEnd"/>
    <w:r w:rsidRPr="00FF7BAA">
      <w:rPr>
        <w:rFonts w:ascii="Bookman Old Style" w:hAnsi="Bookman Old Style" w:cs="Arial"/>
        <w:color w:val="000000"/>
        <w:spacing w:val="-6"/>
        <w:sz w:val="22"/>
        <w:lang w:eastAsia="es-CO"/>
      </w:rPr>
      <w:t>.</w:t>
    </w:r>
    <w:r w:rsidR="00E9190E" w:rsidRPr="00223A26">
      <w:rPr>
        <w:rFonts w:ascii="Bookman Old Style" w:hAnsi="Bookman Old Style"/>
        <w:sz w:val="22"/>
        <w:szCs w:val="22"/>
      </w:rPr>
      <w:t xml:space="preserve"> </w:t>
    </w:r>
  </w:p>
  <w:p w:rsidR="00E9190E" w:rsidRDefault="00E9190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Default="00895037" w:rsidP="00EC2ABD">
    <w:pPr>
      <w:pStyle w:val="Encabezado"/>
      <w:jc w:val="both"/>
      <w:rPr>
        <w:rFonts w:ascii="Arial" w:hAnsi="Arial" w:cs="Arial"/>
        <w:spacing w:val="20"/>
        <w:sz w:val="20"/>
      </w:rPr>
    </w:pPr>
    <w:r>
      <w:rPr>
        <w:rFonts w:ascii="Arial" w:hAnsi="Arial" w:cs="Arial"/>
        <w:spacing w:val="20"/>
        <w:sz w:val="20"/>
      </w:rPr>
      <w:t xml:space="preserve">                                   República de Colombia</w:t>
    </w:r>
  </w:p>
  <w:p w:rsidR="00895037" w:rsidRDefault="00895037">
    <w:pPr>
      <w:pStyle w:val="Encabezado"/>
      <w:jc w:val="center"/>
      <w:rPr>
        <w:rFonts w:ascii="Arial" w:hAnsi="Arial" w:cs="Arial"/>
        <w:spacing w:val="20"/>
        <w:sz w:val="20"/>
      </w:rPr>
    </w:pPr>
  </w:p>
  <w:p w:rsidR="00895037" w:rsidRDefault="00895037" w:rsidP="00EC2ABD">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5C036F4" wp14:editId="1A0909FB">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C66A42"/>
    <w:multiLevelType w:val="hybridMultilevel"/>
    <w:tmpl w:val="D42050FA"/>
    <w:lvl w:ilvl="0" w:tplc="F8741558">
      <w:start w:val="1"/>
      <w:numFmt w:val="decimal"/>
      <w:lvlText w:val="Artículo %1."/>
      <w:lvlJc w:val="left"/>
      <w:pPr>
        <w:ind w:left="502" w:hanging="360"/>
      </w:pPr>
      <w:rPr>
        <w:rFonts w:ascii="Bookman Old Style" w:hAnsi="Bookman Old Style" w:hint="default"/>
        <w:b/>
        <w:i w:val="0"/>
        <w:sz w:val="24"/>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0">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79"/>
    <w:rsid w:val="00004D3A"/>
    <w:rsid w:val="0000561E"/>
    <w:rsid w:val="000074D5"/>
    <w:rsid w:val="00012FAD"/>
    <w:rsid w:val="00031746"/>
    <w:rsid w:val="00046C73"/>
    <w:rsid w:val="00047082"/>
    <w:rsid w:val="00050A5A"/>
    <w:rsid w:val="00071BDE"/>
    <w:rsid w:val="00076BD2"/>
    <w:rsid w:val="00085540"/>
    <w:rsid w:val="000855C4"/>
    <w:rsid w:val="00085BED"/>
    <w:rsid w:val="000929C4"/>
    <w:rsid w:val="000A0E37"/>
    <w:rsid w:val="000B7122"/>
    <w:rsid w:val="000C1597"/>
    <w:rsid w:val="000C3118"/>
    <w:rsid w:val="000C3D3C"/>
    <w:rsid w:val="000D1567"/>
    <w:rsid w:val="000E68DE"/>
    <w:rsid w:val="000F5DED"/>
    <w:rsid w:val="000F71AA"/>
    <w:rsid w:val="001348FC"/>
    <w:rsid w:val="00135C52"/>
    <w:rsid w:val="00154EA0"/>
    <w:rsid w:val="0016052E"/>
    <w:rsid w:val="001676AB"/>
    <w:rsid w:val="001A2438"/>
    <w:rsid w:val="001A315F"/>
    <w:rsid w:val="001A4892"/>
    <w:rsid w:val="001B6A46"/>
    <w:rsid w:val="001B7F91"/>
    <w:rsid w:val="001C6528"/>
    <w:rsid w:val="001E1574"/>
    <w:rsid w:val="001E522D"/>
    <w:rsid w:val="001F27B7"/>
    <w:rsid w:val="001F4D4A"/>
    <w:rsid w:val="001F66DF"/>
    <w:rsid w:val="002006A0"/>
    <w:rsid w:val="00202CDB"/>
    <w:rsid w:val="00204FDE"/>
    <w:rsid w:val="002069C6"/>
    <w:rsid w:val="002116DE"/>
    <w:rsid w:val="00223A26"/>
    <w:rsid w:val="00227580"/>
    <w:rsid w:val="00230F74"/>
    <w:rsid w:val="002322D9"/>
    <w:rsid w:val="002365D2"/>
    <w:rsid w:val="00240209"/>
    <w:rsid w:val="00246C9C"/>
    <w:rsid w:val="00260796"/>
    <w:rsid w:val="002730C5"/>
    <w:rsid w:val="00285D68"/>
    <w:rsid w:val="002951A4"/>
    <w:rsid w:val="002A01C4"/>
    <w:rsid w:val="002C5970"/>
    <w:rsid w:val="002E46D6"/>
    <w:rsid w:val="002E55F6"/>
    <w:rsid w:val="002E5F61"/>
    <w:rsid w:val="002E7968"/>
    <w:rsid w:val="002F5C2F"/>
    <w:rsid w:val="00307EA5"/>
    <w:rsid w:val="00313690"/>
    <w:rsid w:val="00315DC5"/>
    <w:rsid w:val="00317298"/>
    <w:rsid w:val="003179DE"/>
    <w:rsid w:val="00342D5A"/>
    <w:rsid w:val="00360727"/>
    <w:rsid w:val="003614CE"/>
    <w:rsid w:val="003660FA"/>
    <w:rsid w:val="0037444D"/>
    <w:rsid w:val="00376AE1"/>
    <w:rsid w:val="003A4D24"/>
    <w:rsid w:val="003A7A25"/>
    <w:rsid w:val="003B3622"/>
    <w:rsid w:val="003B6118"/>
    <w:rsid w:val="003C234F"/>
    <w:rsid w:val="003C29FB"/>
    <w:rsid w:val="003C364A"/>
    <w:rsid w:val="003E2E92"/>
    <w:rsid w:val="003E64F2"/>
    <w:rsid w:val="004039E9"/>
    <w:rsid w:val="00412404"/>
    <w:rsid w:val="0041780F"/>
    <w:rsid w:val="004238D9"/>
    <w:rsid w:val="00424E91"/>
    <w:rsid w:val="00427DEF"/>
    <w:rsid w:val="0043109C"/>
    <w:rsid w:val="00445D79"/>
    <w:rsid w:val="004460D9"/>
    <w:rsid w:val="00457368"/>
    <w:rsid w:val="00460B3E"/>
    <w:rsid w:val="00462965"/>
    <w:rsid w:val="004663AD"/>
    <w:rsid w:val="00480500"/>
    <w:rsid w:val="00486A3B"/>
    <w:rsid w:val="0049143B"/>
    <w:rsid w:val="0049328A"/>
    <w:rsid w:val="004A5065"/>
    <w:rsid w:val="004B5B17"/>
    <w:rsid w:val="004B6F90"/>
    <w:rsid w:val="004B7260"/>
    <w:rsid w:val="004C5DB7"/>
    <w:rsid w:val="004D1231"/>
    <w:rsid w:val="004D32A2"/>
    <w:rsid w:val="004D6D12"/>
    <w:rsid w:val="004E0EAC"/>
    <w:rsid w:val="004E1821"/>
    <w:rsid w:val="004E2BB6"/>
    <w:rsid w:val="004F0123"/>
    <w:rsid w:val="005045E1"/>
    <w:rsid w:val="0050656C"/>
    <w:rsid w:val="00514544"/>
    <w:rsid w:val="00514DDB"/>
    <w:rsid w:val="00517AE1"/>
    <w:rsid w:val="005438B9"/>
    <w:rsid w:val="00545E6D"/>
    <w:rsid w:val="00553075"/>
    <w:rsid w:val="00564B3A"/>
    <w:rsid w:val="00565063"/>
    <w:rsid w:val="00576DD9"/>
    <w:rsid w:val="005A031D"/>
    <w:rsid w:val="005A71A9"/>
    <w:rsid w:val="005B069B"/>
    <w:rsid w:val="005F348A"/>
    <w:rsid w:val="00605D34"/>
    <w:rsid w:val="00610B84"/>
    <w:rsid w:val="00610EB5"/>
    <w:rsid w:val="00631632"/>
    <w:rsid w:val="00633688"/>
    <w:rsid w:val="00637F59"/>
    <w:rsid w:val="006430D4"/>
    <w:rsid w:val="006660CC"/>
    <w:rsid w:val="00666347"/>
    <w:rsid w:val="00667777"/>
    <w:rsid w:val="00673D24"/>
    <w:rsid w:val="00680362"/>
    <w:rsid w:val="00681E7E"/>
    <w:rsid w:val="0069550D"/>
    <w:rsid w:val="006A48C6"/>
    <w:rsid w:val="006D54A0"/>
    <w:rsid w:val="006E0B66"/>
    <w:rsid w:val="00703799"/>
    <w:rsid w:val="00704DB3"/>
    <w:rsid w:val="00711678"/>
    <w:rsid w:val="00711BF6"/>
    <w:rsid w:val="007144A2"/>
    <w:rsid w:val="00714616"/>
    <w:rsid w:val="00733B81"/>
    <w:rsid w:val="00747235"/>
    <w:rsid w:val="00760042"/>
    <w:rsid w:val="00763A35"/>
    <w:rsid w:val="0076414B"/>
    <w:rsid w:val="00767AB3"/>
    <w:rsid w:val="007750EF"/>
    <w:rsid w:val="00780A4C"/>
    <w:rsid w:val="00784EC1"/>
    <w:rsid w:val="00791115"/>
    <w:rsid w:val="00792503"/>
    <w:rsid w:val="00797632"/>
    <w:rsid w:val="00797D72"/>
    <w:rsid w:val="007A45A4"/>
    <w:rsid w:val="007C3C49"/>
    <w:rsid w:val="007C4EA7"/>
    <w:rsid w:val="007D63EF"/>
    <w:rsid w:val="007F3293"/>
    <w:rsid w:val="00814975"/>
    <w:rsid w:val="0082091D"/>
    <w:rsid w:val="0083667B"/>
    <w:rsid w:val="008541D0"/>
    <w:rsid w:val="00864454"/>
    <w:rsid w:val="00866F13"/>
    <w:rsid w:val="008813D6"/>
    <w:rsid w:val="00890220"/>
    <w:rsid w:val="00895037"/>
    <w:rsid w:val="008B1E8B"/>
    <w:rsid w:val="008B3A8B"/>
    <w:rsid w:val="008C7C68"/>
    <w:rsid w:val="008E09DB"/>
    <w:rsid w:val="008F2991"/>
    <w:rsid w:val="008F47EC"/>
    <w:rsid w:val="00900997"/>
    <w:rsid w:val="009039B4"/>
    <w:rsid w:val="009118BA"/>
    <w:rsid w:val="00913A9E"/>
    <w:rsid w:val="0095428D"/>
    <w:rsid w:val="00956FB3"/>
    <w:rsid w:val="00963690"/>
    <w:rsid w:val="00966E45"/>
    <w:rsid w:val="00972D76"/>
    <w:rsid w:val="0099156E"/>
    <w:rsid w:val="009A34F8"/>
    <w:rsid w:val="009A5AEA"/>
    <w:rsid w:val="009B756B"/>
    <w:rsid w:val="009C4FE5"/>
    <w:rsid w:val="00A002A2"/>
    <w:rsid w:val="00A038BC"/>
    <w:rsid w:val="00A124A1"/>
    <w:rsid w:val="00A416C9"/>
    <w:rsid w:val="00A421E1"/>
    <w:rsid w:val="00A567A6"/>
    <w:rsid w:val="00A62468"/>
    <w:rsid w:val="00A63FAC"/>
    <w:rsid w:val="00A64C42"/>
    <w:rsid w:val="00A65A9B"/>
    <w:rsid w:val="00A74C90"/>
    <w:rsid w:val="00A814AF"/>
    <w:rsid w:val="00AA11D5"/>
    <w:rsid w:val="00AA3922"/>
    <w:rsid w:val="00AD02AF"/>
    <w:rsid w:val="00AD28BB"/>
    <w:rsid w:val="00AD36F2"/>
    <w:rsid w:val="00AD49A2"/>
    <w:rsid w:val="00AF11BA"/>
    <w:rsid w:val="00B0232C"/>
    <w:rsid w:val="00B13FE8"/>
    <w:rsid w:val="00B27DF4"/>
    <w:rsid w:val="00B447E3"/>
    <w:rsid w:val="00B54CF1"/>
    <w:rsid w:val="00B771EA"/>
    <w:rsid w:val="00B87C46"/>
    <w:rsid w:val="00B92ED7"/>
    <w:rsid w:val="00B95B06"/>
    <w:rsid w:val="00B97B0C"/>
    <w:rsid w:val="00BA0401"/>
    <w:rsid w:val="00BA7A27"/>
    <w:rsid w:val="00BB1214"/>
    <w:rsid w:val="00BC6453"/>
    <w:rsid w:val="00BC79A5"/>
    <w:rsid w:val="00BD2A30"/>
    <w:rsid w:val="00BE6457"/>
    <w:rsid w:val="00BF767E"/>
    <w:rsid w:val="00C01C41"/>
    <w:rsid w:val="00C051FF"/>
    <w:rsid w:val="00C15FBC"/>
    <w:rsid w:val="00C30104"/>
    <w:rsid w:val="00C349D8"/>
    <w:rsid w:val="00C35440"/>
    <w:rsid w:val="00C36023"/>
    <w:rsid w:val="00C50021"/>
    <w:rsid w:val="00C54F6F"/>
    <w:rsid w:val="00C7490C"/>
    <w:rsid w:val="00C84563"/>
    <w:rsid w:val="00C91E97"/>
    <w:rsid w:val="00C939EE"/>
    <w:rsid w:val="00CA03CD"/>
    <w:rsid w:val="00CB1679"/>
    <w:rsid w:val="00CB5D45"/>
    <w:rsid w:val="00CB6610"/>
    <w:rsid w:val="00CC0023"/>
    <w:rsid w:val="00CC1AD3"/>
    <w:rsid w:val="00CD7350"/>
    <w:rsid w:val="00CE3723"/>
    <w:rsid w:val="00CF5AE8"/>
    <w:rsid w:val="00D071CD"/>
    <w:rsid w:val="00D20000"/>
    <w:rsid w:val="00D37C3C"/>
    <w:rsid w:val="00D6009B"/>
    <w:rsid w:val="00D602F3"/>
    <w:rsid w:val="00D63A87"/>
    <w:rsid w:val="00D7745D"/>
    <w:rsid w:val="00D82D30"/>
    <w:rsid w:val="00D96B22"/>
    <w:rsid w:val="00DB6E71"/>
    <w:rsid w:val="00DC3A69"/>
    <w:rsid w:val="00DC4C2A"/>
    <w:rsid w:val="00DC68DE"/>
    <w:rsid w:val="00DC7B34"/>
    <w:rsid w:val="00DD1D32"/>
    <w:rsid w:val="00DD4D02"/>
    <w:rsid w:val="00DE12ED"/>
    <w:rsid w:val="00DE7C33"/>
    <w:rsid w:val="00DF294B"/>
    <w:rsid w:val="00DF6607"/>
    <w:rsid w:val="00E076A5"/>
    <w:rsid w:val="00E17744"/>
    <w:rsid w:val="00E17A71"/>
    <w:rsid w:val="00E202FF"/>
    <w:rsid w:val="00E21046"/>
    <w:rsid w:val="00E46AE9"/>
    <w:rsid w:val="00E47E35"/>
    <w:rsid w:val="00E5537F"/>
    <w:rsid w:val="00E62540"/>
    <w:rsid w:val="00E71925"/>
    <w:rsid w:val="00E73C3F"/>
    <w:rsid w:val="00E81B07"/>
    <w:rsid w:val="00E82F66"/>
    <w:rsid w:val="00E8494F"/>
    <w:rsid w:val="00E9190E"/>
    <w:rsid w:val="00E940AB"/>
    <w:rsid w:val="00EA1FD3"/>
    <w:rsid w:val="00EA2C04"/>
    <w:rsid w:val="00EA5DF7"/>
    <w:rsid w:val="00EB6DF2"/>
    <w:rsid w:val="00EC2ABD"/>
    <w:rsid w:val="00EC30E1"/>
    <w:rsid w:val="00ED6E27"/>
    <w:rsid w:val="00EF4769"/>
    <w:rsid w:val="00F0009F"/>
    <w:rsid w:val="00F00102"/>
    <w:rsid w:val="00F02A72"/>
    <w:rsid w:val="00F033A4"/>
    <w:rsid w:val="00F237F7"/>
    <w:rsid w:val="00F27E74"/>
    <w:rsid w:val="00F4334A"/>
    <w:rsid w:val="00F50447"/>
    <w:rsid w:val="00F53B94"/>
    <w:rsid w:val="00F64926"/>
    <w:rsid w:val="00F66CBF"/>
    <w:rsid w:val="00F671CE"/>
    <w:rsid w:val="00F91322"/>
    <w:rsid w:val="00FA0018"/>
    <w:rsid w:val="00FA45B5"/>
    <w:rsid w:val="00FD3B3D"/>
    <w:rsid w:val="00FE0E4A"/>
    <w:rsid w:val="00FF44EE"/>
    <w:rsid w:val="00FF7B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0F4C58F-FEAF-43A3-86B7-C131C4AE4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6753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2015-11-25T22:19:00Z</cp:lastPrinted>
  <dcterms:created xsi:type="dcterms:W3CDTF">2015-12-21T22:43:00Z</dcterms:created>
  <dcterms:modified xsi:type="dcterms:W3CDTF">2015-12-21T22:43:00Z</dcterms:modified>
</cp:coreProperties>
</file>