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2CD7" w:rsidRPr="001A11B2" w:rsidRDefault="00CD4069" w:rsidP="00392215">
      <w:pPr>
        <w:pStyle w:val="Encabezado"/>
        <w:tabs>
          <w:tab w:val="clear" w:pos="8504"/>
          <w:tab w:val="left" w:pos="0"/>
          <w:tab w:val="right" w:pos="9356"/>
        </w:tabs>
        <w:ind w:left="0"/>
        <w:jc w:val="center"/>
        <w:rPr>
          <w:rFonts w:ascii="Bookman Old Style" w:hAnsi="Bookman Old Style"/>
          <w:b/>
          <w:bCs/>
          <w:noProof/>
          <w:szCs w:val="24"/>
          <w:lang w:val="es-ES"/>
        </w:rPr>
      </w:pPr>
      <w:bookmarkStart w:id="0" w:name="_GoBack"/>
      <w:bookmarkEnd w:id="0"/>
      <w:r>
        <w:rPr>
          <w:rFonts w:ascii="Bookman Old Style" w:hAnsi="Bookman Old Style"/>
          <w:noProof/>
          <w:szCs w:val="24"/>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8" o:title=""/>
          </v:shape>
          <o:OLEObject Type="Embed" ProgID="PBrush" ShapeID="_x0000_s1026" DrawAspect="Content" ObjectID="_1630914190" r:id="rId9"/>
        </w:object>
      </w:r>
      <w:r w:rsidR="00DF2CD7" w:rsidRPr="001A11B2">
        <w:rPr>
          <w:rFonts w:ascii="Bookman Old Style" w:hAnsi="Bookman Old Style"/>
          <w:bCs/>
          <w:szCs w:val="24"/>
        </w:rPr>
        <w:t>Ministerio de Minas y Energía</w:t>
      </w:r>
    </w:p>
    <w:p w:rsidR="00DF2CD7" w:rsidRPr="001A11B2" w:rsidRDefault="00DF2CD7" w:rsidP="00DF2CD7">
      <w:pPr>
        <w:pStyle w:val="Ttulo4"/>
        <w:tabs>
          <w:tab w:val="left" w:pos="0"/>
          <w:tab w:val="right" w:pos="9356"/>
        </w:tabs>
        <w:ind w:left="0"/>
        <w:rPr>
          <w:rFonts w:ascii="Bookman Old Style" w:hAnsi="Bookman Old Style"/>
          <w:b w:val="0"/>
          <w:bCs/>
          <w:sz w:val="24"/>
          <w:szCs w:val="24"/>
        </w:rPr>
      </w:pPr>
    </w:p>
    <w:p w:rsidR="00DF2CD7" w:rsidRPr="001A11B2" w:rsidRDefault="00DF2CD7" w:rsidP="00DF2CD7">
      <w:pPr>
        <w:pStyle w:val="Ttulo3"/>
        <w:tabs>
          <w:tab w:val="left" w:pos="0"/>
          <w:tab w:val="right" w:pos="9356"/>
        </w:tabs>
        <w:ind w:left="0"/>
        <w:rPr>
          <w:rFonts w:ascii="Bookman Old Style" w:hAnsi="Bookman Old Style" w:cs="Arial"/>
          <w:spacing w:val="20"/>
          <w:szCs w:val="24"/>
        </w:rPr>
      </w:pPr>
    </w:p>
    <w:p w:rsidR="00DF2CD7" w:rsidRPr="001A11B2" w:rsidRDefault="00DF2CD7" w:rsidP="00DF2CD7">
      <w:pPr>
        <w:pStyle w:val="Ttulo3"/>
        <w:ind w:left="0"/>
        <w:rPr>
          <w:rFonts w:ascii="Bookman Old Style" w:hAnsi="Bookman Old Style"/>
        </w:rPr>
      </w:pPr>
      <w:r w:rsidRPr="001A11B2">
        <w:rPr>
          <w:rFonts w:ascii="Bookman Old Style" w:hAnsi="Bookman Old Style"/>
        </w:rPr>
        <w:t>COMISIÓN DE REGULACIÓN DE ENERGÍA Y GAS</w:t>
      </w:r>
    </w:p>
    <w:p w:rsidR="00DF2CD7" w:rsidRPr="001A11B2" w:rsidRDefault="00DF2CD7" w:rsidP="00DF2CD7">
      <w:pPr>
        <w:pStyle w:val="Ttulo5"/>
        <w:tabs>
          <w:tab w:val="left" w:pos="0"/>
          <w:tab w:val="right" w:pos="9356"/>
        </w:tabs>
        <w:ind w:left="0"/>
        <w:rPr>
          <w:rFonts w:ascii="Bookman Old Style" w:hAnsi="Bookman Old Style"/>
          <w:sz w:val="24"/>
          <w:szCs w:val="24"/>
        </w:rPr>
      </w:pPr>
    </w:p>
    <w:p w:rsidR="00DF2CD7" w:rsidRPr="001A11B2" w:rsidRDefault="00DF2CD7" w:rsidP="00DF2CD7">
      <w:pPr>
        <w:pStyle w:val="Ttulo5"/>
        <w:tabs>
          <w:tab w:val="left" w:pos="0"/>
          <w:tab w:val="right" w:pos="9356"/>
        </w:tabs>
        <w:ind w:left="0"/>
        <w:rPr>
          <w:rFonts w:ascii="Bookman Old Style" w:hAnsi="Bookman Old Style"/>
          <w:sz w:val="24"/>
          <w:szCs w:val="24"/>
        </w:rPr>
      </w:pPr>
      <w:r w:rsidRPr="001A11B2">
        <w:rPr>
          <w:rFonts w:ascii="Bookman Old Style" w:hAnsi="Bookman Old Style"/>
          <w:sz w:val="24"/>
          <w:szCs w:val="24"/>
        </w:rPr>
        <w:t>RESOLUCIÓ</w:t>
      </w:r>
      <w:r w:rsidR="00D53D9C">
        <w:rPr>
          <w:rFonts w:ascii="Bookman Old Style" w:hAnsi="Bookman Old Style"/>
          <w:sz w:val="24"/>
          <w:szCs w:val="24"/>
        </w:rPr>
        <w:t>N No.                    DE 2019</w:t>
      </w:r>
    </w:p>
    <w:p w:rsidR="00DF2CD7" w:rsidRPr="001A11B2" w:rsidRDefault="00DF2CD7" w:rsidP="00DF2CD7">
      <w:pPr>
        <w:tabs>
          <w:tab w:val="left" w:pos="0"/>
          <w:tab w:val="right" w:pos="9356"/>
        </w:tabs>
        <w:ind w:left="0"/>
        <w:jc w:val="center"/>
        <w:rPr>
          <w:rFonts w:ascii="Bookman Old Style" w:hAnsi="Bookman Old Style" w:cs="Arial"/>
          <w:b/>
          <w:snapToGrid w:val="0"/>
          <w:color w:val="000000"/>
          <w:lang w:val="es-ES_tradnl"/>
        </w:rPr>
      </w:pPr>
    </w:p>
    <w:p w:rsidR="00DF2CD7" w:rsidRPr="001A11B2" w:rsidRDefault="00DF2CD7" w:rsidP="00DF2CD7">
      <w:pPr>
        <w:tabs>
          <w:tab w:val="left" w:pos="0"/>
          <w:tab w:val="right" w:pos="9356"/>
        </w:tabs>
        <w:ind w:left="0"/>
        <w:jc w:val="center"/>
        <w:rPr>
          <w:rFonts w:ascii="Bookman Old Style" w:hAnsi="Bookman Old Style" w:cs="Arial"/>
          <w:b/>
          <w:snapToGrid w:val="0"/>
          <w:color w:val="000000"/>
          <w:lang w:val="es-ES_tradnl"/>
        </w:rPr>
      </w:pPr>
    </w:p>
    <w:p w:rsidR="00DF2CD7" w:rsidRPr="001A11B2" w:rsidRDefault="00DF2CD7" w:rsidP="00DF2CD7">
      <w:pPr>
        <w:pStyle w:val="Ttulo3"/>
        <w:ind w:left="0"/>
      </w:pPr>
      <w:r w:rsidRPr="001A11B2">
        <w:t>(                                           )</w:t>
      </w:r>
    </w:p>
    <w:p w:rsidR="00DF2CD7" w:rsidRPr="001A11B2" w:rsidRDefault="00DF2CD7" w:rsidP="00DF2CD7">
      <w:pPr>
        <w:tabs>
          <w:tab w:val="left" w:pos="0"/>
          <w:tab w:val="right" w:pos="9356"/>
        </w:tabs>
        <w:ind w:left="0"/>
        <w:jc w:val="center"/>
        <w:rPr>
          <w:rFonts w:ascii="Bookman Old Style" w:hAnsi="Bookman Old Style"/>
          <w:lang w:val="es-ES_tradnl"/>
        </w:rPr>
      </w:pPr>
    </w:p>
    <w:p w:rsidR="00DF2CD7" w:rsidRPr="001A11B2" w:rsidRDefault="00DF2CD7" w:rsidP="00DF2CD7">
      <w:pPr>
        <w:ind w:left="0"/>
        <w:jc w:val="center"/>
        <w:rPr>
          <w:rFonts w:ascii="Bookman Old Style" w:hAnsi="Bookman Old Style" w:cs="Arial"/>
        </w:rPr>
      </w:pPr>
    </w:p>
    <w:p w:rsidR="00EC1A9B" w:rsidRPr="00EC1A9B" w:rsidRDefault="00EC1A9B" w:rsidP="00EC1A9B">
      <w:pPr>
        <w:ind w:left="0"/>
        <w:jc w:val="center"/>
        <w:rPr>
          <w:rFonts w:ascii="Bookman Old Style" w:hAnsi="Bookman Old Style"/>
        </w:rPr>
      </w:pPr>
      <w:r w:rsidRPr="001A11B2">
        <w:rPr>
          <w:rFonts w:ascii="Bookman Old Style" w:hAnsi="Bookman Old Style" w:cs="Arial"/>
        </w:rPr>
        <w:t>Por la cual se ordena hacer público un proyecto de resolución</w:t>
      </w:r>
      <w:r>
        <w:rPr>
          <w:rFonts w:ascii="Bookman Old Style" w:hAnsi="Bookman Old Style" w:cs="Arial"/>
        </w:rPr>
        <w:t>:</w:t>
      </w:r>
      <w:r w:rsidRPr="001A11B2">
        <w:rPr>
          <w:rFonts w:ascii="Bookman Old Style" w:hAnsi="Bookman Old Style" w:cs="Arial"/>
        </w:rPr>
        <w:t xml:space="preserve"> </w:t>
      </w:r>
      <w:r w:rsidRPr="00EC1A9B">
        <w:rPr>
          <w:rFonts w:ascii="Bookman Old Style" w:hAnsi="Bookman Old Style" w:cs="Arial"/>
        </w:rPr>
        <w:t>“</w:t>
      </w:r>
      <w:r w:rsidR="005C4705">
        <w:rPr>
          <w:rFonts w:ascii="Bookman Old Style" w:hAnsi="Bookman Old Style" w:cs="Arial"/>
        </w:rPr>
        <w:t>Por la cual se adopta la f</w:t>
      </w:r>
      <w:r w:rsidRPr="00EC1A9B">
        <w:rPr>
          <w:rFonts w:ascii="Bookman Old Style" w:hAnsi="Bookman Old Style"/>
        </w:rPr>
        <w:t xml:space="preserve">órmula de traslado en el componente de compras de energía al usuario regulado de los precios de los contratos del mecanismo complementario del que trata </w:t>
      </w:r>
      <w:r w:rsidR="00C35EAB">
        <w:rPr>
          <w:rFonts w:ascii="Bookman Old Style" w:hAnsi="Bookman Old Style" w:cs="Arial"/>
          <w:lang w:val="es-ES_tradnl"/>
        </w:rPr>
        <w:t xml:space="preserve">el artículo 6 de la Resolución 40591 </w:t>
      </w:r>
      <w:r w:rsidRPr="00EC1A9B">
        <w:rPr>
          <w:rFonts w:ascii="Bookman Old Style" w:hAnsi="Bookman Old Style"/>
        </w:rPr>
        <w:t>del Ministerio de Minas y Energía.”</w:t>
      </w:r>
    </w:p>
    <w:p w:rsidR="00DF2CD7" w:rsidRPr="001A11B2" w:rsidRDefault="00DF2CD7" w:rsidP="00DF2CD7">
      <w:pPr>
        <w:pStyle w:val="Textodebloque"/>
        <w:ind w:left="0" w:right="51"/>
        <w:jc w:val="center"/>
        <w:rPr>
          <w:rFonts w:ascii="Bookman Old Style" w:hAnsi="Bookman Old Style" w:cs="Arial"/>
          <w:lang w:val="es-ES"/>
        </w:rPr>
      </w:pPr>
    </w:p>
    <w:p w:rsidR="00DF2CD7" w:rsidRPr="001A11B2" w:rsidRDefault="00DF2CD7" w:rsidP="00DF2CD7">
      <w:pPr>
        <w:ind w:right="51"/>
        <w:jc w:val="center"/>
        <w:rPr>
          <w:rFonts w:ascii="Bookman Old Style" w:hAnsi="Bookman Old Style"/>
          <w:b/>
        </w:rPr>
      </w:pPr>
      <w:r w:rsidRPr="001A11B2">
        <w:rPr>
          <w:rFonts w:ascii="Bookman Old Style" w:hAnsi="Bookman Old Style"/>
          <w:b/>
        </w:rPr>
        <w:t>LA COMISIÓN DE REGULACIÓN DE ENERGÍA Y GAS</w:t>
      </w:r>
    </w:p>
    <w:p w:rsidR="00DF2CD7" w:rsidRDefault="00DF2CD7" w:rsidP="00DF2CD7">
      <w:pPr>
        <w:ind w:left="0" w:right="51"/>
        <w:rPr>
          <w:rFonts w:ascii="Bookman Old Style" w:hAnsi="Bookman Old Style"/>
        </w:rPr>
      </w:pPr>
    </w:p>
    <w:p w:rsidR="00DF2CD7" w:rsidRPr="001A11B2" w:rsidRDefault="00DF2CD7" w:rsidP="00DF2CD7">
      <w:pPr>
        <w:ind w:left="0" w:right="51"/>
        <w:rPr>
          <w:rFonts w:ascii="Bookman Old Style" w:hAnsi="Bookman Old Style"/>
        </w:rPr>
      </w:pPr>
    </w:p>
    <w:p w:rsidR="00DF2CD7" w:rsidRPr="001A11B2" w:rsidRDefault="00DF2CD7" w:rsidP="00DF2CD7">
      <w:pPr>
        <w:pStyle w:val="Textoindependiente3"/>
        <w:ind w:left="0"/>
        <w:rPr>
          <w:rFonts w:ascii="Bookman Old Style" w:hAnsi="Bookman Old Style"/>
          <w:b w:val="0"/>
        </w:rPr>
      </w:pPr>
      <w:r w:rsidRPr="001A11B2">
        <w:rPr>
          <w:rFonts w:ascii="Bookman Old Style" w:hAnsi="Bookman Old Style"/>
          <w:b w:val="0"/>
        </w:rPr>
        <w:t>En ejercicio de sus atribuciones constitucionales y legales, en especial las conferidas por las Leyes 142 y 143 de 1994, y en desarrollo de los Decretos 1524, 2253 de 1994 y 1260 de 2013.</w:t>
      </w:r>
    </w:p>
    <w:p w:rsidR="00DF2CD7" w:rsidRPr="001A11B2" w:rsidRDefault="00DF2CD7" w:rsidP="00DF2CD7">
      <w:pPr>
        <w:ind w:right="51"/>
        <w:rPr>
          <w:rFonts w:ascii="Bookman Old Style" w:hAnsi="Bookman Old Style"/>
        </w:rPr>
      </w:pPr>
    </w:p>
    <w:p w:rsidR="00DF2CD7" w:rsidRPr="001A11B2" w:rsidRDefault="00DF2CD7" w:rsidP="00DF2CD7">
      <w:pPr>
        <w:ind w:right="51"/>
        <w:rPr>
          <w:rFonts w:ascii="Bookman Old Style" w:hAnsi="Bookman Old Style"/>
        </w:rPr>
      </w:pPr>
    </w:p>
    <w:p w:rsidR="00DF2CD7" w:rsidRPr="001A11B2" w:rsidRDefault="00DF2CD7" w:rsidP="00DF2CD7">
      <w:pPr>
        <w:ind w:right="51"/>
        <w:jc w:val="center"/>
        <w:rPr>
          <w:rFonts w:ascii="Bookman Old Style" w:hAnsi="Bookman Old Style"/>
          <w:b/>
        </w:rPr>
      </w:pPr>
      <w:r w:rsidRPr="001A11B2">
        <w:rPr>
          <w:rFonts w:ascii="Bookman Old Style" w:hAnsi="Bookman Old Style"/>
          <w:b/>
        </w:rPr>
        <w:t xml:space="preserve">C O N S I D E R A N D </w:t>
      </w:r>
      <w:proofErr w:type="gramStart"/>
      <w:r w:rsidRPr="001A11B2">
        <w:rPr>
          <w:rFonts w:ascii="Bookman Old Style" w:hAnsi="Bookman Old Style"/>
          <w:b/>
        </w:rPr>
        <w:t>O  Q</w:t>
      </w:r>
      <w:proofErr w:type="gramEnd"/>
      <w:r w:rsidRPr="001A11B2">
        <w:rPr>
          <w:rFonts w:ascii="Bookman Old Style" w:hAnsi="Bookman Old Style"/>
          <w:b/>
        </w:rPr>
        <w:t xml:space="preserve"> U E:</w:t>
      </w:r>
    </w:p>
    <w:p w:rsidR="00DF2CD7" w:rsidRDefault="00DF2CD7" w:rsidP="00DF2CD7">
      <w:pPr>
        <w:ind w:right="51"/>
        <w:jc w:val="center"/>
        <w:rPr>
          <w:rFonts w:ascii="Bookman Old Style" w:hAnsi="Bookman Old Style"/>
          <w:b/>
        </w:rPr>
      </w:pPr>
    </w:p>
    <w:p w:rsidR="00DF2CD7" w:rsidRPr="00D6235A" w:rsidRDefault="00DF2CD7" w:rsidP="00DF2CD7">
      <w:pPr>
        <w:tabs>
          <w:tab w:val="left" w:pos="0"/>
        </w:tabs>
        <w:ind w:left="0"/>
        <w:jc w:val="both"/>
        <w:rPr>
          <w:rFonts w:ascii="Bookman Old Style" w:hAnsi="Bookman Old Style" w:cs="Arial"/>
        </w:rPr>
      </w:pPr>
      <w:r w:rsidRPr="00D6235A">
        <w:rPr>
          <w:rFonts w:ascii="Bookman Old Style" w:hAnsi="Bookman Old Style" w:cs="Arial"/>
        </w:rPr>
        <w:t>Conforme a lo dispuesto por el artículo 8 del Código de Procedimiento Admi</w:t>
      </w:r>
      <w:r w:rsidR="00D53D9C" w:rsidRPr="00D6235A">
        <w:rPr>
          <w:rFonts w:ascii="Bookman Old Style" w:hAnsi="Bookman Old Style" w:cs="Arial"/>
        </w:rPr>
        <w:t>nistrativo y de lo Contencioso A</w:t>
      </w:r>
      <w:r w:rsidRPr="00D6235A">
        <w:rPr>
          <w:rFonts w:ascii="Bookman Old Style" w:hAnsi="Bookman Old Style" w:cs="Arial"/>
        </w:rPr>
        <w:t>dministrativo, el artículo 2.2.13.3.2 del Decreto 1078 de 2015 y el artículo 33 de la Resolución CREG 039 de 2017, la Comisión debe hacer público en su página web todos los proyectos de resolución de carácter general que pretenda adoptar.</w:t>
      </w:r>
    </w:p>
    <w:p w:rsidR="00D53D9C" w:rsidRPr="005C4705" w:rsidRDefault="00D53D9C" w:rsidP="00DF2CD7">
      <w:pPr>
        <w:tabs>
          <w:tab w:val="left" w:pos="0"/>
        </w:tabs>
        <w:ind w:left="0"/>
        <w:jc w:val="both"/>
        <w:rPr>
          <w:rFonts w:ascii="Bookman Old Style" w:hAnsi="Bookman Old Style" w:cs="Arial"/>
        </w:rPr>
      </w:pPr>
    </w:p>
    <w:p w:rsidR="00DF2CD7" w:rsidRPr="001A11B2" w:rsidRDefault="00DF2CD7" w:rsidP="00EC1A9B">
      <w:pPr>
        <w:ind w:left="0"/>
        <w:jc w:val="both"/>
        <w:rPr>
          <w:rFonts w:ascii="Bookman Old Style" w:hAnsi="Bookman Old Style"/>
          <w:sz w:val="22"/>
          <w:szCs w:val="22"/>
        </w:rPr>
      </w:pPr>
      <w:r w:rsidRPr="005F478F">
        <w:rPr>
          <w:rFonts w:ascii="Bookman Old Style" w:hAnsi="Bookman Old Style"/>
        </w:rPr>
        <w:t xml:space="preserve">La </w:t>
      </w:r>
      <w:r w:rsidRPr="005F478F">
        <w:rPr>
          <w:rFonts w:ascii="Bookman Old Style" w:hAnsi="Bookman Old Style" w:cs="Arial"/>
        </w:rPr>
        <w:t>Comisión</w:t>
      </w:r>
      <w:r w:rsidRPr="005F478F">
        <w:rPr>
          <w:rFonts w:ascii="Bookman Old Style" w:hAnsi="Bookman Old Style"/>
        </w:rPr>
        <w:t xml:space="preserve"> de Regulación de Energía y Gas, en su </w:t>
      </w:r>
      <w:r w:rsidRPr="005C4705">
        <w:rPr>
          <w:rFonts w:ascii="Bookman Old Style" w:hAnsi="Bookman Old Style"/>
        </w:rPr>
        <w:t xml:space="preserve">sesión No. </w:t>
      </w:r>
      <w:r w:rsidR="00E53D71" w:rsidRPr="005C4705">
        <w:rPr>
          <w:rFonts w:ascii="Bookman Old Style" w:hAnsi="Bookman Old Style"/>
        </w:rPr>
        <w:t xml:space="preserve">943 </w:t>
      </w:r>
      <w:r w:rsidRPr="005C4705">
        <w:rPr>
          <w:rFonts w:ascii="Bookman Old Style" w:hAnsi="Bookman Old Style"/>
        </w:rPr>
        <w:t xml:space="preserve">del </w:t>
      </w:r>
      <w:r w:rsidR="00C35EAB" w:rsidRPr="005C4705">
        <w:rPr>
          <w:rFonts w:ascii="Bookman Old Style" w:hAnsi="Bookman Old Style"/>
        </w:rPr>
        <w:t>12</w:t>
      </w:r>
      <w:r w:rsidRPr="005C4705">
        <w:rPr>
          <w:rFonts w:ascii="Bookman Old Style" w:hAnsi="Bookman Old Style"/>
        </w:rPr>
        <w:t xml:space="preserve"> de </w:t>
      </w:r>
      <w:r w:rsidR="00C35EAB" w:rsidRPr="005C4705">
        <w:rPr>
          <w:rFonts w:ascii="Bookman Old Style" w:hAnsi="Bookman Old Style"/>
        </w:rPr>
        <w:t>septiembre</w:t>
      </w:r>
      <w:r w:rsidRPr="005C4705">
        <w:rPr>
          <w:rFonts w:ascii="Bookman Old Style" w:hAnsi="Bookman Old Style"/>
        </w:rPr>
        <w:t xml:space="preserve"> de 201</w:t>
      </w:r>
      <w:r w:rsidR="00D53D9C" w:rsidRPr="005C4705">
        <w:rPr>
          <w:rFonts w:ascii="Bookman Old Style" w:hAnsi="Bookman Old Style"/>
        </w:rPr>
        <w:t>9</w:t>
      </w:r>
      <w:r w:rsidRPr="005F478F">
        <w:rPr>
          <w:rFonts w:ascii="Bookman Old Style" w:hAnsi="Bookman Old Style"/>
        </w:rPr>
        <w:t>, aprobó hacer púb</w:t>
      </w:r>
      <w:r w:rsidR="00D53D9C" w:rsidRPr="005F478F">
        <w:rPr>
          <w:rFonts w:ascii="Bookman Old Style" w:hAnsi="Bookman Old Style"/>
        </w:rPr>
        <w:t xml:space="preserve">lico el proyecto de resolución: </w:t>
      </w:r>
      <w:r w:rsidR="00EC1A9B" w:rsidRPr="005F478F">
        <w:rPr>
          <w:rFonts w:ascii="Bookman Old Style" w:hAnsi="Bookman Old Style" w:cs="Arial"/>
        </w:rPr>
        <w:t>“</w:t>
      </w:r>
      <w:r w:rsidR="005C4705">
        <w:rPr>
          <w:rFonts w:ascii="Bookman Old Style" w:hAnsi="Bookman Old Style" w:cs="Arial"/>
        </w:rPr>
        <w:t>Por la cual se adopta la f</w:t>
      </w:r>
      <w:r w:rsidR="00EC1A9B" w:rsidRPr="005F478F">
        <w:rPr>
          <w:rFonts w:ascii="Bookman Old Style" w:hAnsi="Bookman Old Style"/>
        </w:rPr>
        <w:t>órmula de traslado en el componente de</w:t>
      </w:r>
      <w:r w:rsidR="00EC1A9B" w:rsidRPr="00EC1A9B">
        <w:rPr>
          <w:rFonts w:ascii="Bookman Old Style" w:hAnsi="Bookman Old Style"/>
        </w:rPr>
        <w:t xml:space="preserve"> compras de energía al usuario regulado de los precios de los contratos del mecanismo complementario del que </w:t>
      </w:r>
      <w:r w:rsidR="00EC1A9B" w:rsidRPr="00C35EAB">
        <w:rPr>
          <w:rFonts w:ascii="Bookman Old Style" w:hAnsi="Bookman Old Style"/>
        </w:rPr>
        <w:t xml:space="preserve">trata </w:t>
      </w:r>
      <w:r w:rsidR="00C35EAB" w:rsidRPr="00C35EAB">
        <w:rPr>
          <w:rFonts w:ascii="Bookman Old Style" w:hAnsi="Bookman Old Style"/>
        </w:rPr>
        <w:t xml:space="preserve">el artículo 6 de la Resolución 40591 de 2019 </w:t>
      </w:r>
      <w:r w:rsidR="00EC1A9B" w:rsidRPr="00C35EAB">
        <w:rPr>
          <w:rFonts w:ascii="Bookman Old Style" w:hAnsi="Bookman Old Style"/>
        </w:rPr>
        <w:t>del Ministerio de Minas y Energía.”</w:t>
      </w:r>
    </w:p>
    <w:p w:rsidR="00DF2CD7" w:rsidRPr="001A11B2" w:rsidRDefault="00DF2CD7" w:rsidP="00DF2CD7">
      <w:pPr>
        <w:pStyle w:val="Prrafodelista"/>
        <w:tabs>
          <w:tab w:val="left" w:pos="0"/>
        </w:tabs>
        <w:ind w:left="720"/>
        <w:jc w:val="both"/>
        <w:rPr>
          <w:rFonts w:ascii="Bookman Old Style" w:hAnsi="Bookman Old Style"/>
          <w:sz w:val="22"/>
          <w:szCs w:val="22"/>
        </w:rPr>
      </w:pPr>
    </w:p>
    <w:p w:rsidR="00DF2CD7" w:rsidRPr="001A11B2" w:rsidRDefault="00DF2CD7" w:rsidP="00DF2CD7">
      <w:pPr>
        <w:suppressAutoHyphens/>
        <w:jc w:val="center"/>
        <w:rPr>
          <w:rFonts w:ascii="Bookman Old Style" w:hAnsi="Bookman Old Style"/>
          <w:spacing w:val="-3"/>
        </w:rPr>
      </w:pPr>
      <w:r w:rsidRPr="001A11B2">
        <w:rPr>
          <w:rFonts w:ascii="Bookman Old Style" w:hAnsi="Bookman Old Style"/>
          <w:b/>
          <w:spacing w:val="-3"/>
        </w:rPr>
        <w:t>R E S U E L V E:</w:t>
      </w:r>
    </w:p>
    <w:p w:rsidR="00DF2CD7" w:rsidRPr="001A11B2" w:rsidRDefault="00DF2CD7" w:rsidP="00DF2CD7">
      <w:pPr>
        <w:jc w:val="center"/>
        <w:rPr>
          <w:rFonts w:ascii="Bookman Old Style" w:hAnsi="Bookman Old Style"/>
        </w:rPr>
      </w:pPr>
    </w:p>
    <w:p w:rsidR="00DF2CD7" w:rsidRPr="00E865BD" w:rsidRDefault="00DF2CD7" w:rsidP="00E865BD">
      <w:pPr>
        <w:pStyle w:val="Prrafodelista"/>
        <w:numPr>
          <w:ilvl w:val="0"/>
          <w:numId w:val="32"/>
        </w:numPr>
        <w:tabs>
          <w:tab w:val="left" w:pos="0"/>
        </w:tabs>
        <w:ind w:left="0" w:right="47" w:firstLine="0"/>
        <w:jc w:val="both"/>
        <w:rPr>
          <w:rFonts w:ascii="Bookman Old Style" w:hAnsi="Bookman Old Style"/>
          <w:sz w:val="24"/>
          <w:szCs w:val="24"/>
        </w:rPr>
      </w:pPr>
      <w:r w:rsidRPr="00EC1A9B">
        <w:rPr>
          <w:rFonts w:ascii="Bookman Old Style" w:hAnsi="Bookman Old Style" w:cs="Arial"/>
          <w:sz w:val="24"/>
          <w:szCs w:val="24"/>
          <w:lang w:eastAsia="es-CO"/>
        </w:rPr>
        <w:t>Hágase</w:t>
      </w:r>
      <w:r w:rsidRPr="00EC1A9B">
        <w:rPr>
          <w:rFonts w:ascii="Bookman Old Style" w:hAnsi="Bookman Old Style" w:cs="Arial"/>
          <w:sz w:val="24"/>
          <w:szCs w:val="24"/>
        </w:rPr>
        <w:t xml:space="preserve"> público el siguiente proyecto de resolución: </w:t>
      </w:r>
      <w:r w:rsidR="00EC1A9B" w:rsidRPr="00EC1A9B">
        <w:rPr>
          <w:rFonts w:ascii="Bookman Old Style" w:hAnsi="Bookman Old Style" w:cs="Arial"/>
          <w:sz w:val="24"/>
          <w:szCs w:val="24"/>
        </w:rPr>
        <w:t>“</w:t>
      </w:r>
      <w:r w:rsidR="005C4705">
        <w:rPr>
          <w:rFonts w:ascii="Bookman Old Style" w:hAnsi="Bookman Old Style" w:cs="Arial"/>
          <w:sz w:val="24"/>
          <w:szCs w:val="24"/>
        </w:rPr>
        <w:t>Por la cual se adopta la f</w:t>
      </w:r>
      <w:r w:rsidR="00EC1A9B" w:rsidRPr="00EC1A9B">
        <w:rPr>
          <w:rFonts w:ascii="Bookman Old Style" w:hAnsi="Bookman Old Style"/>
          <w:sz w:val="24"/>
          <w:szCs w:val="24"/>
        </w:rPr>
        <w:t xml:space="preserve">órmula de traslado en el componente de compras de energía al usuario regulado de los precios de los contratos del mecanismo </w:t>
      </w:r>
      <w:r w:rsidR="00EC1A9B" w:rsidRPr="00C35EAB">
        <w:rPr>
          <w:rFonts w:ascii="Bookman Old Style" w:hAnsi="Bookman Old Style"/>
          <w:sz w:val="24"/>
          <w:szCs w:val="24"/>
        </w:rPr>
        <w:t>complementario</w:t>
      </w:r>
      <w:r w:rsidR="00C35EAB" w:rsidRPr="00C35EAB">
        <w:rPr>
          <w:rFonts w:ascii="Bookman Old Style" w:hAnsi="Bookman Old Style"/>
          <w:sz w:val="24"/>
          <w:szCs w:val="24"/>
        </w:rPr>
        <w:t xml:space="preserve"> del que trata el artículo 6 de la Resolución 40591 de 2019 del Ministerio de Minas y Energía.</w:t>
      </w:r>
      <w:r w:rsidR="00EC1A9B" w:rsidRPr="00C35EAB">
        <w:rPr>
          <w:rFonts w:ascii="Bookman Old Style" w:hAnsi="Bookman Old Style"/>
          <w:sz w:val="24"/>
          <w:szCs w:val="24"/>
        </w:rPr>
        <w:t>”</w:t>
      </w:r>
    </w:p>
    <w:p w:rsidR="00B20D8E" w:rsidRPr="00E865BD" w:rsidRDefault="00B20D8E" w:rsidP="00B20D8E">
      <w:pPr>
        <w:pStyle w:val="Prrafodelista"/>
        <w:tabs>
          <w:tab w:val="left" w:pos="0"/>
        </w:tabs>
        <w:ind w:left="0"/>
        <w:jc w:val="both"/>
        <w:rPr>
          <w:rFonts w:ascii="Bookman Old Style" w:hAnsi="Bookman Old Style" w:cs="Arial"/>
          <w:sz w:val="24"/>
          <w:szCs w:val="24"/>
        </w:rPr>
      </w:pPr>
    </w:p>
    <w:p w:rsidR="00DF2CD7" w:rsidRPr="00E865BD" w:rsidRDefault="00DF2CD7" w:rsidP="00DF2CD7">
      <w:pPr>
        <w:pStyle w:val="Prrafodelista"/>
        <w:numPr>
          <w:ilvl w:val="0"/>
          <w:numId w:val="32"/>
        </w:numPr>
        <w:tabs>
          <w:tab w:val="left" w:pos="0"/>
        </w:tabs>
        <w:ind w:left="0" w:right="47" w:firstLine="0"/>
        <w:jc w:val="both"/>
        <w:rPr>
          <w:rFonts w:ascii="Bookman Old Style" w:hAnsi="Bookman Old Style" w:cs="Arial"/>
          <w:sz w:val="24"/>
          <w:szCs w:val="24"/>
        </w:rPr>
      </w:pPr>
      <w:r w:rsidRPr="00E865BD">
        <w:rPr>
          <w:rFonts w:ascii="Bookman Old Style" w:hAnsi="Bookman Old Style" w:cs="Arial"/>
          <w:sz w:val="24"/>
          <w:szCs w:val="24"/>
          <w:lang w:eastAsia="es-CO"/>
        </w:rPr>
        <w:t xml:space="preserve">Se invita a los agentes, a los usuarios, a las autoridades competentes, a la Superintendencia de Servicios Públicos Domiciliarios y a la Superintendencia de Industria y Comercio, para que remitan sus observaciones </w:t>
      </w:r>
      <w:r w:rsidRPr="00E865BD">
        <w:rPr>
          <w:rFonts w:ascii="Bookman Old Style" w:hAnsi="Bookman Old Style" w:cs="Arial"/>
          <w:sz w:val="24"/>
          <w:szCs w:val="24"/>
          <w:lang w:eastAsia="es-CO"/>
        </w:rPr>
        <w:lastRenderedPageBreak/>
        <w:t>o sugerencias sobre la propuesta</w:t>
      </w:r>
      <w:r w:rsidRPr="00C35EAB">
        <w:rPr>
          <w:rFonts w:ascii="Bookman Old Style" w:hAnsi="Bookman Old Style" w:cs="Arial"/>
          <w:sz w:val="24"/>
          <w:szCs w:val="24"/>
          <w:lang w:eastAsia="es-CO"/>
        </w:rPr>
        <w:t xml:space="preserve">, dentro de los </w:t>
      </w:r>
      <w:r w:rsidR="00D6235A" w:rsidRPr="00C35EAB">
        <w:rPr>
          <w:rFonts w:ascii="Bookman Old Style" w:hAnsi="Bookman Old Style" w:cs="Arial"/>
          <w:sz w:val="24"/>
          <w:szCs w:val="24"/>
          <w:lang w:eastAsia="es-CO"/>
        </w:rPr>
        <w:t>diez</w:t>
      </w:r>
      <w:r w:rsidR="00F03EF9" w:rsidRPr="00C35EAB">
        <w:rPr>
          <w:rFonts w:ascii="Bookman Old Style" w:hAnsi="Bookman Old Style" w:cs="Arial"/>
          <w:sz w:val="24"/>
          <w:szCs w:val="24"/>
          <w:lang w:eastAsia="es-CO"/>
        </w:rPr>
        <w:t xml:space="preserve"> (</w:t>
      </w:r>
      <w:r w:rsidR="00D6235A" w:rsidRPr="00C35EAB">
        <w:rPr>
          <w:rFonts w:ascii="Bookman Old Style" w:hAnsi="Bookman Old Style" w:cs="Arial"/>
          <w:sz w:val="24"/>
          <w:szCs w:val="24"/>
          <w:lang w:eastAsia="es-CO"/>
        </w:rPr>
        <w:t>10</w:t>
      </w:r>
      <w:r w:rsidR="00F03EF9" w:rsidRPr="00C35EAB">
        <w:rPr>
          <w:rFonts w:ascii="Bookman Old Style" w:hAnsi="Bookman Old Style" w:cs="Arial"/>
          <w:sz w:val="24"/>
          <w:szCs w:val="24"/>
          <w:lang w:eastAsia="es-CO"/>
        </w:rPr>
        <w:t>)</w:t>
      </w:r>
      <w:r w:rsidRPr="00C35EAB">
        <w:rPr>
          <w:rFonts w:ascii="Bookman Old Style" w:hAnsi="Bookman Old Style" w:cs="Arial"/>
          <w:sz w:val="24"/>
          <w:szCs w:val="24"/>
          <w:lang w:eastAsia="es-CO"/>
        </w:rPr>
        <w:t xml:space="preserve"> días </w:t>
      </w:r>
      <w:r w:rsidR="00D6235A" w:rsidRPr="00C35EAB">
        <w:rPr>
          <w:rFonts w:ascii="Bookman Old Style" w:hAnsi="Bookman Old Style" w:cs="Arial"/>
          <w:sz w:val="24"/>
          <w:szCs w:val="24"/>
          <w:lang w:eastAsia="es-CO"/>
        </w:rPr>
        <w:t>hábiles</w:t>
      </w:r>
      <w:r w:rsidR="00D6235A">
        <w:rPr>
          <w:rFonts w:ascii="Bookman Old Style" w:hAnsi="Bookman Old Style" w:cs="Arial"/>
          <w:sz w:val="24"/>
          <w:szCs w:val="24"/>
          <w:lang w:eastAsia="es-CO"/>
        </w:rPr>
        <w:t xml:space="preserve"> </w:t>
      </w:r>
      <w:r w:rsidRPr="00E865BD">
        <w:rPr>
          <w:rFonts w:ascii="Bookman Old Style" w:hAnsi="Bookman Old Style" w:cs="Arial"/>
          <w:sz w:val="24"/>
          <w:szCs w:val="24"/>
          <w:lang w:eastAsia="es-CO"/>
        </w:rPr>
        <w:t xml:space="preserve">siguientes a publicación del proyecto en la página web de la Comisión de Regulación de Energía y Gas. </w:t>
      </w:r>
    </w:p>
    <w:p w:rsidR="00DF2CD7" w:rsidRDefault="00DF2CD7" w:rsidP="003D4B0F">
      <w:pPr>
        <w:ind w:left="0"/>
        <w:rPr>
          <w:rFonts w:ascii="Bookman Old Style" w:hAnsi="Bookman Old Style" w:cs="Arial"/>
          <w:b/>
          <w:bCs/>
        </w:rPr>
      </w:pPr>
    </w:p>
    <w:p w:rsidR="003D4B0F" w:rsidRPr="003D4B0F" w:rsidRDefault="003D4B0F" w:rsidP="003D4B0F">
      <w:pPr>
        <w:ind w:left="0"/>
        <w:jc w:val="both"/>
        <w:rPr>
          <w:rFonts w:ascii="Bookman Old Style" w:hAnsi="Bookman Old Style" w:cs="Arial"/>
          <w:bCs/>
        </w:rPr>
      </w:pPr>
      <w:r>
        <w:rPr>
          <w:rFonts w:ascii="Bookman Old Style" w:hAnsi="Bookman Old Style" w:cs="Arial"/>
          <w:bCs/>
        </w:rPr>
        <w:t xml:space="preserve">Las observaciones y sugerencias sobre el proyecto deben dirigirse al Director Ejecutivo de la Comisión a la siguiente dirección: Avenida Calle 116 # 7-15 Edificio Torre </w:t>
      </w:r>
      <w:proofErr w:type="spellStart"/>
      <w:r>
        <w:rPr>
          <w:rFonts w:ascii="Bookman Old Style" w:hAnsi="Bookman Old Style" w:cs="Arial"/>
          <w:bCs/>
        </w:rPr>
        <w:t>Cusezar</w:t>
      </w:r>
      <w:proofErr w:type="spellEnd"/>
      <w:r>
        <w:rPr>
          <w:rFonts w:ascii="Bookman Old Style" w:hAnsi="Bookman Old Style" w:cs="Arial"/>
          <w:bCs/>
        </w:rPr>
        <w:t xml:space="preserve">, Interior 2, Oficina 901 o al correo electrónico: </w:t>
      </w:r>
      <w:hyperlink r:id="rId10" w:history="1">
        <w:r w:rsidRPr="00590BAA">
          <w:rPr>
            <w:rStyle w:val="Hipervnculo"/>
            <w:rFonts w:ascii="Bookman Old Style" w:hAnsi="Bookman Old Style" w:cs="Arial"/>
            <w:bCs/>
          </w:rPr>
          <w:t>creg@creg.gov.co</w:t>
        </w:r>
      </w:hyperlink>
      <w:r>
        <w:rPr>
          <w:rFonts w:ascii="Bookman Old Style" w:hAnsi="Bookman Old Style" w:cs="Arial"/>
          <w:bCs/>
        </w:rPr>
        <w:t xml:space="preserve"> con el </w:t>
      </w:r>
      <w:r w:rsidRPr="00B33FA8">
        <w:rPr>
          <w:rFonts w:ascii="Bookman Old Style" w:hAnsi="Bookman Old Style" w:cs="Arial"/>
          <w:bCs/>
        </w:rPr>
        <w:t>asunto “</w:t>
      </w:r>
      <w:r w:rsidR="00D6235A" w:rsidRPr="00B33FA8">
        <w:rPr>
          <w:rFonts w:ascii="Bookman Old Style" w:hAnsi="Bookman Old Style" w:cs="Arial"/>
          <w:bCs/>
        </w:rPr>
        <w:t xml:space="preserve">Modificación Resolución CREG </w:t>
      </w:r>
      <w:r w:rsidR="00B33FA8" w:rsidRPr="00B33FA8">
        <w:rPr>
          <w:rFonts w:ascii="Bookman Old Style" w:hAnsi="Bookman Old Style" w:cs="Arial"/>
          <w:bCs/>
        </w:rPr>
        <w:t>108</w:t>
      </w:r>
      <w:r w:rsidR="00D6235A" w:rsidRPr="00B33FA8">
        <w:rPr>
          <w:rFonts w:ascii="Bookman Old Style" w:hAnsi="Bookman Old Style" w:cs="Arial"/>
          <w:bCs/>
        </w:rPr>
        <w:t xml:space="preserve"> de 2019</w:t>
      </w:r>
      <w:r w:rsidRPr="00B33FA8">
        <w:rPr>
          <w:rFonts w:ascii="Bookman Old Style" w:hAnsi="Bookman Old Style" w:cs="Arial"/>
          <w:bCs/>
        </w:rPr>
        <w:t>”.</w:t>
      </w:r>
    </w:p>
    <w:p w:rsidR="00DF2CD7" w:rsidRPr="00E865BD" w:rsidRDefault="00DF2CD7" w:rsidP="00DF2CD7">
      <w:pPr>
        <w:pStyle w:val="Prrafodelista"/>
        <w:rPr>
          <w:rFonts w:ascii="Bookman Old Style" w:hAnsi="Bookman Old Style" w:cs="Arial"/>
          <w:sz w:val="24"/>
          <w:szCs w:val="24"/>
        </w:rPr>
      </w:pPr>
    </w:p>
    <w:p w:rsidR="00DF2CD7" w:rsidRPr="00E865BD" w:rsidRDefault="00DF2CD7" w:rsidP="00DF2CD7">
      <w:pPr>
        <w:pStyle w:val="Prrafodelista"/>
        <w:numPr>
          <w:ilvl w:val="0"/>
          <w:numId w:val="32"/>
        </w:numPr>
        <w:tabs>
          <w:tab w:val="left" w:pos="0"/>
        </w:tabs>
        <w:ind w:left="0" w:right="47" w:firstLine="0"/>
        <w:jc w:val="both"/>
        <w:rPr>
          <w:rFonts w:ascii="Bookman Old Style" w:hAnsi="Bookman Old Style" w:cs="Arial"/>
          <w:sz w:val="24"/>
          <w:szCs w:val="24"/>
        </w:rPr>
      </w:pPr>
      <w:r w:rsidRPr="00E865BD">
        <w:rPr>
          <w:rFonts w:ascii="Bookman Old Style" w:hAnsi="Bookman Old Style" w:cs="Arial"/>
          <w:sz w:val="24"/>
          <w:szCs w:val="24"/>
        </w:rPr>
        <w:t>La presente Resolución no deroga disposiciones vigentes por tratarse de un acto de trámite.</w:t>
      </w:r>
    </w:p>
    <w:p w:rsidR="00DF2CD7" w:rsidRPr="001A11B2" w:rsidRDefault="00DF2CD7" w:rsidP="00DF2CD7">
      <w:pPr>
        <w:rPr>
          <w:rFonts w:ascii="Bookman Old Style" w:hAnsi="Bookman Old Style"/>
        </w:rPr>
      </w:pPr>
    </w:p>
    <w:p w:rsidR="00DF2CD7" w:rsidRPr="001A11B2" w:rsidRDefault="00DF2CD7" w:rsidP="00DF2CD7">
      <w:pPr>
        <w:rPr>
          <w:rFonts w:ascii="Bookman Old Style" w:hAnsi="Bookman Old Style"/>
        </w:rPr>
      </w:pPr>
    </w:p>
    <w:p w:rsidR="00DF2CD7" w:rsidRPr="001A11B2" w:rsidRDefault="00DF2CD7" w:rsidP="00DF2CD7">
      <w:pPr>
        <w:jc w:val="center"/>
        <w:rPr>
          <w:rFonts w:ascii="Bookman Old Style" w:hAnsi="Bookman Old Style"/>
          <w:b/>
        </w:rPr>
      </w:pPr>
      <w:r w:rsidRPr="001A11B2">
        <w:rPr>
          <w:rFonts w:ascii="Bookman Old Style" w:hAnsi="Bookman Old Style"/>
          <w:b/>
        </w:rPr>
        <w:t>PUBLÍQUESE Y CÚMPLASE</w:t>
      </w:r>
    </w:p>
    <w:p w:rsidR="00DF2CD7" w:rsidRPr="001A11B2" w:rsidRDefault="00DF2CD7" w:rsidP="00DF2CD7">
      <w:pPr>
        <w:rPr>
          <w:rFonts w:ascii="Bookman Old Style" w:hAnsi="Bookman Old Style"/>
        </w:rPr>
      </w:pPr>
    </w:p>
    <w:p w:rsidR="00DF2CD7" w:rsidRDefault="00DF2CD7" w:rsidP="00DF2CD7">
      <w:pPr>
        <w:ind w:left="0"/>
        <w:rPr>
          <w:rFonts w:ascii="Bookman Old Style" w:hAnsi="Bookman Old Style"/>
        </w:rPr>
      </w:pPr>
      <w:r w:rsidRPr="001A11B2">
        <w:rPr>
          <w:rFonts w:ascii="Bookman Old Style" w:hAnsi="Bookman Old Style"/>
        </w:rPr>
        <w:t xml:space="preserve">Dada en Bogotá D.C., </w:t>
      </w:r>
    </w:p>
    <w:p w:rsidR="006B2722" w:rsidRDefault="006B2722" w:rsidP="00DF2CD7">
      <w:pPr>
        <w:ind w:left="0"/>
        <w:rPr>
          <w:rFonts w:ascii="Bookman Old Style" w:hAnsi="Bookman Old Style"/>
        </w:rPr>
      </w:pPr>
    </w:p>
    <w:p w:rsidR="006B2722" w:rsidRPr="001A11B2" w:rsidRDefault="006B2722" w:rsidP="00DF2CD7">
      <w:pPr>
        <w:ind w:left="0"/>
        <w:rPr>
          <w:rFonts w:ascii="Bookman Old Style" w:hAnsi="Bookman Old Style"/>
        </w:rPr>
      </w:pPr>
    </w:p>
    <w:p w:rsidR="00DF2CD7" w:rsidRPr="001A11B2" w:rsidRDefault="00DF2CD7" w:rsidP="00DF2CD7">
      <w:pPr>
        <w:ind w:left="0"/>
        <w:rPr>
          <w:rFonts w:ascii="Bookman Old Style" w:hAnsi="Bookman Old Style"/>
        </w:rPr>
      </w:pPr>
    </w:p>
    <w:p w:rsidR="00DF2CD7" w:rsidRPr="001A11B2" w:rsidRDefault="00DF2CD7" w:rsidP="00DF2CD7">
      <w:pPr>
        <w:ind w:left="0"/>
        <w:rPr>
          <w:rFonts w:ascii="Bookman Old Style" w:hAnsi="Bookman Old Style"/>
        </w:rPr>
      </w:pPr>
    </w:p>
    <w:p w:rsidR="00DF2CD7" w:rsidRPr="001A11B2" w:rsidRDefault="00DF2CD7" w:rsidP="00DF2CD7">
      <w:pPr>
        <w:ind w:left="0"/>
        <w:rPr>
          <w:rFonts w:ascii="Bookman Old Style" w:hAnsi="Bookman Old Style"/>
        </w:rPr>
      </w:pPr>
    </w:p>
    <w:tbl>
      <w:tblPr>
        <w:tblW w:w="0" w:type="auto"/>
        <w:tblInd w:w="-142" w:type="dxa"/>
        <w:tblLayout w:type="fixed"/>
        <w:tblCellMar>
          <w:left w:w="0" w:type="dxa"/>
          <w:right w:w="0" w:type="dxa"/>
        </w:tblCellMar>
        <w:tblLook w:val="04A0" w:firstRow="1" w:lastRow="0" w:firstColumn="1" w:lastColumn="0" w:noHBand="0" w:noVBand="1"/>
      </w:tblPr>
      <w:tblGrid>
        <w:gridCol w:w="4962"/>
        <w:gridCol w:w="4536"/>
      </w:tblGrid>
      <w:tr w:rsidR="00DF2CD7" w:rsidRPr="001A11B2" w:rsidTr="00CB1407">
        <w:tc>
          <w:tcPr>
            <w:tcW w:w="4962" w:type="dxa"/>
            <w:hideMark/>
          </w:tcPr>
          <w:p w:rsidR="00DF2CD7" w:rsidRPr="001A11B2" w:rsidRDefault="00392215" w:rsidP="00392215">
            <w:pPr>
              <w:snapToGrid w:val="0"/>
              <w:ind w:left="0"/>
              <w:jc w:val="center"/>
              <w:rPr>
                <w:rFonts w:ascii="Bookman Old Style" w:hAnsi="Bookman Old Style" w:cs="Arial"/>
                <w:b/>
                <w:bCs/>
              </w:rPr>
            </w:pPr>
            <w:r>
              <w:rPr>
                <w:rFonts w:ascii="Bookman Old Style" w:hAnsi="Bookman Old Style" w:cs="Arial"/>
                <w:b/>
                <w:bCs/>
              </w:rPr>
              <w:t>MARÍ</w:t>
            </w:r>
            <w:r w:rsidR="00E865BD">
              <w:rPr>
                <w:rFonts w:ascii="Bookman Old Style" w:hAnsi="Bookman Old Style" w:cs="Arial"/>
                <w:b/>
                <w:bCs/>
              </w:rPr>
              <w:t>A FERNANDA SU</w:t>
            </w:r>
            <w:r>
              <w:rPr>
                <w:rFonts w:ascii="Bookman Old Style" w:hAnsi="Bookman Old Style" w:cs="Arial"/>
                <w:b/>
                <w:bCs/>
              </w:rPr>
              <w:t>Á</w:t>
            </w:r>
            <w:r w:rsidR="00E865BD">
              <w:rPr>
                <w:rFonts w:ascii="Bookman Old Style" w:hAnsi="Bookman Old Style" w:cs="Arial"/>
                <w:b/>
                <w:bCs/>
              </w:rPr>
              <w:t>REZ LONDOÑO</w:t>
            </w:r>
          </w:p>
        </w:tc>
        <w:tc>
          <w:tcPr>
            <w:tcW w:w="4536" w:type="dxa"/>
            <w:hideMark/>
          </w:tcPr>
          <w:p w:rsidR="00DF2CD7" w:rsidRPr="001A11B2" w:rsidRDefault="00DF2CD7" w:rsidP="00CB1407">
            <w:pPr>
              <w:snapToGrid w:val="0"/>
              <w:ind w:left="141"/>
              <w:jc w:val="center"/>
              <w:rPr>
                <w:rFonts w:ascii="Bookman Old Style" w:hAnsi="Bookman Old Style" w:cs="Arial"/>
                <w:b/>
                <w:bCs/>
              </w:rPr>
            </w:pPr>
            <w:r>
              <w:rPr>
                <w:rFonts w:ascii="Bookman Old Style" w:hAnsi="Bookman Old Style" w:cs="Arial"/>
                <w:b/>
                <w:bCs/>
              </w:rPr>
              <w:t>CH</w:t>
            </w:r>
            <w:r w:rsidR="005C4705">
              <w:rPr>
                <w:rFonts w:ascii="Bookman Old Style" w:hAnsi="Bookman Old Style" w:cs="Arial"/>
                <w:b/>
                <w:bCs/>
              </w:rPr>
              <w:t>R</w:t>
            </w:r>
            <w:r>
              <w:rPr>
                <w:rFonts w:ascii="Bookman Old Style" w:hAnsi="Bookman Old Style" w:cs="Arial"/>
                <w:b/>
                <w:bCs/>
              </w:rPr>
              <w:t>ISTIAN JARAMILLO HERRERA</w:t>
            </w:r>
          </w:p>
        </w:tc>
      </w:tr>
      <w:tr w:rsidR="00DF2CD7" w:rsidRPr="001A11B2" w:rsidTr="00CB1407">
        <w:tc>
          <w:tcPr>
            <w:tcW w:w="4962" w:type="dxa"/>
            <w:hideMark/>
          </w:tcPr>
          <w:p w:rsidR="00E865BD" w:rsidRPr="001A11B2" w:rsidRDefault="00E865BD" w:rsidP="00E865BD">
            <w:pPr>
              <w:snapToGrid w:val="0"/>
              <w:ind w:left="0"/>
              <w:jc w:val="center"/>
              <w:rPr>
                <w:rFonts w:ascii="Bookman Old Style" w:hAnsi="Bookman Old Style" w:cs="Arial"/>
              </w:rPr>
            </w:pPr>
            <w:r>
              <w:rPr>
                <w:rFonts w:ascii="Bookman Old Style" w:hAnsi="Bookman Old Style" w:cs="Arial"/>
              </w:rPr>
              <w:t>Ministra</w:t>
            </w:r>
            <w:r w:rsidR="00DF2CD7" w:rsidRPr="001A11B2">
              <w:rPr>
                <w:rFonts w:ascii="Bookman Old Style" w:hAnsi="Bookman Old Style" w:cs="Arial"/>
              </w:rPr>
              <w:t xml:space="preserve"> de </w:t>
            </w:r>
            <w:r w:rsidRPr="001A11B2">
              <w:rPr>
                <w:rFonts w:ascii="Bookman Old Style" w:hAnsi="Bookman Old Style" w:cs="Arial"/>
              </w:rPr>
              <w:t>Minas y Energía</w:t>
            </w:r>
          </w:p>
          <w:p w:rsidR="00DF2CD7" w:rsidRPr="001A11B2" w:rsidRDefault="00DF2CD7" w:rsidP="00CB1407">
            <w:pPr>
              <w:snapToGrid w:val="0"/>
              <w:ind w:left="0"/>
              <w:jc w:val="center"/>
              <w:rPr>
                <w:rFonts w:ascii="Bookman Old Style" w:hAnsi="Bookman Old Style" w:cs="Arial"/>
              </w:rPr>
            </w:pPr>
            <w:r>
              <w:rPr>
                <w:rFonts w:ascii="Bookman Old Style" w:hAnsi="Bookman Old Style" w:cs="Arial"/>
              </w:rPr>
              <w:t xml:space="preserve">        </w:t>
            </w:r>
            <w:r w:rsidRPr="001A11B2">
              <w:rPr>
                <w:rFonts w:ascii="Bookman Old Style" w:hAnsi="Bookman Old Style" w:cs="Arial"/>
              </w:rPr>
              <w:t>Presidente</w:t>
            </w:r>
          </w:p>
        </w:tc>
        <w:tc>
          <w:tcPr>
            <w:tcW w:w="4536" w:type="dxa"/>
            <w:hideMark/>
          </w:tcPr>
          <w:p w:rsidR="00DF2CD7" w:rsidRPr="001A11B2" w:rsidRDefault="00DF2CD7" w:rsidP="00CB1407">
            <w:pPr>
              <w:snapToGrid w:val="0"/>
              <w:jc w:val="center"/>
              <w:rPr>
                <w:rFonts w:ascii="Bookman Old Style" w:hAnsi="Bookman Old Style" w:cs="Arial"/>
              </w:rPr>
            </w:pPr>
            <w:r w:rsidRPr="001A11B2">
              <w:rPr>
                <w:rFonts w:ascii="Bookman Old Style" w:hAnsi="Bookman Old Style" w:cs="Arial"/>
              </w:rPr>
              <w:t>Director Ejecutivo</w:t>
            </w:r>
          </w:p>
        </w:tc>
      </w:tr>
    </w:tbl>
    <w:p w:rsidR="00DF2CD7" w:rsidRPr="001A11B2" w:rsidRDefault="00DF2CD7" w:rsidP="00DF2CD7">
      <w:pPr>
        <w:ind w:right="51"/>
        <w:rPr>
          <w:rFonts w:ascii="Bookman Old Style" w:hAnsi="Bookman Old Style"/>
        </w:rPr>
      </w:pPr>
    </w:p>
    <w:p w:rsidR="00DF2CD7" w:rsidRPr="001A11B2" w:rsidRDefault="00DF2CD7" w:rsidP="00DF2CD7">
      <w:pPr>
        <w:ind w:right="51"/>
        <w:rPr>
          <w:rFonts w:ascii="Bookman Old Style" w:hAnsi="Bookman Old Style"/>
        </w:rPr>
      </w:pPr>
    </w:p>
    <w:p w:rsidR="00DF2CD7" w:rsidRPr="001A11B2" w:rsidRDefault="00DF2CD7" w:rsidP="00DF2CD7">
      <w:pPr>
        <w:ind w:right="51"/>
        <w:rPr>
          <w:rFonts w:ascii="Bookman Old Style" w:hAnsi="Bookman Old Style"/>
        </w:rPr>
      </w:pPr>
    </w:p>
    <w:p w:rsidR="00DF2CD7" w:rsidRPr="001A11B2" w:rsidRDefault="00DF2CD7" w:rsidP="00DF2CD7">
      <w:pPr>
        <w:ind w:right="51"/>
        <w:rPr>
          <w:rFonts w:ascii="Bookman Old Style" w:hAnsi="Bookman Old Style"/>
        </w:rPr>
      </w:pPr>
    </w:p>
    <w:p w:rsidR="00EC1A9B" w:rsidRDefault="00DF2CD7" w:rsidP="00DF2CD7">
      <w:pPr>
        <w:ind w:left="0"/>
        <w:jc w:val="center"/>
        <w:rPr>
          <w:rFonts w:ascii="Bookman Old Style" w:hAnsi="Bookman Old Style"/>
          <w:b/>
          <w:bCs/>
        </w:rPr>
      </w:pPr>
      <w:r>
        <w:rPr>
          <w:rFonts w:ascii="Bookman Old Style" w:hAnsi="Bookman Old Style"/>
          <w:b/>
          <w:bCs/>
        </w:rPr>
        <w:br w:type="page"/>
      </w:r>
    </w:p>
    <w:p w:rsidR="00DF2CD7" w:rsidRPr="003C2073" w:rsidRDefault="00DF2CD7" w:rsidP="00DF2CD7">
      <w:pPr>
        <w:ind w:left="0"/>
        <w:jc w:val="center"/>
        <w:rPr>
          <w:rFonts w:ascii="Bookman Old Style" w:hAnsi="Bookman Old Style"/>
          <w:b/>
          <w:bCs/>
          <w:lang w:val="es-CO"/>
        </w:rPr>
      </w:pPr>
      <w:r w:rsidRPr="003C2073">
        <w:rPr>
          <w:rFonts w:ascii="Bookman Old Style" w:hAnsi="Bookman Old Style"/>
          <w:b/>
          <w:bCs/>
          <w:lang w:val="es-CO"/>
        </w:rPr>
        <w:lastRenderedPageBreak/>
        <w:t>PROYECTO DE RESOLUCIÓN</w:t>
      </w:r>
    </w:p>
    <w:p w:rsidR="006B2722" w:rsidRDefault="006B2722" w:rsidP="006B2722">
      <w:pPr>
        <w:pStyle w:val="Prrafodelista"/>
        <w:tabs>
          <w:tab w:val="left" w:pos="0"/>
        </w:tabs>
        <w:ind w:left="0" w:right="47"/>
        <w:jc w:val="both"/>
        <w:rPr>
          <w:rFonts w:ascii="Bookman Old Style" w:hAnsi="Bookman Old Style" w:cs="Arial"/>
          <w:i/>
          <w:sz w:val="24"/>
          <w:szCs w:val="24"/>
        </w:rPr>
      </w:pPr>
      <w:r w:rsidRPr="00E865BD">
        <w:rPr>
          <w:rFonts w:ascii="Bookman Old Style" w:hAnsi="Bookman Old Style" w:cs="Arial"/>
          <w:sz w:val="24"/>
          <w:szCs w:val="24"/>
        </w:rPr>
        <w:t xml:space="preserve"> </w:t>
      </w:r>
    </w:p>
    <w:p w:rsidR="00D6235A" w:rsidRPr="00C435C3" w:rsidRDefault="005C4705" w:rsidP="00D6235A">
      <w:pPr>
        <w:ind w:left="0"/>
        <w:jc w:val="center"/>
        <w:rPr>
          <w:rFonts w:ascii="Bookman Old Style" w:hAnsi="Bookman Old Style"/>
        </w:rPr>
      </w:pPr>
      <w:r>
        <w:rPr>
          <w:rFonts w:ascii="Bookman Old Style" w:hAnsi="Bookman Old Style"/>
        </w:rPr>
        <w:t>Por la cual se adopta la f</w:t>
      </w:r>
      <w:r w:rsidR="00D6235A" w:rsidRPr="002E036E">
        <w:rPr>
          <w:rFonts w:ascii="Bookman Old Style" w:hAnsi="Bookman Old Style"/>
        </w:rPr>
        <w:t>órmula de traslado en el componente de compras de energía al usuario regulado</w:t>
      </w:r>
      <w:r w:rsidR="00EC1A9B">
        <w:rPr>
          <w:rFonts w:ascii="Bookman Old Style" w:hAnsi="Bookman Old Style"/>
        </w:rPr>
        <w:t xml:space="preserve"> de los precios de los contratos del mecanismo complementario del que trata </w:t>
      </w:r>
      <w:r w:rsidR="00C35EAB">
        <w:rPr>
          <w:rFonts w:ascii="Bookman Old Style" w:hAnsi="Bookman Old Style"/>
        </w:rPr>
        <w:t>el artículo 6 de la Resolución 40591</w:t>
      </w:r>
      <w:r w:rsidR="00EC1A9B">
        <w:rPr>
          <w:rFonts w:ascii="Bookman Old Style" w:hAnsi="Bookman Old Style"/>
        </w:rPr>
        <w:t xml:space="preserve"> de 2019 del Ministerio de Minas y Energía.</w:t>
      </w:r>
    </w:p>
    <w:p w:rsidR="006B2722" w:rsidRPr="00E865BD" w:rsidRDefault="006B2722" w:rsidP="006B2722">
      <w:pPr>
        <w:pStyle w:val="Prrafodelista"/>
        <w:tabs>
          <w:tab w:val="left" w:pos="0"/>
        </w:tabs>
        <w:ind w:left="0" w:right="47"/>
        <w:jc w:val="center"/>
        <w:rPr>
          <w:rFonts w:ascii="Bookman Old Style" w:hAnsi="Bookman Old Style"/>
          <w:sz w:val="24"/>
          <w:szCs w:val="24"/>
        </w:rPr>
      </w:pPr>
    </w:p>
    <w:p w:rsidR="00045D3D" w:rsidRPr="00C435C3" w:rsidRDefault="00045D3D" w:rsidP="00045D3D">
      <w:pPr>
        <w:ind w:right="51"/>
        <w:rPr>
          <w:rFonts w:ascii="Bookman Old Style" w:hAnsi="Bookman Old Style"/>
        </w:rPr>
      </w:pPr>
    </w:p>
    <w:p w:rsidR="00045D3D" w:rsidRPr="00C435C3" w:rsidRDefault="00045D3D" w:rsidP="00045D3D">
      <w:pPr>
        <w:ind w:right="51"/>
        <w:jc w:val="center"/>
        <w:rPr>
          <w:rFonts w:ascii="Bookman Old Style" w:hAnsi="Bookman Old Style"/>
          <w:b/>
        </w:rPr>
      </w:pPr>
      <w:r w:rsidRPr="00C435C3">
        <w:rPr>
          <w:rFonts w:ascii="Bookman Old Style" w:hAnsi="Bookman Old Style"/>
          <w:b/>
        </w:rPr>
        <w:t>LA COMISIÓN DE REGULACIÓN DE ENERGÍA Y GAS</w:t>
      </w:r>
    </w:p>
    <w:p w:rsidR="00045D3D" w:rsidRPr="00C435C3" w:rsidRDefault="00045D3D" w:rsidP="00045D3D">
      <w:pPr>
        <w:ind w:left="0" w:right="51"/>
        <w:rPr>
          <w:rFonts w:ascii="Bookman Old Style" w:hAnsi="Bookman Old Style"/>
        </w:rPr>
      </w:pPr>
    </w:p>
    <w:p w:rsidR="00045D3D" w:rsidRPr="00C435C3" w:rsidRDefault="00045D3D" w:rsidP="00045D3D">
      <w:pPr>
        <w:ind w:left="0" w:right="51"/>
        <w:rPr>
          <w:rFonts w:ascii="Bookman Old Style" w:hAnsi="Bookman Old Style"/>
        </w:rPr>
      </w:pPr>
    </w:p>
    <w:p w:rsidR="00045D3D" w:rsidRPr="00C435C3" w:rsidRDefault="00D6235A" w:rsidP="00045D3D">
      <w:pPr>
        <w:pStyle w:val="Textoindependiente3"/>
        <w:ind w:left="0"/>
        <w:rPr>
          <w:rFonts w:ascii="Bookman Old Style" w:hAnsi="Bookman Old Style"/>
          <w:b w:val="0"/>
        </w:rPr>
      </w:pPr>
      <w:r w:rsidRPr="00C435C3">
        <w:rPr>
          <w:rFonts w:ascii="Bookman Old Style" w:hAnsi="Bookman Old Style"/>
          <w:b w:val="0"/>
        </w:rPr>
        <w:t xml:space="preserve">En ejercicio de sus atribuciones constitucionales y legales, en especial las conferidas por las </w:t>
      </w:r>
      <w:r>
        <w:rPr>
          <w:rFonts w:ascii="Bookman Old Style" w:hAnsi="Bookman Old Style"/>
          <w:b w:val="0"/>
        </w:rPr>
        <w:t>l</w:t>
      </w:r>
      <w:r w:rsidRPr="00C435C3">
        <w:rPr>
          <w:rFonts w:ascii="Bookman Old Style" w:hAnsi="Bookman Old Style"/>
          <w:b w:val="0"/>
        </w:rPr>
        <w:t>eyes 142 y 143 de 1994, y en desarrollo del</w:t>
      </w:r>
      <w:r>
        <w:rPr>
          <w:rFonts w:ascii="Bookman Old Style" w:hAnsi="Bookman Old Style"/>
          <w:b w:val="0"/>
        </w:rPr>
        <w:t xml:space="preserve"> D</w:t>
      </w:r>
      <w:r w:rsidRPr="00C435C3">
        <w:rPr>
          <w:rFonts w:ascii="Bookman Old Style" w:hAnsi="Bookman Old Style"/>
          <w:b w:val="0"/>
        </w:rPr>
        <w:t xml:space="preserve">ecreto 1524 </w:t>
      </w:r>
      <w:r w:rsidRPr="00785E91">
        <w:rPr>
          <w:rFonts w:ascii="Bookman Old Style" w:hAnsi="Bookman Old Style"/>
          <w:b w:val="0"/>
        </w:rPr>
        <w:t>y 2253 de 1994, el Decreto 1260 de 2013</w:t>
      </w:r>
      <w:r>
        <w:rPr>
          <w:rFonts w:ascii="Bookman Old Style" w:hAnsi="Bookman Old Style"/>
          <w:b w:val="0"/>
        </w:rPr>
        <w:t xml:space="preserve"> y el Decreto 0570 de 2018.</w:t>
      </w:r>
    </w:p>
    <w:p w:rsidR="00045D3D" w:rsidRDefault="00045D3D" w:rsidP="00045D3D">
      <w:pPr>
        <w:ind w:right="51"/>
        <w:rPr>
          <w:rFonts w:ascii="Bookman Old Style" w:hAnsi="Bookman Old Style"/>
        </w:rPr>
      </w:pPr>
    </w:p>
    <w:p w:rsidR="00045D3D" w:rsidRDefault="00045D3D" w:rsidP="00045D3D">
      <w:pPr>
        <w:ind w:right="51"/>
        <w:rPr>
          <w:rFonts w:ascii="Bookman Old Style" w:hAnsi="Bookman Old Style"/>
        </w:rPr>
      </w:pPr>
    </w:p>
    <w:p w:rsidR="00045D3D" w:rsidRPr="00C435C3" w:rsidRDefault="00045D3D" w:rsidP="00045D3D">
      <w:pPr>
        <w:ind w:right="51"/>
        <w:jc w:val="center"/>
        <w:rPr>
          <w:rFonts w:ascii="Bookman Old Style" w:hAnsi="Bookman Old Style"/>
          <w:b/>
        </w:rPr>
      </w:pPr>
      <w:r w:rsidRPr="00C435C3">
        <w:rPr>
          <w:rFonts w:ascii="Bookman Old Style" w:hAnsi="Bookman Old Style"/>
          <w:b/>
        </w:rPr>
        <w:t>C O N S I D E R A N D O</w:t>
      </w:r>
      <w:r>
        <w:rPr>
          <w:rFonts w:ascii="Bookman Old Style" w:hAnsi="Bookman Old Style"/>
          <w:b/>
        </w:rPr>
        <w:t xml:space="preserve"> </w:t>
      </w:r>
      <w:r w:rsidR="00785E91">
        <w:rPr>
          <w:rFonts w:ascii="Bookman Old Style" w:hAnsi="Bookman Old Style"/>
          <w:b/>
        </w:rPr>
        <w:t xml:space="preserve"> </w:t>
      </w:r>
      <w:r>
        <w:rPr>
          <w:rFonts w:ascii="Bookman Old Style" w:hAnsi="Bookman Old Style"/>
          <w:b/>
        </w:rPr>
        <w:t xml:space="preserve"> Q U E</w:t>
      </w:r>
      <w:r w:rsidRPr="00C435C3">
        <w:rPr>
          <w:rFonts w:ascii="Bookman Old Style" w:hAnsi="Bookman Old Style"/>
          <w:b/>
        </w:rPr>
        <w:t>:</w:t>
      </w:r>
    </w:p>
    <w:p w:rsidR="00045D3D" w:rsidRPr="00C435C3" w:rsidRDefault="00045D3D" w:rsidP="00045D3D">
      <w:pPr>
        <w:ind w:right="51"/>
        <w:jc w:val="center"/>
        <w:rPr>
          <w:rFonts w:ascii="Bookman Old Style" w:hAnsi="Bookman Old Style"/>
          <w:b/>
        </w:rPr>
      </w:pPr>
    </w:p>
    <w:p w:rsidR="00D6235A" w:rsidRPr="000B73A9" w:rsidRDefault="00D6235A" w:rsidP="00D6235A">
      <w:pPr>
        <w:ind w:left="0"/>
        <w:jc w:val="both"/>
        <w:rPr>
          <w:rFonts w:ascii="Bookman Old Style" w:hAnsi="Bookman Old Style" w:cs="Arial"/>
          <w:szCs w:val="20"/>
          <w:lang w:val="es-CO"/>
        </w:rPr>
      </w:pPr>
      <w:r>
        <w:rPr>
          <w:rFonts w:ascii="Bookman Old Style" w:hAnsi="Bookman Old Style" w:cs="Arial"/>
          <w:szCs w:val="20"/>
          <w:lang w:val="es-CO"/>
        </w:rPr>
        <w:t>E</w:t>
      </w:r>
      <w:r w:rsidRPr="000B73A9">
        <w:rPr>
          <w:rFonts w:ascii="Bookman Old Style" w:hAnsi="Bookman Old Style" w:cs="Arial"/>
          <w:szCs w:val="20"/>
          <w:lang w:val="es-CO"/>
        </w:rPr>
        <w:t xml:space="preserve">l artículo 365 de la </w:t>
      </w:r>
      <w:r>
        <w:rPr>
          <w:rFonts w:ascii="Bookman Old Style" w:hAnsi="Bookman Old Style" w:cs="Arial"/>
          <w:szCs w:val="20"/>
          <w:lang w:val="es-CO"/>
        </w:rPr>
        <w:t xml:space="preserve">Constitución </w:t>
      </w:r>
      <w:r w:rsidRPr="000B73A9">
        <w:rPr>
          <w:rFonts w:ascii="Bookman Old Style" w:hAnsi="Bookman Old Style" w:cs="Arial"/>
          <w:szCs w:val="20"/>
          <w:lang w:val="es-CO"/>
        </w:rPr>
        <w:t>Política</w:t>
      </w:r>
      <w:r>
        <w:rPr>
          <w:rFonts w:ascii="Bookman Old Style" w:hAnsi="Bookman Old Style" w:cs="Arial"/>
          <w:szCs w:val="20"/>
          <w:lang w:val="es-CO"/>
        </w:rPr>
        <w:t xml:space="preserve"> establece que</w:t>
      </w:r>
      <w:r w:rsidRPr="000B73A9">
        <w:rPr>
          <w:rFonts w:ascii="Bookman Old Style" w:hAnsi="Bookman Old Style" w:cs="Arial"/>
          <w:szCs w:val="20"/>
          <w:lang w:val="es-CO"/>
        </w:rPr>
        <w:t xml:space="preserve"> los servicios públicos son inherentes a la finalidad social del Estado y es deber de éste asegurar su prestación eficiente a todos los habitantes del territorio nacional. </w:t>
      </w:r>
    </w:p>
    <w:p w:rsidR="00D6235A" w:rsidRPr="000B73A9" w:rsidRDefault="00D6235A" w:rsidP="00D6235A">
      <w:pPr>
        <w:ind w:left="0"/>
        <w:jc w:val="both"/>
        <w:rPr>
          <w:rFonts w:ascii="Bookman Old Style" w:hAnsi="Bookman Old Style" w:cs="Arial"/>
          <w:szCs w:val="20"/>
          <w:lang w:val="es-CO"/>
        </w:rPr>
      </w:pPr>
    </w:p>
    <w:p w:rsidR="00D6235A" w:rsidRDefault="00D6235A" w:rsidP="00D6235A">
      <w:pPr>
        <w:ind w:left="0"/>
        <w:jc w:val="both"/>
        <w:rPr>
          <w:rFonts w:ascii="Bookman Old Style" w:hAnsi="Bookman Old Style" w:cs="Arial"/>
          <w:szCs w:val="20"/>
          <w:lang w:val="es-CO"/>
        </w:rPr>
      </w:pPr>
      <w:r>
        <w:rPr>
          <w:rFonts w:ascii="Bookman Old Style" w:hAnsi="Bookman Old Style" w:cs="Arial"/>
          <w:szCs w:val="20"/>
          <w:lang w:val="es-CO"/>
        </w:rPr>
        <w:t xml:space="preserve">El artículo 3 de </w:t>
      </w:r>
      <w:r w:rsidRPr="000B73A9">
        <w:rPr>
          <w:rFonts w:ascii="Bookman Old Style" w:hAnsi="Bookman Old Style" w:cs="Arial"/>
          <w:szCs w:val="20"/>
          <w:lang w:val="es-CO"/>
        </w:rPr>
        <w:t>la </w:t>
      </w:r>
      <w:hyperlink r:id="rId11" w:tooltip="Haga clic para abrir TODA la Ley 142 de 1994" w:history="1">
        <w:r w:rsidRPr="000B73A9">
          <w:rPr>
            <w:rFonts w:ascii="Bookman Old Style" w:hAnsi="Bookman Old Style" w:cs="Arial"/>
            <w:szCs w:val="20"/>
            <w:lang w:val="es-CO"/>
          </w:rPr>
          <w:t>Ley 142 de 1994</w:t>
        </w:r>
      </w:hyperlink>
      <w:r>
        <w:rPr>
          <w:rFonts w:ascii="Bookman Old Style" w:hAnsi="Bookman Old Style" w:cs="Arial"/>
          <w:szCs w:val="20"/>
          <w:lang w:val="es-CO"/>
        </w:rPr>
        <w:t xml:space="preserve"> señala que</w:t>
      </w:r>
      <w:r w:rsidRPr="000B73A9">
        <w:rPr>
          <w:rFonts w:ascii="Bookman Old Style" w:hAnsi="Bookman Old Style" w:cs="Arial"/>
          <w:szCs w:val="20"/>
          <w:lang w:val="es-CO"/>
        </w:rPr>
        <w:t xml:space="preserve"> la regulación de los servicios públicos es una forma de intervención del Estado en la economía. </w:t>
      </w:r>
      <w:r>
        <w:rPr>
          <w:rFonts w:ascii="Bookman Old Style" w:hAnsi="Bookman Old Style" w:cs="Arial"/>
          <w:szCs w:val="20"/>
          <w:lang w:val="es-CO"/>
        </w:rPr>
        <w:t>En este sentido, l</w:t>
      </w:r>
      <w:r w:rsidRPr="000B73A9">
        <w:rPr>
          <w:rFonts w:ascii="Bookman Old Style" w:hAnsi="Bookman Old Style" w:cs="Arial"/>
          <w:szCs w:val="20"/>
          <w:lang w:val="es-CO"/>
        </w:rPr>
        <w:t>a función de regulación está orientada no solo a corregir fallas del mercado sino a desarrollar los fines esenciales de los servicios públicos.</w:t>
      </w:r>
      <w:r>
        <w:rPr>
          <w:rFonts w:ascii="Bookman Old Style" w:hAnsi="Bookman Old Style" w:cs="Arial"/>
          <w:szCs w:val="20"/>
          <w:lang w:val="es-CO"/>
        </w:rPr>
        <w:t xml:space="preserve"> De igual forma, señala que </w:t>
      </w:r>
      <w:r w:rsidRPr="000B73A9">
        <w:rPr>
          <w:rFonts w:ascii="Bookman Old Style" w:hAnsi="Bookman Old Style" w:cs="Arial"/>
          <w:szCs w:val="20"/>
          <w:lang w:val="es-CO"/>
        </w:rPr>
        <w:t>dentro de los fines que persigue la intervención del Estado en la prestación de los servicios públicos domiciliarios se encuentra</w:t>
      </w:r>
      <w:r>
        <w:rPr>
          <w:rFonts w:ascii="Bookman Old Style" w:hAnsi="Bookman Old Style" w:cs="Arial"/>
          <w:szCs w:val="20"/>
          <w:lang w:val="es-CO"/>
        </w:rPr>
        <w:t xml:space="preserve">n: </w:t>
      </w:r>
      <w:r w:rsidRPr="000B73A9">
        <w:rPr>
          <w:rFonts w:ascii="Bookman Old Style" w:hAnsi="Bookman Old Style" w:cs="Arial"/>
          <w:szCs w:val="20"/>
          <w:lang w:val="es-CO"/>
        </w:rPr>
        <w:t>la prestación eficiente, continua e ininterrumpida, la libre competencia</w:t>
      </w:r>
      <w:r>
        <w:rPr>
          <w:rFonts w:ascii="Bookman Old Style" w:hAnsi="Bookman Old Style" w:cs="Arial"/>
          <w:szCs w:val="20"/>
          <w:lang w:val="es-CO"/>
        </w:rPr>
        <w:t xml:space="preserve"> y</w:t>
      </w:r>
      <w:r w:rsidRPr="000B73A9">
        <w:rPr>
          <w:rFonts w:ascii="Bookman Old Style" w:hAnsi="Bookman Old Style" w:cs="Arial"/>
          <w:szCs w:val="20"/>
          <w:lang w:val="es-CO"/>
        </w:rPr>
        <w:t xml:space="preserve"> la no utilización abusiva de la posición dominante. </w:t>
      </w:r>
    </w:p>
    <w:p w:rsidR="00D6235A" w:rsidRDefault="00D6235A" w:rsidP="00D6235A">
      <w:pPr>
        <w:ind w:left="0"/>
        <w:jc w:val="both"/>
        <w:rPr>
          <w:rFonts w:ascii="Bookman Old Style" w:hAnsi="Bookman Old Style" w:cs="Arial"/>
          <w:szCs w:val="20"/>
          <w:lang w:val="es-CO"/>
        </w:rPr>
      </w:pPr>
    </w:p>
    <w:p w:rsidR="00D6235A" w:rsidRDefault="00D6235A" w:rsidP="00D6235A">
      <w:pPr>
        <w:tabs>
          <w:tab w:val="left" w:pos="-284"/>
        </w:tabs>
        <w:ind w:left="0"/>
        <w:jc w:val="both"/>
        <w:rPr>
          <w:rFonts w:ascii="Bookman Old Style" w:hAnsi="Bookman Old Style" w:cs="Arial"/>
          <w:szCs w:val="20"/>
          <w:lang w:val="es-CO"/>
        </w:rPr>
      </w:pPr>
      <w:r w:rsidRPr="000B73A9">
        <w:rPr>
          <w:rFonts w:ascii="Bookman Old Style" w:hAnsi="Bookman Old Style" w:cs="Arial"/>
          <w:szCs w:val="20"/>
          <w:lang w:val="es-CO"/>
        </w:rPr>
        <w:t xml:space="preserve">El </w:t>
      </w:r>
      <w:r>
        <w:rPr>
          <w:rFonts w:ascii="Bookman Old Style" w:hAnsi="Bookman Old Style" w:cs="Arial"/>
          <w:szCs w:val="20"/>
          <w:lang w:val="es-CO"/>
        </w:rPr>
        <w:t>a</w:t>
      </w:r>
      <w:r w:rsidRPr="000B73A9">
        <w:rPr>
          <w:rFonts w:ascii="Bookman Old Style" w:hAnsi="Bookman Old Style" w:cs="Arial"/>
          <w:szCs w:val="20"/>
          <w:lang w:val="es-CO"/>
        </w:rPr>
        <w:t>rtículo 73.11 de la Ley 142 de 1994 atribuyó a la Comisión de Regulación de Energía y Gas</w:t>
      </w:r>
      <w:r>
        <w:rPr>
          <w:rFonts w:ascii="Bookman Old Style" w:hAnsi="Bookman Old Style" w:cs="Arial"/>
          <w:szCs w:val="20"/>
          <w:lang w:val="es-CO"/>
        </w:rPr>
        <w:t xml:space="preserve"> (CREG)</w:t>
      </w:r>
      <w:r w:rsidRPr="000B73A9">
        <w:rPr>
          <w:rFonts w:ascii="Bookman Old Style" w:hAnsi="Bookman Old Style" w:cs="Arial"/>
          <w:szCs w:val="20"/>
          <w:lang w:val="es-CO"/>
        </w:rPr>
        <w:t xml:space="preserve"> la facultad de establecer las fórmulas para la fijación de las tarifas del servicio público domiciliario de energía eléctrica</w:t>
      </w:r>
      <w:r>
        <w:rPr>
          <w:rFonts w:ascii="Bookman Old Style" w:hAnsi="Bookman Old Style" w:cs="Arial"/>
          <w:szCs w:val="20"/>
          <w:lang w:val="es-CO"/>
        </w:rPr>
        <w:t>. Con respecto al régimen tarifario, esta misma Ley faculta a la CREG para</w:t>
      </w:r>
      <w:r w:rsidRPr="000B73A9">
        <w:rPr>
          <w:rFonts w:ascii="Bookman Old Style" w:hAnsi="Bookman Old Style" w:cs="Arial"/>
          <w:szCs w:val="20"/>
          <w:lang w:val="es-CO"/>
        </w:rPr>
        <w:t xml:space="preserve"> establecer las reglas relativas a procedimientos, metodologías, formulas, estructuras, facturación, opciones, valores y, en general, todos los aspectos que determinan el cobro de las tarifas.</w:t>
      </w:r>
    </w:p>
    <w:p w:rsidR="00D6235A" w:rsidRDefault="00D6235A" w:rsidP="00D6235A">
      <w:pPr>
        <w:ind w:left="0"/>
        <w:jc w:val="both"/>
        <w:rPr>
          <w:rFonts w:ascii="Bookman Old Style" w:hAnsi="Bookman Old Style" w:cs="Arial"/>
          <w:szCs w:val="20"/>
          <w:lang w:val="es-CO"/>
        </w:rPr>
      </w:pPr>
    </w:p>
    <w:p w:rsidR="00D6235A" w:rsidRPr="000B73A9" w:rsidRDefault="00D6235A" w:rsidP="00D6235A">
      <w:pPr>
        <w:tabs>
          <w:tab w:val="left" w:pos="-284"/>
        </w:tabs>
        <w:ind w:left="0"/>
        <w:jc w:val="both"/>
        <w:rPr>
          <w:rFonts w:ascii="Bookman Old Style" w:hAnsi="Bookman Old Style" w:cs="Arial"/>
          <w:szCs w:val="20"/>
          <w:lang w:val="es-CO"/>
        </w:rPr>
      </w:pPr>
      <w:r w:rsidRPr="000B73A9">
        <w:rPr>
          <w:rFonts w:ascii="Bookman Old Style" w:hAnsi="Bookman Old Style" w:cs="Arial"/>
          <w:szCs w:val="20"/>
          <w:lang w:val="es-CO"/>
        </w:rPr>
        <w:t xml:space="preserve">Según lo definido en el artículo 87.1 de la Ley 142 de 1994, la eficiencia económica es uno de los criterios necesarios para definir un régimen tarifario. Según este numeral, la eficiencia permite que las fórmulas tarifarias tengan en cuenta los costos y los aumentos de productividad para luego ser distribuidos entre la empresa y los usuarios, tal y como ocurre en un mercado </w:t>
      </w:r>
      <w:r>
        <w:rPr>
          <w:rFonts w:ascii="Bookman Old Style" w:hAnsi="Bookman Old Style" w:cs="Arial"/>
          <w:szCs w:val="20"/>
          <w:lang w:val="es-CO"/>
        </w:rPr>
        <w:t xml:space="preserve">en competencia. </w:t>
      </w:r>
      <w:r w:rsidRPr="000B73A9">
        <w:rPr>
          <w:rFonts w:ascii="Bookman Old Style" w:hAnsi="Bookman Old Style" w:cs="Arial"/>
          <w:szCs w:val="20"/>
          <w:lang w:val="es-CO"/>
        </w:rPr>
        <w:t xml:space="preserve">El mismo criterio exige, además, que no se trasladen a los usuarios los costos de una gestión ineficiente. </w:t>
      </w:r>
    </w:p>
    <w:p w:rsidR="00D6235A" w:rsidRPr="000B73A9" w:rsidRDefault="00D6235A" w:rsidP="00D6235A">
      <w:pPr>
        <w:tabs>
          <w:tab w:val="left" w:pos="-284"/>
        </w:tabs>
        <w:ind w:left="0"/>
        <w:jc w:val="both"/>
        <w:rPr>
          <w:rFonts w:ascii="Bookman Old Style" w:hAnsi="Bookman Old Style" w:cs="Arial"/>
          <w:szCs w:val="20"/>
          <w:lang w:val="es-CO"/>
        </w:rPr>
      </w:pPr>
    </w:p>
    <w:p w:rsidR="00D6235A" w:rsidRPr="000B73A9" w:rsidRDefault="00D6235A" w:rsidP="00D6235A">
      <w:pPr>
        <w:tabs>
          <w:tab w:val="left" w:pos="-284"/>
        </w:tabs>
        <w:ind w:left="0"/>
        <w:jc w:val="both"/>
        <w:rPr>
          <w:rFonts w:ascii="Bookman Old Style" w:hAnsi="Bookman Old Style" w:cs="Arial"/>
          <w:szCs w:val="20"/>
          <w:lang w:val="es-CO"/>
        </w:rPr>
      </w:pPr>
      <w:r w:rsidRPr="000B73A9">
        <w:rPr>
          <w:rFonts w:ascii="Bookman Old Style" w:hAnsi="Bookman Old Style" w:cs="Arial"/>
          <w:szCs w:val="20"/>
          <w:lang w:val="es-CO"/>
        </w:rPr>
        <w:t xml:space="preserve">De acuerdo con el artículo 90 de la Ley 142, la CREG tiene competencia para incluir elementos en las fórmulas tarifarias. Todos los elementos deben observar </w:t>
      </w:r>
      <w:r w:rsidRPr="000B73A9">
        <w:rPr>
          <w:rFonts w:ascii="Bookman Old Style" w:hAnsi="Bookman Old Style" w:cs="Arial"/>
          <w:szCs w:val="20"/>
          <w:lang w:val="es-CO"/>
        </w:rPr>
        <w:lastRenderedPageBreak/>
        <w:t>entre otros, los criterios tarifarios previstos en el artículo 87 de la Ley 142 de 1994.</w:t>
      </w:r>
    </w:p>
    <w:p w:rsidR="00D6235A" w:rsidRPr="003D4B0F" w:rsidRDefault="00D6235A" w:rsidP="00D6235A">
      <w:pPr>
        <w:tabs>
          <w:tab w:val="left" w:pos="-284"/>
        </w:tabs>
        <w:ind w:left="0"/>
        <w:jc w:val="both"/>
        <w:rPr>
          <w:rFonts w:ascii="Bookman Old Style" w:hAnsi="Bookman Old Style" w:cs="Arial"/>
          <w:lang w:val="es-CO"/>
        </w:rPr>
      </w:pPr>
    </w:p>
    <w:p w:rsidR="00D6235A" w:rsidRPr="000B73A9" w:rsidRDefault="00D6235A" w:rsidP="00D6235A">
      <w:pPr>
        <w:ind w:left="0"/>
        <w:jc w:val="both"/>
        <w:rPr>
          <w:rFonts w:ascii="Bookman Old Style" w:hAnsi="Bookman Old Style" w:cs="Arial"/>
          <w:szCs w:val="20"/>
          <w:lang w:val="es-CO"/>
        </w:rPr>
      </w:pPr>
      <w:r w:rsidRPr="000B73A9">
        <w:rPr>
          <w:rFonts w:ascii="Bookman Old Style" w:hAnsi="Bookman Old Style" w:cs="Arial"/>
          <w:szCs w:val="20"/>
          <w:lang w:val="es-CO"/>
        </w:rPr>
        <w:t>El artículo 6 de la Ley 143 de 1994 señaló que las actividades relacionadas con el servicio de electricidad se regirían entre otros principios, por el de adaptabilidad. Este principio conduce a la incorporación de los avances de la ciencia y de la tecnología que aporten mayor calidad y eficiencia en la prestación del servicio al menor costo económico.</w:t>
      </w:r>
    </w:p>
    <w:p w:rsidR="00D6235A" w:rsidRPr="000B73A9" w:rsidRDefault="00D6235A" w:rsidP="00D6235A">
      <w:pPr>
        <w:ind w:left="0"/>
        <w:jc w:val="both"/>
        <w:rPr>
          <w:rFonts w:ascii="Bookman Old Style" w:hAnsi="Bookman Old Style" w:cs="Arial"/>
          <w:szCs w:val="20"/>
          <w:lang w:val="es-CO"/>
        </w:rPr>
      </w:pPr>
    </w:p>
    <w:p w:rsidR="00D6235A" w:rsidRDefault="00D6235A" w:rsidP="00D6235A">
      <w:pPr>
        <w:ind w:left="0"/>
        <w:jc w:val="both"/>
        <w:rPr>
          <w:rFonts w:ascii="Bookman Old Style" w:hAnsi="Bookman Old Style" w:cs="Arial"/>
          <w:szCs w:val="20"/>
          <w:lang w:val="es-CO"/>
        </w:rPr>
      </w:pPr>
      <w:r>
        <w:rPr>
          <w:rFonts w:ascii="Bookman Old Style" w:hAnsi="Bookman Old Style" w:cs="Arial"/>
          <w:szCs w:val="20"/>
          <w:lang w:val="es-CO"/>
        </w:rPr>
        <w:t>E</w:t>
      </w:r>
      <w:r w:rsidRPr="000B73A9">
        <w:rPr>
          <w:rFonts w:ascii="Bookman Old Style" w:hAnsi="Bookman Old Style" w:cs="Arial"/>
          <w:szCs w:val="20"/>
          <w:lang w:val="es-CO"/>
        </w:rPr>
        <w:t>l artículo 23 de la Ley 143 de 1994 asignó a la Comisión la función de aprobar las fórmulas tarifarias y las metodologías para el cálculo de las tarifas aplicables a los usuarios regulados.</w:t>
      </w:r>
    </w:p>
    <w:p w:rsidR="00D6235A" w:rsidRDefault="00D6235A" w:rsidP="00D6235A">
      <w:pPr>
        <w:ind w:left="0"/>
        <w:jc w:val="both"/>
        <w:rPr>
          <w:rFonts w:ascii="Bookman Old Style" w:hAnsi="Bookman Old Style" w:cs="Arial"/>
          <w:szCs w:val="20"/>
          <w:lang w:val="es-CO"/>
        </w:rPr>
      </w:pPr>
    </w:p>
    <w:p w:rsidR="00D6235A" w:rsidRPr="003D4B0F" w:rsidRDefault="00D6235A" w:rsidP="00D6235A">
      <w:pPr>
        <w:tabs>
          <w:tab w:val="left" w:pos="-284"/>
        </w:tabs>
        <w:ind w:left="0"/>
        <w:jc w:val="both"/>
        <w:rPr>
          <w:rFonts w:ascii="Bookman Old Style" w:hAnsi="Bookman Old Style" w:cs="Arial"/>
          <w:i/>
          <w:lang w:val="es-CO"/>
        </w:rPr>
      </w:pPr>
      <w:r w:rsidRPr="003D4B0F">
        <w:rPr>
          <w:rFonts w:ascii="Bookman Old Style" w:hAnsi="Bookman Old Style" w:cs="Arial"/>
          <w:lang w:val="es-CO"/>
        </w:rPr>
        <w:t>Según el Artículo 42 de la Ley 143 de 1994</w:t>
      </w:r>
      <w:r>
        <w:rPr>
          <w:rFonts w:ascii="Bookman Old Style" w:hAnsi="Bookman Old Style" w:cs="Arial"/>
          <w:lang w:val="es-CO"/>
        </w:rPr>
        <w:t>,</w:t>
      </w:r>
      <w:r w:rsidRPr="003D4B0F">
        <w:rPr>
          <w:rFonts w:ascii="Bookman Old Style" w:hAnsi="Bookman Old Style" w:cs="Arial"/>
          <w:lang w:val="es-CO"/>
        </w:rPr>
        <w:t xml:space="preserve"> </w:t>
      </w:r>
      <w:r w:rsidRPr="005C7414">
        <w:rPr>
          <w:rFonts w:ascii="Bookman Old Style" w:hAnsi="Bookman Old Style" w:cs="Arial"/>
          <w:lang w:val="es-CO"/>
        </w:rPr>
        <w:t>las ventas de electricidad a usuarios finales regulados serán retribuidas, sin excepción, por medio de tarifas sujetas a regulación.</w:t>
      </w:r>
    </w:p>
    <w:p w:rsidR="00D6235A" w:rsidRPr="000B73A9" w:rsidRDefault="00D6235A" w:rsidP="00D6235A">
      <w:pPr>
        <w:ind w:left="0"/>
        <w:jc w:val="both"/>
        <w:rPr>
          <w:rFonts w:ascii="Bookman Old Style" w:hAnsi="Bookman Old Style" w:cs="Arial"/>
          <w:szCs w:val="20"/>
          <w:lang w:val="es-CO"/>
        </w:rPr>
      </w:pPr>
    </w:p>
    <w:p w:rsidR="00D6235A" w:rsidRPr="00766E80" w:rsidRDefault="00D6235A" w:rsidP="00D6235A">
      <w:pPr>
        <w:ind w:left="0"/>
        <w:jc w:val="both"/>
        <w:rPr>
          <w:rFonts w:ascii="Bookman Old Style" w:hAnsi="Bookman Old Style" w:cs="Arial"/>
        </w:rPr>
      </w:pPr>
      <w:r w:rsidRPr="00766E80">
        <w:rPr>
          <w:rFonts w:ascii="Bookman Old Style" w:hAnsi="Bookman Old Style" w:cs="Arial"/>
        </w:rPr>
        <w:t xml:space="preserve">Con la Resolución CREG 119 de 2007 la Comisión aprobó la fórmula tarifaria general que </w:t>
      </w:r>
      <w:r>
        <w:rPr>
          <w:rFonts w:ascii="Bookman Old Style" w:hAnsi="Bookman Old Style" w:cs="Arial"/>
        </w:rPr>
        <w:t>permite a los comercializadores</w:t>
      </w:r>
      <w:r w:rsidRPr="00766E80">
        <w:rPr>
          <w:rFonts w:ascii="Bookman Old Style" w:hAnsi="Bookman Old Style" w:cs="Arial"/>
        </w:rPr>
        <w:t xml:space="preserve"> de electricidad establecer los costos de prestación del servicio a usuarios regulados en el sistema interconectado nacional.</w:t>
      </w:r>
    </w:p>
    <w:p w:rsidR="00D6235A" w:rsidRPr="008A5268" w:rsidRDefault="00D6235A" w:rsidP="00D6235A">
      <w:pPr>
        <w:ind w:left="0"/>
        <w:jc w:val="both"/>
        <w:rPr>
          <w:rFonts w:ascii="Bookman Old Style" w:hAnsi="Bookman Old Style" w:cs="Arial"/>
          <w:sz w:val="32"/>
        </w:rPr>
      </w:pPr>
    </w:p>
    <w:p w:rsidR="00D6235A" w:rsidRDefault="00D6235A" w:rsidP="00D6235A">
      <w:pPr>
        <w:ind w:left="0"/>
        <w:jc w:val="both"/>
        <w:rPr>
          <w:rFonts w:ascii="Bookman Old Style" w:hAnsi="Bookman Old Style" w:cs="Arial"/>
        </w:rPr>
      </w:pPr>
      <w:r w:rsidRPr="00766E80">
        <w:rPr>
          <w:rFonts w:ascii="Bookman Old Style" w:hAnsi="Bookman Old Style" w:cs="Arial"/>
        </w:rPr>
        <w:t xml:space="preserve">La Resolución CREG 030 de 2018 reguló autogeneración a pequeña escala y definió traslado de las compras de energía en la tarifa del usuario final en el componente G del CU, el componente </w:t>
      </w:r>
      <w:proofErr w:type="spellStart"/>
      <w:proofErr w:type="gramStart"/>
      <w:r w:rsidRPr="00766E80">
        <w:rPr>
          <w:rFonts w:ascii="Bookman Old Style" w:hAnsi="Bookman Old Style" w:cs="Arial"/>
        </w:rPr>
        <w:t>Gm,i</w:t>
      </w:r>
      <w:proofErr w:type="gramEnd"/>
      <w:r w:rsidRPr="00766E80">
        <w:rPr>
          <w:rFonts w:ascii="Bookman Old Style" w:hAnsi="Bookman Old Style" w:cs="Arial"/>
        </w:rPr>
        <w:t>,j</w:t>
      </w:r>
      <w:proofErr w:type="spellEnd"/>
      <w:r w:rsidRPr="00766E80">
        <w:rPr>
          <w:rFonts w:ascii="Bookman Old Style" w:hAnsi="Bookman Old Style" w:cs="Arial"/>
        </w:rPr>
        <w:t xml:space="preserve"> de la fórmula tarifaria establecida en el artículo 6 de la Resolución CREG 119 de 2007.</w:t>
      </w:r>
    </w:p>
    <w:p w:rsidR="00D6235A" w:rsidRDefault="00D6235A" w:rsidP="00D6235A">
      <w:pPr>
        <w:ind w:left="0"/>
        <w:jc w:val="both"/>
        <w:rPr>
          <w:rFonts w:ascii="Bookman Old Style" w:hAnsi="Bookman Old Style" w:cs="Arial"/>
        </w:rPr>
      </w:pPr>
    </w:p>
    <w:p w:rsidR="00D6235A" w:rsidRDefault="00D6235A" w:rsidP="00D6235A">
      <w:pPr>
        <w:ind w:left="0"/>
        <w:jc w:val="both"/>
        <w:rPr>
          <w:rFonts w:ascii="Bookman Old Style" w:hAnsi="Bookman Old Style" w:cs="Arial"/>
          <w:lang w:val="es-ES_tradnl"/>
        </w:rPr>
      </w:pPr>
      <w:r>
        <w:rPr>
          <w:rFonts w:ascii="Bookman Old Style" w:hAnsi="Bookman Old Style" w:cs="Arial"/>
        </w:rPr>
        <w:t>E</w:t>
      </w:r>
      <w:r w:rsidRPr="005C7414">
        <w:rPr>
          <w:rFonts w:ascii="Bookman Old Style" w:hAnsi="Bookman Old Style" w:cs="Arial"/>
          <w:lang w:val="es-ES_tradnl"/>
        </w:rPr>
        <w:t>l Gobierno Nacional expidió el Decreto 0570 de 2018</w:t>
      </w:r>
      <w:r>
        <w:rPr>
          <w:rFonts w:ascii="Bookman Old Style" w:hAnsi="Bookman Old Style" w:cs="Arial"/>
          <w:lang w:val="es-ES_tradnl"/>
        </w:rPr>
        <w:t>, en donde se establecen los lineamientos de política pública para la contratación a largo plazo de proyectos de generación de energía eléctrica. En el mencionado decreto se delega a la CREG como la entidad encargada de definir el esquema para trasladar los costos eficientes de compra resultantes de la aplicación del mecanismo.</w:t>
      </w:r>
    </w:p>
    <w:p w:rsidR="00D6235A" w:rsidRDefault="00D6235A" w:rsidP="00D6235A">
      <w:pPr>
        <w:ind w:left="0"/>
        <w:jc w:val="both"/>
        <w:rPr>
          <w:rFonts w:ascii="Bookman Old Style" w:hAnsi="Bookman Old Style" w:cs="Arial"/>
          <w:highlight w:val="yellow"/>
          <w:lang w:val="es-ES_tradnl"/>
        </w:rPr>
      </w:pPr>
    </w:p>
    <w:p w:rsidR="00D6235A" w:rsidRDefault="00D6235A" w:rsidP="00D6235A">
      <w:pPr>
        <w:ind w:left="0"/>
        <w:jc w:val="both"/>
        <w:rPr>
          <w:rFonts w:ascii="Bookman Old Style" w:hAnsi="Bookman Old Style" w:cs="Arial"/>
          <w:lang w:val="es-ES_tradnl"/>
        </w:rPr>
      </w:pPr>
      <w:r>
        <w:rPr>
          <w:rFonts w:ascii="Bookman Old Style" w:hAnsi="Bookman Old Style" w:cs="Arial"/>
          <w:lang w:val="es-ES_tradnl"/>
        </w:rPr>
        <w:t>E</w:t>
      </w:r>
      <w:r w:rsidRPr="005C7414">
        <w:rPr>
          <w:rFonts w:ascii="Bookman Old Style" w:hAnsi="Bookman Old Style" w:cs="Arial"/>
          <w:lang w:val="es-ES_tradnl"/>
        </w:rPr>
        <w:t xml:space="preserve">l Ministerio de Minas y Energía expidió la Resolución 40590 de 2019 mediante la que se </w:t>
      </w:r>
      <w:r>
        <w:rPr>
          <w:rFonts w:ascii="Bookman Old Style" w:hAnsi="Bookman Old Style" w:cs="Arial"/>
          <w:lang w:val="es-ES_tradnl"/>
        </w:rPr>
        <w:t>estableció</w:t>
      </w:r>
      <w:r w:rsidRPr="005C7414">
        <w:rPr>
          <w:rFonts w:ascii="Bookman Old Style" w:hAnsi="Bookman Old Style" w:cs="Arial"/>
          <w:lang w:val="es-ES_tradnl"/>
        </w:rPr>
        <w:t xml:space="preserve"> un nuevo mecanismo de subasta para la compra venta de cont</w:t>
      </w:r>
      <w:r>
        <w:rPr>
          <w:rFonts w:ascii="Bookman Old Style" w:hAnsi="Bookman Old Style" w:cs="Arial"/>
          <w:lang w:val="es-ES_tradnl"/>
        </w:rPr>
        <w:t>ratos de energía de largo plazo.</w:t>
      </w:r>
    </w:p>
    <w:p w:rsidR="00D6235A" w:rsidRDefault="00D6235A" w:rsidP="00D6235A">
      <w:pPr>
        <w:ind w:left="0"/>
        <w:jc w:val="both"/>
        <w:rPr>
          <w:rFonts w:ascii="Bookman Old Style" w:hAnsi="Bookman Old Style" w:cs="Arial"/>
          <w:lang w:val="es-ES_tradnl"/>
        </w:rPr>
      </w:pPr>
    </w:p>
    <w:p w:rsidR="00D6235A" w:rsidRDefault="00AC5707" w:rsidP="00D6235A">
      <w:pPr>
        <w:ind w:left="0"/>
        <w:jc w:val="both"/>
        <w:rPr>
          <w:rFonts w:ascii="Bookman Old Style" w:hAnsi="Bookman Old Style" w:cs="Arial"/>
          <w:lang w:val="es-ES_tradnl"/>
        </w:rPr>
      </w:pPr>
      <w:r>
        <w:rPr>
          <w:rFonts w:ascii="Bookman Old Style" w:hAnsi="Bookman Old Style" w:cs="Arial"/>
          <w:lang w:val="es-ES_tradnl"/>
        </w:rPr>
        <w:t xml:space="preserve">Mediante la </w:t>
      </w:r>
      <w:r w:rsidR="00D6235A" w:rsidRPr="005C7414">
        <w:rPr>
          <w:rFonts w:ascii="Bookman Old Style" w:hAnsi="Bookman Old Style" w:cs="Arial"/>
          <w:lang w:val="es-ES_tradnl"/>
        </w:rPr>
        <w:t>Resolución 4059</w:t>
      </w:r>
      <w:r w:rsidR="00D6235A">
        <w:rPr>
          <w:rFonts w:ascii="Bookman Old Style" w:hAnsi="Bookman Old Style" w:cs="Arial"/>
          <w:lang w:val="es-ES_tradnl"/>
        </w:rPr>
        <w:t>1</w:t>
      </w:r>
      <w:r w:rsidR="00D6235A" w:rsidRPr="005C7414">
        <w:rPr>
          <w:rFonts w:ascii="Bookman Old Style" w:hAnsi="Bookman Old Style" w:cs="Arial"/>
          <w:lang w:val="es-ES_tradnl"/>
        </w:rPr>
        <w:t xml:space="preserve"> de 2019 </w:t>
      </w:r>
      <w:r>
        <w:rPr>
          <w:rFonts w:ascii="Bookman Old Style" w:hAnsi="Bookman Old Style" w:cs="Arial"/>
          <w:lang w:val="es-ES_tradnl"/>
        </w:rPr>
        <w:t xml:space="preserve">el </w:t>
      </w:r>
      <w:r w:rsidRPr="005C7414">
        <w:rPr>
          <w:rFonts w:ascii="Bookman Old Style" w:hAnsi="Bookman Old Style" w:cs="Arial"/>
          <w:lang w:val="es-ES_tradnl"/>
        </w:rPr>
        <w:t xml:space="preserve">Ministerio de Minas y Energía </w:t>
      </w:r>
      <w:r w:rsidR="00D6235A">
        <w:rPr>
          <w:rFonts w:ascii="Bookman Old Style" w:hAnsi="Bookman Old Style" w:cs="Arial"/>
          <w:lang w:val="es-ES_tradnl"/>
        </w:rPr>
        <w:t>convoca la subasta de contratos de energía de largo plazo reglamentada en la Resolución 40590 de 2019. El artículo 6 de esta resolución</w:t>
      </w:r>
      <w:r>
        <w:rPr>
          <w:rFonts w:ascii="Bookman Old Style" w:hAnsi="Bookman Old Style" w:cs="Arial"/>
          <w:lang w:val="es-ES_tradnl"/>
        </w:rPr>
        <w:t xml:space="preserve"> señala que </w:t>
      </w:r>
      <w:r w:rsidR="00D6235A">
        <w:rPr>
          <w:rFonts w:ascii="Bookman Old Style" w:hAnsi="Bookman Old Style" w:cs="Arial"/>
          <w:lang w:val="es-ES_tradnl"/>
        </w:rPr>
        <w:t xml:space="preserve">el Ministerio de Minas y Energía </w:t>
      </w:r>
      <w:r>
        <w:rPr>
          <w:rFonts w:ascii="Bookman Old Style" w:hAnsi="Bookman Old Style" w:cs="Arial"/>
          <w:lang w:val="es-ES_tradnl"/>
        </w:rPr>
        <w:t xml:space="preserve">podrá </w:t>
      </w:r>
      <w:r w:rsidR="00D6235A">
        <w:rPr>
          <w:rFonts w:ascii="Bookman Old Style" w:hAnsi="Bookman Old Style" w:cs="Arial"/>
          <w:lang w:val="es-ES_tradnl"/>
        </w:rPr>
        <w:t>defin</w:t>
      </w:r>
      <w:r>
        <w:rPr>
          <w:rFonts w:ascii="Bookman Old Style" w:hAnsi="Bookman Old Style" w:cs="Arial"/>
          <w:lang w:val="es-ES_tradnl"/>
        </w:rPr>
        <w:t>ir</w:t>
      </w:r>
      <w:r w:rsidR="00D6235A">
        <w:rPr>
          <w:rFonts w:ascii="Bookman Old Style" w:hAnsi="Bookman Old Style" w:cs="Arial"/>
          <w:lang w:val="es-ES_tradnl"/>
        </w:rPr>
        <w:t xml:space="preserve"> un mecanismo complementario de asignación que tiene como objeto asignar entre comercializadores que atienden demanda regulada, la diferencia entre la demanda objetivo y la cantidad de energía que se asigne a través de la subasta.</w:t>
      </w:r>
    </w:p>
    <w:p w:rsidR="00D6235A" w:rsidRDefault="00D6235A" w:rsidP="00D6235A">
      <w:pPr>
        <w:ind w:left="0"/>
        <w:jc w:val="both"/>
        <w:rPr>
          <w:rFonts w:ascii="Bookman Old Style" w:hAnsi="Bookman Old Style" w:cs="Arial"/>
          <w:lang w:val="es-ES_tradnl"/>
        </w:rPr>
      </w:pPr>
    </w:p>
    <w:p w:rsidR="002D4598" w:rsidRPr="00C435C3" w:rsidRDefault="00D6235A" w:rsidP="002D4598">
      <w:pPr>
        <w:ind w:left="0"/>
        <w:jc w:val="both"/>
        <w:rPr>
          <w:rFonts w:ascii="Bookman Old Style" w:hAnsi="Bookman Old Style"/>
        </w:rPr>
      </w:pPr>
      <w:r>
        <w:rPr>
          <w:rFonts w:ascii="Bookman Old Style" w:hAnsi="Bookman Old Style" w:cs="Arial"/>
          <w:lang w:val="es-ES_tradnl"/>
        </w:rPr>
        <w:t xml:space="preserve">En </w:t>
      </w:r>
      <w:r w:rsidR="002D4598">
        <w:rPr>
          <w:rFonts w:ascii="Bookman Old Style" w:hAnsi="Bookman Old Style" w:cs="Arial"/>
          <w:lang w:val="es-ES_tradnl"/>
        </w:rPr>
        <w:t>cumplimiento del Decreto 0570 de 2018</w:t>
      </w:r>
      <w:r w:rsidR="00AC5707">
        <w:rPr>
          <w:rFonts w:ascii="Bookman Old Style" w:hAnsi="Bookman Old Style" w:cs="Arial"/>
          <w:lang w:val="es-ES_tradnl"/>
        </w:rPr>
        <w:t xml:space="preserve"> y de las resoluciones mencionadas</w:t>
      </w:r>
      <w:r w:rsidR="002D4598">
        <w:rPr>
          <w:rFonts w:ascii="Bookman Old Style" w:hAnsi="Bookman Old Style" w:cs="Arial"/>
          <w:lang w:val="es-ES_tradnl"/>
        </w:rPr>
        <w:t xml:space="preserve">, </w:t>
      </w:r>
      <w:r w:rsidR="00C35EAB">
        <w:rPr>
          <w:rFonts w:ascii="Bookman Old Style" w:hAnsi="Bookman Old Style" w:cs="Arial"/>
          <w:lang w:val="es-ES_tradnl"/>
        </w:rPr>
        <w:t>la CREG</w:t>
      </w:r>
      <w:r w:rsidR="002D4598">
        <w:rPr>
          <w:rFonts w:ascii="Bookman Old Style" w:hAnsi="Bookman Old Style" w:cs="Arial"/>
          <w:lang w:val="es-ES_tradnl"/>
        </w:rPr>
        <w:t xml:space="preserve"> expidió</w:t>
      </w:r>
      <w:r w:rsidR="00C35EAB">
        <w:rPr>
          <w:rFonts w:ascii="Bookman Old Style" w:hAnsi="Bookman Old Style" w:cs="Arial"/>
          <w:lang w:val="es-ES_tradnl"/>
        </w:rPr>
        <w:t xml:space="preserve"> a consulta</w:t>
      </w:r>
      <w:r w:rsidR="002D4598">
        <w:rPr>
          <w:rFonts w:ascii="Bookman Old Style" w:hAnsi="Bookman Old Style" w:cs="Arial"/>
          <w:lang w:val="es-ES_tradnl"/>
        </w:rPr>
        <w:t xml:space="preserve"> la Resolución CREG </w:t>
      </w:r>
      <w:r w:rsidR="00C35EAB">
        <w:rPr>
          <w:rFonts w:ascii="Bookman Old Style" w:hAnsi="Bookman Old Style" w:cs="Arial"/>
          <w:lang w:val="es-ES_tradnl"/>
        </w:rPr>
        <w:t>081</w:t>
      </w:r>
      <w:r w:rsidR="002D4598">
        <w:rPr>
          <w:rFonts w:ascii="Bookman Old Style" w:hAnsi="Bookman Old Style" w:cs="Arial"/>
          <w:lang w:val="es-ES_tradnl"/>
        </w:rPr>
        <w:t xml:space="preserve"> de 2019 mediante la que se </w:t>
      </w:r>
      <w:r w:rsidR="00C35EAB">
        <w:rPr>
          <w:rFonts w:ascii="Bookman Old Style" w:hAnsi="Bookman Old Style" w:cs="Arial"/>
          <w:lang w:val="es-ES_tradnl"/>
        </w:rPr>
        <w:t>propone</w:t>
      </w:r>
      <w:r w:rsidR="002D4598">
        <w:rPr>
          <w:rFonts w:ascii="Bookman Old Style" w:hAnsi="Bookman Old Style" w:cs="Arial"/>
          <w:lang w:val="es-ES_tradnl"/>
        </w:rPr>
        <w:t xml:space="preserve"> la </w:t>
      </w:r>
      <w:r w:rsidR="00961C05" w:rsidRPr="002E036E">
        <w:rPr>
          <w:rFonts w:ascii="Bookman Old Style" w:hAnsi="Bookman Old Style"/>
        </w:rPr>
        <w:t>fórmula</w:t>
      </w:r>
      <w:r w:rsidR="002D4598" w:rsidRPr="002E036E">
        <w:rPr>
          <w:rFonts w:ascii="Bookman Old Style" w:hAnsi="Bookman Old Style"/>
        </w:rPr>
        <w:t xml:space="preserve"> de traslado de los precios de</w:t>
      </w:r>
      <w:r w:rsidR="002D4598">
        <w:rPr>
          <w:rFonts w:ascii="Bookman Old Style" w:hAnsi="Bookman Old Style"/>
        </w:rPr>
        <w:t>l</w:t>
      </w:r>
      <w:r w:rsidR="002D4598" w:rsidRPr="002E036E">
        <w:rPr>
          <w:rFonts w:ascii="Bookman Old Style" w:hAnsi="Bookman Old Style"/>
        </w:rPr>
        <w:t xml:space="preserve"> mecanismo de contratación </w:t>
      </w:r>
      <w:r w:rsidR="002D4598" w:rsidRPr="002E036E">
        <w:rPr>
          <w:rFonts w:ascii="Bookman Old Style" w:hAnsi="Bookman Old Style"/>
        </w:rPr>
        <w:lastRenderedPageBreak/>
        <w:t>establecido en la Resolución 40</w:t>
      </w:r>
      <w:r w:rsidR="002D4598">
        <w:rPr>
          <w:rFonts w:ascii="Bookman Old Style" w:hAnsi="Bookman Old Style"/>
        </w:rPr>
        <w:t xml:space="preserve">590 </w:t>
      </w:r>
      <w:r w:rsidR="002D4598" w:rsidRPr="002E036E">
        <w:rPr>
          <w:rFonts w:ascii="Bookman Old Style" w:hAnsi="Bookman Old Style"/>
        </w:rPr>
        <w:t>de 201</w:t>
      </w:r>
      <w:r w:rsidR="002D4598">
        <w:rPr>
          <w:rFonts w:ascii="Bookman Old Style" w:hAnsi="Bookman Old Style"/>
        </w:rPr>
        <w:t>9</w:t>
      </w:r>
      <w:r w:rsidR="002D4598" w:rsidRPr="002E036E">
        <w:rPr>
          <w:rFonts w:ascii="Bookman Old Style" w:hAnsi="Bookman Old Style"/>
        </w:rPr>
        <w:t xml:space="preserve"> del Ministerio de Minas y Energía en el componente de compras de energía al usuario regulado</w:t>
      </w:r>
      <w:r w:rsidR="002D4598">
        <w:rPr>
          <w:rFonts w:ascii="Bookman Old Style" w:hAnsi="Bookman Old Style"/>
        </w:rPr>
        <w:t>.</w:t>
      </w:r>
    </w:p>
    <w:p w:rsidR="00D6235A" w:rsidRDefault="00D6235A" w:rsidP="00D6235A">
      <w:pPr>
        <w:ind w:left="0"/>
        <w:jc w:val="both"/>
        <w:rPr>
          <w:rFonts w:ascii="Bookman Old Style" w:hAnsi="Bookman Old Style" w:cs="Arial"/>
          <w:lang w:val="es-ES_tradnl"/>
        </w:rPr>
      </w:pPr>
    </w:p>
    <w:p w:rsidR="00C35EAB" w:rsidRDefault="00C35EAB" w:rsidP="00C35EAB">
      <w:pPr>
        <w:ind w:left="0"/>
        <w:jc w:val="both"/>
        <w:rPr>
          <w:rFonts w:ascii="Bookman Old Style" w:hAnsi="Bookman Old Style" w:cs="Arial"/>
          <w:lang w:val="es-ES_tradnl"/>
        </w:rPr>
      </w:pPr>
      <w:r>
        <w:rPr>
          <w:rFonts w:ascii="Bookman Old Style" w:hAnsi="Bookman Old Style" w:cs="Arial"/>
          <w:lang w:val="es-ES_tradnl"/>
        </w:rPr>
        <w:t xml:space="preserve">Pasado el periodo de consulta, la CREG aprobó la remisión de la resolución definitiva sobre la fórmula para el traslado de los precios de los contratos resultantes de la subasta definida en la </w:t>
      </w:r>
      <w:r w:rsidRPr="002E036E">
        <w:rPr>
          <w:rFonts w:ascii="Bookman Old Style" w:hAnsi="Bookman Old Style"/>
        </w:rPr>
        <w:t>Resolución 40</w:t>
      </w:r>
      <w:r>
        <w:rPr>
          <w:rFonts w:ascii="Bookman Old Style" w:hAnsi="Bookman Old Style"/>
        </w:rPr>
        <w:t xml:space="preserve">590 </w:t>
      </w:r>
      <w:r w:rsidRPr="002E036E">
        <w:rPr>
          <w:rFonts w:ascii="Bookman Old Style" w:hAnsi="Bookman Old Style"/>
        </w:rPr>
        <w:t>de 201</w:t>
      </w:r>
      <w:r>
        <w:rPr>
          <w:rFonts w:ascii="Bookman Old Style" w:hAnsi="Bookman Old Style"/>
        </w:rPr>
        <w:t>9</w:t>
      </w:r>
      <w:r w:rsidR="00F544B5">
        <w:rPr>
          <w:rFonts w:ascii="Bookman Old Style" w:hAnsi="Bookman Old Style"/>
        </w:rPr>
        <w:t xml:space="preserve"> a la Superintendencia de Industria y Comercio (SIC)</w:t>
      </w:r>
      <w:r>
        <w:rPr>
          <w:rFonts w:ascii="Bookman Old Style" w:hAnsi="Bookman Old Style"/>
        </w:rPr>
        <w:t>.</w:t>
      </w:r>
      <w:r w:rsidR="00F544B5">
        <w:rPr>
          <w:rFonts w:ascii="Bookman Old Style" w:hAnsi="Bookman Old Style"/>
        </w:rPr>
        <w:t xml:space="preserve"> La resolución remitida a la SIC se publicó a través de la Circular CREG 068 de 2019.</w:t>
      </w:r>
      <w:r>
        <w:rPr>
          <w:rFonts w:ascii="Bookman Old Style" w:hAnsi="Bookman Old Style"/>
        </w:rPr>
        <w:t xml:space="preserve"> </w:t>
      </w:r>
    </w:p>
    <w:p w:rsidR="00C35EAB" w:rsidRDefault="00C35EAB" w:rsidP="00D6235A">
      <w:pPr>
        <w:ind w:left="0"/>
        <w:jc w:val="both"/>
        <w:rPr>
          <w:rFonts w:ascii="Bookman Old Style" w:hAnsi="Bookman Old Style" w:cs="Arial"/>
          <w:lang w:val="es-ES_tradnl"/>
        </w:rPr>
      </w:pPr>
    </w:p>
    <w:p w:rsidR="00961C05" w:rsidRDefault="00961C05" w:rsidP="00961C05">
      <w:pPr>
        <w:ind w:left="0"/>
        <w:jc w:val="both"/>
        <w:rPr>
          <w:rFonts w:ascii="Bookman Old Style" w:hAnsi="Bookman Old Style" w:cs="Arial"/>
          <w:lang w:val="es-ES_tradnl"/>
        </w:rPr>
      </w:pPr>
      <w:r>
        <w:rPr>
          <w:rFonts w:ascii="Bookman Old Style" w:hAnsi="Bookman Old Style" w:cs="Arial"/>
          <w:lang w:val="es-ES_tradnl"/>
        </w:rPr>
        <w:t xml:space="preserve">El Ministerio de Minas y Energía expidió </w:t>
      </w:r>
      <w:r w:rsidR="00F544B5">
        <w:rPr>
          <w:rFonts w:ascii="Bookman Old Style" w:hAnsi="Bookman Old Style" w:cs="Arial"/>
          <w:lang w:val="es-ES_tradnl"/>
        </w:rPr>
        <w:t>a consulta una resolución</w:t>
      </w:r>
      <w:r>
        <w:rPr>
          <w:rFonts w:ascii="Bookman Old Style" w:hAnsi="Bookman Old Style" w:cs="Arial"/>
          <w:lang w:val="es-ES_tradnl"/>
        </w:rPr>
        <w:t xml:space="preserve"> mediante la que se define el mecanismo complementario de asignación de contratos de largo plazo de acuerdo con el artículo 6 de la Resolución 40591 de 2019 expedida por la misma entidad. En el artículo 12 de la </w:t>
      </w:r>
      <w:r w:rsidR="00F544B5">
        <w:rPr>
          <w:rFonts w:ascii="Bookman Old Style" w:hAnsi="Bookman Old Style" w:cs="Arial"/>
          <w:lang w:val="es-ES_tradnl"/>
        </w:rPr>
        <w:t>resolución en consulta</w:t>
      </w:r>
      <w:r>
        <w:rPr>
          <w:rFonts w:ascii="Bookman Old Style" w:hAnsi="Bookman Old Style" w:cs="Arial"/>
          <w:lang w:val="es-ES_tradnl"/>
        </w:rPr>
        <w:t xml:space="preserve"> se determina que la CREG debe establecer el esquema para trasladar los costos de compra de energía, que resulte del mecanismo complementario.</w:t>
      </w:r>
    </w:p>
    <w:p w:rsidR="00E73859" w:rsidRDefault="00E73859" w:rsidP="00961C05">
      <w:pPr>
        <w:ind w:left="0"/>
        <w:jc w:val="both"/>
        <w:rPr>
          <w:rFonts w:ascii="Bookman Old Style" w:hAnsi="Bookman Old Style" w:cs="Arial"/>
          <w:lang w:val="es-ES_tradnl"/>
        </w:rPr>
      </w:pPr>
    </w:p>
    <w:p w:rsidR="00E73859" w:rsidRDefault="00D40DBB" w:rsidP="00961C05">
      <w:pPr>
        <w:ind w:left="0"/>
        <w:jc w:val="both"/>
        <w:rPr>
          <w:rFonts w:ascii="Bookman Old Style" w:hAnsi="Bookman Old Style" w:cs="Arial"/>
          <w:lang w:val="es-ES_tradnl"/>
        </w:rPr>
      </w:pPr>
      <w:r>
        <w:rPr>
          <w:rFonts w:ascii="Bookman Old Style" w:hAnsi="Bookman Old Style" w:cs="Arial"/>
          <w:lang w:val="es-ES_tradnl"/>
        </w:rPr>
        <w:t>L</w:t>
      </w:r>
      <w:r w:rsidR="00E73859">
        <w:rPr>
          <w:rFonts w:ascii="Bookman Old Style" w:hAnsi="Bookman Old Style" w:cs="Arial"/>
          <w:lang w:val="es-ES_tradnl"/>
        </w:rPr>
        <w:t>a CREG considera que dada la naturaleza complementaria del mecanismo del que trata el artículo 6 de la Resolución 40591 de 2019 con la subasta de contratos de largo plazo definida en la Resolución 40590 de 2019 es pertinente utilizar la misma fórmula de traslado en los dos mecanismos.</w:t>
      </w:r>
    </w:p>
    <w:p w:rsidR="00785E91" w:rsidRDefault="00785E91" w:rsidP="00785E91">
      <w:pPr>
        <w:ind w:left="0"/>
        <w:jc w:val="both"/>
        <w:rPr>
          <w:rFonts w:ascii="Bookman Old Style" w:hAnsi="Bookman Old Style" w:cs="Arial"/>
          <w:lang w:val="es-ES_tradnl"/>
        </w:rPr>
      </w:pPr>
    </w:p>
    <w:p w:rsidR="00045D3D" w:rsidRDefault="00045D3D" w:rsidP="00045D3D">
      <w:pPr>
        <w:suppressAutoHyphens/>
        <w:jc w:val="center"/>
        <w:rPr>
          <w:rFonts w:ascii="Bookman Old Style" w:hAnsi="Bookman Old Style"/>
          <w:b/>
          <w:spacing w:val="-3"/>
        </w:rPr>
      </w:pPr>
    </w:p>
    <w:p w:rsidR="00045D3D" w:rsidRPr="00C435C3" w:rsidRDefault="00045D3D" w:rsidP="00045D3D">
      <w:pPr>
        <w:suppressAutoHyphens/>
        <w:jc w:val="center"/>
        <w:rPr>
          <w:rFonts w:ascii="Bookman Old Style" w:hAnsi="Bookman Old Style"/>
          <w:spacing w:val="-3"/>
        </w:rPr>
      </w:pPr>
      <w:r w:rsidRPr="00C435C3">
        <w:rPr>
          <w:rFonts w:ascii="Bookman Old Style" w:hAnsi="Bookman Old Style"/>
          <w:b/>
          <w:spacing w:val="-3"/>
        </w:rPr>
        <w:t>R E S U E L V E:</w:t>
      </w:r>
    </w:p>
    <w:p w:rsidR="00045D3D" w:rsidRDefault="00045D3D" w:rsidP="00045D3D">
      <w:pPr>
        <w:jc w:val="center"/>
        <w:rPr>
          <w:rFonts w:ascii="Bookman Old Style" w:hAnsi="Bookman Old Style"/>
        </w:rPr>
      </w:pPr>
    </w:p>
    <w:p w:rsidR="00045D3D" w:rsidRPr="00F51B84" w:rsidRDefault="00FF07E5" w:rsidP="00DB6388">
      <w:pPr>
        <w:pStyle w:val="Prrafodelista"/>
        <w:numPr>
          <w:ilvl w:val="0"/>
          <w:numId w:val="33"/>
        </w:numPr>
        <w:tabs>
          <w:tab w:val="left" w:pos="0"/>
        </w:tabs>
        <w:ind w:left="0" w:firstLine="0"/>
        <w:jc w:val="both"/>
        <w:rPr>
          <w:rFonts w:ascii="Bookman Old Style" w:hAnsi="Bookman Old Style"/>
          <w:sz w:val="24"/>
        </w:rPr>
      </w:pPr>
      <w:r w:rsidRPr="00F51B84">
        <w:rPr>
          <w:rFonts w:ascii="Bookman Old Style" w:hAnsi="Bookman Old Style" w:cs="Arial"/>
          <w:b/>
          <w:sz w:val="24"/>
          <w:szCs w:val="24"/>
          <w:lang w:val="es-ES_tradnl"/>
        </w:rPr>
        <w:t>Objeto</w:t>
      </w:r>
      <w:r w:rsidRPr="00F51B84">
        <w:rPr>
          <w:rFonts w:ascii="Bookman Old Style" w:hAnsi="Bookman Old Style" w:cs="Arial"/>
          <w:sz w:val="24"/>
          <w:szCs w:val="24"/>
          <w:lang w:val="es-ES_tradnl"/>
        </w:rPr>
        <w:t xml:space="preserve">. </w:t>
      </w:r>
      <w:r w:rsidR="00F544B5">
        <w:rPr>
          <w:rFonts w:ascii="Bookman Old Style" w:hAnsi="Bookman Old Style" w:cs="Arial"/>
          <w:sz w:val="24"/>
          <w:szCs w:val="24"/>
          <w:lang w:val="es-ES_tradnl"/>
        </w:rPr>
        <w:t>En</w:t>
      </w:r>
      <w:r w:rsidR="00882C61" w:rsidRPr="00F51B84">
        <w:rPr>
          <w:rFonts w:ascii="Bookman Old Style" w:hAnsi="Bookman Old Style"/>
          <w:sz w:val="24"/>
        </w:rPr>
        <w:t xml:space="preserve"> esta resolución se </w:t>
      </w:r>
      <w:r w:rsidR="00CB1407" w:rsidRPr="00F51B84">
        <w:rPr>
          <w:rFonts w:ascii="Bookman Old Style" w:hAnsi="Bookman Old Style"/>
          <w:sz w:val="24"/>
        </w:rPr>
        <w:t>establece</w:t>
      </w:r>
      <w:r w:rsidR="00882C61" w:rsidRPr="00F51B84">
        <w:rPr>
          <w:rFonts w:ascii="Bookman Old Style" w:hAnsi="Bookman Old Style"/>
          <w:sz w:val="24"/>
        </w:rPr>
        <w:t xml:space="preserve"> la fórmula de traslado </w:t>
      </w:r>
      <w:r w:rsidR="00F51B84" w:rsidRPr="00F51B84">
        <w:rPr>
          <w:rFonts w:ascii="Bookman Old Style" w:hAnsi="Bookman Old Style"/>
          <w:sz w:val="24"/>
        </w:rPr>
        <w:t>en el componente de compras de energía (G) en el costo unitario de prestación del servicio al usuario regulado (CU)</w:t>
      </w:r>
      <w:r w:rsidR="00F51B84">
        <w:rPr>
          <w:rFonts w:ascii="Bookman Old Style" w:hAnsi="Bookman Old Style"/>
          <w:sz w:val="24"/>
        </w:rPr>
        <w:t>,</w:t>
      </w:r>
      <w:r w:rsidR="00F51B84" w:rsidRPr="00F51B84">
        <w:rPr>
          <w:rFonts w:ascii="Bookman Old Style" w:hAnsi="Bookman Old Style"/>
          <w:sz w:val="24"/>
        </w:rPr>
        <w:t xml:space="preserve"> de los precios </w:t>
      </w:r>
      <w:r w:rsidR="00CB1407" w:rsidRPr="00F51B84">
        <w:rPr>
          <w:rFonts w:ascii="Bookman Old Style" w:hAnsi="Bookman Old Style"/>
          <w:sz w:val="24"/>
        </w:rPr>
        <w:t xml:space="preserve">de los contratos </w:t>
      </w:r>
      <w:r w:rsidR="00882C61" w:rsidRPr="00F51B84">
        <w:rPr>
          <w:rFonts w:ascii="Bookman Old Style" w:hAnsi="Bookman Old Style"/>
          <w:sz w:val="24"/>
        </w:rPr>
        <w:t xml:space="preserve">resultantes </w:t>
      </w:r>
      <w:r w:rsidR="00F51B84">
        <w:rPr>
          <w:rFonts w:ascii="Bookman Old Style" w:hAnsi="Bookman Old Style"/>
          <w:sz w:val="24"/>
        </w:rPr>
        <w:t>del</w:t>
      </w:r>
      <w:r w:rsidR="00882C61" w:rsidRPr="00F51B84">
        <w:rPr>
          <w:rFonts w:ascii="Bookman Old Style" w:hAnsi="Bookman Old Style"/>
          <w:sz w:val="24"/>
        </w:rPr>
        <w:t xml:space="preserve"> mecanismo </w:t>
      </w:r>
      <w:r w:rsidR="00F51B84">
        <w:rPr>
          <w:rFonts w:ascii="Bookman Old Style" w:hAnsi="Bookman Old Style"/>
          <w:sz w:val="24"/>
        </w:rPr>
        <w:t xml:space="preserve">complementario </w:t>
      </w:r>
      <w:r w:rsidR="004C283F">
        <w:rPr>
          <w:rFonts w:ascii="Bookman Old Style" w:hAnsi="Bookman Old Style"/>
          <w:sz w:val="24"/>
        </w:rPr>
        <w:t>del que trata</w:t>
      </w:r>
      <w:r w:rsidR="00CB1407" w:rsidRPr="00F51B84">
        <w:rPr>
          <w:rFonts w:ascii="Bookman Old Style" w:hAnsi="Bookman Old Style"/>
          <w:sz w:val="24"/>
        </w:rPr>
        <w:t xml:space="preserve"> </w:t>
      </w:r>
      <w:r w:rsidR="00F51B84">
        <w:rPr>
          <w:rFonts w:ascii="Bookman Old Style" w:hAnsi="Bookman Old Style"/>
          <w:sz w:val="24"/>
        </w:rPr>
        <w:t>el artículo 6 de la</w:t>
      </w:r>
      <w:r w:rsidR="00CB1407" w:rsidRPr="00F51B84">
        <w:rPr>
          <w:rFonts w:ascii="Bookman Old Style" w:hAnsi="Bookman Old Style"/>
          <w:sz w:val="24"/>
        </w:rPr>
        <w:t xml:space="preserve"> </w:t>
      </w:r>
      <w:r w:rsidR="00CB1407" w:rsidRPr="00F544B5">
        <w:rPr>
          <w:rFonts w:ascii="Bookman Old Style" w:hAnsi="Bookman Old Style"/>
          <w:sz w:val="24"/>
        </w:rPr>
        <w:t xml:space="preserve">Resolución </w:t>
      </w:r>
      <w:r w:rsidR="00F51B84" w:rsidRPr="00F544B5">
        <w:rPr>
          <w:rFonts w:ascii="Bookman Old Style" w:hAnsi="Bookman Old Style"/>
          <w:sz w:val="24"/>
        </w:rPr>
        <w:t>40591</w:t>
      </w:r>
      <w:r w:rsidR="00CB1407" w:rsidRPr="00F544B5">
        <w:rPr>
          <w:rFonts w:ascii="Bookman Old Style" w:hAnsi="Bookman Old Style"/>
          <w:sz w:val="24"/>
        </w:rPr>
        <w:t xml:space="preserve"> de 2019</w:t>
      </w:r>
      <w:r w:rsidR="00F51B84" w:rsidRPr="00F544B5">
        <w:rPr>
          <w:rFonts w:ascii="Bookman Old Style" w:hAnsi="Bookman Old Style"/>
          <w:sz w:val="24"/>
        </w:rPr>
        <w:t xml:space="preserve"> del Ministerio de Minas y Energía</w:t>
      </w:r>
      <w:r w:rsidR="00146BE2" w:rsidRPr="00F544B5">
        <w:rPr>
          <w:rFonts w:ascii="Bookman Old Style" w:hAnsi="Bookman Old Style"/>
          <w:sz w:val="24"/>
        </w:rPr>
        <w:t>.</w:t>
      </w:r>
      <w:r w:rsidR="00CB1407" w:rsidRPr="00F51B84">
        <w:rPr>
          <w:rFonts w:ascii="Bookman Old Style" w:hAnsi="Bookman Old Style"/>
          <w:sz w:val="24"/>
        </w:rPr>
        <w:t xml:space="preserve"> </w:t>
      </w:r>
    </w:p>
    <w:p w:rsidR="00045D3D" w:rsidRPr="00C435C3" w:rsidRDefault="00045D3D" w:rsidP="00045D3D">
      <w:pPr>
        <w:rPr>
          <w:rFonts w:ascii="Bookman Old Style" w:hAnsi="Bookman Old Style"/>
        </w:rPr>
      </w:pPr>
    </w:p>
    <w:p w:rsidR="001C5117" w:rsidRDefault="001C5117" w:rsidP="001C5117">
      <w:pPr>
        <w:pStyle w:val="Prrafodelista"/>
        <w:tabs>
          <w:tab w:val="left" w:pos="0"/>
        </w:tabs>
        <w:ind w:left="0"/>
        <w:jc w:val="both"/>
        <w:rPr>
          <w:rFonts w:ascii="Bookman Old Style" w:hAnsi="Bookman Old Style"/>
          <w:sz w:val="24"/>
        </w:rPr>
      </w:pPr>
    </w:p>
    <w:p w:rsidR="0081174D" w:rsidRDefault="001C5117" w:rsidP="00DB6388">
      <w:pPr>
        <w:pStyle w:val="Prrafodelista"/>
        <w:numPr>
          <w:ilvl w:val="0"/>
          <w:numId w:val="33"/>
        </w:numPr>
        <w:tabs>
          <w:tab w:val="left" w:pos="0"/>
        </w:tabs>
        <w:ind w:left="0" w:firstLine="0"/>
        <w:jc w:val="both"/>
        <w:rPr>
          <w:rFonts w:ascii="Bookman Old Style" w:hAnsi="Bookman Old Style"/>
          <w:sz w:val="24"/>
        </w:rPr>
      </w:pPr>
      <w:r w:rsidRPr="001C5117">
        <w:rPr>
          <w:rFonts w:ascii="Bookman Old Style" w:hAnsi="Bookman Old Style" w:cs="Arial"/>
          <w:b/>
          <w:sz w:val="24"/>
          <w:szCs w:val="24"/>
          <w:lang w:val="es-ES_tradnl"/>
        </w:rPr>
        <w:t>Reconocimiento de costos agregados en la fórmula tarifaria para el usuario regulado.</w:t>
      </w:r>
      <w:r w:rsidRPr="001C5117">
        <w:rPr>
          <w:rFonts w:ascii="Bookman Old Style" w:hAnsi="Bookman Old Style"/>
        </w:rPr>
        <w:t xml:space="preserve"> </w:t>
      </w:r>
      <w:r w:rsidRPr="001C5117">
        <w:rPr>
          <w:rFonts w:ascii="Bookman Old Style" w:hAnsi="Bookman Old Style"/>
          <w:sz w:val="24"/>
        </w:rPr>
        <w:t xml:space="preserve">Los comercializadores que atienden demanda regulada y que suscriban contratos resultantes de la aplicación del mecanismo complementario del que trata </w:t>
      </w:r>
      <w:r w:rsidR="00F544B5">
        <w:rPr>
          <w:rFonts w:ascii="Bookman Old Style" w:hAnsi="Bookman Old Style"/>
          <w:sz w:val="24"/>
        </w:rPr>
        <w:t>el artículo 6 de la Resolución 40591 de 2019</w:t>
      </w:r>
      <w:r w:rsidRPr="001C5117">
        <w:rPr>
          <w:rFonts w:ascii="Bookman Old Style" w:hAnsi="Bookman Old Style"/>
          <w:sz w:val="24"/>
        </w:rPr>
        <w:t xml:space="preserve"> del Ministerio de Minas y Energía pueden trasladar los precios de estos contratos en el componente de costo de energía (G) del costo unitario de prestación del servicio (CU</w:t>
      </w:r>
      <w:r>
        <w:rPr>
          <w:rFonts w:ascii="Bookman Old Style" w:hAnsi="Bookman Old Style"/>
          <w:sz w:val="24"/>
        </w:rPr>
        <w:t>).</w:t>
      </w:r>
    </w:p>
    <w:p w:rsidR="001C5117" w:rsidRPr="001C5117" w:rsidRDefault="001C5117" w:rsidP="001C5117">
      <w:pPr>
        <w:pStyle w:val="Prrafodelista"/>
        <w:tabs>
          <w:tab w:val="left" w:pos="0"/>
        </w:tabs>
        <w:ind w:left="0"/>
        <w:jc w:val="both"/>
        <w:rPr>
          <w:rFonts w:ascii="Bookman Old Style" w:hAnsi="Bookman Old Style"/>
          <w:sz w:val="24"/>
        </w:rPr>
      </w:pPr>
    </w:p>
    <w:p w:rsidR="00DB6388" w:rsidRPr="00DB6388" w:rsidRDefault="00BB673D" w:rsidP="00DB6388">
      <w:pPr>
        <w:pStyle w:val="Prrafodelista"/>
        <w:numPr>
          <w:ilvl w:val="0"/>
          <w:numId w:val="33"/>
        </w:numPr>
        <w:tabs>
          <w:tab w:val="left" w:pos="0"/>
          <w:tab w:val="left" w:pos="284"/>
        </w:tabs>
        <w:ind w:left="0" w:firstLine="0"/>
        <w:jc w:val="both"/>
        <w:rPr>
          <w:rFonts w:ascii="Bookman Old Style" w:hAnsi="Bookman Old Style"/>
          <w:sz w:val="24"/>
        </w:rPr>
      </w:pPr>
      <w:r w:rsidRPr="00DB6388">
        <w:rPr>
          <w:rFonts w:ascii="Bookman Old Style" w:hAnsi="Bookman Old Style"/>
          <w:b/>
          <w:sz w:val="24"/>
        </w:rPr>
        <w:t>Fórmula de traslado</w:t>
      </w:r>
      <w:r w:rsidR="00CB1407" w:rsidRPr="00DB6388">
        <w:rPr>
          <w:rFonts w:ascii="Bookman Old Style" w:hAnsi="Bookman Old Style"/>
          <w:b/>
          <w:sz w:val="24"/>
        </w:rPr>
        <w:t xml:space="preserve">. </w:t>
      </w:r>
      <w:r w:rsidR="00CB1407" w:rsidRPr="00DB6388">
        <w:rPr>
          <w:rFonts w:ascii="Bookman Old Style" w:hAnsi="Bookman Old Style"/>
          <w:sz w:val="24"/>
        </w:rPr>
        <w:t xml:space="preserve">El traslado de los precios de los contratos </w:t>
      </w:r>
      <w:r w:rsidR="006E6F2D" w:rsidRPr="00DB6388">
        <w:rPr>
          <w:rFonts w:ascii="Bookman Old Style" w:hAnsi="Bookman Old Style"/>
          <w:sz w:val="24"/>
        </w:rPr>
        <w:t xml:space="preserve">que el comercializador suscriba como resultado de la aplicación del mecanismo complementario que trata </w:t>
      </w:r>
      <w:r w:rsidR="00F544B5" w:rsidRPr="00DB6388">
        <w:rPr>
          <w:rFonts w:ascii="Bookman Old Style" w:hAnsi="Bookman Old Style"/>
          <w:sz w:val="24"/>
        </w:rPr>
        <w:t>el artículo 6 de la Resolución 40591 de 2019</w:t>
      </w:r>
      <w:r w:rsidR="00DB6388" w:rsidRPr="00DB6388">
        <w:rPr>
          <w:rFonts w:ascii="Bookman Old Style" w:hAnsi="Bookman Old Style"/>
          <w:sz w:val="24"/>
        </w:rPr>
        <w:t xml:space="preserve"> se realizará de acuerdo con lo previsto en este artículo</w:t>
      </w:r>
      <w:r w:rsidR="00DB6388" w:rsidRPr="00DB6388">
        <w:rPr>
          <w:rFonts w:ascii="Bookman Old Style" w:hAnsi="Bookman Old Style"/>
          <w:sz w:val="24"/>
          <w:szCs w:val="24"/>
        </w:rPr>
        <w:t>.</w:t>
      </w:r>
    </w:p>
    <w:p w:rsidR="00DB6388" w:rsidRPr="00CD37C5" w:rsidRDefault="00DB6388" w:rsidP="00DB6388">
      <w:pPr>
        <w:tabs>
          <w:tab w:val="left" w:pos="0"/>
          <w:tab w:val="left" w:pos="284"/>
        </w:tabs>
        <w:ind w:left="0"/>
        <w:jc w:val="both"/>
        <w:rPr>
          <w:rFonts w:ascii="Bookman Old Style" w:hAnsi="Bookman Old Style"/>
          <w:szCs w:val="20"/>
          <w:lang w:val="es-CO"/>
        </w:rPr>
      </w:pPr>
    </w:p>
    <w:p w:rsidR="00DB6388" w:rsidRPr="00CD37C5" w:rsidRDefault="00DB6388" w:rsidP="00DB6388">
      <w:pPr>
        <w:pStyle w:val="Prrafodelista"/>
        <w:numPr>
          <w:ilvl w:val="0"/>
          <w:numId w:val="39"/>
        </w:numPr>
        <w:tabs>
          <w:tab w:val="left" w:pos="284"/>
          <w:tab w:val="left" w:pos="426"/>
        </w:tabs>
        <w:jc w:val="both"/>
        <w:rPr>
          <w:rFonts w:ascii="Bookman Old Style" w:hAnsi="Bookman Old Style"/>
          <w:sz w:val="24"/>
        </w:rPr>
      </w:pPr>
      <w:r w:rsidRPr="00CD37C5">
        <w:rPr>
          <w:rFonts w:ascii="Bookman Old Style" w:hAnsi="Bookman Old Style"/>
          <w:b/>
          <w:sz w:val="24"/>
        </w:rPr>
        <w:t>Determinación de la cantidad de energía asociada a los contratos de largo plazo</w:t>
      </w:r>
      <w:r w:rsidRPr="00CD37C5">
        <w:rPr>
          <w:rFonts w:ascii="Bookman Old Style" w:hAnsi="Bookman Old Style"/>
          <w:sz w:val="24"/>
        </w:rPr>
        <w:t xml:space="preserve">. </w:t>
      </w:r>
      <w:r>
        <w:rPr>
          <w:rFonts w:ascii="Bookman Old Style" w:hAnsi="Bookman Old Style"/>
          <w:sz w:val="24"/>
        </w:rPr>
        <w:t>El</w:t>
      </w:r>
      <w:r w:rsidRPr="00CD37C5">
        <w:rPr>
          <w:rFonts w:ascii="Bookman Old Style" w:hAnsi="Bookman Old Style"/>
          <w:sz w:val="24"/>
        </w:rPr>
        <w:t xml:space="preserve"> comercializador </w:t>
      </w:r>
      <w:r>
        <w:rPr>
          <w:rFonts w:ascii="Bookman Old Style" w:hAnsi="Bookman Old Style"/>
          <w:sz w:val="24"/>
        </w:rPr>
        <w:t xml:space="preserve">que suscriba </w:t>
      </w:r>
      <w:r w:rsidRPr="00CD37C5">
        <w:rPr>
          <w:rFonts w:ascii="Bookman Old Style" w:hAnsi="Bookman Old Style"/>
          <w:sz w:val="24"/>
        </w:rPr>
        <w:t xml:space="preserve">contratos como resultado </w:t>
      </w:r>
      <w:r w:rsidRPr="00DB6388">
        <w:rPr>
          <w:rFonts w:ascii="Bookman Old Style" w:hAnsi="Bookman Old Style"/>
          <w:sz w:val="24"/>
        </w:rPr>
        <w:t xml:space="preserve">de la aplicación del mecanismo complementario que trata el artículo 6 de la Resolución 40591 de 2019 </w:t>
      </w:r>
      <w:r w:rsidRPr="00CD37C5">
        <w:rPr>
          <w:rFonts w:ascii="Bookman Old Style" w:hAnsi="Bookman Old Style"/>
          <w:sz w:val="24"/>
        </w:rPr>
        <w:t xml:space="preserve">debe determinar la cantidad de energía que se asociará mensualmente en el componente </w:t>
      </w:r>
      <w:r>
        <w:rPr>
          <w:rFonts w:ascii="Bookman Old Style" w:hAnsi="Bookman Old Style"/>
          <w:sz w:val="24"/>
        </w:rPr>
        <w:t>de compras de energía (</w:t>
      </w:r>
      <w:r w:rsidRPr="00CD37C5">
        <w:rPr>
          <w:rFonts w:ascii="Bookman Old Style" w:hAnsi="Bookman Old Style"/>
          <w:sz w:val="24"/>
        </w:rPr>
        <w:t>G</w:t>
      </w:r>
      <w:r>
        <w:rPr>
          <w:rFonts w:ascii="Bookman Old Style" w:hAnsi="Bookman Old Style"/>
          <w:sz w:val="24"/>
        </w:rPr>
        <w:t>)</w:t>
      </w:r>
      <w:r w:rsidRPr="00CD37C5">
        <w:rPr>
          <w:rFonts w:ascii="Bookman Old Style" w:hAnsi="Bookman Old Style"/>
          <w:sz w:val="24"/>
        </w:rPr>
        <w:t xml:space="preserve"> </w:t>
      </w:r>
      <w:r w:rsidRPr="00CD37C5">
        <w:rPr>
          <w:rFonts w:ascii="Bookman Old Style" w:hAnsi="Bookman Old Style"/>
          <w:sz w:val="24"/>
        </w:rPr>
        <w:lastRenderedPageBreak/>
        <w:t>correspondiente a estos contratos. Esta cantidad se calculará a partir de la siguiente expresión:</w:t>
      </w:r>
    </w:p>
    <w:p w:rsidR="00DB6388" w:rsidRPr="00C96A4D" w:rsidRDefault="00DB6388" w:rsidP="00DB6388">
      <w:pPr>
        <w:tabs>
          <w:tab w:val="left" w:pos="0"/>
          <w:tab w:val="left" w:pos="284"/>
        </w:tabs>
        <w:ind w:left="0"/>
        <w:jc w:val="both"/>
        <w:rPr>
          <w:rFonts w:ascii="Bookman Old Style" w:hAnsi="Bookman Old Style"/>
          <w:szCs w:val="20"/>
          <w:lang w:val="es-CO"/>
        </w:rPr>
      </w:pPr>
    </w:p>
    <w:p w:rsidR="00DB6388" w:rsidRDefault="00DB6388" w:rsidP="00DB6388">
      <w:pPr>
        <w:tabs>
          <w:tab w:val="left" w:pos="0"/>
          <w:tab w:val="left" w:pos="284"/>
        </w:tabs>
        <w:ind w:left="0"/>
        <w:jc w:val="both"/>
        <w:rPr>
          <w:rFonts w:ascii="Bookman Old Style" w:hAnsi="Bookman Old Style"/>
          <w:b/>
          <w:szCs w:val="20"/>
          <w:lang w:val="es-CO"/>
        </w:rPr>
      </w:pPr>
    </w:p>
    <w:p w:rsidR="00DB6388" w:rsidRPr="00C96A4D" w:rsidRDefault="00DB6388" w:rsidP="00DB6388">
      <w:pPr>
        <w:tabs>
          <w:tab w:val="left" w:pos="0"/>
          <w:tab w:val="left" w:pos="284"/>
        </w:tabs>
        <w:ind w:left="0"/>
        <w:jc w:val="both"/>
        <w:rPr>
          <w:rFonts w:ascii="Bookman Old Style" w:hAnsi="Bookman Old Style"/>
        </w:rPr>
      </w:pPr>
      <m:oMathPara>
        <m:oMath>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m,i</m:t>
              </m:r>
            </m:sub>
          </m:sSub>
          <m:r>
            <w:rPr>
              <w:rFonts w:ascii="Cambria Math" w:hAnsi="Cambria Math"/>
            </w:rPr>
            <m:t>=</m:t>
          </m:r>
          <m:nary>
            <m:naryPr>
              <m:chr m:val="∑"/>
              <m:limLoc m:val="undOvr"/>
              <m:ctrlPr>
                <w:rPr>
                  <w:rFonts w:ascii="Cambria Math" w:hAnsi="Cambria Math"/>
                  <w:i/>
                </w:rPr>
              </m:ctrlPr>
            </m:naryPr>
            <m:sub>
              <m:r>
                <w:rPr>
                  <w:rFonts w:ascii="Cambria Math" w:hAnsi="Cambria Math"/>
                </w:rPr>
                <m:t>k=1</m:t>
              </m:r>
            </m:sub>
            <m:sup>
              <m:r>
                <w:rPr>
                  <w:rFonts w:ascii="Cambria Math" w:hAnsi="Cambria Math"/>
                </w:rPr>
                <m:t>N</m:t>
              </m:r>
            </m:sup>
            <m:e>
              <m:nary>
                <m:naryPr>
                  <m:chr m:val="∑"/>
                  <m:limLoc m:val="undOvr"/>
                  <m:ctrlPr>
                    <w:rPr>
                      <w:rFonts w:ascii="Cambria Math" w:hAnsi="Cambria Math"/>
                      <w:i/>
                    </w:rPr>
                  </m:ctrlPr>
                </m:naryPr>
                <m:sub>
                  <m:r>
                    <w:rPr>
                      <w:rFonts w:ascii="Cambria Math" w:hAnsi="Cambria Math"/>
                    </w:rPr>
                    <m:t>h=</m:t>
                  </m:r>
                  <m:r>
                    <w:rPr>
                      <w:rFonts w:ascii="Cambria Math" w:hAnsi="Cambria Math"/>
                    </w:rPr>
                    <m:t>1</m:t>
                  </m:r>
                </m:sub>
                <m:sup>
                  <m:r>
                    <w:rPr>
                      <w:rFonts w:ascii="Cambria Math" w:hAnsi="Cambria Math"/>
                    </w:rPr>
                    <m:t>24</m:t>
                  </m:r>
                </m:sup>
                <m:e>
                  <m:r>
                    <w:rPr>
                      <w:rFonts w:ascii="Cambria Math" w:hAnsi="Cambria Math"/>
                    </w:rPr>
                    <m:t>QCL</m:t>
                  </m:r>
                  <m:sSub>
                    <m:sSubPr>
                      <m:ctrlPr>
                        <w:rPr>
                          <w:rFonts w:ascii="Cambria Math" w:hAnsi="Cambria Math"/>
                          <w:i/>
                        </w:rPr>
                      </m:ctrlPr>
                    </m:sSubPr>
                    <m:e>
                      <m:r>
                        <w:rPr>
                          <w:rFonts w:ascii="Cambria Math" w:hAnsi="Cambria Math"/>
                        </w:rPr>
                        <m:t>P</m:t>
                      </m:r>
                    </m:e>
                    <m:sub>
                      <m:r>
                        <w:rPr>
                          <w:rFonts w:ascii="Cambria Math" w:hAnsi="Cambria Math"/>
                        </w:rPr>
                        <m:t>h,k,i</m:t>
                      </m:r>
                    </m:sub>
                  </m:sSub>
                </m:e>
              </m:nary>
            </m:e>
          </m:nary>
        </m:oMath>
      </m:oMathPara>
    </w:p>
    <w:p w:rsidR="00DB6388" w:rsidRDefault="00DB6388" w:rsidP="00DB6388">
      <w:pPr>
        <w:ind w:left="0"/>
        <w:rPr>
          <w:rFonts w:ascii="Bookman Old Style" w:hAnsi="Bookman Old Style"/>
        </w:rPr>
      </w:pPr>
      <w:r>
        <w:rPr>
          <w:rFonts w:ascii="Bookman Old Style" w:hAnsi="Bookman Old Style"/>
        </w:rPr>
        <w:t>Donde:</w:t>
      </w:r>
    </w:p>
    <w:p w:rsidR="00DB6388" w:rsidRPr="002D4D6A" w:rsidRDefault="00DB6388" w:rsidP="00DB6388">
      <w:pPr>
        <w:ind w:left="0"/>
        <w:rPr>
          <w:rFonts w:ascii="Bookman Old Style" w:hAnsi="Bookman Old Style"/>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3"/>
        <w:gridCol w:w="7933"/>
      </w:tblGrid>
      <w:tr w:rsidR="00DB6388" w:rsidRPr="00A151DE" w:rsidTr="00DB6388">
        <w:tc>
          <w:tcPr>
            <w:tcW w:w="1413" w:type="dxa"/>
          </w:tcPr>
          <w:p w:rsidR="00DB6388" w:rsidRDefault="00DB6388" w:rsidP="00DB6388">
            <w:pPr>
              <w:tabs>
                <w:tab w:val="left" w:pos="0"/>
                <w:tab w:val="left" w:pos="284"/>
              </w:tabs>
              <w:ind w:left="0"/>
              <w:jc w:val="both"/>
              <w:rPr>
                <w:rFonts w:ascii="Bookman Old Style" w:hAnsi="Bookman Old Style"/>
              </w:rPr>
            </w:pPr>
            <m:oMath>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m,i</m:t>
                  </m:r>
                </m:sub>
              </m:sSub>
            </m:oMath>
            <w:r>
              <w:rPr>
                <w:rFonts w:ascii="Bookman Old Style" w:hAnsi="Bookman Old Style"/>
              </w:rPr>
              <w:t>:</w:t>
            </w:r>
          </w:p>
        </w:tc>
        <w:tc>
          <w:tcPr>
            <w:tcW w:w="7933" w:type="dxa"/>
          </w:tcPr>
          <w:p w:rsidR="00DB6388" w:rsidRPr="00A322CF" w:rsidRDefault="00DB6388" w:rsidP="00E73859">
            <w:pPr>
              <w:tabs>
                <w:tab w:val="left" w:pos="0"/>
                <w:tab w:val="left" w:pos="284"/>
              </w:tabs>
              <w:ind w:left="0"/>
              <w:jc w:val="both"/>
              <w:rPr>
                <w:rFonts w:ascii="Bookman Old Style" w:hAnsi="Bookman Old Style"/>
              </w:rPr>
            </w:pPr>
            <w:r>
              <w:rPr>
                <w:rFonts w:ascii="Bookman Old Style" w:hAnsi="Bookman Old Style"/>
              </w:rPr>
              <w:t xml:space="preserve">Energía mensual cubierta </w:t>
            </w:r>
            <w:r w:rsidR="00E73859">
              <w:rPr>
                <w:rFonts w:ascii="Bookman Old Style" w:hAnsi="Bookman Old Style"/>
              </w:rPr>
              <w:t xml:space="preserve">en el mes </w:t>
            </w:r>
            <w:r w:rsidR="00E73859">
              <w:rPr>
                <w:rFonts w:ascii="Bookman Old Style" w:hAnsi="Bookman Old Style"/>
                <w:i/>
              </w:rPr>
              <w:t xml:space="preserve">m </w:t>
            </w:r>
            <w:r w:rsidR="00E73859">
              <w:rPr>
                <w:rFonts w:ascii="Bookman Old Style" w:hAnsi="Bookman Old Style"/>
              </w:rPr>
              <w:t xml:space="preserve">por el comercializador </w:t>
            </w:r>
            <w:r w:rsidR="00E73859">
              <w:rPr>
                <w:rFonts w:ascii="Bookman Old Style" w:hAnsi="Bookman Old Style"/>
                <w:i/>
              </w:rPr>
              <w:t xml:space="preserve">i, </w:t>
            </w:r>
            <w:r>
              <w:rPr>
                <w:rFonts w:ascii="Bookman Old Style" w:hAnsi="Bookman Old Style"/>
              </w:rPr>
              <w:t>mediante los contratos de largo plazo adjudicados en</w:t>
            </w:r>
            <w:r w:rsidR="004237D0">
              <w:rPr>
                <w:rFonts w:ascii="Bookman Old Style" w:hAnsi="Bookman Old Style"/>
              </w:rPr>
              <w:t xml:space="preserve"> la subasta del Ministerio de Minas y Energía </w:t>
            </w:r>
            <w:r w:rsidR="00E73859">
              <w:rPr>
                <w:rFonts w:ascii="Bookman Old Style" w:hAnsi="Bookman Old Style"/>
              </w:rPr>
              <w:t>o</w:t>
            </w:r>
            <w:r>
              <w:rPr>
                <w:rFonts w:ascii="Bookman Old Style" w:hAnsi="Bookman Old Style"/>
              </w:rPr>
              <w:t xml:space="preserve"> el </w:t>
            </w:r>
            <w:r w:rsidRPr="00DB6388">
              <w:rPr>
                <w:rFonts w:ascii="Bookman Old Style" w:hAnsi="Bookman Old Style"/>
              </w:rPr>
              <w:t xml:space="preserve">mecanismo complementario que trata el artículo 6 de la Resolución 40591 de 2019 </w:t>
            </w:r>
            <w:r>
              <w:rPr>
                <w:rFonts w:ascii="Bookman Old Style" w:hAnsi="Bookman Old Style"/>
              </w:rPr>
              <w:t>del Ministerio de Minas</w:t>
            </w:r>
            <w:r w:rsidR="00E73859">
              <w:rPr>
                <w:rFonts w:ascii="Bookman Old Style" w:hAnsi="Bookman Old Style"/>
              </w:rPr>
              <w:t>.</w:t>
            </w:r>
            <w:r>
              <w:rPr>
                <w:rFonts w:ascii="Bookman Old Style" w:hAnsi="Bookman Old Style"/>
              </w:rPr>
              <w:t xml:space="preserve"> </w:t>
            </w:r>
          </w:p>
        </w:tc>
      </w:tr>
      <w:tr w:rsidR="00DB6388" w:rsidRPr="00A151DE" w:rsidTr="00DB6388">
        <w:tc>
          <w:tcPr>
            <w:tcW w:w="1413" w:type="dxa"/>
          </w:tcPr>
          <w:p w:rsidR="00DB6388" w:rsidRDefault="00DB6388" w:rsidP="00DB6388">
            <w:pPr>
              <w:tabs>
                <w:tab w:val="left" w:pos="0"/>
                <w:tab w:val="left" w:pos="284"/>
              </w:tabs>
              <w:ind w:left="0"/>
              <w:jc w:val="both"/>
              <w:rPr>
                <w:rFonts w:ascii="Bookman Old Style" w:hAnsi="Bookman Old Style"/>
              </w:rPr>
            </w:pPr>
            <m:oMath>
              <m:r>
                <w:rPr>
                  <w:rFonts w:ascii="Cambria Math" w:hAnsi="Cambria Math"/>
                </w:rPr>
                <m:t>QCL</m:t>
              </m:r>
              <m:sSub>
                <m:sSubPr>
                  <m:ctrlPr>
                    <w:rPr>
                      <w:rFonts w:ascii="Cambria Math" w:hAnsi="Cambria Math"/>
                      <w:i/>
                    </w:rPr>
                  </m:ctrlPr>
                </m:sSubPr>
                <m:e>
                  <m:r>
                    <w:rPr>
                      <w:rFonts w:ascii="Cambria Math" w:hAnsi="Cambria Math"/>
                    </w:rPr>
                    <m:t>P</m:t>
                  </m:r>
                </m:e>
                <m:sub>
                  <m:r>
                    <w:rPr>
                      <w:rFonts w:ascii="Cambria Math" w:hAnsi="Cambria Math"/>
                    </w:rPr>
                    <m:t>h,k,i</m:t>
                  </m:r>
                </m:sub>
              </m:sSub>
            </m:oMath>
            <w:r>
              <w:rPr>
                <w:rFonts w:ascii="Bookman Old Style" w:hAnsi="Bookman Old Style"/>
              </w:rPr>
              <w:t>:</w:t>
            </w:r>
          </w:p>
        </w:tc>
        <w:tc>
          <w:tcPr>
            <w:tcW w:w="7933" w:type="dxa"/>
          </w:tcPr>
          <w:p w:rsidR="00DB6388" w:rsidRPr="00CD37C5" w:rsidRDefault="00DB6388" w:rsidP="00E73859">
            <w:pPr>
              <w:tabs>
                <w:tab w:val="left" w:pos="0"/>
                <w:tab w:val="left" w:pos="284"/>
              </w:tabs>
              <w:ind w:left="0"/>
              <w:jc w:val="both"/>
              <w:rPr>
                <w:rFonts w:ascii="Bookman Old Style" w:hAnsi="Bookman Old Style"/>
              </w:rPr>
            </w:pPr>
            <w:r>
              <w:rPr>
                <w:rFonts w:ascii="Bookman Old Style" w:hAnsi="Bookman Old Style"/>
              </w:rPr>
              <w:t xml:space="preserve">Cantidad de energía en la hora </w:t>
            </w:r>
            <w:r w:rsidRPr="00683BDF">
              <w:rPr>
                <w:rFonts w:ascii="Bookman Old Style" w:hAnsi="Bookman Old Style"/>
                <w:i/>
              </w:rPr>
              <w:t>h</w:t>
            </w:r>
            <w:r>
              <w:rPr>
                <w:rFonts w:ascii="Bookman Old Style" w:hAnsi="Bookman Old Style"/>
              </w:rPr>
              <w:t xml:space="preserve"> del mes </w:t>
            </w:r>
            <w:r w:rsidRPr="00A322CF">
              <w:rPr>
                <w:rFonts w:ascii="Bookman Old Style" w:hAnsi="Bookman Old Style"/>
                <w:i/>
              </w:rPr>
              <w:t>m</w:t>
            </w:r>
            <w:r w:rsidRPr="00A322CF">
              <w:rPr>
                <w:rFonts w:ascii="Bookman Old Style" w:hAnsi="Bookman Old Style"/>
              </w:rPr>
              <w:t>,</w:t>
            </w:r>
            <w:r>
              <w:rPr>
                <w:rFonts w:ascii="Bookman Old Style" w:hAnsi="Bookman Old Style"/>
              </w:rPr>
              <w:t xml:space="preserve"> asociada con el contrato </w:t>
            </w:r>
            <w:r w:rsidRPr="00683BDF">
              <w:rPr>
                <w:rFonts w:ascii="Bookman Old Style" w:hAnsi="Bookman Old Style"/>
                <w:i/>
              </w:rPr>
              <w:t>k</w:t>
            </w:r>
            <w:r>
              <w:rPr>
                <w:rFonts w:ascii="Bookman Old Style" w:hAnsi="Bookman Old Style"/>
                <w:i/>
              </w:rPr>
              <w:t xml:space="preserve">, </w:t>
            </w:r>
            <w:r w:rsidRPr="009C2787">
              <w:rPr>
                <w:rFonts w:ascii="Bookman Old Style" w:hAnsi="Bookman Old Style"/>
              </w:rPr>
              <w:t>adjudicad</w:t>
            </w:r>
            <w:r w:rsidR="00E73859">
              <w:rPr>
                <w:rFonts w:ascii="Bookman Old Style" w:hAnsi="Bookman Old Style"/>
              </w:rPr>
              <w:t>o</w:t>
            </w:r>
            <w:r>
              <w:rPr>
                <w:rFonts w:ascii="Bookman Old Style" w:hAnsi="Bookman Old Style"/>
              </w:rPr>
              <w:t xml:space="preserve"> al comercializador </w:t>
            </w:r>
            <w:r>
              <w:rPr>
                <w:rFonts w:ascii="Bookman Old Style" w:hAnsi="Bookman Old Style"/>
                <w:i/>
              </w:rPr>
              <w:t>i,</w:t>
            </w:r>
            <w:r w:rsidRPr="00CD37C5">
              <w:rPr>
                <w:rFonts w:ascii="Bookman Old Style" w:hAnsi="Bookman Old Style"/>
              </w:rPr>
              <w:t xml:space="preserve"> resultante de la subasta del </w:t>
            </w:r>
            <w:r>
              <w:rPr>
                <w:rFonts w:ascii="Bookman Old Style" w:hAnsi="Bookman Old Style"/>
              </w:rPr>
              <w:t>Ministerio de Minas y Energía</w:t>
            </w:r>
            <w:r w:rsidR="004237D0">
              <w:rPr>
                <w:rFonts w:ascii="Bookman Old Style" w:hAnsi="Bookman Old Style"/>
              </w:rPr>
              <w:t xml:space="preserve"> </w:t>
            </w:r>
            <w:r w:rsidR="00E73859">
              <w:rPr>
                <w:rFonts w:ascii="Bookman Old Style" w:hAnsi="Bookman Old Style"/>
              </w:rPr>
              <w:t>o</w:t>
            </w:r>
            <w:r w:rsidR="004237D0">
              <w:rPr>
                <w:rFonts w:ascii="Bookman Old Style" w:hAnsi="Bookman Old Style"/>
              </w:rPr>
              <w:t xml:space="preserve"> el </w:t>
            </w:r>
            <w:r w:rsidR="004237D0" w:rsidRPr="00DB6388">
              <w:rPr>
                <w:rFonts w:ascii="Bookman Old Style" w:hAnsi="Bookman Old Style"/>
              </w:rPr>
              <w:t xml:space="preserve">mecanismo complementario que trata el artículo 6 de la Resolución 40591 de 2019 </w:t>
            </w:r>
            <w:r w:rsidR="004237D0">
              <w:rPr>
                <w:rFonts w:ascii="Bookman Old Style" w:hAnsi="Bookman Old Style"/>
              </w:rPr>
              <w:t xml:space="preserve">del Ministerio de Minas y Energía </w:t>
            </w:r>
            <w:r w:rsidRPr="00CD37C5">
              <w:rPr>
                <w:rFonts w:ascii="Bookman Old Style" w:hAnsi="Bookman Old Style"/>
              </w:rPr>
              <w:t>.</w:t>
            </w:r>
          </w:p>
        </w:tc>
      </w:tr>
    </w:tbl>
    <w:p w:rsidR="00DB6388" w:rsidRPr="00C96A4D" w:rsidRDefault="00DB6388" w:rsidP="00DB6388">
      <w:pPr>
        <w:pStyle w:val="Prrafodelista"/>
        <w:rPr>
          <w:rFonts w:ascii="Bookman Old Style" w:hAnsi="Bookman Old Style"/>
          <w:sz w:val="24"/>
        </w:rPr>
      </w:pPr>
    </w:p>
    <w:p w:rsidR="00DB6388" w:rsidRPr="003410C8" w:rsidRDefault="00DB6388" w:rsidP="00DB6388">
      <w:pPr>
        <w:pStyle w:val="Prrafodelista"/>
        <w:numPr>
          <w:ilvl w:val="0"/>
          <w:numId w:val="39"/>
        </w:numPr>
        <w:tabs>
          <w:tab w:val="left" w:pos="0"/>
          <w:tab w:val="left" w:pos="284"/>
        </w:tabs>
        <w:jc w:val="both"/>
        <w:rPr>
          <w:rFonts w:ascii="Bookman Old Style" w:hAnsi="Bookman Old Style"/>
        </w:rPr>
      </w:pPr>
      <w:r w:rsidRPr="003410C8">
        <w:rPr>
          <w:rFonts w:ascii="Bookman Old Style" w:hAnsi="Bookman Old Style"/>
          <w:b/>
          <w:sz w:val="24"/>
        </w:rPr>
        <w:t xml:space="preserve">Determinación del precio asociado a los contratos de largo plazo. </w:t>
      </w:r>
      <w:r w:rsidRPr="003410C8">
        <w:rPr>
          <w:rFonts w:ascii="Bookman Old Style" w:hAnsi="Bookman Old Style"/>
          <w:sz w:val="24"/>
        </w:rPr>
        <w:t xml:space="preserve">En segunda instancia, el comercializador que suscriba contratos como resultado </w:t>
      </w:r>
      <w:r w:rsidRPr="00DB6388">
        <w:rPr>
          <w:rFonts w:ascii="Bookman Old Style" w:hAnsi="Bookman Old Style"/>
          <w:sz w:val="24"/>
        </w:rPr>
        <w:t xml:space="preserve">de la aplicación del mecanismo complementario que trata el artículo 6 de la Resolución 40591 de 2019 </w:t>
      </w:r>
      <w:r w:rsidRPr="003410C8">
        <w:rPr>
          <w:rFonts w:ascii="Bookman Old Style" w:hAnsi="Bookman Old Style"/>
          <w:sz w:val="24"/>
        </w:rPr>
        <w:t xml:space="preserve">debe calcular el precio </w:t>
      </w:r>
      <w:r>
        <w:rPr>
          <w:rFonts w:ascii="Bookman Old Style" w:hAnsi="Bookman Old Style"/>
          <w:sz w:val="24"/>
        </w:rPr>
        <w:t>a trasladar por concepto de estos contratos</w:t>
      </w:r>
      <w:r w:rsidRPr="003410C8">
        <w:rPr>
          <w:rFonts w:ascii="Bookman Old Style" w:hAnsi="Bookman Old Style"/>
          <w:sz w:val="24"/>
        </w:rPr>
        <w:t>, a partir de la siguiente expresión</w:t>
      </w:r>
      <w:r>
        <w:rPr>
          <w:rFonts w:ascii="Bookman Old Style" w:hAnsi="Bookman Old Style"/>
          <w:sz w:val="24"/>
        </w:rPr>
        <w:t>:</w:t>
      </w:r>
    </w:p>
    <w:p w:rsidR="00DB6388" w:rsidRPr="003410C8" w:rsidRDefault="00DB6388" w:rsidP="00DB6388">
      <w:pPr>
        <w:tabs>
          <w:tab w:val="left" w:pos="0"/>
          <w:tab w:val="left" w:pos="284"/>
        </w:tabs>
        <w:jc w:val="both"/>
        <w:rPr>
          <w:rFonts w:ascii="Bookman Old Style" w:hAnsi="Bookman Old Style"/>
        </w:rPr>
      </w:pPr>
    </w:p>
    <w:p w:rsidR="00DB6388" w:rsidRPr="003410C8" w:rsidRDefault="00DB6388" w:rsidP="00DB6388">
      <w:pPr>
        <w:tabs>
          <w:tab w:val="left" w:pos="0"/>
          <w:tab w:val="left" w:pos="284"/>
        </w:tabs>
        <w:jc w:val="both"/>
        <w:rPr>
          <w:rFonts w:ascii="Bookman Old Style" w:hAnsi="Bookman Old Style"/>
        </w:rPr>
      </w:pPr>
    </w:p>
    <w:p w:rsidR="00DB6388" w:rsidRPr="003410C8" w:rsidRDefault="00DB6388" w:rsidP="00DB6388">
      <w:pPr>
        <w:tabs>
          <w:tab w:val="left" w:pos="0"/>
          <w:tab w:val="left" w:pos="284"/>
        </w:tabs>
        <w:jc w:val="both"/>
        <w:rPr>
          <w:rFonts w:ascii="Bookman Old Style" w:hAnsi="Bookman Old Style"/>
        </w:rPr>
      </w:pPr>
      <m:oMathPara>
        <m:oMath>
          <m:r>
            <w:rPr>
              <w:rFonts w:ascii="Cambria Math" w:hAnsi="Cambria Math"/>
            </w:rPr>
            <m:t>PS</m:t>
          </m:r>
          <m:sSub>
            <m:sSubPr>
              <m:ctrlPr>
                <w:rPr>
                  <w:rFonts w:ascii="Cambria Math" w:hAnsi="Cambria Math"/>
                  <w:i/>
                </w:rPr>
              </m:ctrlPr>
            </m:sSubPr>
            <m:e>
              <m:r>
                <w:rPr>
                  <w:rFonts w:ascii="Cambria Math" w:hAnsi="Cambria Math"/>
                </w:rPr>
                <m:t>A</m:t>
              </m:r>
            </m:e>
            <m:sub>
              <m:r>
                <w:rPr>
                  <w:rFonts w:ascii="Cambria Math" w:hAnsi="Cambria Math"/>
                </w:rPr>
                <m:t>m,i</m:t>
              </m:r>
            </m:sub>
          </m:sSub>
          <m:r>
            <w:rPr>
              <w:rFonts w:ascii="Cambria Math" w:hAnsi="Cambria Math"/>
            </w:rPr>
            <m:t>=</m:t>
          </m:r>
          <m:f>
            <m:fPr>
              <m:ctrlPr>
                <w:rPr>
                  <w:rFonts w:ascii="Cambria Math" w:hAnsi="Cambria Math"/>
                  <w:i/>
                </w:rPr>
              </m:ctrlPr>
            </m:fPr>
            <m:num>
              <m:nary>
                <m:naryPr>
                  <m:chr m:val="∑"/>
                  <m:limLoc m:val="undOvr"/>
                  <m:ctrlPr>
                    <w:rPr>
                      <w:rFonts w:ascii="Cambria Math" w:hAnsi="Cambria Math"/>
                      <w:i/>
                    </w:rPr>
                  </m:ctrlPr>
                </m:naryPr>
                <m:sub>
                  <m:r>
                    <w:rPr>
                      <w:rFonts w:ascii="Cambria Math" w:hAnsi="Cambria Math"/>
                    </w:rPr>
                    <m:t>k=1</m:t>
                  </m:r>
                </m:sub>
                <m:sup>
                  <m:r>
                    <w:rPr>
                      <w:rFonts w:ascii="Cambria Math" w:hAnsi="Cambria Math"/>
                    </w:rPr>
                    <m:t>N</m:t>
                  </m:r>
                </m:sup>
                <m:e>
                  <m:nary>
                    <m:naryPr>
                      <m:chr m:val="∑"/>
                      <m:limLoc m:val="undOvr"/>
                      <m:ctrlPr>
                        <w:rPr>
                          <w:rFonts w:ascii="Cambria Math" w:hAnsi="Cambria Math"/>
                          <w:i/>
                        </w:rPr>
                      </m:ctrlPr>
                    </m:naryPr>
                    <m:sub>
                      <m:r>
                        <w:rPr>
                          <w:rFonts w:ascii="Cambria Math" w:hAnsi="Cambria Math"/>
                        </w:rPr>
                        <m:t>h=</m:t>
                      </m:r>
                      <m:r>
                        <w:rPr>
                          <w:rFonts w:ascii="Cambria Math" w:hAnsi="Cambria Math"/>
                        </w:rPr>
                        <m:t>1</m:t>
                      </m:r>
                    </m:sub>
                    <m:sup>
                      <m:r>
                        <w:rPr>
                          <w:rFonts w:ascii="Cambria Math" w:hAnsi="Cambria Math"/>
                        </w:rPr>
                        <m:t>24</m:t>
                      </m:r>
                    </m:sup>
                    <m:e>
                      <m:r>
                        <w:rPr>
                          <w:rFonts w:ascii="Cambria Math" w:hAnsi="Cambria Math"/>
                        </w:rPr>
                        <m:t>(QCL</m:t>
                      </m:r>
                      <m:sSub>
                        <m:sSubPr>
                          <m:ctrlPr>
                            <w:rPr>
                              <w:rFonts w:ascii="Cambria Math" w:hAnsi="Cambria Math"/>
                              <w:i/>
                            </w:rPr>
                          </m:ctrlPr>
                        </m:sSubPr>
                        <m:e>
                          <m:r>
                            <w:rPr>
                              <w:rFonts w:ascii="Cambria Math" w:hAnsi="Cambria Math"/>
                            </w:rPr>
                            <m:t>P</m:t>
                          </m:r>
                        </m:e>
                        <m:sub>
                          <m:r>
                            <w:rPr>
                              <w:rFonts w:ascii="Cambria Math" w:hAnsi="Cambria Math"/>
                            </w:rPr>
                            <m:t>h,k,i</m:t>
                          </m:r>
                        </m:sub>
                      </m:sSub>
                    </m:e>
                  </m:nary>
                  <m:r>
                    <w:rPr>
                      <w:rFonts w:ascii="Cambria Math" w:hAnsi="Cambria Math"/>
                    </w:rPr>
                    <m:t>*PCL</m:t>
                  </m:r>
                  <m:sSub>
                    <m:sSubPr>
                      <m:ctrlPr>
                        <w:rPr>
                          <w:rFonts w:ascii="Cambria Math" w:hAnsi="Cambria Math"/>
                          <w:i/>
                        </w:rPr>
                      </m:ctrlPr>
                    </m:sSubPr>
                    <m:e>
                      <m:r>
                        <w:rPr>
                          <w:rFonts w:ascii="Cambria Math" w:hAnsi="Cambria Math"/>
                        </w:rPr>
                        <m:t>P</m:t>
                      </m:r>
                    </m:e>
                    <m:sub>
                      <m:r>
                        <w:rPr>
                          <w:rFonts w:ascii="Cambria Math" w:hAnsi="Cambria Math"/>
                        </w:rPr>
                        <m:t>h,k,i,m</m:t>
                      </m:r>
                    </m:sub>
                  </m:sSub>
                  <m:r>
                    <w:rPr>
                      <w:rFonts w:ascii="Cambria Math" w:hAnsi="Cambria Math"/>
                    </w:rPr>
                    <m:t>)</m:t>
                  </m:r>
                </m:e>
              </m:nary>
            </m:num>
            <m:den>
              <m:nary>
                <m:naryPr>
                  <m:chr m:val="∑"/>
                  <m:limLoc m:val="subSup"/>
                  <m:ctrlPr>
                    <w:rPr>
                      <w:rFonts w:ascii="Cambria Math" w:hAnsi="Cambria Math"/>
                      <w:i/>
                    </w:rPr>
                  </m:ctrlPr>
                </m:naryPr>
                <m:sub>
                  <m:r>
                    <w:rPr>
                      <w:rFonts w:ascii="Cambria Math" w:hAnsi="Cambria Math"/>
                    </w:rPr>
                    <m:t>k=1</m:t>
                  </m:r>
                </m:sub>
                <m:sup>
                  <m:r>
                    <w:rPr>
                      <w:rFonts w:ascii="Cambria Math" w:hAnsi="Cambria Math"/>
                    </w:rPr>
                    <m:t>N</m:t>
                  </m:r>
                </m:sup>
                <m:e>
                  <m:nary>
                    <m:naryPr>
                      <m:chr m:val="∑"/>
                      <m:limLoc m:val="undOvr"/>
                      <m:ctrlPr>
                        <w:rPr>
                          <w:rFonts w:ascii="Cambria Math" w:hAnsi="Cambria Math"/>
                          <w:i/>
                        </w:rPr>
                      </m:ctrlPr>
                    </m:naryPr>
                    <m:sub>
                      <m:r>
                        <w:rPr>
                          <w:rFonts w:ascii="Cambria Math" w:hAnsi="Cambria Math"/>
                        </w:rPr>
                        <m:t>h=</m:t>
                      </m:r>
                      <m:r>
                        <w:rPr>
                          <w:rFonts w:ascii="Cambria Math" w:hAnsi="Cambria Math"/>
                        </w:rPr>
                        <m:t>1</m:t>
                      </m:r>
                    </m:sub>
                    <m:sup>
                      <m:r>
                        <w:rPr>
                          <w:rFonts w:ascii="Cambria Math" w:hAnsi="Cambria Math"/>
                        </w:rPr>
                        <m:t>24</m:t>
                      </m:r>
                    </m:sup>
                    <m:e>
                      <m:r>
                        <w:rPr>
                          <w:rFonts w:ascii="Cambria Math" w:hAnsi="Cambria Math"/>
                        </w:rPr>
                        <m:t>QCL</m:t>
                      </m:r>
                      <m:sSub>
                        <m:sSubPr>
                          <m:ctrlPr>
                            <w:rPr>
                              <w:rFonts w:ascii="Cambria Math" w:hAnsi="Cambria Math"/>
                              <w:i/>
                            </w:rPr>
                          </m:ctrlPr>
                        </m:sSubPr>
                        <m:e>
                          <m:r>
                            <w:rPr>
                              <w:rFonts w:ascii="Cambria Math" w:hAnsi="Cambria Math"/>
                            </w:rPr>
                            <m:t>P</m:t>
                          </m:r>
                        </m:e>
                        <m:sub>
                          <m:r>
                            <w:rPr>
                              <w:rFonts w:ascii="Cambria Math" w:hAnsi="Cambria Math"/>
                            </w:rPr>
                            <m:t>h,k,i</m:t>
                          </m:r>
                        </m:sub>
                      </m:sSub>
                    </m:e>
                  </m:nary>
                </m:e>
              </m:nary>
            </m:den>
          </m:f>
        </m:oMath>
      </m:oMathPara>
    </w:p>
    <w:p w:rsidR="00DB6388" w:rsidRPr="003410C8" w:rsidRDefault="00DB6388" w:rsidP="00DB6388">
      <w:pPr>
        <w:tabs>
          <w:tab w:val="left" w:pos="0"/>
          <w:tab w:val="left" w:pos="284"/>
        </w:tabs>
        <w:ind w:left="0"/>
        <w:jc w:val="both"/>
        <w:rPr>
          <w:rFonts w:ascii="Bookman Old Style" w:hAnsi="Bookman Old Style"/>
        </w:rPr>
      </w:pPr>
    </w:p>
    <w:p w:rsidR="00DB6388" w:rsidRPr="003410C8" w:rsidRDefault="00DB6388" w:rsidP="00DB6388">
      <w:pPr>
        <w:ind w:left="0"/>
        <w:rPr>
          <w:rFonts w:ascii="Bookman Old Style" w:hAnsi="Bookman Old Style"/>
        </w:rPr>
      </w:pPr>
      <w:r w:rsidRPr="003410C8">
        <w:rPr>
          <w:rFonts w:ascii="Bookman Old Style" w:hAnsi="Bookman Old Style"/>
        </w:rPr>
        <w:t>Donde:</w:t>
      </w:r>
    </w:p>
    <w:p w:rsidR="00DB6388" w:rsidRPr="003410C8" w:rsidRDefault="00DB6388" w:rsidP="00DB6388">
      <w:pPr>
        <w:ind w:left="0"/>
        <w:rPr>
          <w:rFonts w:ascii="Bookman Old Style" w:hAnsi="Bookman Old Style"/>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55"/>
        <w:gridCol w:w="7901"/>
      </w:tblGrid>
      <w:tr w:rsidR="00DB6388" w:rsidRPr="003410C8" w:rsidTr="00DB6388">
        <w:tc>
          <w:tcPr>
            <w:tcW w:w="1455" w:type="dxa"/>
          </w:tcPr>
          <w:p w:rsidR="00DB6388" w:rsidRPr="003410C8" w:rsidRDefault="00DB6388" w:rsidP="00DB6388">
            <w:pPr>
              <w:tabs>
                <w:tab w:val="left" w:pos="0"/>
                <w:tab w:val="left" w:pos="284"/>
              </w:tabs>
              <w:ind w:left="0"/>
              <w:jc w:val="both"/>
              <w:rPr>
                <w:rFonts w:ascii="Bookman Old Style" w:hAnsi="Bookman Old Style"/>
              </w:rPr>
            </w:pPr>
            <m:oMath>
              <m:r>
                <w:rPr>
                  <w:rFonts w:ascii="Cambria Math" w:hAnsi="Cambria Math"/>
                </w:rPr>
                <m:t>PS</m:t>
              </m:r>
              <m:sSub>
                <m:sSubPr>
                  <m:ctrlPr>
                    <w:rPr>
                      <w:rFonts w:ascii="Cambria Math" w:hAnsi="Cambria Math"/>
                      <w:i/>
                    </w:rPr>
                  </m:ctrlPr>
                </m:sSubPr>
                <m:e>
                  <m:r>
                    <w:rPr>
                      <w:rFonts w:ascii="Cambria Math" w:hAnsi="Cambria Math"/>
                    </w:rPr>
                    <m:t>A</m:t>
                  </m:r>
                </m:e>
                <m:sub>
                  <m:r>
                    <w:rPr>
                      <w:rFonts w:ascii="Cambria Math" w:hAnsi="Cambria Math"/>
                    </w:rPr>
                    <m:t>m,i</m:t>
                  </m:r>
                </m:sub>
              </m:sSub>
            </m:oMath>
            <w:r w:rsidRPr="003410C8">
              <w:rPr>
                <w:rFonts w:ascii="Bookman Old Style" w:hAnsi="Bookman Old Style"/>
              </w:rPr>
              <w:t>:</w:t>
            </w:r>
          </w:p>
        </w:tc>
        <w:tc>
          <w:tcPr>
            <w:tcW w:w="7901" w:type="dxa"/>
          </w:tcPr>
          <w:p w:rsidR="00DB6388" w:rsidRPr="003410C8" w:rsidRDefault="00DB6388" w:rsidP="00E73859">
            <w:pPr>
              <w:tabs>
                <w:tab w:val="left" w:pos="0"/>
                <w:tab w:val="left" w:pos="284"/>
              </w:tabs>
              <w:ind w:left="0"/>
              <w:jc w:val="both"/>
              <w:rPr>
                <w:rFonts w:ascii="Bookman Old Style" w:hAnsi="Bookman Old Style"/>
              </w:rPr>
            </w:pPr>
            <w:r w:rsidRPr="003410C8">
              <w:rPr>
                <w:rFonts w:ascii="Bookman Old Style" w:hAnsi="Bookman Old Style"/>
              </w:rPr>
              <w:t xml:space="preserve">Precio promedio ponderado actualizado para el mes </w:t>
            </w:r>
            <w:r w:rsidRPr="003410C8">
              <w:rPr>
                <w:rFonts w:ascii="Bookman Old Style" w:hAnsi="Bookman Old Style"/>
                <w:i/>
              </w:rPr>
              <w:t>m</w:t>
            </w:r>
            <w:r w:rsidRPr="003410C8">
              <w:rPr>
                <w:rFonts w:ascii="Bookman Old Style" w:hAnsi="Bookman Old Style"/>
              </w:rPr>
              <w:t>,</w:t>
            </w:r>
            <w:r w:rsidR="004237D0">
              <w:rPr>
                <w:rFonts w:ascii="Bookman Old Style" w:hAnsi="Bookman Old Style"/>
              </w:rPr>
              <w:t xml:space="preserve"> </w:t>
            </w:r>
            <w:r w:rsidRPr="003410C8">
              <w:rPr>
                <w:rFonts w:ascii="Bookman Old Style" w:hAnsi="Bookman Old Style"/>
              </w:rPr>
              <w:t xml:space="preserve">de los contratos de largo plazo adjudicados al comercializador </w:t>
            </w:r>
            <w:r w:rsidRPr="003410C8">
              <w:rPr>
                <w:rFonts w:ascii="Bookman Old Style" w:hAnsi="Bookman Old Style"/>
                <w:i/>
              </w:rPr>
              <w:t>i</w:t>
            </w:r>
            <w:r w:rsidRPr="003410C8">
              <w:rPr>
                <w:rFonts w:ascii="Bookman Old Style" w:hAnsi="Bookman Old Style"/>
              </w:rPr>
              <w:t xml:space="preserve"> </w:t>
            </w:r>
            <w:r w:rsidR="00E73859">
              <w:rPr>
                <w:rFonts w:ascii="Bookman Old Style" w:hAnsi="Bookman Old Style"/>
              </w:rPr>
              <w:t xml:space="preserve">resultantes </w:t>
            </w:r>
            <w:r w:rsidRPr="00DB6388">
              <w:rPr>
                <w:rFonts w:ascii="Bookman Old Style" w:hAnsi="Bookman Old Style"/>
              </w:rPr>
              <w:t>de la</w:t>
            </w:r>
            <w:r w:rsidR="004237D0">
              <w:rPr>
                <w:rFonts w:ascii="Bookman Old Style" w:hAnsi="Bookman Old Style"/>
              </w:rPr>
              <w:t xml:space="preserve"> subasta del Ministerio de Minas y Energía </w:t>
            </w:r>
            <w:r w:rsidR="00E73859">
              <w:rPr>
                <w:rFonts w:ascii="Bookman Old Style" w:hAnsi="Bookman Old Style"/>
              </w:rPr>
              <w:t>o</w:t>
            </w:r>
            <w:r w:rsidR="004237D0">
              <w:rPr>
                <w:rFonts w:ascii="Bookman Old Style" w:hAnsi="Bookman Old Style"/>
              </w:rPr>
              <w:t xml:space="preserve"> la</w:t>
            </w:r>
            <w:r w:rsidRPr="00DB6388">
              <w:rPr>
                <w:rFonts w:ascii="Bookman Old Style" w:hAnsi="Bookman Old Style"/>
              </w:rPr>
              <w:t xml:space="preserve"> aplicación del mecanismo complementario que trata el artículo 6 de la Resolución 40591 de 2019</w:t>
            </w:r>
            <w:r w:rsidRPr="003410C8">
              <w:rPr>
                <w:rFonts w:ascii="Bookman Old Style" w:hAnsi="Bookman Old Style"/>
                <w:i/>
              </w:rPr>
              <w:t>,</w:t>
            </w:r>
            <w:r w:rsidRPr="003410C8">
              <w:rPr>
                <w:rFonts w:ascii="Bookman Old Style" w:hAnsi="Bookman Old Style"/>
              </w:rPr>
              <w:t xml:space="preserve"> expresado en pesos por kilovatio hora (COP/</w:t>
            </w:r>
            <w:proofErr w:type="spellStart"/>
            <w:r w:rsidRPr="003410C8">
              <w:rPr>
                <w:rFonts w:ascii="Bookman Old Style" w:hAnsi="Bookman Old Style"/>
              </w:rPr>
              <w:t>kWh</w:t>
            </w:r>
            <w:proofErr w:type="spellEnd"/>
            <w:r w:rsidRPr="003410C8">
              <w:rPr>
                <w:rFonts w:ascii="Bookman Old Style" w:hAnsi="Bookman Old Style"/>
              </w:rPr>
              <w:t>).</w:t>
            </w:r>
          </w:p>
        </w:tc>
      </w:tr>
      <w:tr w:rsidR="00DB6388" w:rsidRPr="003410C8" w:rsidTr="00DB6388">
        <w:tc>
          <w:tcPr>
            <w:tcW w:w="1413" w:type="dxa"/>
          </w:tcPr>
          <w:p w:rsidR="00DB6388" w:rsidRDefault="00DB6388" w:rsidP="00DB6388">
            <w:pPr>
              <w:tabs>
                <w:tab w:val="left" w:pos="0"/>
                <w:tab w:val="left" w:pos="284"/>
              </w:tabs>
              <w:ind w:left="0"/>
              <w:jc w:val="both"/>
            </w:pPr>
          </w:p>
          <w:p w:rsidR="00DB6388" w:rsidRPr="003410C8" w:rsidRDefault="00DB6388" w:rsidP="00DB6388">
            <w:pPr>
              <w:tabs>
                <w:tab w:val="left" w:pos="0"/>
                <w:tab w:val="left" w:pos="284"/>
              </w:tabs>
              <w:ind w:left="0"/>
              <w:jc w:val="both"/>
              <w:rPr>
                <w:rFonts w:ascii="Bookman Old Style" w:hAnsi="Bookman Old Style"/>
              </w:rPr>
            </w:pPr>
            <m:oMath>
              <m:r>
                <w:rPr>
                  <w:rFonts w:ascii="Cambria Math" w:hAnsi="Cambria Math"/>
                </w:rPr>
                <m:t>PCL</m:t>
              </m:r>
              <m:sSub>
                <m:sSubPr>
                  <m:ctrlPr>
                    <w:rPr>
                      <w:rFonts w:ascii="Cambria Math" w:hAnsi="Cambria Math"/>
                      <w:i/>
                    </w:rPr>
                  </m:ctrlPr>
                </m:sSubPr>
                <m:e>
                  <m:r>
                    <w:rPr>
                      <w:rFonts w:ascii="Cambria Math" w:hAnsi="Cambria Math"/>
                    </w:rPr>
                    <m:t>P</m:t>
                  </m:r>
                </m:e>
                <m:sub>
                  <m:r>
                    <w:rPr>
                      <w:rFonts w:ascii="Cambria Math" w:hAnsi="Cambria Math"/>
                    </w:rPr>
                    <m:t>h,k,i,m</m:t>
                  </m:r>
                </m:sub>
              </m:sSub>
            </m:oMath>
            <w:r w:rsidRPr="003410C8">
              <w:rPr>
                <w:rFonts w:ascii="Bookman Old Style" w:hAnsi="Bookman Old Style"/>
              </w:rPr>
              <w:t>:</w:t>
            </w:r>
          </w:p>
        </w:tc>
        <w:tc>
          <w:tcPr>
            <w:tcW w:w="7933" w:type="dxa"/>
          </w:tcPr>
          <w:p w:rsidR="00DB6388" w:rsidRDefault="00DB6388" w:rsidP="00DB6388">
            <w:pPr>
              <w:tabs>
                <w:tab w:val="left" w:pos="0"/>
                <w:tab w:val="left" w:pos="284"/>
              </w:tabs>
              <w:ind w:left="0"/>
              <w:jc w:val="both"/>
              <w:rPr>
                <w:rFonts w:ascii="Bookman Old Style" w:hAnsi="Bookman Old Style"/>
              </w:rPr>
            </w:pPr>
          </w:p>
          <w:p w:rsidR="00DB6388" w:rsidRPr="003410C8" w:rsidRDefault="00DB6388" w:rsidP="00E73859">
            <w:pPr>
              <w:tabs>
                <w:tab w:val="left" w:pos="0"/>
                <w:tab w:val="left" w:pos="284"/>
              </w:tabs>
              <w:ind w:left="0"/>
              <w:jc w:val="both"/>
              <w:rPr>
                <w:rFonts w:ascii="Bookman Old Style" w:hAnsi="Bookman Old Style"/>
              </w:rPr>
            </w:pPr>
            <w:r w:rsidRPr="003410C8">
              <w:rPr>
                <w:rFonts w:ascii="Bookman Old Style" w:hAnsi="Bookman Old Style"/>
              </w:rPr>
              <w:t xml:space="preserve">Precio </w:t>
            </w:r>
            <w:r>
              <w:rPr>
                <w:rFonts w:ascii="Bookman Old Style" w:hAnsi="Bookman Old Style"/>
              </w:rPr>
              <w:t xml:space="preserve">para la hora </w:t>
            </w:r>
            <w:r>
              <w:rPr>
                <w:rFonts w:ascii="Bookman Old Style" w:hAnsi="Bookman Old Style"/>
                <w:i/>
              </w:rPr>
              <w:t xml:space="preserve">h, </w:t>
            </w:r>
            <w:r>
              <w:rPr>
                <w:rFonts w:ascii="Bookman Old Style" w:hAnsi="Bookman Old Style"/>
              </w:rPr>
              <w:t>asociada</w:t>
            </w:r>
            <w:r>
              <w:rPr>
                <w:rFonts w:ascii="Bookman Old Style" w:hAnsi="Bookman Old Style"/>
                <w:i/>
              </w:rPr>
              <w:t xml:space="preserve"> </w:t>
            </w:r>
            <w:r>
              <w:rPr>
                <w:rFonts w:ascii="Bookman Old Style" w:hAnsi="Bookman Old Style"/>
              </w:rPr>
              <w:t>al</w:t>
            </w:r>
            <w:r w:rsidRPr="003410C8">
              <w:rPr>
                <w:rFonts w:ascii="Bookman Old Style" w:hAnsi="Bookman Old Style"/>
              </w:rPr>
              <w:t xml:space="preserve"> contrato </w:t>
            </w:r>
            <w:r>
              <w:rPr>
                <w:rFonts w:ascii="Bookman Old Style" w:hAnsi="Bookman Old Style"/>
                <w:i/>
              </w:rPr>
              <w:t>k</w:t>
            </w:r>
            <w:r w:rsidRPr="003410C8">
              <w:rPr>
                <w:rFonts w:ascii="Bookman Old Style" w:hAnsi="Bookman Old Style"/>
              </w:rPr>
              <w:t xml:space="preserve"> para el mes </w:t>
            </w:r>
            <w:r w:rsidRPr="003410C8">
              <w:rPr>
                <w:rFonts w:ascii="Bookman Old Style" w:hAnsi="Bookman Old Style"/>
                <w:i/>
              </w:rPr>
              <w:t xml:space="preserve">m, </w:t>
            </w:r>
            <w:r w:rsidRPr="003410C8">
              <w:rPr>
                <w:rFonts w:ascii="Bookman Old Style" w:hAnsi="Bookman Old Style"/>
              </w:rPr>
              <w:t xml:space="preserve">adjudicado </w:t>
            </w:r>
            <w:r>
              <w:rPr>
                <w:rFonts w:ascii="Bookman Old Style" w:hAnsi="Bookman Old Style"/>
              </w:rPr>
              <w:t xml:space="preserve">al </w:t>
            </w:r>
            <w:r w:rsidRPr="003410C8">
              <w:rPr>
                <w:rFonts w:ascii="Bookman Old Style" w:hAnsi="Bookman Old Style"/>
              </w:rPr>
              <w:t xml:space="preserve">comercializador </w:t>
            </w:r>
            <w:r w:rsidRPr="003410C8">
              <w:rPr>
                <w:rFonts w:ascii="Bookman Old Style" w:hAnsi="Bookman Old Style"/>
                <w:i/>
              </w:rPr>
              <w:t>i</w:t>
            </w:r>
            <w:r>
              <w:rPr>
                <w:rFonts w:ascii="Bookman Old Style" w:hAnsi="Bookman Old Style"/>
                <w:i/>
              </w:rPr>
              <w:t xml:space="preserve">, </w:t>
            </w:r>
            <w:r w:rsidR="00E73859">
              <w:rPr>
                <w:rFonts w:ascii="Bookman Old Style" w:hAnsi="Bookman Old Style"/>
              </w:rPr>
              <w:t xml:space="preserve">resultantes </w:t>
            </w:r>
            <w:r w:rsidRPr="00DB6388">
              <w:rPr>
                <w:rFonts w:ascii="Bookman Old Style" w:hAnsi="Bookman Old Style"/>
              </w:rPr>
              <w:t>de la</w:t>
            </w:r>
            <w:r w:rsidR="004237D0">
              <w:rPr>
                <w:rFonts w:ascii="Bookman Old Style" w:hAnsi="Bookman Old Style"/>
              </w:rPr>
              <w:t xml:space="preserve"> subasta del Ministerio de Minas </w:t>
            </w:r>
            <w:r w:rsidR="00E73859">
              <w:rPr>
                <w:rFonts w:ascii="Bookman Old Style" w:hAnsi="Bookman Old Style"/>
              </w:rPr>
              <w:t>o</w:t>
            </w:r>
            <w:r w:rsidR="004237D0">
              <w:rPr>
                <w:rFonts w:ascii="Bookman Old Style" w:hAnsi="Bookman Old Style"/>
              </w:rPr>
              <w:t xml:space="preserve"> la</w:t>
            </w:r>
            <w:r w:rsidRPr="00DB6388">
              <w:rPr>
                <w:rFonts w:ascii="Bookman Old Style" w:hAnsi="Bookman Old Style"/>
              </w:rPr>
              <w:t xml:space="preserve"> aplicación del mecanismo complementario que trata el artículo 6 de la Resolución 40591 de 2019</w:t>
            </w:r>
            <w:r>
              <w:rPr>
                <w:rFonts w:ascii="Bookman Old Style" w:hAnsi="Bookman Old Style"/>
              </w:rPr>
              <w:t xml:space="preserve">, </w:t>
            </w:r>
            <w:r w:rsidRPr="003410C8">
              <w:rPr>
                <w:rFonts w:ascii="Bookman Old Style" w:hAnsi="Bookman Old Style"/>
              </w:rPr>
              <w:t>expresado en pesos por kilovatio hora (COP/</w:t>
            </w:r>
            <w:proofErr w:type="spellStart"/>
            <w:r w:rsidRPr="003410C8">
              <w:rPr>
                <w:rFonts w:ascii="Bookman Old Style" w:hAnsi="Bookman Old Style"/>
              </w:rPr>
              <w:t>kWh</w:t>
            </w:r>
            <w:proofErr w:type="spellEnd"/>
            <w:r w:rsidRPr="003410C8">
              <w:rPr>
                <w:rFonts w:ascii="Bookman Old Style" w:hAnsi="Bookman Old Style"/>
              </w:rPr>
              <w:t>).</w:t>
            </w:r>
          </w:p>
        </w:tc>
      </w:tr>
      <w:tr w:rsidR="00DB6388" w:rsidRPr="003410C8" w:rsidTr="00DB6388">
        <w:tc>
          <w:tcPr>
            <w:tcW w:w="1413" w:type="dxa"/>
          </w:tcPr>
          <w:p w:rsidR="00DB6388" w:rsidRDefault="00DB6388" w:rsidP="00DB6388">
            <w:pPr>
              <w:tabs>
                <w:tab w:val="left" w:pos="0"/>
                <w:tab w:val="left" w:pos="284"/>
              </w:tabs>
              <w:ind w:left="0"/>
              <w:jc w:val="both"/>
            </w:pPr>
          </w:p>
        </w:tc>
        <w:tc>
          <w:tcPr>
            <w:tcW w:w="7933" w:type="dxa"/>
          </w:tcPr>
          <w:p w:rsidR="00DB6388" w:rsidRDefault="00DB6388" w:rsidP="00DB6388">
            <w:pPr>
              <w:tabs>
                <w:tab w:val="left" w:pos="0"/>
                <w:tab w:val="left" w:pos="284"/>
              </w:tabs>
              <w:ind w:left="0"/>
              <w:jc w:val="both"/>
              <w:rPr>
                <w:rFonts w:ascii="Bookman Old Style" w:hAnsi="Bookman Old Style"/>
              </w:rPr>
            </w:pPr>
          </w:p>
        </w:tc>
      </w:tr>
      <w:tr w:rsidR="00DB6388" w:rsidRPr="003410C8" w:rsidTr="00DB6388">
        <w:tc>
          <w:tcPr>
            <w:tcW w:w="1413" w:type="dxa"/>
          </w:tcPr>
          <w:p w:rsidR="00DB6388" w:rsidRDefault="00DB6388" w:rsidP="00DB6388">
            <w:pPr>
              <w:tabs>
                <w:tab w:val="left" w:pos="0"/>
                <w:tab w:val="left" w:pos="284"/>
              </w:tabs>
              <w:ind w:left="0"/>
              <w:jc w:val="both"/>
              <w:rPr>
                <w:rFonts w:ascii="Bookman Old Style" w:hAnsi="Bookman Old Style"/>
              </w:rPr>
            </w:pPr>
            <m:oMath>
              <m:r>
                <w:rPr>
                  <w:rFonts w:ascii="Cambria Math" w:hAnsi="Cambria Math"/>
                </w:rPr>
                <m:t>QCL</m:t>
              </m:r>
              <m:sSub>
                <m:sSubPr>
                  <m:ctrlPr>
                    <w:rPr>
                      <w:rFonts w:ascii="Cambria Math" w:hAnsi="Cambria Math"/>
                      <w:i/>
                    </w:rPr>
                  </m:ctrlPr>
                </m:sSubPr>
                <m:e>
                  <m:r>
                    <w:rPr>
                      <w:rFonts w:ascii="Cambria Math" w:hAnsi="Cambria Math"/>
                    </w:rPr>
                    <m:t>P</m:t>
                  </m:r>
                </m:e>
                <m:sub>
                  <m:r>
                    <w:rPr>
                      <w:rFonts w:ascii="Cambria Math" w:hAnsi="Cambria Math"/>
                    </w:rPr>
                    <m:t>h,k,i</m:t>
                  </m:r>
                </m:sub>
              </m:sSub>
            </m:oMath>
            <w:r>
              <w:rPr>
                <w:rFonts w:ascii="Bookman Old Style" w:hAnsi="Bookman Old Style"/>
              </w:rPr>
              <w:t>:</w:t>
            </w:r>
          </w:p>
        </w:tc>
        <w:tc>
          <w:tcPr>
            <w:tcW w:w="7933" w:type="dxa"/>
          </w:tcPr>
          <w:p w:rsidR="00DB6388" w:rsidRPr="00CD37C5" w:rsidRDefault="00DB6388" w:rsidP="00E73859">
            <w:pPr>
              <w:tabs>
                <w:tab w:val="left" w:pos="0"/>
                <w:tab w:val="left" w:pos="284"/>
              </w:tabs>
              <w:ind w:left="0"/>
              <w:jc w:val="both"/>
              <w:rPr>
                <w:rFonts w:ascii="Bookman Old Style" w:hAnsi="Bookman Old Style"/>
              </w:rPr>
            </w:pPr>
            <w:r>
              <w:rPr>
                <w:rFonts w:ascii="Bookman Old Style" w:hAnsi="Bookman Old Style"/>
              </w:rPr>
              <w:t xml:space="preserve">Cantidad de energía en la hora </w:t>
            </w:r>
            <w:r w:rsidRPr="001A4478">
              <w:rPr>
                <w:rFonts w:ascii="Bookman Old Style" w:hAnsi="Bookman Old Style"/>
                <w:i/>
              </w:rPr>
              <w:t>h</w:t>
            </w:r>
            <w:r>
              <w:rPr>
                <w:rFonts w:ascii="Bookman Old Style" w:hAnsi="Bookman Old Style"/>
              </w:rPr>
              <w:t xml:space="preserve">, asociada con el contrato </w:t>
            </w:r>
            <w:r w:rsidRPr="00683BDF">
              <w:rPr>
                <w:rFonts w:ascii="Bookman Old Style" w:hAnsi="Bookman Old Style"/>
                <w:i/>
              </w:rPr>
              <w:t>k</w:t>
            </w:r>
            <w:r>
              <w:rPr>
                <w:rFonts w:ascii="Bookman Old Style" w:hAnsi="Bookman Old Style"/>
                <w:i/>
              </w:rPr>
              <w:t xml:space="preserve">, </w:t>
            </w:r>
            <w:r w:rsidRPr="009C2787">
              <w:rPr>
                <w:rFonts w:ascii="Bookman Old Style" w:hAnsi="Bookman Old Style"/>
              </w:rPr>
              <w:t>adjudicad</w:t>
            </w:r>
            <w:r>
              <w:rPr>
                <w:rFonts w:ascii="Bookman Old Style" w:hAnsi="Bookman Old Style"/>
              </w:rPr>
              <w:t xml:space="preserve">o al comercializador </w:t>
            </w:r>
            <w:r>
              <w:rPr>
                <w:rFonts w:ascii="Bookman Old Style" w:hAnsi="Bookman Old Style"/>
                <w:i/>
              </w:rPr>
              <w:t>i</w:t>
            </w:r>
            <w:r w:rsidR="00E73859">
              <w:rPr>
                <w:rFonts w:ascii="Bookman Old Style" w:hAnsi="Bookman Old Style"/>
                <w:i/>
              </w:rPr>
              <w:t>,</w:t>
            </w:r>
            <w:r w:rsidRPr="00CD37C5">
              <w:rPr>
                <w:rFonts w:ascii="Bookman Old Style" w:hAnsi="Bookman Old Style"/>
              </w:rPr>
              <w:t xml:space="preserve"> resultante de </w:t>
            </w:r>
            <w:r w:rsidRPr="00DB6388">
              <w:rPr>
                <w:rFonts w:ascii="Bookman Old Style" w:hAnsi="Bookman Old Style"/>
              </w:rPr>
              <w:t xml:space="preserve">la </w:t>
            </w:r>
            <w:r w:rsidR="004237D0">
              <w:rPr>
                <w:rFonts w:ascii="Bookman Old Style" w:hAnsi="Bookman Old Style"/>
              </w:rPr>
              <w:t xml:space="preserve">subasta de Minas </w:t>
            </w:r>
            <w:r w:rsidR="004237D0">
              <w:rPr>
                <w:rFonts w:ascii="Bookman Old Style" w:hAnsi="Bookman Old Style"/>
              </w:rPr>
              <w:lastRenderedPageBreak/>
              <w:t xml:space="preserve">y Energía </w:t>
            </w:r>
            <w:r w:rsidR="00E73859">
              <w:rPr>
                <w:rFonts w:ascii="Bookman Old Style" w:hAnsi="Bookman Old Style"/>
              </w:rPr>
              <w:t>o</w:t>
            </w:r>
            <w:r w:rsidR="004237D0">
              <w:rPr>
                <w:rFonts w:ascii="Bookman Old Style" w:hAnsi="Bookman Old Style"/>
              </w:rPr>
              <w:t xml:space="preserve"> la </w:t>
            </w:r>
            <w:r w:rsidRPr="00DB6388">
              <w:rPr>
                <w:rFonts w:ascii="Bookman Old Style" w:hAnsi="Bookman Old Style"/>
              </w:rPr>
              <w:t>aplicación del mecanismo complementario que trata el artículo 6 de la Resolución 40591 de 2019</w:t>
            </w:r>
            <w:r>
              <w:rPr>
                <w:rFonts w:ascii="Bookman Old Style" w:hAnsi="Bookman Old Style"/>
              </w:rPr>
              <w:t>.</w:t>
            </w:r>
          </w:p>
        </w:tc>
      </w:tr>
    </w:tbl>
    <w:p w:rsidR="00DB6388" w:rsidRDefault="00DB6388" w:rsidP="00DB6388">
      <w:pPr>
        <w:pStyle w:val="Prrafodelista"/>
        <w:tabs>
          <w:tab w:val="left" w:pos="0"/>
          <w:tab w:val="left" w:pos="284"/>
        </w:tabs>
        <w:ind w:left="720"/>
        <w:jc w:val="both"/>
        <w:rPr>
          <w:rFonts w:ascii="Bookman Old Style" w:hAnsi="Bookman Old Style"/>
          <w:b/>
          <w:sz w:val="24"/>
          <w:szCs w:val="24"/>
        </w:rPr>
      </w:pPr>
    </w:p>
    <w:p w:rsidR="00DB6388" w:rsidRPr="00126F52" w:rsidRDefault="00DB6388" w:rsidP="00DB6388">
      <w:pPr>
        <w:pStyle w:val="Prrafodelista"/>
        <w:numPr>
          <w:ilvl w:val="0"/>
          <w:numId w:val="39"/>
        </w:numPr>
        <w:tabs>
          <w:tab w:val="left" w:pos="0"/>
          <w:tab w:val="left" w:pos="284"/>
        </w:tabs>
        <w:jc w:val="both"/>
        <w:rPr>
          <w:rFonts w:ascii="Bookman Old Style" w:hAnsi="Bookman Old Style"/>
          <w:b/>
          <w:sz w:val="24"/>
          <w:szCs w:val="24"/>
        </w:rPr>
      </w:pPr>
      <w:r w:rsidRPr="00943B96">
        <w:rPr>
          <w:rFonts w:ascii="Bookman Old Style" w:hAnsi="Bookman Old Style"/>
          <w:b/>
          <w:sz w:val="24"/>
          <w:szCs w:val="24"/>
        </w:rPr>
        <w:t xml:space="preserve">Incorporación </w:t>
      </w:r>
      <w:r>
        <w:rPr>
          <w:rFonts w:ascii="Bookman Old Style" w:hAnsi="Bookman Old Style"/>
          <w:b/>
          <w:sz w:val="24"/>
          <w:szCs w:val="24"/>
        </w:rPr>
        <w:t xml:space="preserve">transitoria </w:t>
      </w:r>
      <w:r w:rsidRPr="00943B96">
        <w:rPr>
          <w:rFonts w:ascii="Bookman Old Style" w:hAnsi="Bookman Old Style"/>
          <w:b/>
          <w:sz w:val="24"/>
          <w:szCs w:val="24"/>
        </w:rPr>
        <w:t>de</w:t>
      </w:r>
      <w:r>
        <w:rPr>
          <w:rFonts w:ascii="Bookman Old Style" w:hAnsi="Bookman Old Style"/>
          <w:b/>
          <w:sz w:val="24"/>
          <w:szCs w:val="24"/>
        </w:rPr>
        <w:t>l precio de</w:t>
      </w:r>
      <w:r w:rsidRPr="00943B96">
        <w:rPr>
          <w:rFonts w:ascii="Bookman Old Style" w:hAnsi="Bookman Old Style"/>
          <w:b/>
          <w:sz w:val="24"/>
          <w:szCs w:val="24"/>
        </w:rPr>
        <w:t xml:space="preserve"> los contratos de largo plazo en el componente G.</w:t>
      </w:r>
      <w:r w:rsidRPr="00943B96">
        <w:rPr>
          <w:rFonts w:ascii="Bookman Old Style" w:hAnsi="Bookman Old Style"/>
          <w:sz w:val="24"/>
          <w:szCs w:val="24"/>
        </w:rPr>
        <w:t xml:space="preserve"> </w:t>
      </w:r>
      <w:r>
        <w:rPr>
          <w:rFonts w:ascii="Bookman Old Style" w:hAnsi="Bookman Old Style"/>
          <w:sz w:val="24"/>
          <w:szCs w:val="24"/>
        </w:rPr>
        <w:t>Los precios asociados a los contratos de largo plazo, el costo de la garantía de pago y los montos resultantes de la ejecución de la garantía de cumplimiento serán incorporados de manera transitoria al componente de compras de energía (</w:t>
      </w:r>
      <m:oMath>
        <m:sSub>
          <m:sSubPr>
            <m:ctrlPr>
              <w:rPr>
                <w:rFonts w:ascii="Cambria Math" w:hAnsi="Cambria Math"/>
              </w:rPr>
            </m:ctrlPr>
          </m:sSubPr>
          <m:e>
            <m:r>
              <w:rPr>
                <w:rFonts w:ascii="Cambria Math" w:hAnsi="Cambria Math"/>
              </w:rPr>
              <m:t>G</m:t>
            </m:r>
          </m:e>
          <m:sub>
            <m:r>
              <w:rPr>
                <w:rFonts w:ascii="Cambria Math" w:hAnsi="Cambria Math"/>
              </w:rPr>
              <m:t>m</m:t>
            </m:r>
            <m:r>
              <m:rPr>
                <m:sty m:val="p"/>
              </m:rPr>
              <w:rPr>
                <w:rFonts w:ascii="Cambria Math" w:hAnsi="Cambria Math"/>
              </w:rPr>
              <m:t>,</m:t>
            </m:r>
            <m:r>
              <w:rPr>
                <w:rFonts w:ascii="Cambria Math" w:hAnsi="Cambria Math"/>
              </w:rPr>
              <m:t>i</m:t>
            </m:r>
            <m:r>
              <m:rPr>
                <m:sty m:val="p"/>
              </m:rPr>
              <w:rPr>
                <w:rFonts w:ascii="Cambria Math" w:hAnsi="Cambria Math"/>
              </w:rPr>
              <m:t>,</m:t>
            </m:r>
            <m:r>
              <w:rPr>
                <w:rFonts w:ascii="Cambria Math" w:hAnsi="Cambria Math"/>
              </w:rPr>
              <m:t>j</m:t>
            </m:r>
          </m:sub>
        </m:sSub>
      </m:oMath>
      <w:r>
        <w:rPr>
          <w:rFonts w:ascii="Bookman Old Style" w:hAnsi="Bookman Old Style"/>
          <w:sz w:val="24"/>
          <w:szCs w:val="24"/>
        </w:rPr>
        <w:t xml:space="preserve">) que se encuentra vigente, de acuerdo con lo dispuesto en la Resolución CREG 030 de 2018. </w:t>
      </w:r>
    </w:p>
    <w:p w:rsidR="00DB6388" w:rsidRDefault="00DB6388" w:rsidP="00DB6388">
      <w:pPr>
        <w:pStyle w:val="Prrafodelista"/>
        <w:tabs>
          <w:tab w:val="left" w:pos="0"/>
          <w:tab w:val="left" w:pos="284"/>
        </w:tabs>
        <w:ind w:left="720"/>
        <w:jc w:val="both"/>
        <w:rPr>
          <w:rFonts w:ascii="Bookman Old Style" w:hAnsi="Bookman Old Style"/>
          <w:b/>
          <w:sz w:val="24"/>
          <w:szCs w:val="24"/>
        </w:rPr>
      </w:pPr>
    </w:p>
    <w:p w:rsidR="00DB6388" w:rsidRDefault="00DB6388" w:rsidP="00DB6388">
      <w:pPr>
        <w:tabs>
          <w:tab w:val="left" w:pos="0"/>
          <w:tab w:val="left" w:pos="284"/>
        </w:tabs>
        <w:ind w:left="0"/>
        <w:jc w:val="both"/>
        <w:rPr>
          <w:rFonts w:ascii="Bookman Old Style" w:hAnsi="Bookman Old Style"/>
        </w:rPr>
      </w:pPr>
      <w:r>
        <w:rPr>
          <w:rFonts w:ascii="Bookman Old Style" w:hAnsi="Bookman Old Style"/>
        </w:rPr>
        <w:t xml:space="preserve">La incorporación del precio de los contratos resultantes </w:t>
      </w:r>
      <w:r w:rsidRPr="00DB6388">
        <w:rPr>
          <w:rFonts w:ascii="Bookman Old Style" w:hAnsi="Bookman Old Style"/>
        </w:rPr>
        <w:t xml:space="preserve">de la aplicación del mecanismo complementario que trata el artículo 6 de la Resolución 40591 de 2019 </w:t>
      </w:r>
      <w:r>
        <w:rPr>
          <w:rFonts w:ascii="Bookman Old Style" w:hAnsi="Bookman Old Style"/>
        </w:rPr>
        <w:t>debe corresponder con lo que se define a continuación.</w:t>
      </w:r>
    </w:p>
    <w:p w:rsidR="00DB6388" w:rsidRDefault="00DB6388" w:rsidP="00DB6388">
      <w:pPr>
        <w:tabs>
          <w:tab w:val="left" w:pos="0"/>
          <w:tab w:val="left" w:pos="284"/>
        </w:tabs>
        <w:ind w:left="0"/>
        <w:jc w:val="both"/>
        <w:rPr>
          <w:rFonts w:ascii="Bookman Old Style" w:hAnsi="Bookman Old Style"/>
        </w:rPr>
      </w:pPr>
    </w:p>
    <w:p w:rsidR="00DB6388" w:rsidRDefault="00DB6388" w:rsidP="00DB6388">
      <w:pPr>
        <w:tabs>
          <w:tab w:val="left" w:pos="0"/>
          <w:tab w:val="left" w:pos="284"/>
        </w:tabs>
        <w:ind w:left="0"/>
        <w:jc w:val="both"/>
        <w:rPr>
          <w:rFonts w:ascii="Bookman Old Style" w:hAnsi="Bookman Old Style"/>
          <w:b/>
        </w:rPr>
      </w:pPr>
      <w:r>
        <w:rPr>
          <w:rFonts w:ascii="Bookman Old Style" w:hAnsi="Bookman Old Style"/>
        </w:rPr>
        <w:t>Para calcular la variable (</w:t>
      </w:r>
      <m:oMath>
        <m:r>
          <w:rPr>
            <w:rFonts w:ascii="Cambria Math" w:hAnsi="Cambria Math"/>
          </w:rPr>
          <m:t>Q</m:t>
        </m:r>
        <m:sSub>
          <m:sSubPr>
            <m:ctrlPr>
              <w:rPr>
                <w:rFonts w:ascii="Cambria Math" w:hAnsi="Cambria Math"/>
                <w:i/>
              </w:rPr>
            </m:ctrlPr>
          </m:sSubPr>
          <m:e>
            <m:r>
              <w:rPr>
                <w:rFonts w:ascii="Cambria Math" w:hAnsi="Cambria Math"/>
              </w:rPr>
              <m:t>c</m:t>
            </m:r>
          </m:e>
          <m:sub>
            <m:r>
              <w:rPr>
                <w:rFonts w:ascii="Cambria Math" w:hAnsi="Cambria Math"/>
              </w:rPr>
              <m:t>m-1,i</m:t>
            </m:r>
          </m:sub>
        </m:sSub>
      </m:oMath>
      <w:r>
        <w:rPr>
          <w:rFonts w:ascii="Bookman Old Style" w:hAnsi="Bookman Old Style"/>
        </w:rPr>
        <w:t>)</w:t>
      </w:r>
      <w:r w:rsidRPr="00CB5874">
        <w:rPr>
          <w:rFonts w:ascii="Bookman Old Style" w:hAnsi="Bookman Old Style"/>
        </w:rPr>
        <w:t xml:space="preserve"> del componente de costos de compra de energía, el comercializado</w:t>
      </w:r>
      <w:r>
        <w:rPr>
          <w:rFonts w:ascii="Bookman Old Style" w:hAnsi="Bookman Old Style"/>
        </w:rPr>
        <w:t xml:space="preserve">r </w:t>
      </w:r>
      <w:r w:rsidRPr="00CB5874">
        <w:rPr>
          <w:rFonts w:ascii="Bookman Old Style" w:hAnsi="Bookman Old Style"/>
        </w:rPr>
        <w:t>deberá sumar la energía comprada mediante contratos bilaterales (</w:t>
      </w:r>
      <m:oMath>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oMath>
      <w:r w:rsidRPr="00CB5874">
        <w:rPr>
          <w:rFonts w:ascii="Bookman Old Style" w:hAnsi="Bookman Old Style"/>
        </w:rPr>
        <w:t xml:space="preserve">) y la energía asociada a contratos de largo plazo para cada mes, es decir, la variable </w:t>
      </w:r>
      <m:oMath>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m-1,i</m:t>
            </m:r>
          </m:sub>
        </m:sSub>
      </m:oMath>
      <w:r w:rsidRPr="00CB5874">
        <w:rPr>
          <w:rFonts w:ascii="Bookman Old Style" w:hAnsi="Bookman Old Style"/>
        </w:rPr>
        <w:t>. En este sentido, la proporción de energía contratada del comercializador quedará definida así:</w:t>
      </w:r>
      <w:r w:rsidRPr="00CB5874">
        <w:rPr>
          <w:rFonts w:ascii="Bookman Old Style" w:hAnsi="Bookman Old Style"/>
          <w:b/>
        </w:rPr>
        <w:t xml:space="preserve"> </w:t>
      </w:r>
    </w:p>
    <w:p w:rsidR="00DB6388" w:rsidRDefault="00DB6388" w:rsidP="00DB6388">
      <w:pPr>
        <w:ind w:left="0"/>
        <w:jc w:val="both"/>
        <w:rPr>
          <w:rFonts w:ascii="Bookman Old Style" w:hAnsi="Bookman Old Style"/>
        </w:rPr>
      </w:pPr>
      <w:r>
        <w:rPr>
          <w:rFonts w:ascii="Bookman Old Style" w:hAnsi="Bookman Old Style"/>
        </w:rPr>
        <w:t xml:space="preserve">  </w:t>
      </w:r>
    </w:p>
    <w:p w:rsidR="00DB6388" w:rsidRPr="00A151DE" w:rsidRDefault="00DB6388" w:rsidP="00DB6388">
      <w:pPr>
        <w:tabs>
          <w:tab w:val="left" w:pos="0"/>
          <w:tab w:val="left" w:pos="284"/>
        </w:tabs>
        <w:ind w:left="0"/>
        <w:jc w:val="both"/>
        <w:rPr>
          <w:rFonts w:ascii="Bookman Old Style" w:hAnsi="Bookman Old Style"/>
        </w:rPr>
      </w:pPr>
      <m:oMathPara>
        <m:oMath>
          <m:r>
            <w:rPr>
              <w:rFonts w:ascii="Cambria Math" w:hAnsi="Cambria Math"/>
            </w:rPr>
            <m:t>Q</m:t>
          </m:r>
          <m:sSub>
            <m:sSubPr>
              <m:ctrlPr>
                <w:rPr>
                  <w:rFonts w:ascii="Cambria Math" w:hAnsi="Cambria Math"/>
                  <w:i/>
                </w:rPr>
              </m:ctrlPr>
            </m:sSubPr>
            <m:e>
              <m:r>
                <w:rPr>
                  <w:rFonts w:ascii="Cambria Math" w:hAnsi="Cambria Math"/>
                </w:rPr>
                <m:t>c</m:t>
              </m:r>
            </m:e>
            <m:sub>
              <m:r>
                <w:rPr>
                  <w:rFonts w:ascii="Cambria Math" w:hAnsi="Cambria Math"/>
                </w:rPr>
                <m:t>m-1,i</m:t>
              </m:r>
            </m:sub>
          </m:sSub>
          <m:r>
            <w:rPr>
              <w:rFonts w:ascii="Cambria Math" w:hAnsi="Cambria Math"/>
            </w:rPr>
            <m:t xml:space="preserve">=Min </m:t>
          </m:r>
          <m:d>
            <m:dPr>
              <m:begChr m:val="{"/>
              <m:endChr m:val="}"/>
              <m:ctrlPr>
                <w:rPr>
                  <w:rFonts w:ascii="Cambria Math" w:hAnsi="Cambria Math"/>
                  <w:i/>
                </w:rPr>
              </m:ctrlPr>
            </m:dPr>
            <m:e>
              <m:r>
                <w:rPr>
                  <w:rFonts w:ascii="Cambria Math" w:hAnsi="Cambria Math"/>
                </w:rPr>
                <m:t xml:space="preserve">1, </m:t>
              </m:r>
              <m:f>
                <m:fPr>
                  <m:ctrlPr>
                    <w:rPr>
                      <w:rFonts w:ascii="Cambria Math" w:hAnsi="Cambria Math"/>
                      <w:i/>
                    </w:rPr>
                  </m:ctrlPr>
                </m:fPr>
                <m:num>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m-1,i</m:t>
                      </m:r>
                    </m:sub>
                  </m:sSub>
                </m:num>
                <m:den>
                  <m:r>
                    <w:rPr>
                      <w:rFonts w:ascii="Cambria Math" w:hAnsi="Cambria Math"/>
                    </w:rPr>
                    <m:t>DC</m:t>
                  </m:r>
                  <m:sSub>
                    <m:sSubPr>
                      <m:ctrlPr>
                        <w:rPr>
                          <w:rFonts w:ascii="Cambria Math" w:hAnsi="Cambria Math"/>
                          <w:i/>
                        </w:rPr>
                      </m:ctrlPr>
                    </m:sSubPr>
                    <m:e>
                      <m:r>
                        <w:rPr>
                          <w:rFonts w:ascii="Cambria Math" w:hAnsi="Cambria Math"/>
                        </w:rPr>
                        <m:t>R</m:t>
                      </m:r>
                    </m:e>
                    <m:sub>
                      <m:r>
                        <w:rPr>
                          <w:rFonts w:ascii="Cambria Math" w:hAnsi="Cambria Math"/>
                        </w:rPr>
                        <m:t>m-1,i</m:t>
                      </m:r>
                    </m:sub>
                  </m:sSub>
                </m:den>
              </m:f>
            </m:e>
          </m:d>
        </m:oMath>
      </m:oMathPara>
    </w:p>
    <w:p w:rsidR="00DB6388" w:rsidRDefault="00DB6388" w:rsidP="00DB6388">
      <w:pPr>
        <w:tabs>
          <w:tab w:val="left" w:pos="0"/>
          <w:tab w:val="left" w:pos="284"/>
        </w:tabs>
        <w:ind w:left="0"/>
        <w:jc w:val="both"/>
        <w:rPr>
          <w:rFonts w:ascii="Bookman Old Style" w:hAnsi="Bookman Old Style"/>
        </w:rPr>
      </w:pPr>
      <w:r>
        <w:rPr>
          <w:rFonts w:ascii="Bookman Old Style" w:hAnsi="Bookman Old Style"/>
        </w:rPr>
        <w:t>Donde:</w:t>
      </w:r>
    </w:p>
    <w:p w:rsidR="00DB6388" w:rsidRDefault="00DB6388" w:rsidP="00DB6388">
      <w:pPr>
        <w:tabs>
          <w:tab w:val="left" w:pos="0"/>
          <w:tab w:val="left" w:pos="284"/>
        </w:tabs>
        <w:ind w:left="0"/>
        <w:jc w:val="both"/>
        <w:rPr>
          <w:rFonts w:ascii="Bookman Old Style" w:hAnsi="Bookman Old Style"/>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3"/>
        <w:gridCol w:w="7933"/>
      </w:tblGrid>
      <w:tr w:rsidR="00DB6388" w:rsidTr="00DB6388">
        <w:tc>
          <w:tcPr>
            <w:tcW w:w="1413" w:type="dxa"/>
          </w:tcPr>
          <w:p w:rsidR="00DB6388" w:rsidRDefault="00DB6388" w:rsidP="00DB6388">
            <w:pPr>
              <w:tabs>
                <w:tab w:val="left" w:pos="0"/>
                <w:tab w:val="left" w:pos="284"/>
              </w:tabs>
              <w:ind w:left="0"/>
              <w:jc w:val="both"/>
              <w:rPr>
                <w:rFonts w:ascii="Bookman Old Style" w:hAnsi="Bookman Old Style"/>
              </w:rPr>
            </w:pPr>
            <m:oMath>
              <m:r>
                <w:rPr>
                  <w:rFonts w:ascii="Cambria Math" w:hAnsi="Cambria Math"/>
                </w:rPr>
                <m:t>Q</m:t>
              </m:r>
              <m:sSub>
                <m:sSubPr>
                  <m:ctrlPr>
                    <w:rPr>
                      <w:rFonts w:ascii="Cambria Math" w:hAnsi="Cambria Math"/>
                      <w:i/>
                    </w:rPr>
                  </m:ctrlPr>
                </m:sSubPr>
                <m:e>
                  <m:r>
                    <w:rPr>
                      <w:rFonts w:ascii="Cambria Math" w:hAnsi="Cambria Math"/>
                    </w:rPr>
                    <m:t>c</m:t>
                  </m:r>
                </m:e>
                <m:sub>
                  <m:r>
                    <w:rPr>
                      <w:rFonts w:ascii="Cambria Math" w:hAnsi="Cambria Math"/>
                    </w:rPr>
                    <m:t>m-1,i</m:t>
                  </m:r>
                </m:sub>
              </m:sSub>
            </m:oMath>
            <w:r>
              <w:rPr>
                <w:rFonts w:ascii="Bookman Old Style" w:hAnsi="Bookman Old Style"/>
              </w:rPr>
              <w:t>:</w:t>
            </w:r>
          </w:p>
        </w:tc>
        <w:tc>
          <w:tcPr>
            <w:tcW w:w="7933" w:type="dxa"/>
          </w:tcPr>
          <w:p w:rsidR="00DB6388" w:rsidRPr="008A7037" w:rsidRDefault="00DB6388" w:rsidP="00DB6388">
            <w:pPr>
              <w:tabs>
                <w:tab w:val="left" w:pos="0"/>
                <w:tab w:val="left" w:pos="284"/>
              </w:tabs>
              <w:ind w:left="0"/>
              <w:jc w:val="both"/>
              <w:rPr>
                <w:rFonts w:ascii="Bookman Old Style" w:hAnsi="Bookman Old Style"/>
              </w:rPr>
            </w:pPr>
            <w:r w:rsidRPr="00A151DE">
              <w:rPr>
                <w:rFonts w:ascii="Bookman Old Style" w:hAnsi="Bookman Old Style"/>
                <w:bCs/>
              </w:rPr>
              <w:t xml:space="preserve">Es el menor valor entre 1 y el resultante de la relación </w:t>
            </w:r>
            <w:r>
              <w:rPr>
                <w:rFonts w:ascii="Bookman Old Style" w:hAnsi="Bookman Old Style"/>
                <w:bCs/>
              </w:rPr>
              <w:t xml:space="preserve">entre la </w:t>
            </w:r>
            <w:r w:rsidRPr="00A151DE">
              <w:rPr>
                <w:rFonts w:ascii="Bookman Old Style" w:hAnsi="Bookman Old Style"/>
                <w:bCs/>
              </w:rPr>
              <w:t xml:space="preserve">energía </w:t>
            </w:r>
            <w:r>
              <w:rPr>
                <w:rFonts w:ascii="Bookman Old Style" w:hAnsi="Bookman Old Style"/>
                <w:bCs/>
              </w:rPr>
              <w:t xml:space="preserve">de </w:t>
            </w:r>
            <w:r w:rsidRPr="00A151DE">
              <w:rPr>
                <w:rFonts w:ascii="Bookman Old Style" w:hAnsi="Bookman Old Style"/>
                <w:bCs/>
              </w:rPr>
              <w:t xml:space="preserve">contratos </w:t>
            </w:r>
            <w:r w:rsidRPr="00A151DE">
              <w:rPr>
                <w:rFonts w:ascii="Bookman Old Style" w:hAnsi="Bookman Old Style"/>
                <w:color w:val="000000"/>
                <w:lang w:val="es-CO"/>
              </w:rPr>
              <w:t xml:space="preserve">con destino al mercado regulado </w:t>
            </w:r>
            <w:r w:rsidRPr="00A151DE">
              <w:rPr>
                <w:rFonts w:ascii="Bookman Old Style" w:hAnsi="Bookman Old Style"/>
                <w:bCs/>
                <w:color w:val="000000"/>
              </w:rPr>
              <w:t xml:space="preserve">y la </w:t>
            </w:r>
            <w:r>
              <w:rPr>
                <w:rFonts w:ascii="Bookman Old Style" w:hAnsi="Bookman Old Style"/>
                <w:bCs/>
                <w:color w:val="0D0D0D"/>
              </w:rPr>
              <w:t>d</w:t>
            </w:r>
            <w:r w:rsidRPr="00A151DE">
              <w:rPr>
                <w:rFonts w:ascii="Bookman Old Style" w:hAnsi="Bookman Old Style"/>
                <w:bCs/>
                <w:color w:val="0D0D0D"/>
              </w:rPr>
              <w:t xml:space="preserve">emanda </w:t>
            </w:r>
            <w:r>
              <w:rPr>
                <w:rFonts w:ascii="Bookman Old Style" w:hAnsi="Bookman Old Style"/>
                <w:bCs/>
                <w:color w:val="0D0D0D"/>
              </w:rPr>
              <w:t>c</w:t>
            </w:r>
            <w:r w:rsidRPr="00A151DE">
              <w:rPr>
                <w:rFonts w:ascii="Bookman Old Style" w:hAnsi="Bookman Old Style"/>
                <w:bCs/>
                <w:color w:val="0D0D0D"/>
              </w:rPr>
              <w:t>omercial del mercado regulado</w:t>
            </w:r>
            <w:r w:rsidRPr="00A151DE">
              <w:rPr>
                <w:rFonts w:ascii="Bookman Old Style" w:hAnsi="Bookman Old Style"/>
                <w:bCs/>
                <w:color w:val="000000"/>
              </w:rPr>
              <w:t xml:space="preserve"> </w:t>
            </w:r>
            <w:r>
              <w:rPr>
                <w:rFonts w:ascii="Bookman Old Style" w:hAnsi="Bookman Old Style"/>
                <w:bCs/>
                <w:color w:val="000000"/>
              </w:rPr>
              <w:t xml:space="preserve">del comercializador </w:t>
            </w:r>
            <w:r>
              <w:rPr>
                <w:rFonts w:ascii="Bookman Old Style" w:hAnsi="Bookman Old Style"/>
                <w:bCs/>
                <w:i/>
                <w:color w:val="000000"/>
              </w:rPr>
              <w:t xml:space="preserve">i </w:t>
            </w:r>
            <w:r>
              <w:rPr>
                <w:rFonts w:ascii="Bookman Old Style" w:hAnsi="Bookman Old Style"/>
                <w:b/>
                <w:bCs/>
                <w:i/>
                <w:color w:val="000000"/>
              </w:rPr>
              <w:t xml:space="preserve"> </w:t>
            </w:r>
            <w:r w:rsidRPr="00A151DE">
              <w:rPr>
                <w:rFonts w:ascii="Bookman Old Style" w:hAnsi="Bookman Old Style"/>
                <w:bCs/>
                <w:color w:val="000000"/>
              </w:rPr>
              <w:t xml:space="preserve">en el mes </w:t>
            </w:r>
            <w:r w:rsidRPr="00A151DE">
              <w:rPr>
                <w:rFonts w:ascii="Bookman Old Style" w:hAnsi="Bookman Old Style"/>
                <w:bCs/>
                <w:i/>
                <w:color w:val="000000"/>
              </w:rPr>
              <w:t>m-1</w:t>
            </w:r>
            <w:r>
              <w:rPr>
                <w:rFonts w:ascii="Bookman Old Style" w:hAnsi="Bookman Old Style"/>
                <w:bCs/>
                <w:color w:val="000000"/>
              </w:rPr>
              <w:t>.</w:t>
            </w:r>
          </w:p>
        </w:tc>
      </w:tr>
      <w:tr w:rsidR="00DB6388" w:rsidTr="00DB6388">
        <w:tc>
          <w:tcPr>
            <w:tcW w:w="1413" w:type="dxa"/>
          </w:tcPr>
          <w:p w:rsidR="00DB6388" w:rsidRDefault="00DB6388" w:rsidP="00DB6388">
            <w:pPr>
              <w:tabs>
                <w:tab w:val="left" w:pos="0"/>
                <w:tab w:val="left" w:pos="284"/>
              </w:tabs>
              <w:ind w:left="0"/>
              <w:jc w:val="both"/>
            </w:pPr>
          </w:p>
          <w:p w:rsidR="00DB6388" w:rsidRDefault="00DB6388" w:rsidP="00DB6388">
            <w:pPr>
              <w:tabs>
                <w:tab w:val="left" w:pos="0"/>
                <w:tab w:val="left" w:pos="284"/>
              </w:tabs>
              <w:ind w:left="0"/>
              <w:jc w:val="both"/>
              <w:rPr>
                <w:rFonts w:ascii="Bookman Old Style" w:hAnsi="Bookman Old Style"/>
              </w:rPr>
            </w:pPr>
            <m:oMath>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oMath>
            <w:r>
              <w:rPr>
                <w:rFonts w:ascii="Bookman Old Style" w:hAnsi="Bookman Old Style"/>
              </w:rPr>
              <w:t>:</w:t>
            </w:r>
          </w:p>
        </w:tc>
        <w:tc>
          <w:tcPr>
            <w:tcW w:w="7933" w:type="dxa"/>
          </w:tcPr>
          <w:p w:rsidR="00DB6388" w:rsidRDefault="00DB6388" w:rsidP="00DB6388">
            <w:pPr>
              <w:tabs>
                <w:tab w:val="left" w:pos="0"/>
                <w:tab w:val="left" w:pos="284"/>
              </w:tabs>
              <w:ind w:left="0"/>
              <w:jc w:val="both"/>
              <w:rPr>
                <w:rFonts w:ascii="Bookman Old Style" w:hAnsi="Bookman Old Style"/>
                <w:bCs/>
              </w:rPr>
            </w:pPr>
          </w:p>
          <w:p w:rsidR="00DB6388" w:rsidRDefault="00DB6388" w:rsidP="00DB6388">
            <w:pPr>
              <w:tabs>
                <w:tab w:val="left" w:pos="0"/>
                <w:tab w:val="left" w:pos="284"/>
              </w:tabs>
              <w:ind w:left="0"/>
              <w:jc w:val="both"/>
              <w:rPr>
                <w:rFonts w:ascii="Bookman Old Style" w:hAnsi="Bookman Old Style"/>
                <w:bCs/>
              </w:rPr>
            </w:pPr>
            <w:r w:rsidRPr="00A151DE">
              <w:rPr>
                <w:rFonts w:ascii="Bookman Old Style" w:hAnsi="Bookman Old Style"/>
                <w:bCs/>
              </w:rPr>
              <w:t xml:space="preserve">Energía </w:t>
            </w:r>
            <w:r>
              <w:rPr>
                <w:rFonts w:ascii="Bookman Old Style" w:hAnsi="Bookman Old Style"/>
                <w:bCs/>
              </w:rPr>
              <w:t>cubierta</w:t>
            </w:r>
            <w:r w:rsidRPr="00A151DE">
              <w:rPr>
                <w:rFonts w:ascii="Bookman Old Style" w:hAnsi="Bookman Old Style"/>
                <w:bCs/>
              </w:rPr>
              <w:t xml:space="preserve"> mediante contratos bilaterales por el </w:t>
            </w:r>
            <w:r>
              <w:rPr>
                <w:rFonts w:ascii="Bookman Old Style" w:hAnsi="Bookman Old Style"/>
                <w:bCs/>
              </w:rPr>
              <w:t>c</w:t>
            </w:r>
            <w:r w:rsidRPr="00A151DE">
              <w:rPr>
                <w:rFonts w:ascii="Bookman Old Style" w:hAnsi="Bookman Old Style"/>
                <w:bCs/>
              </w:rPr>
              <w:t xml:space="preserve">omercializador </w:t>
            </w:r>
            <w:r w:rsidRPr="00A151DE">
              <w:rPr>
                <w:rFonts w:ascii="Bookman Old Style" w:hAnsi="Bookman Old Style"/>
                <w:bCs/>
                <w:i/>
              </w:rPr>
              <w:t xml:space="preserve">i </w:t>
            </w:r>
            <w:r w:rsidRPr="00A151DE">
              <w:rPr>
                <w:rFonts w:ascii="Bookman Old Style" w:hAnsi="Bookman Old Style"/>
                <w:bCs/>
              </w:rPr>
              <w:t>con destino al mercado regulado en el mes</w:t>
            </w:r>
            <w:r w:rsidRPr="00A151DE">
              <w:rPr>
                <w:rFonts w:ascii="Bookman Old Style" w:hAnsi="Bookman Old Style"/>
                <w:bCs/>
                <w:i/>
              </w:rPr>
              <w:t xml:space="preserve"> m</w:t>
            </w:r>
            <w:r w:rsidRPr="00A151DE">
              <w:rPr>
                <w:rFonts w:ascii="Bookman Old Style" w:hAnsi="Bookman Old Style"/>
                <w:bCs/>
              </w:rPr>
              <w:t>-</w:t>
            </w:r>
            <w:r w:rsidRPr="00A151DE">
              <w:rPr>
                <w:rFonts w:ascii="Bookman Old Style" w:hAnsi="Bookman Old Style"/>
                <w:bCs/>
                <w:i/>
              </w:rPr>
              <w:t>1</w:t>
            </w:r>
            <w:r w:rsidRPr="00A151DE">
              <w:rPr>
                <w:rFonts w:ascii="Bookman Old Style" w:hAnsi="Bookman Old Style"/>
                <w:bCs/>
              </w:rPr>
              <w:t>.</w:t>
            </w:r>
          </w:p>
          <w:p w:rsidR="00DB6388" w:rsidRPr="00A151DE" w:rsidRDefault="00DB6388" w:rsidP="00DB6388">
            <w:pPr>
              <w:tabs>
                <w:tab w:val="left" w:pos="0"/>
                <w:tab w:val="left" w:pos="284"/>
              </w:tabs>
              <w:ind w:left="0"/>
              <w:jc w:val="both"/>
              <w:rPr>
                <w:rFonts w:ascii="Bookman Old Style" w:hAnsi="Bookman Old Style"/>
              </w:rPr>
            </w:pPr>
          </w:p>
        </w:tc>
      </w:tr>
      <w:tr w:rsidR="00DB6388" w:rsidTr="00DB6388">
        <w:tc>
          <w:tcPr>
            <w:tcW w:w="1413" w:type="dxa"/>
          </w:tcPr>
          <w:p w:rsidR="00DB6388" w:rsidRDefault="00DB6388" w:rsidP="00DB6388">
            <w:pPr>
              <w:tabs>
                <w:tab w:val="left" w:pos="0"/>
                <w:tab w:val="left" w:pos="284"/>
              </w:tabs>
              <w:ind w:left="0"/>
              <w:jc w:val="both"/>
              <w:rPr>
                <w:rFonts w:ascii="Bookman Old Style" w:hAnsi="Bookman Old Style"/>
              </w:rPr>
            </w:pPr>
            <m:oMath>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m-1,i</m:t>
                  </m:r>
                </m:sub>
              </m:sSub>
            </m:oMath>
            <w:r>
              <w:rPr>
                <w:rFonts w:ascii="Bookman Old Style" w:hAnsi="Bookman Old Style"/>
              </w:rPr>
              <w:t>:</w:t>
            </w:r>
          </w:p>
        </w:tc>
        <w:tc>
          <w:tcPr>
            <w:tcW w:w="7933" w:type="dxa"/>
          </w:tcPr>
          <w:p w:rsidR="00DB6388" w:rsidRDefault="00DB6388" w:rsidP="00DB6388">
            <w:pPr>
              <w:tabs>
                <w:tab w:val="left" w:pos="0"/>
                <w:tab w:val="left" w:pos="284"/>
              </w:tabs>
              <w:ind w:left="0"/>
              <w:jc w:val="both"/>
              <w:rPr>
                <w:rFonts w:ascii="Bookman Old Style" w:hAnsi="Bookman Old Style"/>
              </w:rPr>
            </w:pPr>
            <w:r>
              <w:rPr>
                <w:rFonts w:ascii="Bookman Old Style" w:hAnsi="Bookman Old Style"/>
              </w:rPr>
              <w:t>Energía mensual cubierta mediante los contratos de largo plazo destinados al mercado regulado</w:t>
            </w:r>
            <w:r w:rsidR="00E73859">
              <w:rPr>
                <w:rFonts w:ascii="Bookman Old Style" w:hAnsi="Bookman Old Style"/>
              </w:rPr>
              <w:t xml:space="preserve"> en el mes </w:t>
            </w:r>
            <w:r w:rsidR="00E73859">
              <w:rPr>
                <w:rFonts w:ascii="Bookman Old Style" w:hAnsi="Bookman Old Style"/>
                <w:i/>
              </w:rPr>
              <w:t>m-1</w:t>
            </w:r>
            <w:r>
              <w:rPr>
                <w:rFonts w:ascii="Bookman Old Style" w:hAnsi="Bookman Old Style"/>
              </w:rPr>
              <w:t xml:space="preserve"> adjudicados</w:t>
            </w:r>
            <w:r w:rsidR="00E73859">
              <w:rPr>
                <w:rFonts w:ascii="Bookman Old Style" w:hAnsi="Bookman Old Style"/>
              </w:rPr>
              <w:t xml:space="preserve"> al comercializador </w:t>
            </w:r>
            <w:r w:rsidR="00E73859">
              <w:rPr>
                <w:rFonts w:ascii="Bookman Old Style" w:hAnsi="Bookman Old Style"/>
                <w:i/>
              </w:rPr>
              <w:t xml:space="preserve">i </w:t>
            </w:r>
            <w:r w:rsidR="00E73859">
              <w:rPr>
                <w:rFonts w:ascii="Bookman Old Style" w:hAnsi="Bookman Old Style"/>
              </w:rPr>
              <w:t>como resultado</w:t>
            </w:r>
            <w:r>
              <w:rPr>
                <w:rFonts w:ascii="Bookman Old Style" w:hAnsi="Bookman Old Style"/>
              </w:rPr>
              <w:t xml:space="preserve"> </w:t>
            </w:r>
            <w:r w:rsidR="00E73859">
              <w:rPr>
                <w:rFonts w:ascii="Bookman Old Style" w:hAnsi="Bookman Old Style"/>
              </w:rPr>
              <w:t>de</w:t>
            </w:r>
            <w:r>
              <w:rPr>
                <w:rFonts w:ascii="Bookman Old Style" w:hAnsi="Bookman Old Style"/>
              </w:rPr>
              <w:t xml:space="preserve"> la subasta del Ministerio de Minas y Energía </w:t>
            </w:r>
            <w:r w:rsidR="00E73859">
              <w:rPr>
                <w:rFonts w:ascii="Bookman Old Style" w:hAnsi="Bookman Old Style"/>
              </w:rPr>
              <w:t>o</w:t>
            </w:r>
            <w:r>
              <w:rPr>
                <w:rFonts w:ascii="Bookman Old Style" w:hAnsi="Bookman Old Style"/>
              </w:rPr>
              <w:t xml:space="preserve"> por</w:t>
            </w:r>
            <w:r w:rsidRPr="00DB6388">
              <w:rPr>
                <w:rFonts w:ascii="Bookman Old Style" w:hAnsi="Bookman Old Style"/>
              </w:rPr>
              <w:t xml:space="preserve"> la aplicación del mecanismo complementario que trata el artículo 6 de la Resolución 40591 de</w:t>
            </w:r>
            <w:r w:rsidR="00374CEA">
              <w:rPr>
                <w:rFonts w:ascii="Bookman Old Style" w:hAnsi="Bookman Old Style"/>
              </w:rPr>
              <w:t>l Ministerio de Minas y Energía</w:t>
            </w:r>
            <w:r w:rsidRPr="00DB6388">
              <w:rPr>
                <w:rFonts w:ascii="Bookman Old Style" w:hAnsi="Bookman Old Style"/>
              </w:rPr>
              <w:t xml:space="preserve"> </w:t>
            </w:r>
            <w:r w:rsidR="00374CEA">
              <w:rPr>
                <w:rFonts w:ascii="Bookman Old Style" w:hAnsi="Bookman Old Style"/>
              </w:rPr>
              <w:t xml:space="preserve">de </w:t>
            </w:r>
            <w:r w:rsidRPr="00DB6388">
              <w:rPr>
                <w:rFonts w:ascii="Bookman Old Style" w:hAnsi="Bookman Old Style"/>
              </w:rPr>
              <w:t>2019</w:t>
            </w:r>
            <w:r w:rsidR="00E73859">
              <w:rPr>
                <w:rFonts w:ascii="Bookman Old Style" w:hAnsi="Bookman Old Style"/>
              </w:rPr>
              <w:t>.</w:t>
            </w:r>
          </w:p>
          <w:p w:rsidR="00DB6388" w:rsidRPr="00A151DE" w:rsidRDefault="00DB6388" w:rsidP="00DB6388">
            <w:pPr>
              <w:tabs>
                <w:tab w:val="left" w:pos="0"/>
                <w:tab w:val="left" w:pos="284"/>
              </w:tabs>
              <w:ind w:left="0"/>
              <w:jc w:val="both"/>
              <w:rPr>
                <w:rFonts w:ascii="Bookman Old Style" w:hAnsi="Bookman Old Style"/>
              </w:rPr>
            </w:pPr>
          </w:p>
        </w:tc>
      </w:tr>
      <w:tr w:rsidR="00DB6388" w:rsidRPr="00CA1A93" w:rsidTr="00DB6388">
        <w:tc>
          <w:tcPr>
            <w:tcW w:w="1413" w:type="dxa"/>
          </w:tcPr>
          <w:p w:rsidR="00DB6388" w:rsidRPr="00CA1A93" w:rsidRDefault="00DB6388" w:rsidP="00DB6388">
            <w:pPr>
              <w:tabs>
                <w:tab w:val="left" w:pos="0"/>
                <w:tab w:val="left" w:pos="284"/>
              </w:tabs>
              <w:ind w:left="0"/>
              <w:jc w:val="both"/>
              <w:rPr>
                <w:rFonts w:ascii="Bookman Old Style" w:hAnsi="Bookman Old Style"/>
              </w:rPr>
            </w:pPr>
            <m:oMath>
              <m:r>
                <w:rPr>
                  <w:rFonts w:ascii="Cambria Math" w:hAnsi="Cambria Math"/>
                </w:rPr>
                <m:t>DC</m:t>
              </m:r>
              <m:sSub>
                <m:sSubPr>
                  <m:ctrlPr>
                    <w:rPr>
                      <w:rFonts w:ascii="Cambria Math" w:hAnsi="Cambria Math"/>
                      <w:i/>
                    </w:rPr>
                  </m:ctrlPr>
                </m:sSubPr>
                <m:e>
                  <m:r>
                    <w:rPr>
                      <w:rFonts w:ascii="Cambria Math" w:hAnsi="Cambria Math"/>
                    </w:rPr>
                    <m:t>R</m:t>
                  </m:r>
                </m:e>
                <m:sub>
                  <m:r>
                    <w:rPr>
                      <w:rFonts w:ascii="Cambria Math" w:hAnsi="Cambria Math"/>
                    </w:rPr>
                    <m:t>m-1,i</m:t>
                  </m:r>
                </m:sub>
              </m:sSub>
            </m:oMath>
            <w:r w:rsidRPr="00CA1A93">
              <w:rPr>
                <w:rFonts w:ascii="Bookman Old Style" w:hAnsi="Bookman Old Style"/>
              </w:rPr>
              <w:t>:</w:t>
            </w:r>
          </w:p>
        </w:tc>
        <w:tc>
          <w:tcPr>
            <w:tcW w:w="7933" w:type="dxa"/>
          </w:tcPr>
          <w:p w:rsidR="00DB6388" w:rsidRPr="00CA1A93" w:rsidRDefault="00DB6388" w:rsidP="00DB6388">
            <w:pPr>
              <w:tabs>
                <w:tab w:val="left" w:pos="0"/>
                <w:tab w:val="left" w:pos="284"/>
              </w:tabs>
              <w:ind w:left="0"/>
              <w:jc w:val="both"/>
              <w:rPr>
                <w:rFonts w:ascii="Bookman Old Style" w:hAnsi="Bookman Old Style"/>
              </w:rPr>
            </w:pPr>
            <w:r w:rsidRPr="00CA1A93">
              <w:rPr>
                <w:rFonts w:ascii="Bookman Old Style" w:hAnsi="Bookman Old Style"/>
                <w:bCs/>
              </w:rPr>
              <w:t xml:space="preserve">Demanda comercial regulada del comercializador </w:t>
            </w:r>
            <w:r w:rsidRPr="00CA1A93">
              <w:rPr>
                <w:rFonts w:ascii="Bookman Old Style" w:hAnsi="Bookman Old Style"/>
                <w:bCs/>
                <w:i/>
              </w:rPr>
              <w:t>i</w:t>
            </w:r>
            <w:r w:rsidRPr="00CA1A93">
              <w:rPr>
                <w:rFonts w:ascii="Bookman Old Style" w:hAnsi="Bookman Old Style"/>
                <w:bCs/>
              </w:rPr>
              <w:t xml:space="preserve"> en el mes </w:t>
            </w:r>
            <w:r w:rsidRPr="00CA1A93">
              <w:rPr>
                <w:rFonts w:ascii="Bookman Old Style" w:hAnsi="Bookman Old Style"/>
                <w:bCs/>
                <w:i/>
              </w:rPr>
              <w:t>m-1.</w:t>
            </w:r>
          </w:p>
        </w:tc>
      </w:tr>
      <w:tr w:rsidR="00DB6388" w:rsidTr="00DB6388">
        <w:trPr>
          <w:trHeight w:val="430"/>
        </w:trPr>
        <w:tc>
          <w:tcPr>
            <w:tcW w:w="1413" w:type="dxa"/>
          </w:tcPr>
          <w:p w:rsidR="00DB6388" w:rsidRPr="00CA1A93" w:rsidRDefault="00DB6388" w:rsidP="00DB6388">
            <w:pPr>
              <w:tabs>
                <w:tab w:val="left" w:pos="0"/>
                <w:tab w:val="left" w:pos="284"/>
              </w:tabs>
              <w:ind w:left="0"/>
              <w:jc w:val="both"/>
            </w:pPr>
          </w:p>
        </w:tc>
        <w:tc>
          <w:tcPr>
            <w:tcW w:w="7933" w:type="dxa"/>
          </w:tcPr>
          <w:p w:rsidR="00DB6388" w:rsidRPr="00CA1A93" w:rsidRDefault="00DB6388" w:rsidP="00DB6388">
            <w:pPr>
              <w:tabs>
                <w:tab w:val="left" w:pos="0"/>
                <w:tab w:val="left" w:pos="284"/>
              </w:tabs>
              <w:ind w:left="0"/>
              <w:jc w:val="both"/>
              <w:rPr>
                <w:rFonts w:ascii="Bookman Old Style" w:hAnsi="Bookman Old Style"/>
                <w:bCs/>
              </w:rPr>
            </w:pPr>
          </w:p>
        </w:tc>
      </w:tr>
    </w:tbl>
    <w:p w:rsidR="00DB6388" w:rsidRDefault="00DB6388" w:rsidP="00DB6388">
      <w:pPr>
        <w:ind w:left="0"/>
        <w:jc w:val="both"/>
        <w:rPr>
          <w:rFonts w:ascii="Bookman Old Style" w:hAnsi="Bookman Old Style"/>
        </w:rPr>
      </w:pPr>
      <w:r>
        <w:rPr>
          <w:rFonts w:ascii="Bookman Old Style" w:hAnsi="Bookman Old Style"/>
        </w:rPr>
        <w:t>A continuación, el comercializador deberá calcular la proporción de los contratos bilaterales sobre el total de energía contratada utilizando la siguiente expresión:</w:t>
      </w:r>
    </w:p>
    <w:p w:rsidR="00DB6388" w:rsidRDefault="00DB6388" w:rsidP="00DB6388">
      <w:pPr>
        <w:ind w:left="0"/>
        <w:jc w:val="both"/>
        <w:rPr>
          <w:rFonts w:ascii="Bookman Old Style" w:hAnsi="Bookman Old Style"/>
        </w:rPr>
      </w:pPr>
    </w:p>
    <w:p w:rsidR="00DB6388" w:rsidRPr="00A151DE" w:rsidRDefault="00DB6388" w:rsidP="00DB6388">
      <w:pPr>
        <w:ind w:left="0"/>
        <w:jc w:val="both"/>
        <w:rPr>
          <w:rFonts w:ascii="Bookman Old Style" w:hAnsi="Bookman Old Style"/>
        </w:rPr>
      </w:pPr>
      <m:oMathPara>
        <m:oMath>
          <m:r>
            <m:rPr>
              <m:lit/>
            </m:rPr>
            <w:rPr>
              <w:rFonts w:ascii="Cambria Math" w:hAnsi="Cambria Math"/>
            </w:rPr>
            <m:t xml:space="preserve"> </m:t>
          </m:r>
          <m:sSub>
            <m:sSubPr>
              <m:ctrlPr>
                <w:rPr>
                  <w:rFonts w:ascii="Cambria Math" w:hAnsi="Cambria Math"/>
                  <w:i/>
                </w:rPr>
              </m:ctrlPr>
            </m:sSubPr>
            <m:e>
              <m:r>
                <w:rPr>
                  <w:rFonts w:ascii="Cambria Math" w:hAnsi="Cambria Math"/>
                </w:rPr>
                <m:t>ω</m:t>
              </m:r>
            </m:e>
            <m:sub>
              <m:r>
                <w:rPr>
                  <w:rFonts w:ascii="Cambria Math" w:hAnsi="Cambria Math"/>
                </w:rPr>
                <m:t>m-1,i</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Cc</m:t>
                  </m:r>
                </m:e>
                <m:sub>
                  <m:r>
                    <w:rPr>
                      <w:rFonts w:ascii="Cambria Math" w:hAnsi="Cambria Math"/>
                    </w:rPr>
                    <m:t>m-1,i</m:t>
                  </m:r>
                </m:sub>
              </m:sSub>
            </m:num>
            <m:den>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m-1,i</m:t>
                  </m:r>
                </m:sub>
              </m:sSub>
            </m:den>
          </m:f>
        </m:oMath>
      </m:oMathPara>
    </w:p>
    <w:p w:rsidR="00DB6388" w:rsidRDefault="00DB6388" w:rsidP="00DB6388">
      <w:pPr>
        <w:ind w:left="0"/>
        <w:jc w:val="both"/>
        <w:rPr>
          <w:rFonts w:ascii="Bookman Old Style" w:hAnsi="Bookman Old Style"/>
        </w:rPr>
      </w:pPr>
    </w:p>
    <w:p w:rsidR="00392215" w:rsidRDefault="00392215" w:rsidP="00DB6388">
      <w:pPr>
        <w:tabs>
          <w:tab w:val="left" w:pos="0"/>
          <w:tab w:val="left" w:pos="284"/>
        </w:tabs>
        <w:ind w:left="0"/>
        <w:jc w:val="both"/>
        <w:rPr>
          <w:rFonts w:ascii="Bookman Old Style" w:hAnsi="Bookman Old Style"/>
        </w:rPr>
      </w:pPr>
    </w:p>
    <w:p w:rsidR="00DB6388" w:rsidRDefault="00DB6388" w:rsidP="00DB6388">
      <w:pPr>
        <w:tabs>
          <w:tab w:val="left" w:pos="0"/>
          <w:tab w:val="left" w:pos="284"/>
        </w:tabs>
        <w:ind w:left="0"/>
        <w:jc w:val="both"/>
        <w:rPr>
          <w:rFonts w:ascii="Bookman Old Style" w:hAnsi="Bookman Old Style"/>
        </w:rPr>
      </w:pPr>
      <w:r>
        <w:rPr>
          <w:rFonts w:ascii="Bookman Old Style" w:hAnsi="Bookman Old Style"/>
        </w:rPr>
        <w:lastRenderedPageBreak/>
        <w:t>Donde:</w:t>
      </w:r>
    </w:p>
    <w:p w:rsidR="00DB6388" w:rsidRDefault="00DB6388" w:rsidP="00DB6388">
      <w:pPr>
        <w:tabs>
          <w:tab w:val="left" w:pos="0"/>
          <w:tab w:val="left" w:pos="284"/>
        </w:tabs>
        <w:ind w:left="0"/>
        <w:jc w:val="both"/>
        <w:rPr>
          <w:rFonts w:ascii="Bookman Old Style" w:hAnsi="Bookman Old Style"/>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3"/>
        <w:gridCol w:w="7933"/>
      </w:tblGrid>
      <w:tr w:rsidR="00DB6388" w:rsidTr="00DB6388">
        <w:tc>
          <w:tcPr>
            <w:tcW w:w="1413" w:type="dxa"/>
          </w:tcPr>
          <w:p w:rsidR="00DB6388" w:rsidRDefault="00CD4069" w:rsidP="00DB6388">
            <w:pPr>
              <w:tabs>
                <w:tab w:val="left" w:pos="0"/>
                <w:tab w:val="left" w:pos="284"/>
              </w:tabs>
              <w:ind w:left="0"/>
              <w:jc w:val="both"/>
              <w:rPr>
                <w:rFonts w:ascii="Bookman Old Style" w:hAnsi="Bookman Old Style"/>
              </w:rPr>
            </w:pPr>
            <m:oMath>
              <m:sSub>
                <m:sSubPr>
                  <m:ctrlPr>
                    <w:rPr>
                      <w:rFonts w:ascii="Cambria Math" w:hAnsi="Cambria Math"/>
                      <w:i/>
                    </w:rPr>
                  </m:ctrlPr>
                </m:sSubPr>
                <m:e>
                  <m:r>
                    <w:rPr>
                      <w:rFonts w:ascii="Cambria Math" w:hAnsi="Cambria Math"/>
                    </w:rPr>
                    <m:t>ω</m:t>
                  </m:r>
                </m:e>
                <m:sub>
                  <m:r>
                    <w:rPr>
                      <w:rFonts w:ascii="Cambria Math" w:hAnsi="Cambria Math"/>
                    </w:rPr>
                    <m:t>m-1,i</m:t>
                  </m:r>
                </m:sub>
              </m:sSub>
            </m:oMath>
            <w:r w:rsidR="00DB6388">
              <w:rPr>
                <w:rFonts w:ascii="Bookman Old Style" w:hAnsi="Bookman Old Style"/>
              </w:rPr>
              <w:t>:</w:t>
            </w:r>
          </w:p>
        </w:tc>
        <w:tc>
          <w:tcPr>
            <w:tcW w:w="7933" w:type="dxa"/>
          </w:tcPr>
          <w:p w:rsidR="00DB6388" w:rsidRPr="00074B50" w:rsidRDefault="00DB6388" w:rsidP="00DB6388">
            <w:pPr>
              <w:tabs>
                <w:tab w:val="left" w:pos="0"/>
                <w:tab w:val="left" w:pos="284"/>
              </w:tabs>
              <w:ind w:left="0"/>
              <w:jc w:val="both"/>
              <w:rPr>
                <w:rFonts w:ascii="Bookman Old Style" w:hAnsi="Bookman Old Style"/>
              </w:rPr>
            </w:pPr>
            <w:r>
              <w:rPr>
                <w:rFonts w:ascii="Bookman Old Style" w:hAnsi="Bookman Old Style"/>
                <w:bCs/>
              </w:rPr>
              <w:t xml:space="preserve">Ponderador de los precios de los contratos bilaterales del comercializador </w:t>
            </w:r>
            <w:r>
              <w:rPr>
                <w:rFonts w:ascii="Bookman Old Style" w:hAnsi="Bookman Old Style"/>
                <w:bCs/>
                <w:i/>
              </w:rPr>
              <w:t>i</w:t>
            </w:r>
            <w:r>
              <w:rPr>
                <w:rFonts w:ascii="Bookman Old Style" w:hAnsi="Bookman Old Style"/>
                <w:bCs/>
              </w:rPr>
              <w:t xml:space="preserve">, en el mes </w:t>
            </w:r>
            <w:r>
              <w:rPr>
                <w:rFonts w:ascii="Bookman Old Style" w:hAnsi="Bookman Old Style"/>
                <w:bCs/>
                <w:i/>
              </w:rPr>
              <w:t>m-1.</w:t>
            </w:r>
          </w:p>
        </w:tc>
      </w:tr>
      <w:tr w:rsidR="00DB6388" w:rsidTr="00DB6388">
        <w:tc>
          <w:tcPr>
            <w:tcW w:w="1413" w:type="dxa"/>
          </w:tcPr>
          <w:p w:rsidR="00DB6388" w:rsidRDefault="00DB6388" w:rsidP="00DB6388">
            <w:pPr>
              <w:tabs>
                <w:tab w:val="left" w:pos="0"/>
                <w:tab w:val="left" w:pos="284"/>
              </w:tabs>
              <w:ind w:left="0"/>
              <w:jc w:val="both"/>
              <w:rPr>
                <w:rFonts w:ascii="Bookman Old Style" w:hAnsi="Bookman Old Style"/>
              </w:rPr>
            </w:pPr>
          </w:p>
        </w:tc>
        <w:tc>
          <w:tcPr>
            <w:tcW w:w="7933" w:type="dxa"/>
          </w:tcPr>
          <w:p w:rsidR="00DB6388" w:rsidRDefault="00DB6388" w:rsidP="00DB6388">
            <w:pPr>
              <w:tabs>
                <w:tab w:val="left" w:pos="0"/>
                <w:tab w:val="left" w:pos="284"/>
              </w:tabs>
              <w:ind w:left="0"/>
              <w:jc w:val="both"/>
              <w:rPr>
                <w:rFonts w:ascii="Bookman Old Style" w:hAnsi="Bookman Old Style"/>
                <w:bCs/>
              </w:rPr>
            </w:pPr>
          </w:p>
        </w:tc>
      </w:tr>
      <w:tr w:rsidR="00DB6388" w:rsidTr="00DB6388">
        <w:tc>
          <w:tcPr>
            <w:tcW w:w="1413" w:type="dxa"/>
          </w:tcPr>
          <w:p w:rsidR="00DB6388" w:rsidRDefault="00DB6388" w:rsidP="00DB6388">
            <w:pPr>
              <w:tabs>
                <w:tab w:val="left" w:pos="0"/>
                <w:tab w:val="left" w:pos="284"/>
              </w:tabs>
              <w:ind w:left="0"/>
              <w:jc w:val="both"/>
              <w:rPr>
                <w:rFonts w:ascii="Bookman Old Style" w:hAnsi="Bookman Old Style"/>
              </w:rPr>
            </w:pPr>
            <m:oMath>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oMath>
            <w:r>
              <w:rPr>
                <w:rFonts w:ascii="Bookman Old Style" w:hAnsi="Bookman Old Style"/>
              </w:rPr>
              <w:t>:</w:t>
            </w:r>
          </w:p>
        </w:tc>
        <w:tc>
          <w:tcPr>
            <w:tcW w:w="7933" w:type="dxa"/>
          </w:tcPr>
          <w:p w:rsidR="00DB6388" w:rsidRDefault="00DB6388" w:rsidP="00DB6388">
            <w:pPr>
              <w:tabs>
                <w:tab w:val="left" w:pos="0"/>
                <w:tab w:val="left" w:pos="284"/>
              </w:tabs>
              <w:ind w:left="0"/>
              <w:jc w:val="both"/>
              <w:rPr>
                <w:rFonts w:ascii="Bookman Old Style" w:hAnsi="Bookman Old Style"/>
                <w:bCs/>
              </w:rPr>
            </w:pPr>
            <w:r w:rsidRPr="00A151DE">
              <w:rPr>
                <w:rFonts w:ascii="Bookman Old Style" w:hAnsi="Bookman Old Style"/>
                <w:bCs/>
              </w:rPr>
              <w:t>Energía c</w:t>
            </w:r>
            <w:r>
              <w:rPr>
                <w:rFonts w:ascii="Bookman Old Style" w:hAnsi="Bookman Old Style"/>
                <w:bCs/>
              </w:rPr>
              <w:t>ubierta</w:t>
            </w:r>
            <w:r w:rsidRPr="00A151DE">
              <w:rPr>
                <w:rFonts w:ascii="Bookman Old Style" w:hAnsi="Bookman Old Style"/>
                <w:bCs/>
              </w:rPr>
              <w:t xml:space="preserve"> mediante contratos bilaterales por el </w:t>
            </w:r>
            <w:r>
              <w:rPr>
                <w:rFonts w:ascii="Bookman Old Style" w:hAnsi="Bookman Old Style"/>
                <w:bCs/>
              </w:rPr>
              <w:t>c</w:t>
            </w:r>
            <w:r w:rsidRPr="00A151DE">
              <w:rPr>
                <w:rFonts w:ascii="Bookman Old Style" w:hAnsi="Bookman Old Style"/>
                <w:bCs/>
              </w:rPr>
              <w:t xml:space="preserve">omercializador </w:t>
            </w:r>
            <w:r w:rsidRPr="00A151DE">
              <w:rPr>
                <w:rFonts w:ascii="Bookman Old Style" w:hAnsi="Bookman Old Style"/>
                <w:bCs/>
                <w:i/>
              </w:rPr>
              <w:t xml:space="preserve">i </w:t>
            </w:r>
            <w:r w:rsidRPr="00A151DE">
              <w:rPr>
                <w:rFonts w:ascii="Bookman Old Style" w:hAnsi="Bookman Old Style"/>
                <w:bCs/>
              </w:rPr>
              <w:t>con destino al mercado regulado en el mes</w:t>
            </w:r>
            <w:r w:rsidRPr="00A151DE">
              <w:rPr>
                <w:rFonts w:ascii="Bookman Old Style" w:hAnsi="Bookman Old Style"/>
                <w:bCs/>
                <w:i/>
              </w:rPr>
              <w:t xml:space="preserve"> m</w:t>
            </w:r>
            <w:r w:rsidRPr="00A151DE">
              <w:rPr>
                <w:rFonts w:ascii="Bookman Old Style" w:hAnsi="Bookman Old Style"/>
                <w:bCs/>
              </w:rPr>
              <w:t>-</w:t>
            </w:r>
            <w:r w:rsidRPr="00A151DE">
              <w:rPr>
                <w:rFonts w:ascii="Bookman Old Style" w:hAnsi="Bookman Old Style"/>
                <w:bCs/>
                <w:i/>
              </w:rPr>
              <w:t>1</w:t>
            </w:r>
            <w:r w:rsidRPr="00A151DE">
              <w:rPr>
                <w:rFonts w:ascii="Bookman Old Style" w:hAnsi="Bookman Old Style"/>
                <w:bCs/>
              </w:rPr>
              <w:t>.</w:t>
            </w:r>
          </w:p>
          <w:p w:rsidR="00DB6388" w:rsidRPr="00A151DE" w:rsidRDefault="00DB6388" w:rsidP="00DB6388">
            <w:pPr>
              <w:tabs>
                <w:tab w:val="left" w:pos="0"/>
                <w:tab w:val="left" w:pos="284"/>
              </w:tabs>
              <w:ind w:left="0"/>
              <w:jc w:val="both"/>
              <w:rPr>
                <w:rFonts w:ascii="Bookman Old Style" w:hAnsi="Bookman Old Style"/>
              </w:rPr>
            </w:pPr>
          </w:p>
        </w:tc>
      </w:tr>
      <w:tr w:rsidR="00E73859" w:rsidTr="00DB6388">
        <w:tc>
          <w:tcPr>
            <w:tcW w:w="1413" w:type="dxa"/>
          </w:tcPr>
          <w:p w:rsidR="00E73859" w:rsidRDefault="00E73859" w:rsidP="00E73859">
            <w:pPr>
              <w:tabs>
                <w:tab w:val="left" w:pos="0"/>
                <w:tab w:val="left" w:pos="284"/>
              </w:tabs>
              <w:ind w:left="0"/>
              <w:jc w:val="both"/>
              <w:rPr>
                <w:rFonts w:ascii="Bookman Old Style" w:hAnsi="Bookman Old Style"/>
              </w:rPr>
            </w:pPr>
            <m:oMath>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m-1,i</m:t>
                  </m:r>
                </m:sub>
              </m:sSub>
            </m:oMath>
            <w:r>
              <w:rPr>
                <w:rFonts w:ascii="Bookman Old Style" w:hAnsi="Bookman Old Style"/>
              </w:rPr>
              <w:t>:</w:t>
            </w:r>
          </w:p>
        </w:tc>
        <w:tc>
          <w:tcPr>
            <w:tcW w:w="7933" w:type="dxa"/>
          </w:tcPr>
          <w:p w:rsidR="00E73859" w:rsidRDefault="00E73859" w:rsidP="00E73859">
            <w:pPr>
              <w:tabs>
                <w:tab w:val="left" w:pos="0"/>
                <w:tab w:val="left" w:pos="284"/>
              </w:tabs>
              <w:ind w:left="0"/>
              <w:jc w:val="both"/>
              <w:rPr>
                <w:rFonts w:ascii="Bookman Old Style" w:hAnsi="Bookman Old Style"/>
              </w:rPr>
            </w:pPr>
            <w:r>
              <w:rPr>
                <w:rFonts w:ascii="Bookman Old Style" w:hAnsi="Bookman Old Style"/>
              </w:rPr>
              <w:t xml:space="preserve">Energía mensual cubierta mediante los contratos de largo plazo destinados al mercado regulado en el mes </w:t>
            </w:r>
            <w:r>
              <w:rPr>
                <w:rFonts w:ascii="Bookman Old Style" w:hAnsi="Bookman Old Style"/>
                <w:i/>
              </w:rPr>
              <w:t>m-1</w:t>
            </w:r>
            <w:r>
              <w:rPr>
                <w:rFonts w:ascii="Bookman Old Style" w:hAnsi="Bookman Old Style"/>
              </w:rPr>
              <w:t xml:space="preserve"> adjudicados al comercializador </w:t>
            </w:r>
            <w:r>
              <w:rPr>
                <w:rFonts w:ascii="Bookman Old Style" w:hAnsi="Bookman Old Style"/>
                <w:i/>
              </w:rPr>
              <w:t xml:space="preserve">i </w:t>
            </w:r>
            <w:r>
              <w:rPr>
                <w:rFonts w:ascii="Bookman Old Style" w:hAnsi="Bookman Old Style"/>
              </w:rPr>
              <w:t>como resultado de la subasta del Ministerio de Minas y Energía o por</w:t>
            </w:r>
            <w:r w:rsidRPr="00DB6388">
              <w:rPr>
                <w:rFonts w:ascii="Bookman Old Style" w:hAnsi="Bookman Old Style"/>
              </w:rPr>
              <w:t xml:space="preserve"> la aplicación del mecanismo complementario que trata el artículo 6 de la Resolución 40591 de</w:t>
            </w:r>
            <w:r>
              <w:rPr>
                <w:rFonts w:ascii="Bookman Old Style" w:hAnsi="Bookman Old Style"/>
              </w:rPr>
              <w:t>l Ministerio de Minas y Energía</w:t>
            </w:r>
            <w:r w:rsidRPr="00DB6388">
              <w:rPr>
                <w:rFonts w:ascii="Bookman Old Style" w:hAnsi="Bookman Old Style"/>
              </w:rPr>
              <w:t xml:space="preserve"> </w:t>
            </w:r>
            <w:r>
              <w:rPr>
                <w:rFonts w:ascii="Bookman Old Style" w:hAnsi="Bookman Old Style"/>
              </w:rPr>
              <w:t xml:space="preserve">de </w:t>
            </w:r>
            <w:r w:rsidRPr="00DB6388">
              <w:rPr>
                <w:rFonts w:ascii="Bookman Old Style" w:hAnsi="Bookman Old Style"/>
              </w:rPr>
              <w:t>2019</w:t>
            </w:r>
            <w:r>
              <w:rPr>
                <w:rFonts w:ascii="Bookman Old Style" w:hAnsi="Bookman Old Style"/>
              </w:rPr>
              <w:t>.</w:t>
            </w:r>
          </w:p>
          <w:p w:rsidR="00E73859" w:rsidRPr="00A151DE" w:rsidRDefault="00E73859" w:rsidP="00E73859">
            <w:pPr>
              <w:tabs>
                <w:tab w:val="left" w:pos="0"/>
                <w:tab w:val="left" w:pos="284"/>
              </w:tabs>
              <w:ind w:left="0"/>
              <w:jc w:val="both"/>
              <w:rPr>
                <w:rFonts w:ascii="Bookman Old Style" w:hAnsi="Bookman Old Style"/>
              </w:rPr>
            </w:pPr>
          </w:p>
        </w:tc>
      </w:tr>
    </w:tbl>
    <w:p w:rsidR="00DB6388" w:rsidRPr="003410C8" w:rsidRDefault="00DB6388" w:rsidP="00DB6388">
      <w:pPr>
        <w:ind w:left="0"/>
        <w:jc w:val="both"/>
        <w:rPr>
          <w:rFonts w:ascii="Bookman Old Style" w:hAnsi="Bookman Old Style"/>
        </w:rPr>
      </w:pPr>
    </w:p>
    <w:p w:rsidR="00C56F74" w:rsidRPr="00CA1A93" w:rsidRDefault="00C56F74" w:rsidP="00C56F74">
      <w:pPr>
        <w:ind w:left="0"/>
        <w:jc w:val="both"/>
        <w:rPr>
          <w:rFonts w:ascii="Bookman Old Style" w:hAnsi="Bookman Old Style"/>
        </w:rPr>
      </w:pPr>
      <w:r w:rsidRPr="00CA1A93">
        <w:rPr>
          <w:rFonts w:ascii="Bookman Old Style" w:hAnsi="Bookman Old Style"/>
        </w:rPr>
        <w:t xml:space="preserve">Finalmente, el componente </w:t>
      </w:r>
      <m:oMath>
        <m:sSub>
          <m:sSubPr>
            <m:ctrlPr>
              <w:rPr>
                <w:rFonts w:ascii="Cambria Math" w:hAnsi="Cambria Math"/>
                <w:i/>
              </w:rPr>
            </m:ctrlPr>
          </m:sSubPr>
          <m:e>
            <m:r>
              <w:rPr>
                <w:rFonts w:ascii="Cambria Math" w:hAnsi="Cambria Math"/>
              </w:rPr>
              <m:t>G</m:t>
            </m:r>
          </m:e>
          <m:sub>
            <m:r>
              <w:rPr>
                <w:rFonts w:ascii="Cambria Math" w:hAnsi="Cambria Math"/>
              </w:rPr>
              <m:t>m,i,j</m:t>
            </m:r>
          </m:sub>
        </m:sSub>
      </m:oMath>
      <w:r w:rsidRPr="00CA1A93">
        <w:rPr>
          <w:rFonts w:ascii="Bookman Old Style" w:hAnsi="Bookman Old Style"/>
        </w:rPr>
        <w:t xml:space="preserve"> quedará definido de la siguiente forma:</w:t>
      </w:r>
    </w:p>
    <w:p w:rsidR="00C56F74" w:rsidRPr="00CA1A93" w:rsidRDefault="00C56F74" w:rsidP="00C56F74">
      <w:pPr>
        <w:ind w:left="0"/>
        <w:jc w:val="both"/>
        <w:rPr>
          <w:rFonts w:ascii="Bookman Old Style" w:hAnsi="Bookman Old Style"/>
        </w:rPr>
      </w:pPr>
    </w:p>
    <w:p w:rsidR="00C56F74" w:rsidRPr="001375AB" w:rsidRDefault="00CD4069" w:rsidP="00C56F74">
      <w:pPr>
        <w:jc w:val="center"/>
        <w:rPr>
          <w:rFonts w:ascii="Bookman Old Style" w:hAnsi="Bookman Old Style"/>
          <w:color w:val="000000" w:themeColor="text1"/>
          <w:sz w:val="20"/>
          <w:lang w:val="es-CO"/>
        </w:rPr>
      </w:pPr>
      <m:oMathPara>
        <m:oMath>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G</m:t>
              </m:r>
            </m:e>
            <m:sub>
              <m:r>
                <w:rPr>
                  <w:rFonts w:ascii="Cambria Math" w:hAnsi="Cambria Math"/>
                  <w:color w:val="000000" w:themeColor="text1"/>
                  <w:sz w:val="20"/>
                  <w:lang w:val="es-CO"/>
                </w:rPr>
                <m:t>m,i,j</m:t>
              </m:r>
            </m:sub>
          </m:sSub>
          <m:r>
            <w:rPr>
              <w:rFonts w:ascii="Cambria Math" w:hAnsi="Cambria Math"/>
              <w:color w:val="000000" w:themeColor="text1"/>
              <w:sz w:val="20"/>
              <w:lang w:val="es-CO"/>
            </w:rPr>
            <m:t>=</m:t>
          </m:r>
          <m:sSub>
            <m:sSubPr>
              <m:ctrlPr>
                <w:rPr>
                  <w:rFonts w:ascii="Cambria Math" w:hAnsi="Cambria Math"/>
                  <w:i/>
                  <w:sz w:val="20"/>
                </w:rPr>
              </m:ctrlPr>
            </m:sSubPr>
            <m:e>
              <m:r>
                <w:rPr>
                  <w:rFonts w:ascii="Cambria Math" w:hAnsi="Cambria Math"/>
                  <w:sz w:val="20"/>
                </w:rPr>
                <m:t>ω</m:t>
              </m:r>
            </m:e>
            <m:sub>
              <m:r>
                <w:rPr>
                  <w:rFonts w:ascii="Cambria Math" w:hAnsi="Cambria Math"/>
                  <w:sz w:val="20"/>
                </w:rPr>
                <m:t>m-1,i</m:t>
              </m:r>
            </m:sub>
          </m:sSub>
          <m:r>
            <w:rPr>
              <w:rFonts w:ascii="Cambria Math" w:hAnsi="Cambria Math"/>
              <w:color w:val="000000" w:themeColor="text1"/>
              <w:sz w:val="20"/>
              <w:lang w:val="es-CO"/>
            </w:rPr>
            <m:t>*</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Qc</m:t>
              </m:r>
            </m:e>
            <m:sub>
              <m:r>
                <w:rPr>
                  <w:rFonts w:ascii="Cambria Math" w:hAnsi="Cambria Math"/>
                  <w:color w:val="000000" w:themeColor="text1"/>
                  <w:sz w:val="20"/>
                  <w:lang w:val="es-CO"/>
                </w:rPr>
                <m:t>m-1,i</m:t>
              </m:r>
            </m:sub>
          </m:sSub>
          <m:r>
            <w:rPr>
              <w:rFonts w:ascii="Cambria Math" w:hAnsi="Cambria Math"/>
              <w:color w:val="000000" w:themeColor="text1"/>
              <w:sz w:val="20"/>
              <w:lang w:val="es-CO"/>
            </w:rPr>
            <m:t>*</m:t>
          </m:r>
          <m:d>
            <m:dPr>
              <m:ctrlPr>
                <w:rPr>
                  <w:rFonts w:ascii="Cambria Math" w:hAnsi="Cambria Math"/>
                  <w:i/>
                  <w:color w:val="000000" w:themeColor="text1"/>
                  <w:sz w:val="20"/>
                  <w:lang w:val="es-CO"/>
                </w:rPr>
              </m:ctrlPr>
            </m:dPr>
            <m:e>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α</m:t>
                  </m:r>
                </m:e>
                <m:sub>
                  <m:r>
                    <w:rPr>
                      <w:rFonts w:ascii="Cambria Math" w:hAnsi="Cambria Math"/>
                      <w:color w:val="000000" w:themeColor="text1"/>
                      <w:sz w:val="20"/>
                      <w:lang w:val="es-CO"/>
                    </w:rPr>
                    <m:t>i,j</m:t>
                  </m:r>
                </m:sub>
              </m:sSub>
              <m:r>
                <w:rPr>
                  <w:rFonts w:ascii="Cambria Math" w:hAnsi="Cambria Math"/>
                  <w:color w:val="000000" w:themeColor="text1"/>
                  <w:sz w:val="20"/>
                  <w:lang w:val="es-CO"/>
                </w:rPr>
                <m:t>*</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Pc</m:t>
                  </m:r>
                </m:e>
                <m:sub>
                  <m:r>
                    <w:rPr>
                      <w:rFonts w:ascii="Cambria Math" w:hAnsi="Cambria Math"/>
                      <w:color w:val="000000" w:themeColor="text1"/>
                      <w:sz w:val="20"/>
                      <w:lang w:val="es-CO"/>
                    </w:rPr>
                    <m:t>m-1,i</m:t>
                  </m:r>
                </m:sub>
              </m:sSub>
              <m:r>
                <w:rPr>
                  <w:rFonts w:ascii="Cambria Math" w:hAnsi="Cambria Math"/>
                  <w:color w:val="000000" w:themeColor="text1"/>
                  <w:sz w:val="20"/>
                  <w:lang w:val="es-CO"/>
                </w:rPr>
                <m:t>+</m:t>
              </m:r>
              <m:d>
                <m:dPr>
                  <m:ctrlPr>
                    <w:rPr>
                      <w:rFonts w:ascii="Cambria Math" w:hAnsi="Cambria Math"/>
                      <w:i/>
                      <w:color w:val="000000" w:themeColor="text1"/>
                      <w:sz w:val="20"/>
                      <w:lang w:val="es-CO"/>
                    </w:rPr>
                  </m:ctrlPr>
                </m:dPr>
                <m:e>
                  <m:r>
                    <w:rPr>
                      <w:rFonts w:ascii="Cambria Math" w:hAnsi="Cambria Math"/>
                      <w:color w:val="000000" w:themeColor="text1"/>
                      <w:sz w:val="20"/>
                      <w:lang w:val="es-CO"/>
                    </w:rPr>
                    <m:t>1-</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α</m:t>
                      </m:r>
                    </m:e>
                    <m:sub>
                      <m:r>
                        <w:rPr>
                          <w:rFonts w:ascii="Cambria Math" w:hAnsi="Cambria Math"/>
                          <w:color w:val="000000" w:themeColor="text1"/>
                          <w:sz w:val="20"/>
                          <w:lang w:val="es-CO"/>
                        </w:rPr>
                        <m:t>i,j</m:t>
                      </m:r>
                    </m:sub>
                  </m:sSub>
                </m:e>
              </m:d>
              <m:r>
                <w:rPr>
                  <w:rFonts w:ascii="Cambria Math" w:hAnsi="Cambria Math"/>
                  <w:color w:val="000000" w:themeColor="text1"/>
                  <w:sz w:val="20"/>
                  <w:lang w:val="es-CO"/>
                </w:rPr>
                <m:t>*</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Mc</m:t>
                  </m:r>
                </m:e>
                <m:sub>
                  <m:r>
                    <w:rPr>
                      <w:rFonts w:ascii="Cambria Math" w:hAnsi="Cambria Math"/>
                      <w:color w:val="000000" w:themeColor="text1"/>
                      <w:sz w:val="20"/>
                      <w:lang w:val="es-CO"/>
                    </w:rPr>
                    <m:t>m-1</m:t>
                  </m:r>
                </m:sub>
              </m:sSub>
            </m:e>
          </m:d>
        </m:oMath>
      </m:oMathPara>
    </w:p>
    <w:p w:rsidR="00C56F74" w:rsidRPr="001375AB" w:rsidRDefault="00C56F74" w:rsidP="00C56F74">
      <w:pPr>
        <w:jc w:val="center"/>
        <w:rPr>
          <w:color w:val="000000" w:themeColor="text1"/>
          <w:sz w:val="20"/>
          <w:lang w:val="es-CO"/>
        </w:rPr>
      </w:pPr>
      <m:oMathPara>
        <m:oMathParaPr>
          <m:jc m:val="center"/>
        </m:oMathParaPr>
        <m:oMath>
          <m:r>
            <w:rPr>
              <w:rFonts w:ascii="Cambria Math" w:hAnsi="Cambria Math"/>
              <w:color w:val="000000" w:themeColor="text1"/>
              <w:sz w:val="20"/>
              <w:lang w:val="es-CO"/>
            </w:rPr>
            <m:t>+</m:t>
          </m:r>
          <m:d>
            <m:dPr>
              <m:ctrlPr>
                <w:rPr>
                  <w:rFonts w:ascii="Cambria Math" w:hAnsi="Cambria Math"/>
                  <w:i/>
                  <w:color w:val="000000" w:themeColor="text1"/>
                  <w:sz w:val="20"/>
                  <w:lang w:val="es-CO"/>
                </w:rPr>
              </m:ctrlPr>
            </m:dPr>
            <m:e>
              <m:r>
                <w:rPr>
                  <w:rFonts w:ascii="Cambria Math" w:hAnsi="Cambria Math"/>
                  <w:color w:val="000000" w:themeColor="text1"/>
                  <w:sz w:val="20"/>
                  <w:lang w:val="es-CO"/>
                </w:rPr>
                <m:t>1-</m:t>
              </m:r>
              <m:sSub>
                <m:sSubPr>
                  <m:ctrlPr>
                    <w:rPr>
                      <w:rFonts w:ascii="Cambria Math" w:hAnsi="Cambria Math"/>
                      <w:i/>
                      <w:sz w:val="20"/>
                    </w:rPr>
                  </m:ctrlPr>
                </m:sSubPr>
                <m:e>
                  <m:r>
                    <w:rPr>
                      <w:rFonts w:ascii="Cambria Math" w:hAnsi="Cambria Math"/>
                      <w:sz w:val="20"/>
                    </w:rPr>
                    <m:t>ω</m:t>
                  </m:r>
                </m:e>
                <m:sub>
                  <m:r>
                    <w:rPr>
                      <w:rFonts w:ascii="Cambria Math" w:hAnsi="Cambria Math"/>
                      <w:sz w:val="20"/>
                    </w:rPr>
                    <m:t>m-1,i</m:t>
                  </m:r>
                </m:sub>
              </m:sSub>
              <m:ctrlPr>
                <w:rPr>
                  <w:rFonts w:ascii="Cambria Math" w:hAnsi="Cambria Math"/>
                  <w:i/>
                  <w:sz w:val="20"/>
                </w:rPr>
              </m:ctrlPr>
            </m:e>
          </m:d>
          <m:r>
            <w:rPr>
              <w:rFonts w:ascii="Cambria Math" w:hAnsi="Cambria Math"/>
              <w:sz w:val="20"/>
            </w:rPr>
            <m:t>*</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Qc</m:t>
              </m:r>
            </m:e>
            <m:sub>
              <m:r>
                <w:rPr>
                  <w:rFonts w:ascii="Cambria Math" w:hAnsi="Cambria Math"/>
                  <w:color w:val="000000" w:themeColor="text1"/>
                  <w:sz w:val="20"/>
                  <w:lang w:val="es-CO"/>
                </w:rPr>
                <m:t>m-1,i</m:t>
              </m:r>
            </m:sub>
          </m:sSub>
          <m:r>
            <w:rPr>
              <w:rFonts w:ascii="Cambria Math" w:hAnsi="Cambria Math"/>
              <w:color w:val="000000" w:themeColor="text1"/>
              <w:sz w:val="20"/>
              <w:lang w:val="es-CO"/>
            </w:rPr>
            <m:t>*PS</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A</m:t>
              </m:r>
            </m:e>
            <m:sub>
              <m:r>
                <w:rPr>
                  <w:rFonts w:ascii="Cambria Math" w:hAnsi="Cambria Math"/>
                  <w:color w:val="000000" w:themeColor="text1"/>
                  <w:sz w:val="20"/>
                  <w:lang w:val="es-CO"/>
                </w:rPr>
                <m:t>m-1;i</m:t>
              </m:r>
            </m:sub>
          </m:sSub>
          <m:r>
            <w:rPr>
              <w:rFonts w:ascii="Cambria Math" w:hAnsi="Cambria Math"/>
              <w:color w:val="000000" w:themeColor="text1"/>
              <w:sz w:val="20"/>
              <w:lang w:val="es-CO"/>
            </w:rPr>
            <m:t>+ CU</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G</m:t>
              </m:r>
            </m:e>
            <m:sub>
              <m:r>
                <w:rPr>
                  <w:rFonts w:ascii="Cambria Math" w:hAnsi="Cambria Math"/>
                  <w:color w:val="000000" w:themeColor="text1"/>
                  <w:sz w:val="20"/>
                  <w:lang w:val="es-CO"/>
                </w:rPr>
                <m:t>m-1,i</m:t>
              </m:r>
            </m:sub>
          </m:sSub>
          <m:r>
            <w:rPr>
              <w:rFonts w:ascii="Cambria Math" w:hAnsi="Cambria Math"/>
              <w:color w:val="000000" w:themeColor="text1"/>
              <w:sz w:val="20"/>
              <w:lang w:val="es-CO"/>
            </w:rPr>
            <m:t>-EG</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P</m:t>
              </m:r>
            </m:e>
            <m:sub>
              <m:r>
                <w:rPr>
                  <w:rFonts w:ascii="Cambria Math" w:hAnsi="Cambria Math"/>
                  <w:color w:val="000000" w:themeColor="text1"/>
                  <w:sz w:val="20"/>
                  <w:lang w:val="es-CO"/>
                </w:rPr>
                <m:t>i</m:t>
              </m:r>
            </m:sub>
          </m:sSub>
          <m:r>
            <w:rPr>
              <w:rFonts w:ascii="Cambria Math" w:hAnsi="Cambria Math"/>
              <w:color w:val="000000" w:themeColor="text1"/>
              <w:sz w:val="20"/>
              <w:lang w:val="es-CO"/>
            </w:rPr>
            <m:t>+</m:t>
          </m:r>
          <m:d>
            <m:dPr>
              <m:ctrlPr>
                <w:rPr>
                  <w:rFonts w:ascii="Cambria Math" w:hAnsi="Cambria Math"/>
                  <w:i/>
                  <w:color w:val="000000" w:themeColor="text1"/>
                  <w:sz w:val="20"/>
                  <w:lang w:val="es-CO"/>
                </w:rPr>
              </m:ctrlPr>
            </m:dPr>
            <m:e>
              <m:r>
                <w:rPr>
                  <w:rFonts w:ascii="Cambria Math" w:hAnsi="Cambria Math"/>
                  <w:color w:val="000000" w:themeColor="text1"/>
                  <w:sz w:val="20"/>
                  <w:lang w:val="es-CO"/>
                </w:rPr>
                <m:t>1-</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Qc</m:t>
                  </m:r>
                </m:e>
                <m:sub>
                  <m:r>
                    <w:rPr>
                      <w:rFonts w:ascii="Cambria Math" w:hAnsi="Cambria Math"/>
                      <w:color w:val="000000" w:themeColor="text1"/>
                      <w:sz w:val="20"/>
                      <w:lang w:val="es-CO"/>
                    </w:rPr>
                    <m:t>m-1,i</m:t>
                  </m:r>
                </m:sub>
              </m:sSub>
              <m:r>
                <w:rPr>
                  <w:rFonts w:ascii="Cambria Math" w:hAnsi="Cambria Math"/>
                  <w:color w:val="000000" w:themeColor="text1"/>
                  <w:sz w:val="20"/>
                  <w:lang w:val="es-CO"/>
                </w:rPr>
                <m:t>-</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Qagd</m:t>
                  </m:r>
                </m:e>
                <m:sub>
                  <m:r>
                    <w:rPr>
                      <w:rFonts w:ascii="Cambria Math" w:hAnsi="Cambria Math"/>
                      <w:color w:val="000000" w:themeColor="text1"/>
                      <w:sz w:val="20"/>
                      <w:lang w:val="es-CO"/>
                    </w:rPr>
                    <m:t>m-1,i</m:t>
                  </m:r>
                </m:sub>
              </m:sSub>
            </m:e>
          </m:d>
          <m:r>
            <w:rPr>
              <w:rFonts w:ascii="Cambria Math" w:hAnsi="Cambria Math"/>
              <w:color w:val="000000" w:themeColor="text1"/>
              <w:sz w:val="20"/>
              <w:lang w:val="es-CO"/>
            </w:rPr>
            <m:t>*</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Pb</m:t>
              </m:r>
            </m:e>
            <m:sub>
              <m:r>
                <w:rPr>
                  <w:rFonts w:ascii="Cambria Math" w:hAnsi="Cambria Math"/>
                  <w:color w:val="000000" w:themeColor="text1"/>
                  <w:sz w:val="20"/>
                  <w:lang w:val="es-CO"/>
                </w:rPr>
                <m:t>m-1,i</m:t>
              </m:r>
            </m:sub>
          </m:sSub>
          <m:r>
            <w:rPr>
              <w:rFonts w:ascii="Cambria Math" w:hAnsi="Cambria Math"/>
              <w:color w:val="000000" w:themeColor="text1"/>
              <w:sz w:val="20"/>
              <w:lang w:val="es-CO"/>
            </w:rPr>
            <m:t>+</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AJ</m:t>
              </m:r>
            </m:e>
            <m:sub>
              <m:r>
                <w:rPr>
                  <w:rFonts w:ascii="Cambria Math" w:hAnsi="Cambria Math"/>
                  <w:color w:val="000000" w:themeColor="text1"/>
                  <w:sz w:val="20"/>
                  <w:lang w:val="es-CO"/>
                </w:rPr>
                <m:t>m,i</m:t>
              </m:r>
            </m:sub>
          </m:sSub>
          <m:r>
            <w:rPr>
              <w:rFonts w:ascii="Cambria Math" w:hAnsi="Cambria Math"/>
              <w:sz w:val="20"/>
              <w:lang w:val="es-CO"/>
            </w:rPr>
            <m:t>+</m:t>
          </m:r>
          <m:sSub>
            <m:sSubPr>
              <m:ctrlPr>
                <w:rPr>
                  <w:rFonts w:ascii="Cambria Math" w:hAnsi="Cambria Math"/>
                  <w:i/>
                  <w:sz w:val="20"/>
                  <w:lang w:val="es-CO"/>
                </w:rPr>
              </m:ctrlPr>
            </m:sSubPr>
            <m:e>
              <m:r>
                <w:rPr>
                  <w:rFonts w:ascii="Cambria Math" w:hAnsi="Cambria Math"/>
                  <w:sz w:val="20"/>
                  <w:lang w:val="es-CO"/>
                </w:rPr>
                <m:t>G_transitorio</m:t>
              </m:r>
            </m:e>
            <m:sub>
              <m:r>
                <w:rPr>
                  <w:rFonts w:ascii="Cambria Math" w:hAnsi="Cambria Math"/>
                  <w:sz w:val="20"/>
                  <w:lang w:val="es-CO"/>
                </w:rPr>
                <m:t>m,i,j</m:t>
              </m:r>
            </m:sub>
          </m:sSub>
        </m:oMath>
      </m:oMathPara>
    </w:p>
    <w:p w:rsidR="00C56F74" w:rsidRPr="00CA1A93" w:rsidRDefault="00C56F74" w:rsidP="00C56F74">
      <w:pPr>
        <w:ind w:left="0"/>
        <w:jc w:val="both"/>
        <w:rPr>
          <w:rFonts w:ascii="Bookman Old Style" w:hAnsi="Bookman Old Style"/>
        </w:rPr>
      </w:pPr>
    </w:p>
    <w:p w:rsidR="00C56F74" w:rsidRPr="00CA1A93" w:rsidRDefault="00C56F74" w:rsidP="00C56F74">
      <w:pPr>
        <w:ind w:left="0"/>
        <w:jc w:val="both"/>
        <w:rPr>
          <w:rFonts w:ascii="Bookman Old Style" w:hAnsi="Bookman Old Style"/>
        </w:rPr>
      </w:pPr>
      <w:r w:rsidRPr="00CA1A93">
        <w:rPr>
          <w:rFonts w:ascii="Bookman Old Style" w:hAnsi="Bookman Old Style"/>
        </w:rPr>
        <w:t>Donde:</w:t>
      </w:r>
    </w:p>
    <w:p w:rsidR="00C56F74" w:rsidRPr="00CA1A93" w:rsidRDefault="00C56F74" w:rsidP="00C56F74">
      <w:pPr>
        <w:ind w:left="0"/>
        <w:jc w:val="both"/>
        <w:rPr>
          <w:rFonts w:ascii="Bookman Old Style" w:hAnsi="Bookman Old Style"/>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80"/>
        <w:gridCol w:w="7366"/>
      </w:tblGrid>
      <w:tr w:rsidR="00C56F74" w:rsidRPr="00CA1A93" w:rsidTr="00C72563">
        <w:trPr>
          <w:trHeight w:val="674"/>
        </w:trPr>
        <w:tc>
          <w:tcPr>
            <w:tcW w:w="1980" w:type="dxa"/>
          </w:tcPr>
          <w:p w:rsidR="00C56F74" w:rsidRPr="00CA1A93" w:rsidRDefault="00C56F74" w:rsidP="00C72563">
            <w:pPr>
              <w:ind w:left="0"/>
              <w:rPr>
                <w:bCs/>
              </w:rPr>
            </w:pPr>
            <m:oMath>
              <m:r>
                <w:rPr>
                  <w:rFonts w:ascii="Cambria Math" w:hAnsi="Cambria Math"/>
                </w:rPr>
                <m:t>m</m:t>
              </m:r>
            </m:oMath>
            <w:r w:rsidRPr="00CA1A93">
              <w:rPr>
                <w:bCs/>
              </w:rPr>
              <w:t xml:space="preserve">: </w:t>
            </w:r>
          </w:p>
        </w:tc>
        <w:tc>
          <w:tcPr>
            <w:tcW w:w="7366" w:type="dxa"/>
          </w:tcPr>
          <w:p w:rsidR="00C56F74" w:rsidRPr="00CA1A93" w:rsidRDefault="00C56F74" w:rsidP="00C72563">
            <w:pPr>
              <w:ind w:left="0"/>
              <w:jc w:val="both"/>
              <w:rPr>
                <w:rFonts w:ascii="Bookman Old Style" w:hAnsi="Bookman Old Style"/>
                <w:bCs/>
              </w:rPr>
            </w:pPr>
            <w:r w:rsidRPr="00CA1A93">
              <w:rPr>
                <w:rFonts w:ascii="Bookman Old Style" w:hAnsi="Bookman Old Style"/>
                <w:bCs/>
              </w:rPr>
              <w:t>Mes para el cual se calcula el costo unitario de prestación del servicio (CU).</w:t>
            </w:r>
          </w:p>
        </w:tc>
      </w:tr>
      <w:tr w:rsidR="00C56F74" w:rsidRPr="00CA1A93" w:rsidTr="00C72563">
        <w:trPr>
          <w:trHeight w:val="428"/>
        </w:trPr>
        <w:tc>
          <w:tcPr>
            <w:tcW w:w="1980" w:type="dxa"/>
          </w:tcPr>
          <w:p w:rsidR="00C56F74" w:rsidRPr="00CA1A93" w:rsidRDefault="00C56F74" w:rsidP="00C72563">
            <w:pPr>
              <w:ind w:left="0"/>
              <w:rPr>
                <w:bCs/>
              </w:rPr>
            </w:pPr>
            <m:oMathPara>
              <m:oMathParaPr>
                <m:jc m:val="left"/>
              </m:oMathParaPr>
              <m:oMath>
                <m:r>
                  <w:rPr>
                    <w:rFonts w:ascii="Cambria Math" w:hAnsi="Cambria Math"/>
                  </w:rPr>
                  <m:t xml:space="preserve">i: </m:t>
                </m:r>
              </m:oMath>
            </m:oMathPara>
          </w:p>
        </w:tc>
        <w:tc>
          <w:tcPr>
            <w:tcW w:w="7366" w:type="dxa"/>
          </w:tcPr>
          <w:p w:rsidR="00C56F74" w:rsidRPr="00CA1A93" w:rsidRDefault="00C56F74" w:rsidP="00C72563">
            <w:pPr>
              <w:ind w:left="0"/>
              <w:jc w:val="both"/>
              <w:rPr>
                <w:rFonts w:ascii="Bookman Old Style" w:hAnsi="Bookman Old Style"/>
                <w:bCs/>
              </w:rPr>
            </w:pPr>
            <w:r w:rsidRPr="00CA1A93">
              <w:rPr>
                <w:rFonts w:ascii="Bookman Old Style" w:hAnsi="Bookman Old Style"/>
                <w:bCs/>
              </w:rPr>
              <w:t xml:space="preserve">Comercializador </w:t>
            </w:r>
            <w:r w:rsidRPr="00CA1A93">
              <w:rPr>
                <w:rFonts w:ascii="Bookman Old Style" w:hAnsi="Bookman Old Style"/>
                <w:bCs/>
                <w:i/>
              </w:rPr>
              <w:t>i.</w:t>
            </w:r>
          </w:p>
        </w:tc>
      </w:tr>
      <w:tr w:rsidR="00C56F74" w:rsidRPr="00CA1A93" w:rsidTr="00C72563">
        <w:trPr>
          <w:trHeight w:val="420"/>
        </w:trPr>
        <w:tc>
          <w:tcPr>
            <w:tcW w:w="1980" w:type="dxa"/>
          </w:tcPr>
          <w:p w:rsidR="00C56F74" w:rsidRPr="00CA1A93" w:rsidRDefault="00C56F74" w:rsidP="00C72563">
            <w:pPr>
              <w:ind w:left="0"/>
              <w:rPr>
                <w:bCs/>
              </w:rPr>
            </w:pPr>
            <m:oMath>
              <m:r>
                <w:rPr>
                  <w:rFonts w:ascii="Cambria Math" w:hAnsi="Cambria Math"/>
                </w:rPr>
                <m:t>j</m:t>
              </m:r>
            </m:oMath>
            <w:r w:rsidRPr="00CA1A93">
              <w:rPr>
                <w:bCs/>
              </w:rPr>
              <w:t>:</w:t>
            </w:r>
          </w:p>
        </w:tc>
        <w:tc>
          <w:tcPr>
            <w:tcW w:w="7366" w:type="dxa"/>
          </w:tcPr>
          <w:p w:rsidR="00C56F74" w:rsidRPr="00CA1A93" w:rsidRDefault="00C56F74" w:rsidP="00C72563">
            <w:pPr>
              <w:ind w:left="0"/>
              <w:jc w:val="both"/>
              <w:rPr>
                <w:rFonts w:ascii="Bookman Old Style" w:hAnsi="Bookman Old Style"/>
                <w:bCs/>
              </w:rPr>
            </w:pPr>
            <w:r w:rsidRPr="00CA1A93">
              <w:rPr>
                <w:rFonts w:ascii="Bookman Old Style" w:hAnsi="Bookman Old Style"/>
                <w:bCs/>
              </w:rPr>
              <w:t xml:space="preserve">Mercado de comercialización </w:t>
            </w:r>
            <w:r w:rsidRPr="00CA1A93">
              <w:rPr>
                <w:rFonts w:ascii="Bookman Old Style" w:hAnsi="Bookman Old Style"/>
                <w:bCs/>
                <w:i/>
              </w:rPr>
              <w:t>j</w:t>
            </w:r>
            <w:r w:rsidRPr="00CA1A93">
              <w:rPr>
                <w:rFonts w:ascii="Bookman Old Style" w:hAnsi="Bookman Old Style"/>
                <w:bCs/>
              </w:rPr>
              <w:t>.</w:t>
            </w:r>
          </w:p>
        </w:tc>
      </w:tr>
      <w:tr w:rsidR="00C56F74" w:rsidRPr="00CA1A93" w:rsidTr="00C72563">
        <w:trPr>
          <w:trHeight w:val="712"/>
        </w:trPr>
        <w:tc>
          <w:tcPr>
            <w:tcW w:w="1980" w:type="dxa"/>
          </w:tcPr>
          <w:p w:rsidR="00C56F74" w:rsidRPr="00CA1A93" w:rsidRDefault="00CD4069" w:rsidP="00C72563">
            <w:pPr>
              <w:tabs>
                <w:tab w:val="left" w:pos="0"/>
                <w:tab w:val="left" w:pos="284"/>
              </w:tabs>
              <w:ind w:left="0"/>
              <w:jc w:val="both"/>
              <w:rPr>
                <w:rFonts w:ascii="Bookman Old Style" w:hAnsi="Bookman Old Style"/>
              </w:rPr>
            </w:pPr>
            <m:oMath>
              <m:sSub>
                <m:sSubPr>
                  <m:ctrlPr>
                    <w:rPr>
                      <w:rFonts w:ascii="Cambria Math" w:hAnsi="Cambria Math"/>
                      <w:i/>
                    </w:rPr>
                  </m:ctrlPr>
                </m:sSubPr>
                <m:e>
                  <m:r>
                    <w:rPr>
                      <w:rFonts w:ascii="Cambria Math" w:hAnsi="Cambria Math"/>
                    </w:rPr>
                    <m:t>ω</m:t>
                  </m:r>
                </m:e>
                <m:sub>
                  <m:r>
                    <w:rPr>
                      <w:rFonts w:ascii="Cambria Math" w:hAnsi="Cambria Math"/>
                    </w:rPr>
                    <m:t>m-1,i</m:t>
                  </m:r>
                </m:sub>
              </m:sSub>
            </m:oMath>
            <w:r w:rsidR="00C56F74" w:rsidRPr="00CA1A93">
              <w:rPr>
                <w:rFonts w:ascii="Bookman Old Style" w:hAnsi="Bookman Old Style"/>
              </w:rPr>
              <w:t>:</w:t>
            </w:r>
          </w:p>
        </w:tc>
        <w:tc>
          <w:tcPr>
            <w:tcW w:w="7366" w:type="dxa"/>
          </w:tcPr>
          <w:p w:rsidR="00C56F74" w:rsidRPr="00CA1A93" w:rsidRDefault="00C56F74" w:rsidP="00C72563">
            <w:pPr>
              <w:tabs>
                <w:tab w:val="left" w:pos="0"/>
                <w:tab w:val="left" w:pos="284"/>
              </w:tabs>
              <w:ind w:left="0"/>
              <w:jc w:val="both"/>
              <w:rPr>
                <w:rFonts w:ascii="Bookman Old Style" w:hAnsi="Bookman Old Style"/>
              </w:rPr>
            </w:pPr>
            <w:r w:rsidRPr="00CA1A93">
              <w:rPr>
                <w:rFonts w:ascii="Bookman Old Style" w:hAnsi="Bookman Old Style"/>
                <w:bCs/>
              </w:rPr>
              <w:t xml:space="preserve">Ponderador de los precios de los contratos bilaterales del comercializador </w:t>
            </w:r>
            <w:r w:rsidRPr="00CA1A93">
              <w:rPr>
                <w:rFonts w:ascii="Bookman Old Style" w:hAnsi="Bookman Old Style"/>
                <w:bCs/>
                <w:i/>
              </w:rPr>
              <w:t>i</w:t>
            </w:r>
            <w:r w:rsidRPr="00CA1A93">
              <w:rPr>
                <w:rFonts w:ascii="Bookman Old Style" w:hAnsi="Bookman Old Style"/>
                <w:bCs/>
              </w:rPr>
              <w:t xml:space="preserve">, en el mes </w:t>
            </w:r>
            <w:r w:rsidRPr="00CA1A93">
              <w:rPr>
                <w:rFonts w:ascii="Bookman Old Style" w:hAnsi="Bookman Old Style"/>
                <w:bCs/>
                <w:i/>
              </w:rPr>
              <w:t>m-1.</w:t>
            </w:r>
          </w:p>
        </w:tc>
      </w:tr>
      <w:tr w:rsidR="00C56F74" w:rsidRPr="00CA1A93" w:rsidTr="00C72563">
        <w:tc>
          <w:tcPr>
            <w:tcW w:w="1980" w:type="dxa"/>
          </w:tcPr>
          <w:p w:rsidR="00C56F74" w:rsidRPr="00CA1A93" w:rsidRDefault="00C56F74" w:rsidP="00C72563">
            <w:pPr>
              <w:tabs>
                <w:tab w:val="left" w:pos="0"/>
                <w:tab w:val="left" w:pos="284"/>
              </w:tabs>
              <w:ind w:left="0"/>
              <w:jc w:val="both"/>
              <w:rPr>
                <w:rFonts w:ascii="Bookman Old Style" w:hAnsi="Bookman Old Style"/>
              </w:rPr>
            </w:pPr>
            <m:oMath>
              <m:r>
                <w:rPr>
                  <w:rFonts w:ascii="Cambria Math" w:hAnsi="Cambria Math"/>
                </w:rPr>
                <m:t>Q</m:t>
              </m:r>
              <m:sSub>
                <m:sSubPr>
                  <m:ctrlPr>
                    <w:rPr>
                      <w:rFonts w:ascii="Cambria Math" w:hAnsi="Cambria Math"/>
                      <w:i/>
                    </w:rPr>
                  </m:ctrlPr>
                </m:sSubPr>
                <m:e>
                  <m:r>
                    <w:rPr>
                      <w:rFonts w:ascii="Cambria Math" w:hAnsi="Cambria Math"/>
                    </w:rPr>
                    <m:t>c</m:t>
                  </m:r>
                </m:e>
                <m:sub>
                  <m:r>
                    <w:rPr>
                      <w:rFonts w:ascii="Cambria Math" w:hAnsi="Cambria Math"/>
                    </w:rPr>
                    <m:t>m-1,i</m:t>
                  </m:r>
                </m:sub>
              </m:sSub>
            </m:oMath>
            <w:r w:rsidRPr="00CA1A93">
              <w:rPr>
                <w:rFonts w:ascii="Bookman Old Style" w:hAnsi="Bookman Old Style"/>
              </w:rPr>
              <w:t>:</w:t>
            </w:r>
          </w:p>
        </w:tc>
        <w:tc>
          <w:tcPr>
            <w:tcW w:w="7366" w:type="dxa"/>
          </w:tcPr>
          <w:p w:rsidR="00C56F74" w:rsidRPr="00CA1A93" w:rsidRDefault="00C56F74" w:rsidP="00C72563">
            <w:pPr>
              <w:tabs>
                <w:tab w:val="left" w:pos="0"/>
                <w:tab w:val="left" w:pos="284"/>
              </w:tabs>
              <w:ind w:left="0"/>
              <w:jc w:val="both"/>
              <w:rPr>
                <w:rFonts w:ascii="Bookman Old Style" w:hAnsi="Bookman Old Style"/>
                <w:bCs/>
                <w:color w:val="000000"/>
              </w:rPr>
            </w:pPr>
            <w:r w:rsidRPr="00CA1A93">
              <w:rPr>
                <w:rFonts w:ascii="Bookman Old Style" w:hAnsi="Bookman Old Style"/>
                <w:bCs/>
              </w:rPr>
              <w:t xml:space="preserve">Es el menor valor entre 1 y el resultante de la relación energía comprada por el comercializador </w:t>
            </w:r>
            <w:r w:rsidRPr="00CA1A93">
              <w:rPr>
                <w:rFonts w:ascii="Bookman Old Style" w:hAnsi="Bookman Old Style"/>
                <w:bCs/>
                <w:i/>
              </w:rPr>
              <w:t>i</w:t>
            </w:r>
            <w:r w:rsidRPr="00CA1A93">
              <w:rPr>
                <w:rFonts w:ascii="Bookman Old Style" w:hAnsi="Bookman Old Style"/>
                <w:bCs/>
              </w:rPr>
              <w:t xml:space="preserve"> mediante contratos </w:t>
            </w:r>
            <w:r w:rsidRPr="00CA1A93">
              <w:rPr>
                <w:rFonts w:ascii="Bookman Old Style" w:hAnsi="Bookman Old Style"/>
                <w:color w:val="000000"/>
                <w:lang w:val="es-CO"/>
              </w:rPr>
              <w:t xml:space="preserve">con destino al mercado regulado </w:t>
            </w:r>
            <w:r w:rsidRPr="00CA1A93">
              <w:rPr>
                <w:rFonts w:ascii="Bookman Old Style" w:hAnsi="Bookman Old Style"/>
                <w:bCs/>
                <w:color w:val="000000"/>
              </w:rPr>
              <w:t xml:space="preserve">y la </w:t>
            </w:r>
            <w:r w:rsidRPr="00CA1A93">
              <w:rPr>
                <w:rFonts w:ascii="Bookman Old Style" w:hAnsi="Bookman Old Style"/>
                <w:bCs/>
                <w:color w:val="0D0D0D"/>
              </w:rPr>
              <w:t>demanda comercial del mercado regulado</w:t>
            </w:r>
            <w:r w:rsidRPr="00CA1A93">
              <w:rPr>
                <w:rFonts w:ascii="Bookman Old Style" w:hAnsi="Bookman Old Style"/>
                <w:bCs/>
                <w:color w:val="000000"/>
              </w:rPr>
              <w:t xml:space="preserve"> del comercializador </w:t>
            </w:r>
            <w:r w:rsidRPr="00CA1A93">
              <w:rPr>
                <w:rFonts w:ascii="Bookman Old Style" w:hAnsi="Bookman Old Style"/>
                <w:bCs/>
                <w:i/>
                <w:color w:val="000000"/>
              </w:rPr>
              <w:t>i</w:t>
            </w:r>
            <w:r w:rsidRPr="00CA1A93">
              <w:rPr>
                <w:rFonts w:ascii="Bookman Old Style" w:hAnsi="Bookman Old Style"/>
                <w:bCs/>
                <w:color w:val="000000"/>
              </w:rPr>
              <w:t xml:space="preserve">, en el mes </w:t>
            </w:r>
            <w:r w:rsidRPr="00CA1A93">
              <w:rPr>
                <w:rFonts w:ascii="Bookman Old Style" w:hAnsi="Bookman Old Style"/>
                <w:bCs/>
                <w:i/>
                <w:color w:val="000000"/>
              </w:rPr>
              <w:t>m-1</w:t>
            </w:r>
            <w:r w:rsidRPr="00CA1A93">
              <w:rPr>
                <w:rFonts w:ascii="Bookman Old Style" w:hAnsi="Bookman Old Style"/>
                <w:bCs/>
                <w:color w:val="000000"/>
              </w:rPr>
              <w:t>.</w:t>
            </w:r>
          </w:p>
          <w:p w:rsidR="00C56F74" w:rsidRPr="00CA1A93" w:rsidRDefault="00C56F74" w:rsidP="00C72563">
            <w:pPr>
              <w:tabs>
                <w:tab w:val="left" w:pos="0"/>
                <w:tab w:val="left" w:pos="284"/>
              </w:tabs>
              <w:ind w:left="0"/>
              <w:jc w:val="both"/>
              <w:rPr>
                <w:rFonts w:ascii="Bookman Old Style" w:hAnsi="Bookman Old Style"/>
              </w:rPr>
            </w:pPr>
          </w:p>
        </w:tc>
      </w:tr>
      <w:tr w:rsidR="00C56F74" w:rsidRPr="00CA1A93" w:rsidTr="00C72563">
        <w:tc>
          <w:tcPr>
            <w:tcW w:w="1980" w:type="dxa"/>
          </w:tcPr>
          <w:p w:rsidR="00C56F74" w:rsidRPr="00F26EB6" w:rsidRDefault="00CD4069" w:rsidP="00C72563">
            <w:pPr>
              <w:tabs>
                <w:tab w:val="left" w:pos="0"/>
                <w:tab w:val="left" w:pos="284"/>
              </w:tabs>
              <w:ind w:left="0"/>
              <w:jc w:val="both"/>
            </w:pPr>
            <m:oMathPara>
              <m:oMathParaPr>
                <m:jc m:val="left"/>
              </m:oMathParaPr>
              <m:oMath>
                <m:sSub>
                  <m:sSubPr>
                    <m:ctrlPr>
                      <w:rPr>
                        <w:rFonts w:ascii="Cambria Math" w:hAnsi="Cambria Math"/>
                        <w:i/>
                        <w:color w:val="000000" w:themeColor="text1"/>
                        <w:lang w:val="es-CO"/>
                      </w:rPr>
                    </m:ctrlPr>
                  </m:sSubPr>
                  <m:e>
                    <m:r>
                      <w:rPr>
                        <w:rFonts w:ascii="Cambria Math" w:hAnsi="Cambria Math"/>
                        <w:color w:val="000000" w:themeColor="text1"/>
                        <w:lang w:val="es-CO"/>
                      </w:rPr>
                      <m:t>Qagd</m:t>
                    </m:r>
                  </m:e>
                  <m:sub>
                    <m:r>
                      <w:rPr>
                        <w:rFonts w:ascii="Cambria Math" w:hAnsi="Cambria Math"/>
                        <w:color w:val="000000" w:themeColor="text1"/>
                        <w:lang w:val="es-CO"/>
                      </w:rPr>
                      <m:t>m-1,i</m:t>
                    </m:r>
                  </m:sub>
                </m:sSub>
              </m:oMath>
            </m:oMathPara>
          </w:p>
        </w:tc>
        <w:tc>
          <w:tcPr>
            <w:tcW w:w="7366" w:type="dxa"/>
          </w:tcPr>
          <w:p w:rsidR="00C56F74" w:rsidRDefault="00C56F74" w:rsidP="00C72563">
            <w:pPr>
              <w:tabs>
                <w:tab w:val="left" w:pos="0"/>
                <w:tab w:val="left" w:pos="284"/>
              </w:tabs>
              <w:ind w:left="0"/>
              <w:jc w:val="both"/>
              <w:rPr>
                <w:rFonts w:ascii="Bookman Old Style" w:hAnsi="Bookman Old Style"/>
                <w:bCs/>
              </w:rPr>
            </w:pPr>
            <w:r w:rsidRPr="00FF3158">
              <w:rPr>
                <w:rFonts w:ascii="Bookman Old Style" w:hAnsi="Bookman Old Style"/>
                <w:bCs/>
              </w:rPr>
              <w:t xml:space="preserve">Suma de compras de AGPE y GD del </w:t>
            </w:r>
            <w:r>
              <w:rPr>
                <w:rFonts w:ascii="Bookman Old Style" w:hAnsi="Bookman Old Style"/>
                <w:bCs/>
              </w:rPr>
              <w:t xml:space="preserve">comercializador </w:t>
            </w:r>
            <w:r w:rsidRPr="00502040">
              <w:rPr>
                <w:rFonts w:ascii="Bookman Old Style" w:hAnsi="Bookman Old Style"/>
                <w:bCs/>
                <w:i/>
              </w:rPr>
              <w:t>i</w:t>
            </w:r>
            <w:r>
              <w:rPr>
                <w:rFonts w:ascii="Bookman Old Style" w:hAnsi="Bookman Old Style"/>
                <w:bCs/>
              </w:rPr>
              <w:t xml:space="preserve"> en el mes </w:t>
            </w:r>
            <w:r w:rsidRPr="00502040">
              <w:rPr>
                <w:rFonts w:ascii="Bookman Old Style" w:hAnsi="Bookman Old Style"/>
                <w:bCs/>
                <w:i/>
              </w:rPr>
              <w:t>m-1</w:t>
            </w:r>
            <w:r>
              <w:rPr>
                <w:rFonts w:ascii="Bookman Old Style" w:hAnsi="Bookman Old Style"/>
                <w:bCs/>
              </w:rPr>
              <w:t xml:space="preserve"> de acuerdo con lo establecido en el Anexo 2 de la Resolución CREG 030 de 2018.</w:t>
            </w:r>
          </w:p>
          <w:p w:rsidR="00C56F74" w:rsidRPr="00CA1A93" w:rsidRDefault="00C56F74" w:rsidP="00C72563">
            <w:pPr>
              <w:tabs>
                <w:tab w:val="left" w:pos="0"/>
                <w:tab w:val="left" w:pos="284"/>
              </w:tabs>
              <w:ind w:left="0"/>
              <w:jc w:val="both"/>
              <w:rPr>
                <w:rFonts w:ascii="Bookman Old Style" w:hAnsi="Bookman Old Style"/>
                <w:bCs/>
              </w:rPr>
            </w:pPr>
          </w:p>
        </w:tc>
      </w:tr>
      <w:tr w:rsidR="00C56F74" w:rsidRPr="00CA1A93" w:rsidTr="00C72563">
        <w:tc>
          <w:tcPr>
            <w:tcW w:w="1980" w:type="dxa"/>
          </w:tcPr>
          <w:p w:rsidR="00C56F74" w:rsidRPr="00CA1A93" w:rsidRDefault="00CD4069" w:rsidP="00C72563">
            <w:pPr>
              <w:tabs>
                <w:tab w:val="left" w:pos="0"/>
                <w:tab w:val="left" w:pos="284"/>
              </w:tabs>
              <w:ind w:left="0"/>
              <w:jc w:val="both"/>
              <w:rPr>
                <w:rFonts w:ascii="Bookman Old Style" w:hAnsi="Bookman Old Style"/>
              </w:rPr>
            </w:pPr>
            <m:oMath>
              <m:sSub>
                <m:sSubPr>
                  <m:ctrlPr>
                    <w:rPr>
                      <w:rFonts w:ascii="Cambria Math" w:hAnsi="Cambria Math"/>
                      <w:i/>
                      <w:color w:val="000000" w:themeColor="text1"/>
                      <w:lang w:val="es-CO"/>
                    </w:rPr>
                  </m:ctrlPr>
                </m:sSubPr>
                <m:e>
                  <m:r>
                    <w:rPr>
                      <w:rFonts w:ascii="Cambria Math" w:hAnsi="Cambria Math"/>
                      <w:color w:val="000000" w:themeColor="text1"/>
                      <w:lang w:val="es-CO"/>
                    </w:rPr>
                    <m:t>Pc</m:t>
                  </m:r>
                </m:e>
                <m:sub>
                  <m:r>
                    <w:rPr>
                      <w:rFonts w:ascii="Cambria Math" w:hAnsi="Cambria Math"/>
                      <w:color w:val="000000" w:themeColor="text1"/>
                      <w:lang w:val="es-CO"/>
                    </w:rPr>
                    <m:t>m-1,i</m:t>
                  </m:r>
                </m:sub>
              </m:sSub>
              <m:r>
                <w:rPr>
                  <w:rFonts w:ascii="Cambria Math" w:hAnsi="Cambria Math"/>
                  <w:color w:val="000000" w:themeColor="text1"/>
                  <w:lang w:val="es-CO"/>
                </w:rPr>
                <m:t>:</m:t>
              </m:r>
            </m:oMath>
            <w:r w:rsidR="00C56F74" w:rsidRPr="00CA1A93">
              <w:rPr>
                <w:color w:val="000000" w:themeColor="text1"/>
                <w:lang w:val="es-CO"/>
              </w:rPr>
              <w:t xml:space="preserve"> </w:t>
            </w:r>
          </w:p>
        </w:tc>
        <w:tc>
          <w:tcPr>
            <w:tcW w:w="7366" w:type="dxa"/>
          </w:tcPr>
          <w:p w:rsidR="00C56F74" w:rsidRPr="00CA1A93" w:rsidRDefault="00C56F74" w:rsidP="00C72563">
            <w:pPr>
              <w:tabs>
                <w:tab w:val="left" w:pos="0"/>
                <w:tab w:val="left" w:pos="284"/>
              </w:tabs>
              <w:ind w:left="0"/>
              <w:jc w:val="both"/>
              <w:rPr>
                <w:rFonts w:ascii="Bookman Old Style" w:hAnsi="Bookman Old Style"/>
              </w:rPr>
            </w:pPr>
            <w:r w:rsidRPr="00CA1A93">
              <w:rPr>
                <w:rFonts w:ascii="Bookman Old Style" w:hAnsi="Bookman Old Style"/>
                <w:bCs/>
              </w:rPr>
              <w:t xml:space="preserve">Costo promedio ponderado por energía, </w:t>
            </w:r>
            <w:r w:rsidRPr="00CA1A93">
              <w:rPr>
                <w:rFonts w:ascii="Bookman Old Style" w:hAnsi="Bookman Old Style"/>
              </w:rPr>
              <w:t>expresado en pesos por kilovatio hora (COP/</w:t>
            </w:r>
            <w:proofErr w:type="spellStart"/>
            <w:r w:rsidRPr="00CA1A93">
              <w:rPr>
                <w:rFonts w:ascii="Bookman Old Style" w:hAnsi="Bookman Old Style"/>
              </w:rPr>
              <w:t>kWh</w:t>
            </w:r>
            <w:proofErr w:type="spellEnd"/>
            <w:r w:rsidRPr="00CA1A93">
              <w:rPr>
                <w:rFonts w:ascii="Bookman Old Style" w:hAnsi="Bookman Old Style"/>
              </w:rPr>
              <w:t>)</w:t>
            </w:r>
            <w:r w:rsidRPr="00CA1A93">
              <w:rPr>
                <w:rFonts w:ascii="Bookman Old Style" w:hAnsi="Bookman Old Style"/>
                <w:bCs/>
              </w:rPr>
              <w:t xml:space="preserve">, de las compras propias del comercializador </w:t>
            </w:r>
            <w:r w:rsidRPr="00CA1A93">
              <w:rPr>
                <w:rFonts w:ascii="Bookman Old Style" w:hAnsi="Bookman Old Style"/>
                <w:bCs/>
                <w:i/>
              </w:rPr>
              <w:t>i</w:t>
            </w:r>
            <w:r w:rsidRPr="00CA1A93">
              <w:rPr>
                <w:rFonts w:ascii="Bookman Old Style" w:hAnsi="Bookman Old Style"/>
                <w:bCs/>
              </w:rPr>
              <w:t xml:space="preserve"> mediante contratos bilaterales con destino al mercado regulado, liquidados en el mes </w:t>
            </w:r>
            <w:r w:rsidRPr="00CA1A93">
              <w:rPr>
                <w:rFonts w:ascii="Bookman Old Style" w:hAnsi="Bookman Old Style"/>
                <w:bCs/>
                <w:i/>
              </w:rPr>
              <w:t>m-1</w:t>
            </w:r>
            <w:r w:rsidRPr="00CA1A93">
              <w:rPr>
                <w:rFonts w:ascii="Bookman Old Style" w:hAnsi="Bookman Old Style"/>
                <w:bCs/>
              </w:rPr>
              <w:t>.</w:t>
            </w:r>
          </w:p>
        </w:tc>
      </w:tr>
      <w:tr w:rsidR="00C56F74" w:rsidRPr="00CA1A93" w:rsidTr="00C72563">
        <w:tc>
          <w:tcPr>
            <w:tcW w:w="1980" w:type="dxa"/>
          </w:tcPr>
          <w:p w:rsidR="00C56F74" w:rsidRPr="00CA1A93" w:rsidRDefault="00CD4069" w:rsidP="00C72563">
            <w:pPr>
              <w:spacing w:before="120" w:after="120"/>
              <w:ind w:left="0"/>
              <w:jc w:val="both"/>
              <w:rPr>
                <w:bCs/>
              </w:rPr>
            </w:pPr>
            <m:oMath>
              <m:sSub>
                <m:sSubPr>
                  <m:ctrlPr>
                    <w:rPr>
                      <w:rFonts w:ascii="Cambria Math" w:hAnsi="Cambria Math"/>
                      <w:i/>
                      <w:color w:val="000000" w:themeColor="text1"/>
                      <w:lang w:val="es-CO"/>
                    </w:rPr>
                  </m:ctrlPr>
                </m:sSubPr>
                <m:e>
                  <m:r>
                    <w:rPr>
                      <w:rFonts w:ascii="Cambria Math" w:hAnsi="Cambria Math"/>
                      <w:color w:val="000000" w:themeColor="text1"/>
                      <w:lang w:val="es-CO"/>
                    </w:rPr>
                    <m:t>Mc</m:t>
                  </m:r>
                </m:e>
                <m:sub>
                  <m:r>
                    <w:rPr>
                      <w:rFonts w:ascii="Cambria Math" w:hAnsi="Cambria Math"/>
                      <w:color w:val="000000" w:themeColor="text1"/>
                      <w:lang w:val="es-CO"/>
                    </w:rPr>
                    <m:t>m-1</m:t>
                  </m:r>
                </m:sub>
              </m:sSub>
              <m:r>
                <w:rPr>
                  <w:rFonts w:ascii="Cambria Math" w:hAnsi="Cambria Math"/>
                  <w:color w:val="000000" w:themeColor="text1"/>
                  <w:lang w:val="es-CO"/>
                </w:rPr>
                <m:t xml:space="preserve">: </m:t>
              </m:r>
            </m:oMath>
            <w:r w:rsidR="00C56F74" w:rsidRPr="00CA1A93">
              <w:rPr>
                <w:color w:val="000000" w:themeColor="text1"/>
                <w:lang w:val="es-CO"/>
              </w:rPr>
              <w:t xml:space="preserve"> </w:t>
            </w:r>
          </w:p>
        </w:tc>
        <w:tc>
          <w:tcPr>
            <w:tcW w:w="7366" w:type="dxa"/>
          </w:tcPr>
          <w:p w:rsidR="00C56F74" w:rsidRPr="00CA1A93" w:rsidRDefault="00C56F74" w:rsidP="00C72563">
            <w:pPr>
              <w:spacing w:before="120" w:after="120"/>
              <w:ind w:left="0"/>
              <w:jc w:val="both"/>
              <w:rPr>
                <w:rFonts w:ascii="Bookman Old Style" w:hAnsi="Bookman Old Style"/>
                <w:bCs/>
              </w:rPr>
            </w:pPr>
            <w:r w:rsidRPr="00CA1A93">
              <w:rPr>
                <w:rFonts w:ascii="Bookman Old Style" w:hAnsi="Bookman Old Style"/>
                <w:bCs/>
              </w:rPr>
              <w:t xml:space="preserve">Costo promedio ponderado por energía, </w:t>
            </w:r>
            <w:r w:rsidRPr="00CA1A93">
              <w:rPr>
                <w:rFonts w:ascii="Bookman Old Style" w:hAnsi="Bookman Old Style"/>
              </w:rPr>
              <w:t>expresado en pesos por kilovatio hora (COP/</w:t>
            </w:r>
            <w:proofErr w:type="spellStart"/>
            <w:r w:rsidRPr="00CA1A93">
              <w:rPr>
                <w:rFonts w:ascii="Bookman Old Style" w:hAnsi="Bookman Old Style"/>
              </w:rPr>
              <w:t>kWh</w:t>
            </w:r>
            <w:proofErr w:type="spellEnd"/>
            <w:r w:rsidRPr="00CA1A93">
              <w:rPr>
                <w:rFonts w:ascii="Bookman Old Style" w:hAnsi="Bookman Old Style"/>
              </w:rPr>
              <w:t>)</w:t>
            </w:r>
            <w:r w:rsidRPr="00CA1A93">
              <w:rPr>
                <w:rFonts w:ascii="Bookman Old Style" w:hAnsi="Bookman Old Style"/>
                <w:bCs/>
              </w:rPr>
              <w:t xml:space="preserve">, de todos los contratos </w:t>
            </w:r>
            <w:r w:rsidRPr="00CA1A93">
              <w:rPr>
                <w:rFonts w:ascii="Bookman Old Style" w:hAnsi="Bookman Old Style"/>
                <w:bCs/>
              </w:rPr>
              <w:lastRenderedPageBreak/>
              <w:t xml:space="preserve">bilaterales liquidados en el Mercado de Energía Mayorista en el mes </w:t>
            </w:r>
            <w:r w:rsidRPr="00CA1A93">
              <w:rPr>
                <w:rFonts w:ascii="Bookman Old Style" w:hAnsi="Bookman Old Style"/>
                <w:bCs/>
                <w:i/>
              </w:rPr>
              <w:t>m-1</w:t>
            </w:r>
            <w:r w:rsidRPr="00CA1A93">
              <w:rPr>
                <w:rFonts w:ascii="Bookman Old Style" w:hAnsi="Bookman Old Style"/>
                <w:bCs/>
              </w:rPr>
              <w:t xml:space="preserve"> con destino al mercado regulado.</w:t>
            </w:r>
          </w:p>
        </w:tc>
      </w:tr>
      <w:tr w:rsidR="00C56F74" w:rsidRPr="00CA1A93" w:rsidTr="00C72563">
        <w:tc>
          <w:tcPr>
            <w:tcW w:w="1980" w:type="dxa"/>
          </w:tcPr>
          <w:p w:rsidR="00C56F74" w:rsidRPr="00CA1A93" w:rsidRDefault="00CD4069" w:rsidP="00C72563">
            <w:pPr>
              <w:spacing w:before="120" w:after="120"/>
              <w:ind w:left="0"/>
              <w:rPr>
                <w:bCs/>
              </w:rPr>
            </w:pPr>
            <m:oMath>
              <m:sSub>
                <m:sSubPr>
                  <m:ctrlPr>
                    <w:rPr>
                      <w:rFonts w:ascii="Cambria Math" w:hAnsi="Cambria Math"/>
                      <w:i/>
                      <w:color w:val="000000" w:themeColor="text1"/>
                      <w:lang w:val="es-CO"/>
                    </w:rPr>
                  </m:ctrlPr>
                </m:sSubPr>
                <m:e>
                  <m:r>
                    <w:rPr>
                      <w:rFonts w:ascii="Cambria Math" w:hAnsi="Cambria Math"/>
                      <w:color w:val="000000" w:themeColor="text1"/>
                      <w:lang w:val="es-CO"/>
                    </w:rPr>
                    <m:t>α</m:t>
                  </m:r>
                </m:e>
                <m:sub>
                  <m:r>
                    <w:rPr>
                      <w:rFonts w:ascii="Cambria Math" w:hAnsi="Cambria Math"/>
                      <w:color w:val="000000" w:themeColor="text1"/>
                      <w:lang w:val="es-CO"/>
                    </w:rPr>
                    <m:t>i,j</m:t>
                  </m:r>
                </m:sub>
              </m:sSub>
            </m:oMath>
            <w:r w:rsidR="00C56F74" w:rsidRPr="00CA1A93">
              <w:rPr>
                <w:color w:val="000000" w:themeColor="text1"/>
                <w:lang w:val="es-CO"/>
              </w:rPr>
              <w:t xml:space="preserve">: </w:t>
            </w:r>
          </w:p>
        </w:tc>
        <w:tc>
          <w:tcPr>
            <w:tcW w:w="7366" w:type="dxa"/>
          </w:tcPr>
          <w:p w:rsidR="00C56F74" w:rsidRPr="00CA1A93" w:rsidRDefault="00C56F74" w:rsidP="00C72563">
            <w:pPr>
              <w:spacing w:before="120" w:after="120"/>
              <w:ind w:left="0"/>
              <w:jc w:val="both"/>
              <w:rPr>
                <w:rFonts w:ascii="Bookman Old Style" w:hAnsi="Bookman Old Style"/>
                <w:bCs/>
              </w:rPr>
            </w:pPr>
            <w:r w:rsidRPr="00CA1A93">
              <w:rPr>
                <w:rFonts w:ascii="Bookman Old Style" w:hAnsi="Bookman Old Style"/>
                <w:bCs/>
              </w:rPr>
              <w:t xml:space="preserve">Valor de </w:t>
            </w:r>
            <m:oMath>
              <m:r>
                <w:rPr>
                  <w:rFonts w:ascii="Cambria Math" w:hAnsi="Cambria Math"/>
                </w:rPr>
                <m:t>α</m:t>
              </m:r>
            </m:oMath>
            <w:r w:rsidRPr="00CA1A93">
              <w:rPr>
                <w:rFonts w:ascii="Bookman Old Style" w:hAnsi="Bookman Old Style"/>
                <w:bCs/>
              </w:rPr>
              <w:t xml:space="preserve"> del comercializador </w:t>
            </w:r>
            <w:r w:rsidRPr="00CA1A93">
              <w:rPr>
                <w:rFonts w:ascii="Bookman Old Style" w:hAnsi="Bookman Old Style"/>
                <w:bCs/>
                <w:i/>
              </w:rPr>
              <w:t>i</w:t>
            </w:r>
            <w:r w:rsidRPr="00CA1A93">
              <w:rPr>
                <w:rFonts w:ascii="Bookman Old Style" w:hAnsi="Bookman Old Style"/>
                <w:bCs/>
              </w:rPr>
              <w:t xml:space="preserve"> en el mercado de comercialización </w:t>
            </w:r>
            <w:r w:rsidRPr="00CA1A93">
              <w:rPr>
                <w:rFonts w:ascii="Bookman Old Style" w:hAnsi="Bookman Old Style"/>
                <w:bCs/>
                <w:i/>
              </w:rPr>
              <w:t>j</w:t>
            </w:r>
            <w:r w:rsidRPr="00CA1A93">
              <w:rPr>
                <w:rFonts w:ascii="Bookman Old Style" w:hAnsi="Bookman Old Style"/>
                <w:bCs/>
              </w:rPr>
              <w:t xml:space="preserve"> para el mes de enero de 2007, calculado conforme la metodología de la Resolución CREG 031 de 1997.</w:t>
            </w:r>
          </w:p>
        </w:tc>
      </w:tr>
      <w:tr w:rsidR="00C56F74" w:rsidRPr="00CA1A93" w:rsidTr="00C72563">
        <w:tc>
          <w:tcPr>
            <w:tcW w:w="1980" w:type="dxa"/>
          </w:tcPr>
          <w:p w:rsidR="00C56F74" w:rsidRPr="00CA1A93" w:rsidRDefault="00C56F74" w:rsidP="00C72563">
            <w:pPr>
              <w:tabs>
                <w:tab w:val="left" w:pos="0"/>
                <w:tab w:val="left" w:pos="284"/>
              </w:tabs>
              <w:ind w:left="0"/>
              <w:jc w:val="both"/>
              <w:rPr>
                <w:rFonts w:ascii="Bookman Old Style" w:hAnsi="Bookman Old Style"/>
              </w:rPr>
            </w:pPr>
            <m:oMath>
              <m:r>
                <w:rPr>
                  <w:rFonts w:ascii="Cambria Math" w:hAnsi="Cambria Math"/>
                </w:rPr>
                <m:t>PS</m:t>
              </m:r>
              <m:sSub>
                <m:sSubPr>
                  <m:ctrlPr>
                    <w:rPr>
                      <w:rFonts w:ascii="Cambria Math" w:hAnsi="Cambria Math"/>
                      <w:i/>
                    </w:rPr>
                  </m:ctrlPr>
                </m:sSubPr>
                <m:e>
                  <m:r>
                    <w:rPr>
                      <w:rFonts w:ascii="Cambria Math" w:hAnsi="Cambria Math"/>
                    </w:rPr>
                    <m:t>A</m:t>
                  </m:r>
                </m:e>
                <m:sub>
                  <m:r>
                    <w:rPr>
                      <w:rFonts w:ascii="Cambria Math" w:hAnsi="Cambria Math"/>
                    </w:rPr>
                    <m:t>m-1,i</m:t>
                  </m:r>
                </m:sub>
              </m:sSub>
            </m:oMath>
            <w:r w:rsidRPr="00CA1A93">
              <w:rPr>
                <w:rFonts w:ascii="Bookman Old Style" w:hAnsi="Bookman Old Style"/>
              </w:rPr>
              <w:t>:</w:t>
            </w:r>
          </w:p>
        </w:tc>
        <w:tc>
          <w:tcPr>
            <w:tcW w:w="7366" w:type="dxa"/>
          </w:tcPr>
          <w:p w:rsidR="00C56F74" w:rsidRPr="00CA1A93" w:rsidRDefault="00C56F74" w:rsidP="005778AA">
            <w:pPr>
              <w:tabs>
                <w:tab w:val="left" w:pos="0"/>
                <w:tab w:val="left" w:pos="284"/>
              </w:tabs>
              <w:ind w:left="0"/>
              <w:jc w:val="both"/>
              <w:rPr>
                <w:rFonts w:ascii="Bookman Old Style" w:hAnsi="Bookman Old Style"/>
              </w:rPr>
            </w:pPr>
            <w:r w:rsidRPr="00CA1A93">
              <w:rPr>
                <w:rFonts w:ascii="Bookman Old Style" w:hAnsi="Bookman Old Style"/>
              </w:rPr>
              <w:t xml:space="preserve">Precio promedio ponderado asociado a los contratos de largo plazo adjudicados en la subasta del </w:t>
            </w:r>
            <w:r w:rsidRPr="00CA1A93">
              <w:rPr>
                <w:rFonts w:ascii="Bookman Old Style" w:hAnsi="Bookman Old Style"/>
                <w:bCs/>
              </w:rPr>
              <w:t>Ministerio de Minas y Energía</w:t>
            </w:r>
            <w:r w:rsidRPr="00CA1A93">
              <w:rPr>
                <w:rFonts w:ascii="Bookman Old Style" w:hAnsi="Bookman Old Style"/>
              </w:rPr>
              <w:t xml:space="preserve"> </w:t>
            </w:r>
            <w:r w:rsidR="005778AA">
              <w:rPr>
                <w:rFonts w:ascii="Bookman Old Style" w:hAnsi="Bookman Old Style"/>
              </w:rPr>
              <w:t>o</w:t>
            </w:r>
            <w:r>
              <w:rPr>
                <w:rFonts w:ascii="Bookman Old Style" w:hAnsi="Bookman Old Style"/>
              </w:rPr>
              <w:t xml:space="preserve"> el mecanismo complementario del que trata el artículo 6 de la Resolución 40591 de 2019 del Ministerio de Minas y Energía, </w:t>
            </w:r>
            <w:r w:rsidRPr="00CA1A93">
              <w:rPr>
                <w:rFonts w:ascii="Bookman Old Style" w:hAnsi="Bookman Old Style"/>
              </w:rPr>
              <w:t xml:space="preserve">al comercializador </w:t>
            </w:r>
            <w:r w:rsidRPr="00CA1A93">
              <w:rPr>
                <w:rFonts w:ascii="Bookman Old Style" w:hAnsi="Bookman Old Style"/>
                <w:i/>
              </w:rPr>
              <w:t>i</w:t>
            </w:r>
            <w:r w:rsidRPr="00CA1A93">
              <w:rPr>
                <w:rFonts w:ascii="Bookman Old Style" w:hAnsi="Bookman Old Style"/>
              </w:rPr>
              <w:t xml:space="preserve"> actualizado para el mes </w:t>
            </w:r>
            <w:r w:rsidRPr="00CA1A93">
              <w:rPr>
                <w:rFonts w:ascii="Bookman Old Style" w:hAnsi="Bookman Old Style"/>
                <w:i/>
              </w:rPr>
              <w:t xml:space="preserve">m-1, </w:t>
            </w:r>
            <w:r w:rsidRPr="00CA1A93">
              <w:rPr>
                <w:rFonts w:ascii="Bookman Old Style" w:hAnsi="Bookman Old Style"/>
              </w:rPr>
              <w:t>expresado en pesos por kilovatio hora (COP/</w:t>
            </w:r>
            <w:proofErr w:type="spellStart"/>
            <w:r w:rsidRPr="00CA1A93">
              <w:rPr>
                <w:rFonts w:ascii="Bookman Old Style" w:hAnsi="Bookman Old Style"/>
              </w:rPr>
              <w:t>kWh</w:t>
            </w:r>
            <w:proofErr w:type="spellEnd"/>
            <w:r w:rsidRPr="00CA1A93">
              <w:rPr>
                <w:rFonts w:ascii="Bookman Old Style" w:hAnsi="Bookman Old Style"/>
              </w:rPr>
              <w:t>).</w:t>
            </w:r>
          </w:p>
        </w:tc>
      </w:tr>
      <w:tr w:rsidR="00C56F74" w:rsidRPr="00CA1A93" w:rsidTr="00C72563">
        <w:tc>
          <w:tcPr>
            <w:tcW w:w="1980" w:type="dxa"/>
          </w:tcPr>
          <w:p w:rsidR="00C56F74" w:rsidRPr="00CA1A93" w:rsidRDefault="00C56F74" w:rsidP="00C72563">
            <w:pPr>
              <w:spacing w:before="120" w:after="120"/>
              <w:ind w:left="0"/>
              <w:rPr>
                <w:bCs/>
              </w:rPr>
            </w:pPr>
            <m:oMath>
              <m:r>
                <w:rPr>
                  <w:rFonts w:ascii="Cambria Math" w:hAnsi="Cambria Math"/>
                  <w:color w:val="000000" w:themeColor="text1"/>
                  <w:lang w:val="es-CO"/>
                </w:rPr>
                <m:t>CU</m:t>
              </m:r>
              <m:sSub>
                <m:sSubPr>
                  <m:ctrlPr>
                    <w:rPr>
                      <w:rFonts w:ascii="Cambria Math" w:hAnsi="Cambria Math"/>
                      <w:i/>
                      <w:color w:val="000000" w:themeColor="text1"/>
                      <w:lang w:val="es-CO"/>
                    </w:rPr>
                  </m:ctrlPr>
                </m:sSubPr>
                <m:e>
                  <m:r>
                    <w:rPr>
                      <w:rFonts w:ascii="Cambria Math" w:hAnsi="Cambria Math"/>
                      <w:color w:val="000000" w:themeColor="text1"/>
                      <w:lang w:val="es-CO"/>
                    </w:rPr>
                    <m:t>G</m:t>
                  </m:r>
                </m:e>
                <m:sub>
                  <m:r>
                    <w:rPr>
                      <w:rFonts w:ascii="Cambria Math" w:hAnsi="Cambria Math"/>
                      <w:color w:val="000000" w:themeColor="text1"/>
                      <w:lang w:val="es-CO"/>
                    </w:rPr>
                    <m:t>m-1,i</m:t>
                  </m:r>
                </m:sub>
              </m:sSub>
            </m:oMath>
            <w:r w:rsidRPr="00CA1A93">
              <w:rPr>
                <w:color w:val="000000" w:themeColor="text1"/>
                <w:lang w:val="es-CO"/>
              </w:rPr>
              <w:t>:</w:t>
            </w:r>
          </w:p>
        </w:tc>
        <w:tc>
          <w:tcPr>
            <w:tcW w:w="7366" w:type="dxa"/>
          </w:tcPr>
          <w:p w:rsidR="00C56F74" w:rsidRPr="00CA1A93" w:rsidRDefault="00C56F74" w:rsidP="005778AA">
            <w:pPr>
              <w:spacing w:before="120" w:after="120"/>
              <w:ind w:left="0"/>
              <w:jc w:val="both"/>
              <w:rPr>
                <w:rFonts w:ascii="Bookman Old Style" w:hAnsi="Bookman Old Style"/>
                <w:bCs/>
              </w:rPr>
            </w:pPr>
            <w:r>
              <w:rPr>
                <w:rFonts w:ascii="Bookman Old Style" w:hAnsi="Bookman Old Style"/>
              </w:rPr>
              <w:t xml:space="preserve">Este valor corresponde al costo financiero de la garantía de pago del mes </w:t>
            </w:r>
            <w:r w:rsidRPr="007C0036">
              <w:rPr>
                <w:rFonts w:ascii="Bookman Old Style" w:hAnsi="Bookman Old Style"/>
                <w:i/>
              </w:rPr>
              <w:t>m-1</w:t>
            </w:r>
            <w:r>
              <w:rPr>
                <w:rFonts w:ascii="Bookman Old Style" w:hAnsi="Bookman Old Style"/>
              </w:rPr>
              <w:t xml:space="preserve"> de los contratos adjudicados en la subasta del Ministerio de Minas y Energía </w:t>
            </w:r>
            <w:r w:rsidR="005778AA">
              <w:rPr>
                <w:rFonts w:ascii="Bookman Old Style" w:hAnsi="Bookman Old Style"/>
              </w:rPr>
              <w:t>o</w:t>
            </w:r>
            <w:r>
              <w:rPr>
                <w:rFonts w:ascii="Bookman Old Style" w:hAnsi="Bookman Old Style"/>
              </w:rPr>
              <w:t xml:space="preserve"> el mecanismo complementario del que trata el artículo 6 de la Resolución 40591 de 2019 del Ministerio de Minas y Energía, al comercializador </w:t>
            </w:r>
            <w:r w:rsidRPr="007C0036">
              <w:rPr>
                <w:rFonts w:ascii="Bookman Old Style" w:hAnsi="Bookman Old Style"/>
                <w:i/>
              </w:rPr>
              <w:t>i</w:t>
            </w:r>
            <w:r>
              <w:rPr>
                <w:rFonts w:ascii="Bookman Old Style" w:hAnsi="Bookman Old Style"/>
              </w:rPr>
              <w:t xml:space="preserve"> destinados al mercado regulado, dividido por la demanda regulada de este comercializador. </w:t>
            </w:r>
            <w:r w:rsidRPr="00F26EB6">
              <w:rPr>
                <w:rFonts w:ascii="Bookman Old Style" w:hAnsi="Bookman Old Style"/>
              </w:rPr>
              <w:t>El valor máximo de esta variable es de un peso (1 COP/</w:t>
            </w:r>
            <w:proofErr w:type="spellStart"/>
            <w:r w:rsidRPr="00F26EB6">
              <w:rPr>
                <w:rFonts w:ascii="Bookman Old Style" w:hAnsi="Bookman Old Style"/>
              </w:rPr>
              <w:t>kWh</w:t>
            </w:r>
            <w:proofErr w:type="spellEnd"/>
            <w:r w:rsidRPr="00F26EB6">
              <w:rPr>
                <w:rFonts w:ascii="Bookman Old Style" w:hAnsi="Bookman Old Style"/>
              </w:rPr>
              <w:t>).</w:t>
            </w:r>
            <w:r>
              <w:rPr>
                <w:rFonts w:ascii="Bookman Old Style" w:hAnsi="Bookman Old Style"/>
              </w:rPr>
              <w:t xml:space="preserve"> La garantía de pago a la que se refiere este componente es la que trata el</w:t>
            </w:r>
            <w:r>
              <w:rPr>
                <w:rFonts w:ascii="Bookman Old Style" w:hAnsi="Bookman Old Style"/>
                <w:bCs/>
              </w:rPr>
              <w:t xml:space="preserve"> artículo 35 de la Resolución 40590 de 2019 del Ministerio de Minas y Energía.</w:t>
            </w:r>
            <w:r>
              <w:rPr>
                <w:rFonts w:ascii="Bookman Old Style" w:hAnsi="Bookman Old Style"/>
              </w:rPr>
              <w:t xml:space="preserve"> </w:t>
            </w:r>
          </w:p>
        </w:tc>
      </w:tr>
      <w:tr w:rsidR="00C56F74" w:rsidRPr="00CA1A93" w:rsidTr="00C56F74">
        <w:trPr>
          <w:trHeight w:val="535"/>
        </w:trPr>
        <w:tc>
          <w:tcPr>
            <w:tcW w:w="1980" w:type="dxa"/>
          </w:tcPr>
          <w:p w:rsidR="00C56F74" w:rsidRPr="00F26EB6" w:rsidRDefault="00C56F74" w:rsidP="00C72563">
            <w:pPr>
              <w:spacing w:before="120" w:after="120"/>
              <w:ind w:left="0"/>
              <w:rPr>
                <w:color w:val="000000" w:themeColor="text1"/>
                <w:highlight w:val="yellow"/>
                <w:lang w:val="es-CO"/>
              </w:rPr>
            </w:pPr>
            <m:oMathPara>
              <m:oMathParaPr>
                <m:jc m:val="left"/>
              </m:oMathParaPr>
              <m:oMath>
                <m:r>
                  <w:rPr>
                    <w:rFonts w:ascii="Cambria Math" w:hAnsi="Cambria Math"/>
                    <w:color w:val="000000" w:themeColor="text1"/>
                    <w:lang w:val="es-CO"/>
                  </w:rPr>
                  <m:t>EG</m:t>
                </m:r>
                <m:sSub>
                  <m:sSubPr>
                    <m:ctrlPr>
                      <w:rPr>
                        <w:rFonts w:ascii="Cambria Math" w:hAnsi="Cambria Math"/>
                        <w:i/>
                        <w:color w:val="000000" w:themeColor="text1"/>
                        <w:lang w:val="es-CO"/>
                      </w:rPr>
                    </m:ctrlPr>
                  </m:sSubPr>
                  <m:e>
                    <m:r>
                      <w:rPr>
                        <w:rFonts w:ascii="Cambria Math" w:hAnsi="Cambria Math"/>
                        <w:color w:val="000000" w:themeColor="text1"/>
                        <w:lang w:val="es-CO"/>
                      </w:rPr>
                      <m:t>P</m:t>
                    </m:r>
                  </m:e>
                  <m:sub>
                    <m:r>
                      <w:rPr>
                        <w:rFonts w:ascii="Cambria Math" w:hAnsi="Cambria Math"/>
                        <w:color w:val="000000" w:themeColor="text1"/>
                        <w:lang w:val="es-CO"/>
                      </w:rPr>
                      <m:t>i</m:t>
                    </m:r>
                  </m:sub>
                </m:sSub>
                <m:r>
                  <w:rPr>
                    <w:rFonts w:ascii="Cambria Math" w:hAnsi="Cambria Math"/>
                    <w:color w:val="000000" w:themeColor="text1"/>
                    <w:lang w:val="es-CO"/>
                  </w:rPr>
                  <m:t>:</m:t>
                </m:r>
              </m:oMath>
            </m:oMathPara>
          </w:p>
        </w:tc>
        <w:tc>
          <w:tcPr>
            <w:tcW w:w="7366" w:type="dxa"/>
          </w:tcPr>
          <w:p w:rsidR="00C56F74" w:rsidRPr="00C70FC9" w:rsidRDefault="00C56F74" w:rsidP="005778AA">
            <w:pPr>
              <w:spacing w:before="120" w:after="120"/>
              <w:ind w:left="0"/>
              <w:jc w:val="both"/>
              <w:rPr>
                <w:rFonts w:ascii="Bookman Old Style" w:hAnsi="Bookman Old Style"/>
                <w:bCs/>
                <w:highlight w:val="yellow"/>
              </w:rPr>
            </w:pPr>
            <w:r w:rsidRPr="00F26EB6">
              <w:rPr>
                <w:rFonts w:ascii="Bookman Old Style" w:hAnsi="Bookman Old Style"/>
                <w:bCs/>
              </w:rPr>
              <w:t xml:space="preserve">Valor unitario de la devolución que el comercializador </w:t>
            </w:r>
            <w:r w:rsidRPr="00F26EB6">
              <w:rPr>
                <w:rFonts w:ascii="Bookman Old Style" w:hAnsi="Bookman Old Style"/>
                <w:bCs/>
                <w:i/>
              </w:rPr>
              <w:t xml:space="preserve">i </w:t>
            </w:r>
            <w:r w:rsidRPr="00F26EB6">
              <w:rPr>
                <w:rFonts w:ascii="Bookman Old Style" w:hAnsi="Bookman Old Style"/>
                <w:bCs/>
              </w:rPr>
              <w:t>debe hacer a favor del usuario, en caso de que</w:t>
            </w:r>
            <w:r>
              <w:rPr>
                <w:rFonts w:ascii="Bookman Old Style" w:hAnsi="Bookman Old Style"/>
                <w:bCs/>
              </w:rPr>
              <w:t>,</w:t>
            </w:r>
            <w:r w:rsidRPr="00F26EB6">
              <w:rPr>
                <w:rFonts w:ascii="Bookman Old Style" w:hAnsi="Bookman Old Style"/>
                <w:bCs/>
              </w:rPr>
              <w:t xml:space="preserve"> por incumplimiento de un vendedor, se ejecute la garantía de cumplimiento de la que trata el artículo 34 de la Resolución 40590 de 2019 del Ministerio de Minas y Energía, asociada </w:t>
            </w:r>
            <w:r>
              <w:rPr>
                <w:rFonts w:ascii="Bookman Old Style" w:hAnsi="Bookman Old Style"/>
                <w:bCs/>
              </w:rPr>
              <w:t xml:space="preserve">a los </w:t>
            </w:r>
            <w:r w:rsidRPr="00F26EB6">
              <w:rPr>
                <w:rFonts w:ascii="Bookman Old Style" w:hAnsi="Bookman Old Style"/>
                <w:bCs/>
              </w:rPr>
              <w:t>contrato</w:t>
            </w:r>
            <w:r>
              <w:rPr>
                <w:rFonts w:ascii="Bookman Old Style" w:hAnsi="Bookman Old Style"/>
                <w:bCs/>
              </w:rPr>
              <w:t>s</w:t>
            </w:r>
            <w:r w:rsidRPr="00F26EB6">
              <w:rPr>
                <w:rFonts w:ascii="Bookman Old Style" w:hAnsi="Bookman Old Style"/>
                <w:bCs/>
              </w:rPr>
              <w:t xml:space="preserve"> asignado</w:t>
            </w:r>
            <w:r>
              <w:rPr>
                <w:rFonts w:ascii="Bookman Old Style" w:hAnsi="Bookman Old Style"/>
                <w:bCs/>
              </w:rPr>
              <w:t>s</w:t>
            </w:r>
            <w:r w:rsidRPr="00F26EB6">
              <w:rPr>
                <w:rFonts w:ascii="Bookman Old Style" w:hAnsi="Bookman Old Style"/>
                <w:bCs/>
              </w:rPr>
              <w:t xml:space="preserve"> </w:t>
            </w:r>
            <w:r>
              <w:rPr>
                <w:rFonts w:ascii="Bookman Old Style" w:hAnsi="Bookman Old Style"/>
                <w:bCs/>
              </w:rPr>
              <w:t>en</w:t>
            </w:r>
            <w:r w:rsidRPr="00F26EB6">
              <w:rPr>
                <w:rFonts w:ascii="Bookman Old Style" w:hAnsi="Bookman Old Style"/>
                <w:bCs/>
              </w:rPr>
              <w:t xml:space="preserve"> la subasta del Ministerio de Minas y Energía</w:t>
            </w:r>
            <w:r>
              <w:rPr>
                <w:rFonts w:ascii="Bookman Old Style" w:hAnsi="Bookman Old Style"/>
                <w:bCs/>
              </w:rPr>
              <w:t xml:space="preserve"> </w:t>
            </w:r>
            <w:r w:rsidR="005778AA">
              <w:rPr>
                <w:rFonts w:ascii="Bookman Old Style" w:hAnsi="Bookman Old Style"/>
                <w:bCs/>
              </w:rPr>
              <w:t>o</w:t>
            </w:r>
            <w:r>
              <w:rPr>
                <w:rFonts w:ascii="Bookman Old Style" w:hAnsi="Bookman Old Style"/>
              </w:rPr>
              <w:t xml:space="preserve"> el mecanismo complementario del que trata el artículo 6 de la Resolución 40591 de 2019 del Ministerio de Minas y Energía, </w:t>
            </w:r>
            <w:r>
              <w:rPr>
                <w:rFonts w:ascii="Bookman Old Style" w:hAnsi="Bookman Old Style"/>
                <w:bCs/>
              </w:rPr>
              <w:t>con destino al mercado regulado</w:t>
            </w:r>
            <w:r w:rsidRPr="00F26EB6">
              <w:rPr>
                <w:rFonts w:ascii="Bookman Old Style" w:hAnsi="Bookman Old Style"/>
                <w:bCs/>
              </w:rPr>
              <w:t>.</w:t>
            </w:r>
            <w:r>
              <w:rPr>
                <w:rFonts w:ascii="Bookman Old Style" w:hAnsi="Bookman Old Style"/>
                <w:bCs/>
              </w:rPr>
              <w:t xml:space="preserve"> El comercializador debe devolver a sus usuarios la totalidad del monto resultante de la ejecución de la garantía de cumplimiento.</w:t>
            </w:r>
          </w:p>
        </w:tc>
      </w:tr>
      <w:tr w:rsidR="00C56F74" w:rsidRPr="00CA1A93" w:rsidTr="00C72563">
        <w:tc>
          <w:tcPr>
            <w:tcW w:w="1980" w:type="dxa"/>
          </w:tcPr>
          <w:p w:rsidR="00C56F74" w:rsidRPr="00CA1A93" w:rsidRDefault="00CD4069" w:rsidP="00C72563">
            <w:pPr>
              <w:spacing w:before="120" w:after="120"/>
              <w:ind w:left="0"/>
              <w:rPr>
                <w:b/>
                <w:color w:val="000000" w:themeColor="text1"/>
                <w:lang w:val="es-CO"/>
              </w:rPr>
            </w:pPr>
            <m:oMath>
              <m:sSub>
                <m:sSubPr>
                  <m:ctrlPr>
                    <w:rPr>
                      <w:rFonts w:ascii="Cambria Math" w:hAnsi="Cambria Math"/>
                      <w:i/>
                      <w:color w:val="000000" w:themeColor="text1"/>
                      <w:lang w:val="es-CO"/>
                    </w:rPr>
                  </m:ctrlPr>
                </m:sSubPr>
                <m:e>
                  <m:r>
                    <w:rPr>
                      <w:rFonts w:ascii="Cambria Math" w:hAnsi="Cambria Math"/>
                      <w:color w:val="000000" w:themeColor="text1"/>
                      <w:lang w:val="es-CO"/>
                    </w:rPr>
                    <m:t>Pb</m:t>
                  </m:r>
                </m:e>
                <m:sub>
                  <m:r>
                    <w:rPr>
                      <w:rFonts w:ascii="Cambria Math" w:hAnsi="Cambria Math"/>
                      <w:color w:val="000000" w:themeColor="text1"/>
                      <w:lang w:val="es-CO"/>
                    </w:rPr>
                    <m:t>m-1,i</m:t>
                  </m:r>
                </m:sub>
              </m:sSub>
            </m:oMath>
            <w:r w:rsidR="00C56F74" w:rsidRPr="00CA1A93">
              <w:rPr>
                <w:color w:val="000000" w:themeColor="text1"/>
                <w:lang w:val="es-CO"/>
              </w:rPr>
              <w:t>:</w:t>
            </w:r>
          </w:p>
        </w:tc>
        <w:tc>
          <w:tcPr>
            <w:tcW w:w="7366" w:type="dxa"/>
          </w:tcPr>
          <w:p w:rsidR="00C56F74" w:rsidRPr="00CA1A93" w:rsidRDefault="00C56F74" w:rsidP="00C72563">
            <w:pPr>
              <w:spacing w:before="120" w:after="120"/>
              <w:ind w:left="0"/>
              <w:jc w:val="both"/>
              <w:rPr>
                <w:rFonts w:ascii="Bookman Old Style" w:hAnsi="Bookman Old Style"/>
                <w:b/>
                <w:bCs/>
              </w:rPr>
            </w:pPr>
            <w:r w:rsidRPr="00CA1A93">
              <w:rPr>
                <w:rFonts w:ascii="Bookman Old Style" w:hAnsi="Bookman Old Style"/>
                <w:bCs/>
              </w:rPr>
              <w:t xml:space="preserve">Precio de la energía comprada en Bolsa por el comercializador </w:t>
            </w:r>
            <w:r w:rsidRPr="00CA1A93">
              <w:rPr>
                <w:rFonts w:ascii="Bookman Old Style" w:hAnsi="Bookman Old Style"/>
                <w:bCs/>
                <w:i/>
              </w:rPr>
              <w:t>i</w:t>
            </w:r>
            <w:r w:rsidRPr="00CA1A93">
              <w:rPr>
                <w:rFonts w:ascii="Bookman Old Style" w:hAnsi="Bookman Old Style"/>
                <w:bCs/>
              </w:rPr>
              <w:t xml:space="preserve">, en el mes </w:t>
            </w:r>
            <w:r w:rsidRPr="00CA1A93">
              <w:rPr>
                <w:rFonts w:ascii="Bookman Old Style" w:hAnsi="Bookman Old Style"/>
                <w:bCs/>
                <w:i/>
              </w:rPr>
              <w:t>m-1</w:t>
            </w:r>
            <w:r w:rsidRPr="00CA1A93">
              <w:rPr>
                <w:rFonts w:ascii="Bookman Old Style" w:hAnsi="Bookman Old Style"/>
                <w:bCs/>
              </w:rPr>
              <w:t xml:space="preserve">, </w:t>
            </w:r>
            <w:r w:rsidRPr="00CA1A93">
              <w:rPr>
                <w:rFonts w:ascii="Bookman Old Style" w:hAnsi="Bookman Old Style"/>
              </w:rPr>
              <w:t>expresado en pesos por kilovatio hora (COP/</w:t>
            </w:r>
            <w:proofErr w:type="spellStart"/>
            <w:r w:rsidRPr="00CA1A93">
              <w:rPr>
                <w:rFonts w:ascii="Bookman Old Style" w:hAnsi="Bookman Old Style"/>
              </w:rPr>
              <w:t>kWh</w:t>
            </w:r>
            <w:proofErr w:type="spellEnd"/>
            <w:r w:rsidRPr="00CA1A93">
              <w:rPr>
                <w:rFonts w:ascii="Bookman Old Style" w:hAnsi="Bookman Old Style"/>
              </w:rPr>
              <w:t>)</w:t>
            </w:r>
            <w:r w:rsidRPr="00CA1A93">
              <w:rPr>
                <w:rFonts w:ascii="Bookman Old Style" w:hAnsi="Bookman Old Style"/>
                <w:bCs/>
              </w:rPr>
              <w:t xml:space="preserve">, cuando las cantidades adquiridas en contratos no cubran la totalidad de la demanda regulada. Este valor se calcula de acuerdo con lo establecido en la Resolución CREG 119 de 2007 y el </w:t>
            </w:r>
            <w:r>
              <w:rPr>
                <w:rFonts w:ascii="Bookman Old Style" w:hAnsi="Bookman Old Style"/>
                <w:bCs/>
              </w:rPr>
              <w:t>A</w:t>
            </w:r>
            <w:r w:rsidRPr="00CA1A93">
              <w:rPr>
                <w:rFonts w:ascii="Bookman Old Style" w:hAnsi="Bookman Old Style"/>
                <w:bCs/>
              </w:rPr>
              <w:t>nexo 2 de la Resolución CREG 030 de 2018.</w:t>
            </w:r>
          </w:p>
        </w:tc>
      </w:tr>
      <w:tr w:rsidR="00C56F74" w:rsidRPr="00CA1A93" w:rsidTr="00BB3F99">
        <w:trPr>
          <w:trHeight w:val="1039"/>
        </w:trPr>
        <w:tc>
          <w:tcPr>
            <w:tcW w:w="1980" w:type="dxa"/>
          </w:tcPr>
          <w:p w:rsidR="00C56F74" w:rsidRPr="00465A70" w:rsidRDefault="00CD4069" w:rsidP="00C72563">
            <w:pPr>
              <w:spacing w:before="120" w:after="120"/>
              <w:ind w:left="0"/>
              <w:rPr>
                <w:bCs/>
              </w:rPr>
            </w:pPr>
            <m:oMath>
              <m:sSub>
                <m:sSubPr>
                  <m:ctrlPr>
                    <w:rPr>
                      <w:rFonts w:ascii="Cambria Math" w:hAnsi="Cambria Math"/>
                      <w:i/>
                      <w:color w:val="000000" w:themeColor="text1"/>
                      <w:lang w:val="es-CO"/>
                    </w:rPr>
                  </m:ctrlPr>
                </m:sSubPr>
                <m:e>
                  <m:r>
                    <w:rPr>
                      <w:rFonts w:ascii="Cambria Math" w:hAnsi="Cambria Math"/>
                      <w:color w:val="000000" w:themeColor="text1"/>
                      <w:lang w:val="es-CO"/>
                    </w:rPr>
                    <m:t>AJ</m:t>
                  </m:r>
                </m:e>
                <m:sub>
                  <m:r>
                    <w:rPr>
                      <w:rFonts w:ascii="Cambria Math" w:hAnsi="Cambria Math"/>
                      <w:color w:val="000000" w:themeColor="text1"/>
                      <w:lang w:val="es-CO"/>
                    </w:rPr>
                    <m:t>m,i</m:t>
                  </m:r>
                </m:sub>
              </m:sSub>
            </m:oMath>
            <w:r w:rsidR="00C56F74" w:rsidRPr="00465A70">
              <w:rPr>
                <w:color w:val="000000" w:themeColor="text1"/>
                <w:lang w:val="es-CO"/>
              </w:rPr>
              <w:t xml:space="preserve">: </w:t>
            </w:r>
          </w:p>
        </w:tc>
        <w:tc>
          <w:tcPr>
            <w:tcW w:w="7366" w:type="dxa"/>
          </w:tcPr>
          <w:p w:rsidR="00C56F74" w:rsidRPr="00465A70" w:rsidRDefault="00C56F74" w:rsidP="00C72563">
            <w:pPr>
              <w:spacing w:after="120"/>
              <w:ind w:left="0"/>
              <w:jc w:val="both"/>
              <w:rPr>
                <w:rFonts w:ascii="Bookman Old Style" w:hAnsi="Bookman Old Style"/>
                <w:bCs/>
              </w:rPr>
            </w:pPr>
            <w:r w:rsidRPr="00465A70">
              <w:rPr>
                <w:rFonts w:ascii="Bookman Old Style" w:hAnsi="Bookman Old Style"/>
                <w:bCs/>
              </w:rPr>
              <w:t xml:space="preserve">Factor de ajuste que se aplica al costo máximo de compra de energía, </w:t>
            </w:r>
            <w:r w:rsidRPr="00465A70">
              <w:rPr>
                <w:rFonts w:ascii="Bookman Old Style" w:hAnsi="Bookman Old Style"/>
              </w:rPr>
              <w:t>expresado en pesos por kilovatio hora (COP/</w:t>
            </w:r>
            <w:proofErr w:type="spellStart"/>
            <w:r w:rsidRPr="00465A70">
              <w:rPr>
                <w:rFonts w:ascii="Bookman Old Style" w:hAnsi="Bookman Old Style"/>
              </w:rPr>
              <w:t>kWh</w:t>
            </w:r>
            <w:proofErr w:type="spellEnd"/>
            <w:r w:rsidRPr="00465A70">
              <w:rPr>
                <w:rFonts w:ascii="Bookman Old Style" w:hAnsi="Bookman Old Style"/>
              </w:rPr>
              <w:t>)</w:t>
            </w:r>
            <w:r w:rsidRPr="00465A70">
              <w:rPr>
                <w:rFonts w:ascii="Bookman Old Style" w:hAnsi="Bookman Old Style"/>
                <w:bCs/>
              </w:rPr>
              <w:t xml:space="preserve">, del comercializador </w:t>
            </w:r>
            <w:r w:rsidRPr="00465A70">
              <w:rPr>
                <w:rFonts w:ascii="Bookman Old Style" w:hAnsi="Bookman Old Style"/>
                <w:bCs/>
                <w:i/>
              </w:rPr>
              <w:t>i</w:t>
            </w:r>
            <w:r w:rsidRPr="00465A70">
              <w:rPr>
                <w:rFonts w:ascii="Bookman Old Style" w:hAnsi="Bookman Old Style"/>
                <w:bCs/>
              </w:rPr>
              <w:t xml:space="preserve"> para el mes </w:t>
            </w:r>
            <w:r w:rsidRPr="00465A70">
              <w:rPr>
                <w:rFonts w:ascii="Bookman Old Style" w:hAnsi="Bookman Old Style"/>
                <w:bCs/>
                <w:i/>
              </w:rPr>
              <w:t>m</w:t>
            </w:r>
            <w:r w:rsidRPr="00465A70">
              <w:rPr>
                <w:rFonts w:ascii="Bookman Old Style" w:hAnsi="Bookman Old Style"/>
                <w:bCs/>
              </w:rPr>
              <w:t>, calculado conforme al Anexo 1 de la Resolución CREG 119 de 2007.</w:t>
            </w:r>
          </w:p>
        </w:tc>
      </w:tr>
      <w:tr w:rsidR="00C56F74" w:rsidRPr="003410C8" w:rsidTr="00C72563">
        <w:tc>
          <w:tcPr>
            <w:tcW w:w="1980" w:type="dxa"/>
          </w:tcPr>
          <w:p w:rsidR="00C56F74" w:rsidRPr="00CA1A93" w:rsidRDefault="00CD4069" w:rsidP="00C72563">
            <w:pPr>
              <w:spacing w:before="120" w:after="120"/>
            </w:pPr>
            <m:oMathPara>
              <m:oMath>
                <m:sSub>
                  <m:sSubPr>
                    <m:ctrlPr>
                      <w:rPr>
                        <w:rFonts w:ascii="Cambria Math" w:hAnsi="Cambria Math"/>
                        <w:i/>
                        <w:lang w:val="es-CO"/>
                      </w:rPr>
                    </m:ctrlPr>
                  </m:sSubPr>
                  <m:e>
                    <m:r>
                      <w:rPr>
                        <w:rFonts w:ascii="Cambria Math" w:hAnsi="Cambria Math"/>
                        <w:lang w:val="es-CO"/>
                      </w:rPr>
                      <m:t>G_transitorio</m:t>
                    </m:r>
                  </m:e>
                  <m:sub>
                    <m:r>
                      <w:rPr>
                        <w:rFonts w:ascii="Cambria Math" w:hAnsi="Cambria Math"/>
                        <w:lang w:val="es-CO"/>
                      </w:rPr>
                      <m:t>m,i,j</m:t>
                    </m:r>
                  </m:sub>
                </m:sSub>
              </m:oMath>
            </m:oMathPara>
          </w:p>
        </w:tc>
        <w:tc>
          <w:tcPr>
            <w:tcW w:w="7366" w:type="dxa"/>
          </w:tcPr>
          <w:p w:rsidR="00C56F74" w:rsidRPr="003410C8" w:rsidRDefault="00C56F74" w:rsidP="00C72563">
            <w:pPr>
              <w:spacing w:before="120" w:after="120"/>
              <w:ind w:left="0"/>
              <w:jc w:val="both"/>
              <w:rPr>
                <w:rFonts w:ascii="Bookman Old Style" w:hAnsi="Bookman Old Style"/>
                <w:bCs/>
              </w:rPr>
            </w:pPr>
            <w:r w:rsidRPr="00CA1A93">
              <w:rPr>
                <w:rFonts w:ascii="Bookman Old Style" w:hAnsi="Bookman Old Style"/>
                <w:bCs/>
              </w:rPr>
              <w:t xml:space="preserve">Costo de compra de energía a AGPE y GD por parte del comercializador </w:t>
            </w:r>
            <w:r w:rsidRPr="00CA1A93">
              <w:rPr>
                <w:rFonts w:ascii="Bookman Old Style" w:hAnsi="Bookman Old Style"/>
                <w:bCs/>
                <w:i/>
              </w:rPr>
              <w:t>i</w:t>
            </w:r>
            <w:r w:rsidRPr="00CA1A93">
              <w:rPr>
                <w:rFonts w:ascii="Bookman Old Style" w:hAnsi="Bookman Old Style"/>
                <w:bCs/>
              </w:rPr>
              <w:t xml:space="preserve"> en el mes </w:t>
            </w:r>
            <w:r w:rsidRPr="00CA1A93">
              <w:rPr>
                <w:rFonts w:ascii="Bookman Old Style" w:hAnsi="Bookman Old Style"/>
                <w:bCs/>
                <w:i/>
              </w:rPr>
              <w:t>m</w:t>
            </w:r>
            <w:r w:rsidRPr="00CA1A93">
              <w:rPr>
                <w:rFonts w:ascii="Bookman Old Style" w:hAnsi="Bookman Old Style"/>
                <w:bCs/>
              </w:rPr>
              <w:t xml:space="preserve">, para el mercado de comercialización </w:t>
            </w:r>
            <w:r w:rsidRPr="00CA1A93">
              <w:rPr>
                <w:rFonts w:ascii="Bookman Old Style" w:hAnsi="Bookman Old Style"/>
                <w:bCs/>
                <w:i/>
              </w:rPr>
              <w:t>j</w:t>
            </w:r>
            <w:r w:rsidRPr="00CA1A93">
              <w:rPr>
                <w:rFonts w:ascii="Bookman Old Style" w:hAnsi="Bookman Old Style"/>
                <w:bCs/>
              </w:rPr>
              <w:t xml:space="preserve"> acuerdo con lo establecido en el </w:t>
            </w:r>
            <w:r>
              <w:rPr>
                <w:rFonts w:ascii="Bookman Old Style" w:hAnsi="Bookman Old Style"/>
                <w:bCs/>
              </w:rPr>
              <w:t>A</w:t>
            </w:r>
            <w:r w:rsidRPr="00CA1A93">
              <w:rPr>
                <w:rFonts w:ascii="Bookman Old Style" w:hAnsi="Bookman Old Style"/>
                <w:bCs/>
              </w:rPr>
              <w:t>nexo 2 de la Resolución CREG 030 de 2018.</w:t>
            </w:r>
          </w:p>
        </w:tc>
      </w:tr>
    </w:tbl>
    <w:p w:rsidR="00CB1407" w:rsidRPr="00CB1407" w:rsidRDefault="00CB1407" w:rsidP="005A6182">
      <w:pPr>
        <w:tabs>
          <w:tab w:val="left" w:pos="0"/>
          <w:tab w:val="left" w:pos="284"/>
        </w:tabs>
        <w:ind w:left="0"/>
        <w:jc w:val="both"/>
        <w:rPr>
          <w:rFonts w:ascii="Bookman Old Style" w:hAnsi="Bookman Old Style"/>
          <w:b/>
        </w:rPr>
      </w:pPr>
    </w:p>
    <w:p w:rsidR="00FF07E5" w:rsidRPr="00CB1407" w:rsidRDefault="00FF07E5" w:rsidP="00FF07E5">
      <w:pPr>
        <w:pStyle w:val="Prrafodelista"/>
        <w:numPr>
          <w:ilvl w:val="0"/>
          <w:numId w:val="33"/>
        </w:numPr>
        <w:tabs>
          <w:tab w:val="left" w:pos="0"/>
          <w:tab w:val="left" w:pos="284"/>
        </w:tabs>
        <w:ind w:left="0" w:firstLine="0"/>
        <w:jc w:val="both"/>
        <w:rPr>
          <w:rFonts w:ascii="Bookman Old Style" w:hAnsi="Bookman Old Style"/>
          <w:b/>
          <w:sz w:val="24"/>
          <w:szCs w:val="24"/>
        </w:rPr>
      </w:pPr>
      <w:r w:rsidRPr="00822F4A">
        <w:rPr>
          <w:rFonts w:ascii="Bookman Old Style" w:hAnsi="Bookman Old Style"/>
          <w:b/>
          <w:sz w:val="24"/>
          <w:szCs w:val="24"/>
        </w:rPr>
        <w:t>Vigencia.</w:t>
      </w:r>
      <w:r w:rsidRPr="00822F4A">
        <w:rPr>
          <w:rFonts w:ascii="Bookman Old Style" w:hAnsi="Bookman Old Style"/>
          <w:sz w:val="24"/>
          <w:szCs w:val="24"/>
        </w:rPr>
        <w:t xml:space="preserve"> La presente resolución </w:t>
      </w:r>
      <w:r w:rsidRPr="00CB1407">
        <w:rPr>
          <w:rFonts w:ascii="Bookman Old Style" w:hAnsi="Bookman Old Style"/>
          <w:sz w:val="24"/>
          <w:szCs w:val="24"/>
        </w:rPr>
        <w:t>rige a partir de su publicación en el Diario</w:t>
      </w:r>
      <w:r w:rsidRPr="00CB1407">
        <w:rPr>
          <w:rFonts w:ascii="Bookman Old Style" w:hAnsi="Bookman Old Style"/>
          <w:i/>
          <w:sz w:val="24"/>
          <w:szCs w:val="24"/>
        </w:rPr>
        <w:t xml:space="preserve"> Oficial</w:t>
      </w:r>
      <w:r w:rsidRPr="00CB1407">
        <w:rPr>
          <w:rFonts w:ascii="Bookman Old Style" w:hAnsi="Bookman Old Style"/>
          <w:sz w:val="24"/>
          <w:szCs w:val="24"/>
        </w:rPr>
        <w:t>.</w:t>
      </w:r>
    </w:p>
    <w:p w:rsidR="00045D3D" w:rsidRDefault="00045D3D" w:rsidP="00045D3D">
      <w:pPr>
        <w:ind w:left="0"/>
        <w:rPr>
          <w:rFonts w:ascii="Bookman Old Style" w:hAnsi="Bookman Old Style"/>
        </w:rPr>
      </w:pPr>
    </w:p>
    <w:p w:rsidR="006C2A67" w:rsidRDefault="006C2A67" w:rsidP="00045D3D">
      <w:pPr>
        <w:jc w:val="center"/>
        <w:rPr>
          <w:rFonts w:ascii="Bookman Old Style" w:hAnsi="Bookman Old Style"/>
          <w:b/>
        </w:rPr>
      </w:pPr>
    </w:p>
    <w:p w:rsidR="00045D3D" w:rsidRPr="00C435C3" w:rsidRDefault="00045D3D" w:rsidP="00045D3D">
      <w:pPr>
        <w:jc w:val="center"/>
        <w:rPr>
          <w:rFonts w:ascii="Bookman Old Style" w:hAnsi="Bookman Old Style"/>
          <w:b/>
        </w:rPr>
      </w:pPr>
      <w:r w:rsidRPr="00C435C3">
        <w:rPr>
          <w:rFonts w:ascii="Bookman Old Style" w:hAnsi="Bookman Old Style"/>
          <w:b/>
        </w:rPr>
        <w:t>PU</w:t>
      </w:r>
      <w:r w:rsidR="00CA03C8">
        <w:rPr>
          <w:rFonts w:ascii="Bookman Old Style" w:hAnsi="Bookman Old Style"/>
          <w:b/>
        </w:rPr>
        <w:t>B</w:t>
      </w:r>
      <w:r w:rsidRPr="00C435C3">
        <w:rPr>
          <w:rFonts w:ascii="Bookman Old Style" w:hAnsi="Bookman Old Style"/>
          <w:b/>
        </w:rPr>
        <w:t>LÍQUESE Y CÚMPLASE</w:t>
      </w:r>
    </w:p>
    <w:p w:rsidR="006C2A67" w:rsidRDefault="006C2A67" w:rsidP="00246929">
      <w:pPr>
        <w:ind w:left="0"/>
        <w:rPr>
          <w:rFonts w:ascii="Bookman Old Style" w:hAnsi="Bookman Old Style"/>
        </w:rPr>
      </w:pPr>
    </w:p>
    <w:p w:rsidR="006C2A67" w:rsidRDefault="006C2A67" w:rsidP="00246929">
      <w:pPr>
        <w:ind w:left="0"/>
        <w:rPr>
          <w:rFonts w:ascii="Bookman Old Style" w:hAnsi="Bookman Old Style"/>
        </w:rPr>
      </w:pPr>
    </w:p>
    <w:p w:rsidR="00246929" w:rsidRDefault="00246929" w:rsidP="00246929">
      <w:pPr>
        <w:ind w:left="0"/>
        <w:rPr>
          <w:rFonts w:ascii="Bookman Old Style" w:hAnsi="Bookman Old Style"/>
        </w:rPr>
      </w:pPr>
      <w:r>
        <w:rPr>
          <w:rFonts w:ascii="Bookman Old Style" w:hAnsi="Bookman Old Style"/>
        </w:rPr>
        <w:t>Firmas del proyecto,</w:t>
      </w:r>
    </w:p>
    <w:p w:rsidR="00246929" w:rsidRPr="00C435C3" w:rsidRDefault="00246929" w:rsidP="00246929">
      <w:pPr>
        <w:ind w:left="0"/>
        <w:rPr>
          <w:rFonts w:ascii="Bookman Old Style" w:hAnsi="Bookman Old Style"/>
        </w:rPr>
      </w:pPr>
    </w:p>
    <w:p w:rsidR="00A7382D" w:rsidRDefault="00A7382D" w:rsidP="00045D3D">
      <w:pPr>
        <w:ind w:left="0"/>
        <w:rPr>
          <w:rFonts w:ascii="Bookman Old Style" w:hAnsi="Bookman Old Style"/>
        </w:rPr>
      </w:pPr>
    </w:p>
    <w:p w:rsidR="00FF07E5" w:rsidRDefault="00FF07E5" w:rsidP="00045D3D">
      <w:pPr>
        <w:ind w:left="0"/>
        <w:rPr>
          <w:rFonts w:ascii="Bookman Old Style" w:hAnsi="Bookman Old Style"/>
        </w:rPr>
      </w:pPr>
    </w:p>
    <w:p w:rsidR="00FF07E5" w:rsidRDefault="00FF07E5" w:rsidP="00045D3D">
      <w:pPr>
        <w:ind w:left="0"/>
        <w:rPr>
          <w:rFonts w:ascii="Bookman Old Style" w:hAnsi="Bookman Old Style"/>
        </w:rPr>
      </w:pPr>
    </w:p>
    <w:p w:rsidR="00246929" w:rsidRPr="001A11B2" w:rsidRDefault="00246929" w:rsidP="00246929">
      <w:pPr>
        <w:ind w:left="0"/>
        <w:rPr>
          <w:rFonts w:ascii="Bookman Old Style" w:hAnsi="Bookman Old Style"/>
        </w:rPr>
      </w:pPr>
    </w:p>
    <w:tbl>
      <w:tblPr>
        <w:tblW w:w="9498" w:type="dxa"/>
        <w:tblInd w:w="-147" w:type="dxa"/>
        <w:tblLayout w:type="fixed"/>
        <w:tblCellMar>
          <w:left w:w="0" w:type="dxa"/>
          <w:right w:w="0" w:type="dxa"/>
        </w:tblCellMar>
        <w:tblLook w:val="04A0" w:firstRow="1" w:lastRow="0" w:firstColumn="1" w:lastColumn="0" w:noHBand="0" w:noVBand="1"/>
      </w:tblPr>
      <w:tblGrid>
        <w:gridCol w:w="4964"/>
        <w:gridCol w:w="4534"/>
      </w:tblGrid>
      <w:tr w:rsidR="00FD0865" w:rsidRPr="001A11B2" w:rsidTr="00FD0865">
        <w:tc>
          <w:tcPr>
            <w:tcW w:w="4964" w:type="dxa"/>
          </w:tcPr>
          <w:p w:rsidR="00FD0865" w:rsidRPr="001A11B2" w:rsidRDefault="00392215" w:rsidP="00392215">
            <w:pPr>
              <w:snapToGrid w:val="0"/>
              <w:ind w:left="0"/>
              <w:jc w:val="center"/>
              <w:rPr>
                <w:rFonts w:ascii="Bookman Old Style" w:hAnsi="Bookman Old Style" w:cs="Arial"/>
                <w:b/>
                <w:bCs/>
              </w:rPr>
            </w:pPr>
            <w:r>
              <w:rPr>
                <w:rFonts w:ascii="Bookman Old Style" w:hAnsi="Bookman Old Style" w:cs="Arial"/>
                <w:b/>
                <w:bCs/>
              </w:rPr>
              <w:t>MARÍ</w:t>
            </w:r>
            <w:r w:rsidR="00FD0865">
              <w:rPr>
                <w:rFonts w:ascii="Bookman Old Style" w:hAnsi="Bookman Old Style" w:cs="Arial"/>
                <w:b/>
                <w:bCs/>
              </w:rPr>
              <w:t>A FERNANDA SU</w:t>
            </w:r>
            <w:r>
              <w:rPr>
                <w:rFonts w:ascii="Bookman Old Style" w:hAnsi="Bookman Old Style" w:cs="Arial"/>
                <w:b/>
                <w:bCs/>
              </w:rPr>
              <w:t>Á</w:t>
            </w:r>
            <w:r w:rsidR="00FD0865">
              <w:rPr>
                <w:rFonts w:ascii="Bookman Old Style" w:hAnsi="Bookman Old Style" w:cs="Arial"/>
                <w:b/>
                <w:bCs/>
              </w:rPr>
              <w:t>REZ LONDOÑO</w:t>
            </w:r>
          </w:p>
        </w:tc>
        <w:tc>
          <w:tcPr>
            <w:tcW w:w="4534" w:type="dxa"/>
            <w:hideMark/>
          </w:tcPr>
          <w:p w:rsidR="00FD0865" w:rsidRPr="001A11B2" w:rsidRDefault="00FD0865" w:rsidP="00FD0865">
            <w:pPr>
              <w:snapToGrid w:val="0"/>
              <w:ind w:left="141"/>
              <w:jc w:val="center"/>
              <w:rPr>
                <w:rFonts w:ascii="Bookman Old Style" w:hAnsi="Bookman Old Style" w:cs="Arial"/>
                <w:b/>
                <w:bCs/>
              </w:rPr>
            </w:pPr>
            <w:r>
              <w:rPr>
                <w:rFonts w:ascii="Bookman Old Style" w:hAnsi="Bookman Old Style" w:cs="Arial"/>
                <w:b/>
                <w:bCs/>
              </w:rPr>
              <w:t>CH</w:t>
            </w:r>
            <w:r w:rsidR="00392215">
              <w:rPr>
                <w:rFonts w:ascii="Bookman Old Style" w:hAnsi="Bookman Old Style" w:cs="Arial"/>
                <w:b/>
                <w:bCs/>
              </w:rPr>
              <w:t>R</w:t>
            </w:r>
            <w:r>
              <w:rPr>
                <w:rFonts w:ascii="Bookman Old Style" w:hAnsi="Bookman Old Style" w:cs="Arial"/>
                <w:b/>
                <w:bCs/>
              </w:rPr>
              <w:t>ISTIAN JARAMILLO HERRERA</w:t>
            </w:r>
          </w:p>
        </w:tc>
      </w:tr>
      <w:tr w:rsidR="00FD0865" w:rsidRPr="001A11B2" w:rsidTr="00FD0865">
        <w:tc>
          <w:tcPr>
            <w:tcW w:w="4964" w:type="dxa"/>
          </w:tcPr>
          <w:p w:rsidR="00FD0865" w:rsidRPr="001A11B2" w:rsidRDefault="00FD0865" w:rsidP="00FD0865">
            <w:pPr>
              <w:snapToGrid w:val="0"/>
              <w:ind w:left="0"/>
              <w:jc w:val="center"/>
              <w:rPr>
                <w:rFonts w:ascii="Bookman Old Style" w:hAnsi="Bookman Old Style" w:cs="Arial"/>
              </w:rPr>
            </w:pPr>
            <w:r>
              <w:rPr>
                <w:rFonts w:ascii="Bookman Old Style" w:hAnsi="Bookman Old Style" w:cs="Arial"/>
              </w:rPr>
              <w:t>Ministra</w:t>
            </w:r>
            <w:r w:rsidRPr="001A11B2">
              <w:rPr>
                <w:rFonts w:ascii="Bookman Old Style" w:hAnsi="Bookman Old Style" w:cs="Arial"/>
              </w:rPr>
              <w:t xml:space="preserve"> de Minas y Energía</w:t>
            </w:r>
          </w:p>
          <w:p w:rsidR="00FD0865" w:rsidRPr="001A11B2" w:rsidRDefault="00FD0865" w:rsidP="00FD0865">
            <w:pPr>
              <w:snapToGrid w:val="0"/>
              <w:ind w:left="0"/>
              <w:jc w:val="center"/>
              <w:rPr>
                <w:rFonts w:ascii="Bookman Old Style" w:hAnsi="Bookman Old Style" w:cs="Arial"/>
              </w:rPr>
            </w:pPr>
            <w:r>
              <w:rPr>
                <w:rFonts w:ascii="Bookman Old Style" w:hAnsi="Bookman Old Style" w:cs="Arial"/>
              </w:rPr>
              <w:t xml:space="preserve">        </w:t>
            </w:r>
            <w:r w:rsidRPr="001A11B2">
              <w:rPr>
                <w:rFonts w:ascii="Bookman Old Style" w:hAnsi="Bookman Old Style" w:cs="Arial"/>
              </w:rPr>
              <w:t>Presidente</w:t>
            </w:r>
          </w:p>
        </w:tc>
        <w:tc>
          <w:tcPr>
            <w:tcW w:w="4534" w:type="dxa"/>
            <w:hideMark/>
          </w:tcPr>
          <w:p w:rsidR="00FD0865" w:rsidRPr="001A11B2" w:rsidRDefault="00FD0865" w:rsidP="00FD0865">
            <w:pPr>
              <w:snapToGrid w:val="0"/>
              <w:jc w:val="center"/>
              <w:rPr>
                <w:rFonts w:ascii="Bookman Old Style" w:hAnsi="Bookman Old Style" w:cs="Arial"/>
              </w:rPr>
            </w:pPr>
            <w:r w:rsidRPr="001A11B2">
              <w:rPr>
                <w:rFonts w:ascii="Bookman Old Style" w:hAnsi="Bookman Old Style" w:cs="Arial"/>
              </w:rPr>
              <w:t>Director Ejecutivo</w:t>
            </w:r>
          </w:p>
        </w:tc>
      </w:tr>
    </w:tbl>
    <w:p w:rsidR="00E060BE" w:rsidRPr="00E060BE" w:rsidRDefault="00E060BE" w:rsidP="002E41B4">
      <w:pPr>
        <w:ind w:left="0"/>
        <w:rPr>
          <w:rFonts w:ascii="Bookman Old Style" w:hAnsi="Bookman Old Style" w:cs="Arial"/>
        </w:rPr>
      </w:pPr>
    </w:p>
    <w:sectPr w:rsidR="00E060BE" w:rsidRPr="00E060BE" w:rsidSect="005A59EF">
      <w:headerReference w:type="default" r:id="rId12"/>
      <w:headerReference w:type="first" r:id="rId13"/>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6E10" w:rsidRDefault="00D66E10">
      <w:r>
        <w:separator/>
      </w:r>
    </w:p>
  </w:endnote>
  <w:endnote w:type="continuationSeparator" w:id="0">
    <w:p w:rsidR="00D66E10" w:rsidRDefault="00D66E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6E10" w:rsidRDefault="00D66E10">
      <w:r>
        <w:separator/>
      </w:r>
    </w:p>
  </w:footnote>
  <w:footnote w:type="continuationSeparator" w:id="0">
    <w:p w:rsidR="00D66E10" w:rsidRDefault="00D66E1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6388" w:rsidRDefault="00DB6388" w:rsidP="00951F79">
    <w:pPr>
      <w:pStyle w:val="Ttulo1"/>
      <w:ind w:right="6"/>
      <w:jc w:val="left"/>
      <w:rPr>
        <w:rFonts w:ascii="Bookman Old Style" w:hAnsi="Bookman Old Style" w:cs="Arial"/>
        <w:b w:val="0"/>
        <w:sz w:val="22"/>
        <w:szCs w:val="22"/>
      </w:rPr>
    </w:pPr>
  </w:p>
  <w:p w:rsidR="00DB6388" w:rsidRPr="00951F79" w:rsidRDefault="00DB6388"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CD4069">
      <w:rPr>
        <w:rFonts w:ascii="Bookman Old Style" w:hAnsi="Bookman Old Style" w:cs="Arial"/>
        <w:b w:val="0"/>
        <w:noProof/>
        <w:sz w:val="22"/>
        <w:szCs w:val="22"/>
      </w:rPr>
      <w:t>10</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CD4069">
      <w:fldChar w:fldCharType="begin"/>
    </w:r>
    <w:r w:rsidR="00CD4069">
      <w:instrText xml:space="preserve"> NUMPAGES  \* MERGEFORMAT </w:instrText>
    </w:r>
    <w:r w:rsidR="00CD4069">
      <w:fldChar w:fldCharType="separate"/>
    </w:r>
    <w:r w:rsidR="00CD4069" w:rsidRPr="00CD4069">
      <w:rPr>
        <w:rFonts w:ascii="Bookman Old Style" w:hAnsi="Bookman Old Style" w:cs="Arial"/>
        <w:b w:val="0"/>
        <w:noProof/>
        <w:sz w:val="22"/>
        <w:szCs w:val="22"/>
      </w:rPr>
      <w:t>10</w:t>
    </w:r>
    <w:r w:rsidR="00CD4069">
      <w:rPr>
        <w:rFonts w:ascii="Bookman Old Style" w:hAnsi="Bookman Old Style" w:cs="Arial"/>
        <w:b w:val="0"/>
        <w:noProof/>
        <w:sz w:val="22"/>
        <w:szCs w:val="22"/>
      </w:rPr>
      <w:fldChar w:fldCharType="end"/>
    </w:r>
  </w:p>
  <w:p w:rsidR="00DB6388" w:rsidRPr="00C35EAB" w:rsidRDefault="00DB6388" w:rsidP="00AD01E4">
    <w:pPr>
      <w:ind w:left="142" w:right="148"/>
      <w:rPr>
        <w:rFonts w:ascii="Bookman Old Style" w:hAnsi="Bookman Old Style" w:cs="Arial"/>
        <w:sz w:val="22"/>
      </w:rPr>
    </w:pPr>
    <w:r w:rsidRPr="0042068C">
      <w:rPr>
        <w:noProof/>
        <w:lang w:val="es-CO" w:eastAsia="es-CO"/>
      </w:rPr>
      <mc:AlternateContent>
        <mc:Choice Requires="wps">
          <w:drawing>
            <wp:anchor distT="0" distB="0" distL="114300" distR="114300" simplePos="0" relativeHeight="251657216" behindDoc="0" locked="0" layoutInCell="1" allowOverlap="1">
              <wp:simplePos x="0" y="0"/>
              <wp:positionH relativeFrom="column">
                <wp:posOffset>-175260</wp:posOffset>
              </wp:positionH>
              <wp:positionV relativeFrom="paragraph">
                <wp:posOffset>139065</wp:posOffset>
              </wp:positionV>
              <wp:extent cx="6267450" cy="9900920"/>
              <wp:effectExtent l="9525" t="12065" r="9525" b="1206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08320F"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DB6388" w:rsidRDefault="00DB6388" w:rsidP="00EC1A9B">
    <w:pPr>
      <w:ind w:left="0"/>
      <w:jc w:val="center"/>
      <w:rPr>
        <w:rFonts w:ascii="Bookman Old Style" w:hAnsi="Bookman Old Style"/>
        <w:i/>
        <w:sz w:val="22"/>
      </w:rPr>
    </w:pPr>
    <w:r w:rsidRPr="00C35EAB">
      <w:rPr>
        <w:rFonts w:ascii="Bookman Old Style" w:hAnsi="Bookman Old Style" w:cs="Arial"/>
        <w:sz w:val="22"/>
      </w:rPr>
      <w:t xml:space="preserve">Por la cual se ordena hacer público un proyecto de resolución </w:t>
    </w:r>
    <w:r w:rsidRPr="00C35EAB">
      <w:rPr>
        <w:rFonts w:ascii="Bookman Old Style" w:hAnsi="Bookman Old Style" w:cs="Arial"/>
        <w:i/>
        <w:sz w:val="22"/>
      </w:rPr>
      <w:t>“</w:t>
    </w:r>
    <w:r w:rsidR="005C4705">
      <w:rPr>
        <w:rFonts w:ascii="Bookman Old Style" w:hAnsi="Bookman Old Style" w:cs="Arial"/>
        <w:i/>
        <w:sz w:val="22"/>
      </w:rPr>
      <w:t xml:space="preserve">Por la cual se adopta la </w:t>
    </w:r>
    <w:r w:rsidR="005C4705">
      <w:rPr>
        <w:rFonts w:ascii="Bookman Old Style" w:hAnsi="Bookman Old Style"/>
        <w:i/>
        <w:sz w:val="22"/>
      </w:rPr>
      <w:t>f</w:t>
    </w:r>
    <w:r w:rsidRPr="00C35EAB">
      <w:rPr>
        <w:rFonts w:ascii="Bookman Old Style" w:hAnsi="Bookman Old Style"/>
        <w:i/>
        <w:sz w:val="22"/>
      </w:rPr>
      <w:t>órmula de traslado en el componente de compras de energía al usuario regulado de los precios de los contratos del mecanismo complementario del que trata el artículo 6 de la Resolución 40591 de 2019 del Ministerio de Minas y Energía.”</w:t>
    </w:r>
  </w:p>
  <w:p w:rsidR="00392215" w:rsidRDefault="00392215" w:rsidP="00EC1A9B">
    <w:pPr>
      <w:ind w:left="0"/>
      <w:jc w:val="center"/>
      <w:rPr>
        <w:rFonts w:ascii="Bookman Old Style" w:hAnsi="Bookman Old Style"/>
        <w:i/>
        <w:sz w:val="22"/>
      </w:rPr>
    </w:pPr>
    <w:r>
      <w:rPr>
        <w:rFonts w:ascii="Bookman Old Style" w:hAnsi="Bookman Old Style"/>
        <w:i/>
        <w:sz w:val="22"/>
      </w:rPr>
      <w:t>____________________________________________________________________________________</w:t>
    </w:r>
  </w:p>
  <w:p w:rsidR="005C4705" w:rsidRPr="00C35EAB" w:rsidRDefault="005C4705" w:rsidP="00EC1A9B">
    <w:pPr>
      <w:ind w:left="0"/>
      <w:jc w:val="center"/>
      <w:rPr>
        <w:rFonts w:ascii="Bookman Old Style" w:hAnsi="Bookman Old Style"/>
        <w:sz w:val="22"/>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6388" w:rsidRDefault="00DB6388"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DB6388" w:rsidRDefault="00DB6388">
    <w:pPr>
      <w:pStyle w:val="Encabezado"/>
      <w:jc w:val="center"/>
      <w:rPr>
        <w:rFonts w:ascii="Arial" w:hAnsi="Arial" w:cs="Arial"/>
        <w:spacing w:val="20"/>
        <w:sz w:val="20"/>
      </w:rPr>
    </w:pPr>
  </w:p>
  <w:p w:rsidR="00DB6388" w:rsidRDefault="00DB6388" w:rsidP="00CA77FB">
    <w:pPr>
      <w:pStyle w:val="Encabezado"/>
      <w:jc w:val="center"/>
    </w:pPr>
    <w:r w:rsidRPr="0042068C">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9525" t="14605" r="9525" b="1397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48DDCD"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12801E2"/>
    <w:multiLevelType w:val="hybridMultilevel"/>
    <w:tmpl w:val="DBD61922"/>
    <w:lvl w:ilvl="0" w:tplc="240A000F">
      <w:start w:val="1"/>
      <w:numFmt w:val="decimal"/>
      <w:lvlText w:val="%1."/>
      <w:lvlJc w:val="left"/>
      <w:pPr>
        <w:ind w:left="1287" w:hanging="360"/>
      </w:pPr>
    </w:lvl>
    <w:lvl w:ilvl="1" w:tplc="240A0019">
      <w:start w:val="1"/>
      <w:numFmt w:val="lowerLetter"/>
      <w:lvlText w:val="%2."/>
      <w:lvlJc w:val="left"/>
      <w:pPr>
        <w:ind w:left="2007" w:hanging="360"/>
      </w:pPr>
    </w:lvl>
    <w:lvl w:ilvl="2" w:tplc="240A001B">
      <w:start w:val="1"/>
      <w:numFmt w:val="lowerRoman"/>
      <w:lvlText w:val="%3."/>
      <w:lvlJc w:val="right"/>
      <w:pPr>
        <w:ind w:left="2727" w:hanging="180"/>
      </w:pPr>
    </w:lvl>
    <w:lvl w:ilvl="3" w:tplc="240A000F">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3" w15:restartNumberingAfterBreak="0">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4" w15:restartNumberingAfterBreak="0">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 w15:restartNumberingAfterBreak="0">
    <w:nsid w:val="0A4E167B"/>
    <w:multiLevelType w:val="hybridMultilevel"/>
    <w:tmpl w:val="C9F4302C"/>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0DF34E68"/>
    <w:multiLevelType w:val="hybridMultilevel"/>
    <w:tmpl w:val="AB9E58D8"/>
    <w:lvl w:ilvl="0" w:tplc="2990F024">
      <w:start w:val="1"/>
      <w:numFmt w:val="decimal"/>
      <w:lvlText w:val="Artículo %1."/>
      <w:lvlJc w:val="left"/>
      <w:pPr>
        <w:ind w:left="720" w:hanging="360"/>
      </w:pPr>
      <w:rPr>
        <w:rFonts w:hint="default"/>
        <w:b/>
        <w:i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17B704D3"/>
    <w:multiLevelType w:val="hybridMultilevel"/>
    <w:tmpl w:val="BAC227F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199F1C7E"/>
    <w:multiLevelType w:val="hybridMultilevel"/>
    <w:tmpl w:val="AB9E58D8"/>
    <w:lvl w:ilvl="0" w:tplc="2990F024">
      <w:start w:val="1"/>
      <w:numFmt w:val="decimal"/>
      <w:lvlText w:val="Artículo %1."/>
      <w:lvlJc w:val="left"/>
      <w:pPr>
        <w:ind w:left="720" w:hanging="360"/>
      </w:pPr>
      <w:rPr>
        <w:rFonts w:hint="default"/>
        <w:b/>
        <w:i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A543BDE"/>
    <w:multiLevelType w:val="hybridMultilevel"/>
    <w:tmpl w:val="88C69FD6"/>
    <w:lvl w:ilvl="0" w:tplc="7EC2704A">
      <w:start w:val="1"/>
      <w:numFmt w:val="decimal"/>
      <w:lvlText w:val="%1."/>
      <w:lvlJc w:val="left"/>
      <w:pPr>
        <w:ind w:left="720" w:hanging="360"/>
      </w:pPr>
      <w:rPr>
        <w:rFonts w:hint="default"/>
        <w:b/>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E36397C"/>
    <w:multiLevelType w:val="hybridMultilevel"/>
    <w:tmpl w:val="FB64CE52"/>
    <w:lvl w:ilvl="0" w:tplc="240A0001">
      <w:start w:val="1"/>
      <w:numFmt w:val="bullet"/>
      <w:lvlText w:val=""/>
      <w:lvlJc w:val="left"/>
      <w:pPr>
        <w:ind w:left="1522" w:hanging="360"/>
      </w:pPr>
      <w:rPr>
        <w:rFonts w:ascii="Symbol" w:hAnsi="Symbol" w:hint="default"/>
      </w:rPr>
    </w:lvl>
    <w:lvl w:ilvl="1" w:tplc="240A0003" w:tentative="1">
      <w:start w:val="1"/>
      <w:numFmt w:val="bullet"/>
      <w:lvlText w:val="o"/>
      <w:lvlJc w:val="left"/>
      <w:pPr>
        <w:ind w:left="2242" w:hanging="360"/>
      </w:pPr>
      <w:rPr>
        <w:rFonts w:ascii="Courier New" w:hAnsi="Courier New" w:cs="Courier New" w:hint="default"/>
      </w:rPr>
    </w:lvl>
    <w:lvl w:ilvl="2" w:tplc="240A0005" w:tentative="1">
      <w:start w:val="1"/>
      <w:numFmt w:val="bullet"/>
      <w:lvlText w:val=""/>
      <w:lvlJc w:val="left"/>
      <w:pPr>
        <w:ind w:left="2962" w:hanging="360"/>
      </w:pPr>
      <w:rPr>
        <w:rFonts w:ascii="Wingdings" w:hAnsi="Wingdings" w:hint="default"/>
      </w:rPr>
    </w:lvl>
    <w:lvl w:ilvl="3" w:tplc="240A0001" w:tentative="1">
      <w:start w:val="1"/>
      <w:numFmt w:val="bullet"/>
      <w:lvlText w:val=""/>
      <w:lvlJc w:val="left"/>
      <w:pPr>
        <w:ind w:left="3682" w:hanging="360"/>
      </w:pPr>
      <w:rPr>
        <w:rFonts w:ascii="Symbol" w:hAnsi="Symbol" w:hint="default"/>
      </w:rPr>
    </w:lvl>
    <w:lvl w:ilvl="4" w:tplc="240A0003" w:tentative="1">
      <w:start w:val="1"/>
      <w:numFmt w:val="bullet"/>
      <w:lvlText w:val="o"/>
      <w:lvlJc w:val="left"/>
      <w:pPr>
        <w:ind w:left="4402" w:hanging="360"/>
      </w:pPr>
      <w:rPr>
        <w:rFonts w:ascii="Courier New" w:hAnsi="Courier New" w:cs="Courier New" w:hint="default"/>
      </w:rPr>
    </w:lvl>
    <w:lvl w:ilvl="5" w:tplc="240A0005" w:tentative="1">
      <w:start w:val="1"/>
      <w:numFmt w:val="bullet"/>
      <w:lvlText w:val=""/>
      <w:lvlJc w:val="left"/>
      <w:pPr>
        <w:ind w:left="5122" w:hanging="360"/>
      </w:pPr>
      <w:rPr>
        <w:rFonts w:ascii="Wingdings" w:hAnsi="Wingdings" w:hint="default"/>
      </w:rPr>
    </w:lvl>
    <w:lvl w:ilvl="6" w:tplc="240A0001" w:tentative="1">
      <w:start w:val="1"/>
      <w:numFmt w:val="bullet"/>
      <w:lvlText w:val=""/>
      <w:lvlJc w:val="left"/>
      <w:pPr>
        <w:ind w:left="5842" w:hanging="360"/>
      </w:pPr>
      <w:rPr>
        <w:rFonts w:ascii="Symbol" w:hAnsi="Symbol" w:hint="default"/>
      </w:rPr>
    </w:lvl>
    <w:lvl w:ilvl="7" w:tplc="240A0003" w:tentative="1">
      <w:start w:val="1"/>
      <w:numFmt w:val="bullet"/>
      <w:lvlText w:val="o"/>
      <w:lvlJc w:val="left"/>
      <w:pPr>
        <w:ind w:left="6562" w:hanging="360"/>
      </w:pPr>
      <w:rPr>
        <w:rFonts w:ascii="Courier New" w:hAnsi="Courier New" w:cs="Courier New" w:hint="default"/>
      </w:rPr>
    </w:lvl>
    <w:lvl w:ilvl="8" w:tplc="240A0005" w:tentative="1">
      <w:start w:val="1"/>
      <w:numFmt w:val="bullet"/>
      <w:lvlText w:val=""/>
      <w:lvlJc w:val="left"/>
      <w:pPr>
        <w:ind w:left="7282" w:hanging="360"/>
      </w:pPr>
      <w:rPr>
        <w:rFonts w:ascii="Wingdings" w:hAnsi="Wingdings" w:hint="default"/>
      </w:rPr>
    </w:lvl>
  </w:abstractNum>
  <w:abstractNum w:abstractNumId="13" w15:restartNumberingAfterBreak="0">
    <w:nsid w:val="24D95FE5"/>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26205D51"/>
    <w:multiLevelType w:val="hybridMultilevel"/>
    <w:tmpl w:val="80327FD8"/>
    <w:lvl w:ilvl="0" w:tplc="240A0019">
      <w:start w:val="1"/>
      <w:numFmt w:val="lowerLetter"/>
      <w:lvlText w:val="%1."/>
      <w:lvlJc w:val="left"/>
      <w:pPr>
        <w:ind w:left="720" w:hanging="360"/>
      </w:pPr>
    </w:lvl>
    <w:lvl w:ilvl="1" w:tplc="240A001B">
      <w:start w:val="1"/>
      <w:numFmt w:val="lowerRoman"/>
      <w:lvlText w:val="%2."/>
      <w:lvlJc w:val="righ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26F3645B"/>
    <w:multiLevelType w:val="hybridMultilevel"/>
    <w:tmpl w:val="1694859A"/>
    <w:lvl w:ilvl="0" w:tplc="C40C8C5C">
      <w:numFmt w:val="bullet"/>
      <w:lvlText w:val=""/>
      <w:lvlJc w:val="left"/>
      <w:pPr>
        <w:ind w:left="645" w:hanging="360"/>
      </w:pPr>
      <w:rPr>
        <w:rFonts w:ascii="Symbol" w:eastAsia="Times New Roman" w:hAnsi="Symbol" w:cs="Times New Roman" w:hint="default"/>
      </w:rPr>
    </w:lvl>
    <w:lvl w:ilvl="1" w:tplc="240A0003" w:tentative="1">
      <w:start w:val="1"/>
      <w:numFmt w:val="bullet"/>
      <w:lvlText w:val="o"/>
      <w:lvlJc w:val="left"/>
      <w:pPr>
        <w:ind w:left="1365" w:hanging="360"/>
      </w:pPr>
      <w:rPr>
        <w:rFonts w:ascii="Courier New" w:hAnsi="Courier New" w:cs="Courier New" w:hint="default"/>
      </w:rPr>
    </w:lvl>
    <w:lvl w:ilvl="2" w:tplc="240A0005" w:tentative="1">
      <w:start w:val="1"/>
      <w:numFmt w:val="bullet"/>
      <w:lvlText w:val=""/>
      <w:lvlJc w:val="left"/>
      <w:pPr>
        <w:ind w:left="2085" w:hanging="360"/>
      </w:pPr>
      <w:rPr>
        <w:rFonts w:ascii="Wingdings" w:hAnsi="Wingdings" w:hint="default"/>
      </w:rPr>
    </w:lvl>
    <w:lvl w:ilvl="3" w:tplc="240A0001" w:tentative="1">
      <w:start w:val="1"/>
      <w:numFmt w:val="bullet"/>
      <w:lvlText w:val=""/>
      <w:lvlJc w:val="left"/>
      <w:pPr>
        <w:ind w:left="2805" w:hanging="360"/>
      </w:pPr>
      <w:rPr>
        <w:rFonts w:ascii="Symbol" w:hAnsi="Symbol" w:hint="default"/>
      </w:rPr>
    </w:lvl>
    <w:lvl w:ilvl="4" w:tplc="240A0003" w:tentative="1">
      <w:start w:val="1"/>
      <w:numFmt w:val="bullet"/>
      <w:lvlText w:val="o"/>
      <w:lvlJc w:val="left"/>
      <w:pPr>
        <w:ind w:left="3525" w:hanging="360"/>
      </w:pPr>
      <w:rPr>
        <w:rFonts w:ascii="Courier New" w:hAnsi="Courier New" w:cs="Courier New" w:hint="default"/>
      </w:rPr>
    </w:lvl>
    <w:lvl w:ilvl="5" w:tplc="240A0005" w:tentative="1">
      <w:start w:val="1"/>
      <w:numFmt w:val="bullet"/>
      <w:lvlText w:val=""/>
      <w:lvlJc w:val="left"/>
      <w:pPr>
        <w:ind w:left="4245" w:hanging="360"/>
      </w:pPr>
      <w:rPr>
        <w:rFonts w:ascii="Wingdings" w:hAnsi="Wingdings" w:hint="default"/>
      </w:rPr>
    </w:lvl>
    <w:lvl w:ilvl="6" w:tplc="240A0001" w:tentative="1">
      <w:start w:val="1"/>
      <w:numFmt w:val="bullet"/>
      <w:lvlText w:val=""/>
      <w:lvlJc w:val="left"/>
      <w:pPr>
        <w:ind w:left="4965" w:hanging="360"/>
      </w:pPr>
      <w:rPr>
        <w:rFonts w:ascii="Symbol" w:hAnsi="Symbol" w:hint="default"/>
      </w:rPr>
    </w:lvl>
    <w:lvl w:ilvl="7" w:tplc="240A0003" w:tentative="1">
      <w:start w:val="1"/>
      <w:numFmt w:val="bullet"/>
      <w:lvlText w:val="o"/>
      <w:lvlJc w:val="left"/>
      <w:pPr>
        <w:ind w:left="5685" w:hanging="360"/>
      </w:pPr>
      <w:rPr>
        <w:rFonts w:ascii="Courier New" w:hAnsi="Courier New" w:cs="Courier New" w:hint="default"/>
      </w:rPr>
    </w:lvl>
    <w:lvl w:ilvl="8" w:tplc="240A0005" w:tentative="1">
      <w:start w:val="1"/>
      <w:numFmt w:val="bullet"/>
      <w:lvlText w:val=""/>
      <w:lvlJc w:val="left"/>
      <w:pPr>
        <w:ind w:left="6405" w:hanging="360"/>
      </w:pPr>
      <w:rPr>
        <w:rFonts w:ascii="Wingdings" w:hAnsi="Wingdings" w:hint="default"/>
      </w:rPr>
    </w:lvl>
  </w:abstractNum>
  <w:abstractNum w:abstractNumId="17" w15:restartNumberingAfterBreak="0">
    <w:nsid w:val="299161C9"/>
    <w:multiLevelType w:val="hybridMultilevel"/>
    <w:tmpl w:val="E5C09086"/>
    <w:lvl w:ilvl="0" w:tplc="CB0AE6F4">
      <w:start w:val="1"/>
      <w:numFmt w:val="decimal"/>
      <w:lvlText w:val="%1."/>
      <w:lvlJc w:val="left"/>
      <w:pPr>
        <w:ind w:left="1800" w:hanging="360"/>
      </w:pPr>
      <w:rPr>
        <w:rFonts w:hint="default"/>
        <w:b/>
      </w:rPr>
    </w:lvl>
    <w:lvl w:ilvl="1" w:tplc="240A0019">
      <w:start w:val="1"/>
      <w:numFmt w:val="lowerLetter"/>
      <w:lvlText w:val="%2."/>
      <w:lvlJc w:val="left"/>
      <w:pPr>
        <w:ind w:left="2520" w:hanging="360"/>
      </w:pPr>
    </w:lvl>
    <w:lvl w:ilvl="2" w:tplc="240A001B" w:tentative="1">
      <w:start w:val="1"/>
      <w:numFmt w:val="lowerRoman"/>
      <w:lvlText w:val="%3."/>
      <w:lvlJc w:val="right"/>
      <w:pPr>
        <w:ind w:left="3240" w:hanging="180"/>
      </w:pPr>
    </w:lvl>
    <w:lvl w:ilvl="3" w:tplc="240A000F" w:tentative="1">
      <w:start w:val="1"/>
      <w:numFmt w:val="decimal"/>
      <w:lvlText w:val="%4."/>
      <w:lvlJc w:val="left"/>
      <w:pPr>
        <w:ind w:left="3960" w:hanging="360"/>
      </w:pPr>
    </w:lvl>
    <w:lvl w:ilvl="4" w:tplc="240A0019" w:tentative="1">
      <w:start w:val="1"/>
      <w:numFmt w:val="lowerLetter"/>
      <w:lvlText w:val="%5."/>
      <w:lvlJc w:val="left"/>
      <w:pPr>
        <w:ind w:left="4680" w:hanging="360"/>
      </w:pPr>
    </w:lvl>
    <w:lvl w:ilvl="5" w:tplc="240A001B" w:tentative="1">
      <w:start w:val="1"/>
      <w:numFmt w:val="lowerRoman"/>
      <w:lvlText w:val="%6."/>
      <w:lvlJc w:val="right"/>
      <w:pPr>
        <w:ind w:left="5400" w:hanging="180"/>
      </w:pPr>
    </w:lvl>
    <w:lvl w:ilvl="6" w:tplc="240A000F" w:tentative="1">
      <w:start w:val="1"/>
      <w:numFmt w:val="decimal"/>
      <w:lvlText w:val="%7."/>
      <w:lvlJc w:val="left"/>
      <w:pPr>
        <w:ind w:left="6120" w:hanging="360"/>
      </w:pPr>
    </w:lvl>
    <w:lvl w:ilvl="7" w:tplc="240A0019" w:tentative="1">
      <w:start w:val="1"/>
      <w:numFmt w:val="lowerLetter"/>
      <w:lvlText w:val="%8."/>
      <w:lvlJc w:val="left"/>
      <w:pPr>
        <w:ind w:left="6840" w:hanging="360"/>
      </w:pPr>
    </w:lvl>
    <w:lvl w:ilvl="8" w:tplc="240A001B" w:tentative="1">
      <w:start w:val="1"/>
      <w:numFmt w:val="lowerRoman"/>
      <w:lvlText w:val="%9."/>
      <w:lvlJc w:val="right"/>
      <w:pPr>
        <w:ind w:left="7560" w:hanging="180"/>
      </w:pPr>
    </w:lvl>
  </w:abstractNum>
  <w:abstractNum w:abstractNumId="18" w15:restartNumberingAfterBreak="0">
    <w:nsid w:val="2BEE0B56"/>
    <w:multiLevelType w:val="multilevel"/>
    <w:tmpl w:val="7F7AFBB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9" w15:restartNumberingAfterBreak="0">
    <w:nsid w:val="2C323142"/>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0" w15:restartNumberingAfterBreak="0">
    <w:nsid w:val="338D670D"/>
    <w:multiLevelType w:val="hybridMultilevel"/>
    <w:tmpl w:val="619AD000"/>
    <w:lvl w:ilvl="0" w:tplc="2C8EB58C">
      <w:start w:val="1"/>
      <w:numFmt w:val="lowerLetter"/>
      <w:lvlText w:val="%1."/>
      <w:lvlJc w:val="left"/>
      <w:pPr>
        <w:ind w:left="1068"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7463922"/>
    <w:multiLevelType w:val="hybridMultilevel"/>
    <w:tmpl w:val="23327FA2"/>
    <w:lvl w:ilvl="0" w:tplc="240A0001">
      <w:start w:val="1"/>
      <w:numFmt w:val="bullet"/>
      <w:lvlText w:val=""/>
      <w:lvlJc w:val="left"/>
      <w:pPr>
        <w:ind w:left="1004" w:hanging="360"/>
      </w:pPr>
      <w:rPr>
        <w:rFonts w:ascii="Symbol" w:hAnsi="Symbol" w:hint="default"/>
      </w:rPr>
    </w:lvl>
    <w:lvl w:ilvl="1" w:tplc="240A0003" w:tentative="1">
      <w:start w:val="1"/>
      <w:numFmt w:val="bullet"/>
      <w:lvlText w:val="o"/>
      <w:lvlJc w:val="left"/>
      <w:pPr>
        <w:ind w:left="1724" w:hanging="360"/>
      </w:pPr>
      <w:rPr>
        <w:rFonts w:ascii="Courier New" w:hAnsi="Courier New" w:cs="Courier New" w:hint="default"/>
      </w:rPr>
    </w:lvl>
    <w:lvl w:ilvl="2" w:tplc="240A0005" w:tentative="1">
      <w:start w:val="1"/>
      <w:numFmt w:val="bullet"/>
      <w:lvlText w:val=""/>
      <w:lvlJc w:val="left"/>
      <w:pPr>
        <w:ind w:left="2444" w:hanging="360"/>
      </w:pPr>
      <w:rPr>
        <w:rFonts w:ascii="Wingdings" w:hAnsi="Wingdings" w:hint="default"/>
      </w:rPr>
    </w:lvl>
    <w:lvl w:ilvl="3" w:tplc="240A0001" w:tentative="1">
      <w:start w:val="1"/>
      <w:numFmt w:val="bullet"/>
      <w:lvlText w:val=""/>
      <w:lvlJc w:val="left"/>
      <w:pPr>
        <w:ind w:left="3164" w:hanging="360"/>
      </w:pPr>
      <w:rPr>
        <w:rFonts w:ascii="Symbol" w:hAnsi="Symbol" w:hint="default"/>
      </w:rPr>
    </w:lvl>
    <w:lvl w:ilvl="4" w:tplc="240A0003" w:tentative="1">
      <w:start w:val="1"/>
      <w:numFmt w:val="bullet"/>
      <w:lvlText w:val="o"/>
      <w:lvlJc w:val="left"/>
      <w:pPr>
        <w:ind w:left="3884" w:hanging="360"/>
      </w:pPr>
      <w:rPr>
        <w:rFonts w:ascii="Courier New" w:hAnsi="Courier New" w:cs="Courier New" w:hint="default"/>
      </w:rPr>
    </w:lvl>
    <w:lvl w:ilvl="5" w:tplc="240A0005" w:tentative="1">
      <w:start w:val="1"/>
      <w:numFmt w:val="bullet"/>
      <w:lvlText w:val=""/>
      <w:lvlJc w:val="left"/>
      <w:pPr>
        <w:ind w:left="4604" w:hanging="360"/>
      </w:pPr>
      <w:rPr>
        <w:rFonts w:ascii="Wingdings" w:hAnsi="Wingdings" w:hint="default"/>
      </w:rPr>
    </w:lvl>
    <w:lvl w:ilvl="6" w:tplc="240A0001" w:tentative="1">
      <w:start w:val="1"/>
      <w:numFmt w:val="bullet"/>
      <w:lvlText w:val=""/>
      <w:lvlJc w:val="left"/>
      <w:pPr>
        <w:ind w:left="5324" w:hanging="360"/>
      </w:pPr>
      <w:rPr>
        <w:rFonts w:ascii="Symbol" w:hAnsi="Symbol" w:hint="default"/>
      </w:rPr>
    </w:lvl>
    <w:lvl w:ilvl="7" w:tplc="240A0003" w:tentative="1">
      <w:start w:val="1"/>
      <w:numFmt w:val="bullet"/>
      <w:lvlText w:val="o"/>
      <w:lvlJc w:val="left"/>
      <w:pPr>
        <w:ind w:left="6044" w:hanging="360"/>
      </w:pPr>
      <w:rPr>
        <w:rFonts w:ascii="Courier New" w:hAnsi="Courier New" w:cs="Courier New" w:hint="default"/>
      </w:rPr>
    </w:lvl>
    <w:lvl w:ilvl="8" w:tplc="240A0005" w:tentative="1">
      <w:start w:val="1"/>
      <w:numFmt w:val="bullet"/>
      <w:lvlText w:val=""/>
      <w:lvlJc w:val="left"/>
      <w:pPr>
        <w:ind w:left="6764" w:hanging="360"/>
      </w:pPr>
      <w:rPr>
        <w:rFonts w:ascii="Wingdings" w:hAnsi="Wingdings" w:hint="default"/>
      </w:rPr>
    </w:lvl>
  </w:abstractNum>
  <w:abstractNum w:abstractNumId="23" w15:restartNumberingAfterBreak="0">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24" w15:restartNumberingAfterBreak="0">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15:restartNumberingAfterBreak="0">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6" w15:restartNumberingAfterBreak="0">
    <w:nsid w:val="4A2F3B37"/>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BD56427"/>
    <w:multiLevelType w:val="hybridMultilevel"/>
    <w:tmpl w:val="DC10F046"/>
    <w:lvl w:ilvl="0" w:tplc="240A0019">
      <w:start w:val="1"/>
      <w:numFmt w:val="lowerLetter"/>
      <w:lvlText w:val="%1."/>
      <w:lvlJc w:val="left"/>
      <w:pPr>
        <w:ind w:left="1647" w:hanging="360"/>
      </w:pPr>
    </w:lvl>
    <w:lvl w:ilvl="1" w:tplc="3C5A937A">
      <w:start w:val="1"/>
      <w:numFmt w:val="decimal"/>
      <w:lvlText w:val="%2."/>
      <w:lvlJc w:val="left"/>
      <w:pPr>
        <w:ind w:left="2407" w:hanging="400"/>
      </w:pPr>
      <w:rPr>
        <w:rFonts w:hint="default"/>
        <w:b/>
      </w:rPr>
    </w:lvl>
    <w:lvl w:ilvl="2" w:tplc="240A001B" w:tentative="1">
      <w:start w:val="1"/>
      <w:numFmt w:val="lowerRoman"/>
      <w:lvlText w:val="%3."/>
      <w:lvlJc w:val="right"/>
      <w:pPr>
        <w:ind w:left="3087" w:hanging="180"/>
      </w:pPr>
    </w:lvl>
    <w:lvl w:ilvl="3" w:tplc="240A000F" w:tentative="1">
      <w:start w:val="1"/>
      <w:numFmt w:val="decimal"/>
      <w:lvlText w:val="%4."/>
      <w:lvlJc w:val="left"/>
      <w:pPr>
        <w:ind w:left="3807" w:hanging="360"/>
      </w:pPr>
    </w:lvl>
    <w:lvl w:ilvl="4" w:tplc="240A0019" w:tentative="1">
      <w:start w:val="1"/>
      <w:numFmt w:val="lowerLetter"/>
      <w:lvlText w:val="%5."/>
      <w:lvlJc w:val="left"/>
      <w:pPr>
        <w:ind w:left="4527" w:hanging="360"/>
      </w:pPr>
    </w:lvl>
    <w:lvl w:ilvl="5" w:tplc="240A001B" w:tentative="1">
      <w:start w:val="1"/>
      <w:numFmt w:val="lowerRoman"/>
      <w:lvlText w:val="%6."/>
      <w:lvlJc w:val="right"/>
      <w:pPr>
        <w:ind w:left="5247" w:hanging="180"/>
      </w:pPr>
    </w:lvl>
    <w:lvl w:ilvl="6" w:tplc="240A000F" w:tentative="1">
      <w:start w:val="1"/>
      <w:numFmt w:val="decimal"/>
      <w:lvlText w:val="%7."/>
      <w:lvlJc w:val="left"/>
      <w:pPr>
        <w:ind w:left="5967" w:hanging="360"/>
      </w:pPr>
    </w:lvl>
    <w:lvl w:ilvl="7" w:tplc="240A0019" w:tentative="1">
      <w:start w:val="1"/>
      <w:numFmt w:val="lowerLetter"/>
      <w:lvlText w:val="%8."/>
      <w:lvlJc w:val="left"/>
      <w:pPr>
        <w:ind w:left="6687" w:hanging="360"/>
      </w:pPr>
    </w:lvl>
    <w:lvl w:ilvl="8" w:tplc="240A001B" w:tentative="1">
      <w:start w:val="1"/>
      <w:numFmt w:val="lowerRoman"/>
      <w:lvlText w:val="%9."/>
      <w:lvlJc w:val="right"/>
      <w:pPr>
        <w:ind w:left="7407" w:hanging="180"/>
      </w:pPr>
    </w:lvl>
  </w:abstractNum>
  <w:abstractNum w:abstractNumId="28" w15:restartNumberingAfterBreak="0">
    <w:nsid w:val="524B4D29"/>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9" w15:restartNumberingAfterBreak="0">
    <w:nsid w:val="559E657D"/>
    <w:multiLevelType w:val="hybridMultilevel"/>
    <w:tmpl w:val="C61803D6"/>
    <w:lvl w:ilvl="0" w:tplc="9ED4A452">
      <w:start w:val="1"/>
      <w:numFmt w:val="decimal"/>
      <w:lvlText w:val="%1."/>
      <w:lvlJc w:val="left"/>
      <w:pPr>
        <w:ind w:left="720" w:hanging="360"/>
      </w:pPr>
      <w:rPr>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5A1F1FB5"/>
    <w:multiLevelType w:val="hybridMultilevel"/>
    <w:tmpl w:val="46C2CFBA"/>
    <w:lvl w:ilvl="0" w:tplc="240A0019">
      <w:start w:val="1"/>
      <w:numFmt w:val="lowerLetter"/>
      <w:lvlText w:val="%1."/>
      <w:lvlJc w:val="left"/>
      <w:pPr>
        <w:ind w:left="1647" w:hanging="360"/>
      </w:pPr>
    </w:lvl>
    <w:lvl w:ilvl="1" w:tplc="240A0019" w:tentative="1">
      <w:start w:val="1"/>
      <w:numFmt w:val="lowerLetter"/>
      <w:lvlText w:val="%2."/>
      <w:lvlJc w:val="left"/>
      <w:pPr>
        <w:ind w:left="2367" w:hanging="360"/>
      </w:pPr>
    </w:lvl>
    <w:lvl w:ilvl="2" w:tplc="240A001B" w:tentative="1">
      <w:start w:val="1"/>
      <w:numFmt w:val="lowerRoman"/>
      <w:lvlText w:val="%3."/>
      <w:lvlJc w:val="right"/>
      <w:pPr>
        <w:ind w:left="3087" w:hanging="180"/>
      </w:pPr>
    </w:lvl>
    <w:lvl w:ilvl="3" w:tplc="240A000F" w:tentative="1">
      <w:start w:val="1"/>
      <w:numFmt w:val="decimal"/>
      <w:lvlText w:val="%4."/>
      <w:lvlJc w:val="left"/>
      <w:pPr>
        <w:ind w:left="3807" w:hanging="360"/>
      </w:pPr>
    </w:lvl>
    <w:lvl w:ilvl="4" w:tplc="240A0019" w:tentative="1">
      <w:start w:val="1"/>
      <w:numFmt w:val="lowerLetter"/>
      <w:lvlText w:val="%5."/>
      <w:lvlJc w:val="left"/>
      <w:pPr>
        <w:ind w:left="4527" w:hanging="360"/>
      </w:pPr>
    </w:lvl>
    <w:lvl w:ilvl="5" w:tplc="240A001B" w:tentative="1">
      <w:start w:val="1"/>
      <w:numFmt w:val="lowerRoman"/>
      <w:lvlText w:val="%6."/>
      <w:lvlJc w:val="right"/>
      <w:pPr>
        <w:ind w:left="5247" w:hanging="180"/>
      </w:pPr>
    </w:lvl>
    <w:lvl w:ilvl="6" w:tplc="240A000F" w:tentative="1">
      <w:start w:val="1"/>
      <w:numFmt w:val="decimal"/>
      <w:lvlText w:val="%7."/>
      <w:lvlJc w:val="left"/>
      <w:pPr>
        <w:ind w:left="5967" w:hanging="360"/>
      </w:pPr>
    </w:lvl>
    <w:lvl w:ilvl="7" w:tplc="240A0019" w:tentative="1">
      <w:start w:val="1"/>
      <w:numFmt w:val="lowerLetter"/>
      <w:lvlText w:val="%8."/>
      <w:lvlJc w:val="left"/>
      <w:pPr>
        <w:ind w:left="6687" w:hanging="360"/>
      </w:pPr>
    </w:lvl>
    <w:lvl w:ilvl="8" w:tplc="240A001B" w:tentative="1">
      <w:start w:val="1"/>
      <w:numFmt w:val="lowerRoman"/>
      <w:lvlText w:val="%9."/>
      <w:lvlJc w:val="right"/>
      <w:pPr>
        <w:ind w:left="7407" w:hanging="180"/>
      </w:pPr>
    </w:lvl>
  </w:abstractNum>
  <w:abstractNum w:abstractNumId="31" w15:restartNumberingAfterBreak="0">
    <w:nsid w:val="5AAC48EB"/>
    <w:multiLevelType w:val="hybridMultilevel"/>
    <w:tmpl w:val="8430B1EE"/>
    <w:lvl w:ilvl="0" w:tplc="6A640600">
      <w:start w:val="1"/>
      <w:numFmt w:val="decimal"/>
      <w:pStyle w:val="Numeracin"/>
      <w:lvlText w:val="%1."/>
      <w:lvlJc w:val="left"/>
      <w:pPr>
        <w:ind w:left="927" w:hanging="360"/>
      </w:pPr>
      <w:rPr>
        <w:rFonts w:hint="default"/>
      </w:rPr>
    </w:lvl>
    <w:lvl w:ilvl="1" w:tplc="240A0019">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2" w15:restartNumberingAfterBreak="0">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15:restartNumberingAfterBreak="0">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4" w15:restartNumberingAfterBreak="0">
    <w:nsid w:val="5F4B150F"/>
    <w:multiLevelType w:val="hybridMultilevel"/>
    <w:tmpl w:val="562099D2"/>
    <w:lvl w:ilvl="0" w:tplc="820C94B4">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6" w15:restartNumberingAfterBreak="0">
    <w:nsid w:val="68D92CEC"/>
    <w:multiLevelType w:val="hybridMultilevel"/>
    <w:tmpl w:val="2C20241E"/>
    <w:lvl w:ilvl="0" w:tplc="137491D6">
      <w:start w:val="1"/>
      <w:numFmt w:val="lowerRoman"/>
      <w:lvlText w:val="%1)"/>
      <w:lvlJc w:val="left"/>
      <w:pPr>
        <w:ind w:left="1287" w:hanging="720"/>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7" w15:restartNumberingAfterBreak="0">
    <w:nsid w:val="6E185A88"/>
    <w:multiLevelType w:val="multilevel"/>
    <w:tmpl w:val="87C28E4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8" w15:restartNumberingAfterBreak="0">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 w15:restartNumberingAfterBreak="0">
    <w:nsid w:val="78F23FCF"/>
    <w:multiLevelType w:val="multilevel"/>
    <w:tmpl w:val="240A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1" w15:restartNumberingAfterBreak="0">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3"/>
  </w:num>
  <w:num w:numId="2">
    <w:abstractNumId w:val="8"/>
  </w:num>
  <w:num w:numId="3">
    <w:abstractNumId w:val="40"/>
  </w:num>
  <w:num w:numId="4">
    <w:abstractNumId w:val="14"/>
  </w:num>
  <w:num w:numId="5">
    <w:abstractNumId w:val="32"/>
  </w:num>
  <w:num w:numId="6">
    <w:abstractNumId w:val="5"/>
  </w:num>
  <w:num w:numId="7">
    <w:abstractNumId w:val="4"/>
  </w:num>
  <w:num w:numId="8">
    <w:abstractNumId w:val="35"/>
  </w:num>
  <w:num w:numId="9">
    <w:abstractNumId w:val="33"/>
  </w:num>
  <w:num w:numId="10">
    <w:abstractNumId w:val="24"/>
  </w:num>
  <w:num w:numId="11">
    <w:abstractNumId w:val="41"/>
  </w:num>
  <w:num w:numId="12">
    <w:abstractNumId w:val="38"/>
  </w:num>
  <w:num w:numId="13">
    <w:abstractNumId w:val="21"/>
  </w:num>
  <w:num w:numId="14">
    <w:abstractNumId w:val="3"/>
  </w:num>
  <w:num w:numId="15">
    <w:abstractNumId w:val="25"/>
  </w:num>
  <w:num w:numId="16">
    <w:abstractNumId w:val="1"/>
  </w:num>
  <w:num w:numId="17">
    <w:abstractNumId w:val="20"/>
  </w:num>
  <w:num w:numId="18">
    <w:abstractNumId w:val="0"/>
  </w:num>
  <w:num w:numId="19">
    <w:abstractNumId w:val="36"/>
  </w:num>
  <w:num w:numId="20">
    <w:abstractNumId w:val="28"/>
  </w:num>
  <w:num w:numId="21">
    <w:abstractNumId w:val="15"/>
  </w:num>
  <w:num w:numId="22">
    <w:abstractNumId w:val="19"/>
  </w:num>
  <w:num w:numId="23">
    <w:abstractNumId w:val="31"/>
  </w:num>
  <w:num w:numId="24">
    <w:abstractNumId w:val="2"/>
  </w:num>
  <w:num w:numId="25">
    <w:abstractNumId w:val="27"/>
  </w:num>
  <w:num w:numId="26">
    <w:abstractNumId w:val="30"/>
  </w:num>
  <w:num w:numId="27">
    <w:abstractNumId w:val="39"/>
  </w:num>
  <w:num w:numId="28">
    <w:abstractNumId w:val="26"/>
  </w:num>
  <w:num w:numId="29">
    <w:abstractNumId w:val="13"/>
  </w:num>
  <w:num w:numId="30">
    <w:abstractNumId w:val="31"/>
    <w:lvlOverride w:ilvl="0">
      <w:startOverride w:val="1"/>
    </w:lvlOverride>
  </w:num>
  <w:num w:numId="31">
    <w:abstractNumId w:val="31"/>
    <w:lvlOverride w:ilvl="0">
      <w:startOverride w:val="1"/>
    </w:lvlOverride>
  </w:num>
  <w:num w:numId="32">
    <w:abstractNumId w:val="10"/>
  </w:num>
  <w:num w:numId="33">
    <w:abstractNumId w:val="7"/>
  </w:num>
  <w:num w:numId="34">
    <w:abstractNumId w:val="18"/>
  </w:num>
  <w:num w:numId="35">
    <w:abstractNumId w:val="6"/>
  </w:num>
  <w:num w:numId="36">
    <w:abstractNumId w:val="12"/>
  </w:num>
  <w:num w:numId="37">
    <w:abstractNumId w:val="9"/>
  </w:num>
  <w:num w:numId="38">
    <w:abstractNumId w:val="37"/>
  </w:num>
  <w:num w:numId="39">
    <w:abstractNumId w:val="11"/>
  </w:num>
  <w:num w:numId="40">
    <w:abstractNumId w:val="34"/>
  </w:num>
  <w:num w:numId="41">
    <w:abstractNumId w:val="17"/>
  </w:num>
  <w:num w:numId="42">
    <w:abstractNumId w:val="22"/>
  </w:num>
  <w:num w:numId="43">
    <w:abstractNumId w:val="29"/>
  </w:num>
  <w:num w:numId="4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ES_tradnl" w:vendorID="64" w:dllVersion="131078" w:nlCheck="1" w:checkStyle="0"/>
  <w:activeWritingStyle w:appName="MSWord" w:lang="es-ES" w:vendorID="64" w:dllVersion="131078" w:nlCheck="1" w:checkStyle="0"/>
  <w:activeWritingStyle w:appName="MSWord" w:lang="es-CO" w:vendorID="64" w:dllVersion="131078" w:nlCheck="1" w:checkStyle="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6AE2"/>
    <w:rsid w:val="000076A1"/>
    <w:rsid w:val="00012259"/>
    <w:rsid w:val="0001333F"/>
    <w:rsid w:val="00025383"/>
    <w:rsid w:val="0003512B"/>
    <w:rsid w:val="00045CB9"/>
    <w:rsid w:val="00045D3D"/>
    <w:rsid w:val="00063657"/>
    <w:rsid w:val="000675D6"/>
    <w:rsid w:val="00067C79"/>
    <w:rsid w:val="00076680"/>
    <w:rsid w:val="00076A1D"/>
    <w:rsid w:val="0008073E"/>
    <w:rsid w:val="00091CDB"/>
    <w:rsid w:val="000A19AC"/>
    <w:rsid w:val="000B1C34"/>
    <w:rsid w:val="000B2EC9"/>
    <w:rsid w:val="000C1FB2"/>
    <w:rsid w:val="000D26F8"/>
    <w:rsid w:val="000F08AB"/>
    <w:rsid w:val="00106654"/>
    <w:rsid w:val="00133C2E"/>
    <w:rsid w:val="0013526C"/>
    <w:rsid w:val="001405C6"/>
    <w:rsid w:val="00141013"/>
    <w:rsid w:val="00143397"/>
    <w:rsid w:val="0014651F"/>
    <w:rsid w:val="00146BE2"/>
    <w:rsid w:val="00157D43"/>
    <w:rsid w:val="00157EDA"/>
    <w:rsid w:val="00177292"/>
    <w:rsid w:val="00192CBF"/>
    <w:rsid w:val="00192FF1"/>
    <w:rsid w:val="001A5F1B"/>
    <w:rsid w:val="001B1C22"/>
    <w:rsid w:val="001B34C6"/>
    <w:rsid w:val="001C5117"/>
    <w:rsid w:val="001D7832"/>
    <w:rsid w:val="001E3149"/>
    <w:rsid w:val="001F1DF8"/>
    <w:rsid w:val="00210DC1"/>
    <w:rsid w:val="00211D34"/>
    <w:rsid w:val="00214F04"/>
    <w:rsid w:val="00227820"/>
    <w:rsid w:val="002352B9"/>
    <w:rsid w:val="002360AB"/>
    <w:rsid w:val="00246929"/>
    <w:rsid w:val="00254494"/>
    <w:rsid w:val="00266CD6"/>
    <w:rsid w:val="002673AC"/>
    <w:rsid w:val="002710F5"/>
    <w:rsid w:val="00275DAB"/>
    <w:rsid w:val="00282A84"/>
    <w:rsid w:val="002903C0"/>
    <w:rsid w:val="002A782A"/>
    <w:rsid w:val="002B11E2"/>
    <w:rsid w:val="002B24B8"/>
    <w:rsid w:val="002C110D"/>
    <w:rsid w:val="002D3AE9"/>
    <w:rsid w:val="002D4510"/>
    <w:rsid w:val="002D4598"/>
    <w:rsid w:val="002E41B4"/>
    <w:rsid w:val="002F0734"/>
    <w:rsid w:val="002F46E7"/>
    <w:rsid w:val="003101DA"/>
    <w:rsid w:val="003111C3"/>
    <w:rsid w:val="00314757"/>
    <w:rsid w:val="003163BC"/>
    <w:rsid w:val="003211CE"/>
    <w:rsid w:val="0033118E"/>
    <w:rsid w:val="00344DD9"/>
    <w:rsid w:val="00345D60"/>
    <w:rsid w:val="00347E90"/>
    <w:rsid w:val="0035403A"/>
    <w:rsid w:val="0036394B"/>
    <w:rsid w:val="00366DB6"/>
    <w:rsid w:val="00370799"/>
    <w:rsid w:val="003709B5"/>
    <w:rsid w:val="00374CEA"/>
    <w:rsid w:val="003759C2"/>
    <w:rsid w:val="003811F8"/>
    <w:rsid w:val="00392215"/>
    <w:rsid w:val="00397365"/>
    <w:rsid w:val="003A31F6"/>
    <w:rsid w:val="003C3447"/>
    <w:rsid w:val="003D076C"/>
    <w:rsid w:val="003D4B0F"/>
    <w:rsid w:val="003E78B5"/>
    <w:rsid w:val="003F7032"/>
    <w:rsid w:val="00410E0C"/>
    <w:rsid w:val="00415905"/>
    <w:rsid w:val="00415BAB"/>
    <w:rsid w:val="00415ED2"/>
    <w:rsid w:val="0042068C"/>
    <w:rsid w:val="004237D0"/>
    <w:rsid w:val="00432C1E"/>
    <w:rsid w:val="0044318E"/>
    <w:rsid w:val="00443B35"/>
    <w:rsid w:val="00445B45"/>
    <w:rsid w:val="00451B33"/>
    <w:rsid w:val="0047122B"/>
    <w:rsid w:val="00473B7A"/>
    <w:rsid w:val="004960E9"/>
    <w:rsid w:val="004A2E88"/>
    <w:rsid w:val="004A5305"/>
    <w:rsid w:val="004C283F"/>
    <w:rsid w:val="004D2890"/>
    <w:rsid w:val="004D7634"/>
    <w:rsid w:val="004E5FFD"/>
    <w:rsid w:val="004E611A"/>
    <w:rsid w:val="004F6460"/>
    <w:rsid w:val="00510208"/>
    <w:rsid w:val="005300D3"/>
    <w:rsid w:val="00542A10"/>
    <w:rsid w:val="00544F82"/>
    <w:rsid w:val="005509D2"/>
    <w:rsid w:val="00560208"/>
    <w:rsid w:val="005778AA"/>
    <w:rsid w:val="00590172"/>
    <w:rsid w:val="00593C4F"/>
    <w:rsid w:val="005946A8"/>
    <w:rsid w:val="005A4407"/>
    <w:rsid w:val="005A59EF"/>
    <w:rsid w:val="005A6182"/>
    <w:rsid w:val="005B1C7E"/>
    <w:rsid w:val="005C0254"/>
    <w:rsid w:val="005C4705"/>
    <w:rsid w:val="005C6976"/>
    <w:rsid w:val="005D3884"/>
    <w:rsid w:val="005D62A4"/>
    <w:rsid w:val="005F478F"/>
    <w:rsid w:val="005F6F41"/>
    <w:rsid w:val="00602F23"/>
    <w:rsid w:val="00625DC6"/>
    <w:rsid w:val="00640B15"/>
    <w:rsid w:val="0064391D"/>
    <w:rsid w:val="00651821"/>
    <w:rsid w:val="00654384"/>
    <w:rsid w:val="006675CD"/>
    <w:rsid w:val="00683BDF"/>
    <w:rsid w:val="00684D9B"/>
    <w:rsid w:val="0068510A"/>
    <w:rsid w:val="00697556"/>
    <w:rsid w:val="006B2722"/>
    <w:rsid w:val="006B4647"/>
    <w:rsid w:val="006B4C2B"/>
    <w:rsid w:val="006B6194"/>
    <w:rsid w:val="006B6D47"/>
    <w:rsid w:val="006C2A67"/>
    <w:rsid w:val="006C5AFE"/>
    <w:rsid w:val="006E6A60"/>
    <w:rsid w:val="006E6F2D"/>
    <w:rsid w:val="006F2EC8"/>
    <w:rsid w:val="006F6D95"/>
    <w:rsid w:val="00706F13"/>
    <w:rsid w:val="007072E8"/>
    <w:rsid w:val="0071618D"/>
    <w:rsid w:val="00725FA4"/>
    <w:rsid w:val="00740446"/>
    <w:rsid w:val="007438A9"/>
    <w:rsid w:val="0074491E"/>
    <w:rsid w:val="0076247A"/>
    <w:rsid w:val="00775964"/>
    <w:rsid w:val="007765FE"/>
    <w:rsid w:val="007857C1"/>
    <w:rsid w:val="00785E91"/>
    <w:rsid w:val="00786BF6"/>
    <w:rsid w:val="00794E2E"/>
    <w:rsid w:val="00795BFB"/>
    <w:rsid w:val="007A4A18"/>
    <w:rsid w:val="007B2760"/>
    <w:rsid w:val="007D69FA"/>
    <w:rsid w:val="007E421F"/>
    <w:rsid w:val="00801DC9"/>
    <w:rsid w:val="00806C01"/>
    <w:rsid w:val="0081174D"/>
    <w:rsid w:val="00812264"/>
    <w:rsid w:val="00813BE7"/>
    <w:rsid w:val="008148CC"/>
    <w:rsid w:val="008211A4"/>
    <w:rsid w:val="00822F4A"/>
    <w:rsid w:val="0084693A"/>
    <w:rsid w:val="0085180C"/>
    <w:rsid w:val="00856B1B"/>
    <w:rsid w:val="00873150"/>
    <w:rsid w:val="0087657D"/>
    <w:rsid w:val="008807D5"/>
    <w:rsid w:val="00880832"/>
    <w:rsid w:val="00882C61"/>
    <w:rsid w:val="00885879"/>
    <w:rsid w:val="00886EE1"/>
    <w:rsid w:val="0088727D"/>
    <w:rsid w:val="00897C75"/>
    <w:rsid w:val="008C1130"/>
    <w:rsid w:val="008C71D2"/>
    <w:rsid w:val="008D18E6"/>
    <w:rsid w:val="008D7A9B"/>
    <w:rsid w:val="008E0060"/>
    <w:rsid w:val="008E360C"/>
    <w:rsid w:val="008E7091"/>
    <w:rsid w:val="008E76AC"/>
    <w:rsid w:val="008F21F6"/>
    <w:rsid w:val="00921870"/>
    <w:rsid w:val="00925491"/>
    <w:rsid w:val="009325BB"/>
    <w:rsid w:val="00951F79"/>
    <w:rsid w:val="00961C05"/>
    <w:rsid w:val="00974AB5"/>
    <w:rsid w:val="0098706D"/>
    <w:rsid w:val="00991C29"/>
    <w:rsid w:val="009935FB"/>
    <w:rsid w:val="009B2F67"/>
    <w:rsid w:val="009B443C"/>
    <w:rsid w:val="009C2787"/>
    <w:rsid w:val="009F4A54"/>
    <w:rsid w:val="009F4BEC"/>
    <w:rsid w:val="009F5874"/>
    <w:rsid w:val="00A179DD"/>
    <w:rsid w:val="00A25FD7"/>
    <w:rsid w:val="00A43AFF"/>
    <w:rsid w:val="00A71FDB"/>
    <w:rsid w:val="00A7382D"/>
    <w:rsid w:val="00A7793A"/>
    <w:rsid w:val="00AA4CC7"/>
    <w:rsid w:val="00AA5E8E"/>
    <w:rsid w:val="00AB2BAD"/>
    <w:rsid w:val="00AB6CA7"/>
    <w:rsid w:val="00AC5707"/>
    <w:rsid w:val="00AC7E8C"/>
    <w:rsid w:val="00AD01E4"/>
    <w:rsid w:val="00AD0858"/>
    <w:rsid w:val="00AD1538"/>
    <w:rsid w:val="00AE02E3"/>
    <w:rsid w:val="00AE7340"/>
    <w:rsid w:val="00AF1BBD"/>
    <w:rsid w:val="00B10207"/>
    <w:rsid w:val="00B141E7"/>
    <w:rsid w:val="00B20D8E"/>
    <w:rsid w:val="00B21011"/>
    <w:rsid w:val="00B33FA8"/>
    <w:rsid w:val="00B351B4"/>
    <w:rsid w:val="00B45CD8"/>
    <w:rsid w:val="00B46BCA"/>
    <w:rsid w:val="00B478AA"/>
    <w:rsid w:val="00B567F8"/>
    <w:rsid w:val="00B6562C"/>
    <w:rsid w:val="00B84F72"/>
    <w:rsid w:val="00B87806"/>
    <w:rsid w:val="00B87EC9"/>
    <w:rsid w:val="00B94B5C"/>
    <w:rsid w:val="00BB3F99"/>
    <w:rsid w:val="00BB673D"/>
    <w:rsid w:val="00BC38FD"/>
    <w:rsid w:val="00C034CB"/>
    <w:rsid w:val="00C051A8"/>
    <w:rsid w:val="00C054BC"/>
    <w:rsid w:val="00C0681D"/>
    <w:rsid w:val="00C077BB"/>
    <w:rsid w:val="00C11D3D"/>
    <w:rsid w:val="00C17897"/>
    <w:rsid w:val="00C2093A"/>
    <w:rsid w:val="00C35EAB"/>
    <w:rsid w:val="00C409D5"/>
    <w:rsid w:val="00C435C3"/>
    <w:rsid w:val="00C4486D"/>
    <w:rsid w:val="00C44E5F"/>
    <w:rsid w:val="00C51B7C"/>
    <w:rsid w:val="00C56158"/>
    <w:rsid w:val="00C56F74"/>
    <w:rsid w:val="00C6234B"/>
    <w:rsid w:val="00C63EAE"/>
    <w:rsid w:val="00C73260"/>
    <w:rsid w:val="00C7629F"/>
    <w:rsid w:val="00C8661B"/>
    <w:rsid w:val="00CA03C8"/>
    <w:rsid w:val="00CA0DF3"/>
    <w:rsid w:val="00CA139A"/>
    <w:rsid w:val="00CA2899"/>
    <w:rsid w:val="00CA3A3D"/>
    <w:rsid w:val="00CA3AA6"/>
    <w:rsid w:val="00CA4926"/>
    <w:rsid w:val="00CA4B2F"/>
    <w:rsid w:val="00CA77FB"/>
    <w:rsid w:val="00CB1407"/>
    <w:rsid w:val="00CB379B"/>
    <w:rsid w:val="00CB5DD0"/>
    <w:rsid w:val="00CC51D4"/>
    <w:rsid w:val="00CC65DA"/>
    <w:rsid w:val="00CD4069"/>
    <w:rsid w:val="00CF21B9"/>
    <w:rsid w:val="00CF6BF9"/>
    <w:rsid w:val="00D03800"/>
    <w:rsid w:val="00D065D3"/>
    <w:rsid w:val="00D11479"/>
    <w:rsid w:val="00D14C94"/>
    <w:rsid w:val="00D32C7D"/>
    <w:rsid w:val="00D342A6"/>
    <w:rsid w:val="00D3586C"/>
    <w:rsid w:val="00D40DBB"/>
    <w:rsid w:val="00D45CA6"/>
    <w:rsid w:val="00D464BF"/>
    <w:rsid w:val="00D53D9C"/>
    <w:rsid w:val="00D53E26"/>
    <w:rsid w:val="00D6235A"/>
    <w:rsid w:val="00D66884"/>
    <w:rsid w:val="00D66E10"/>
    <w:rsid w:val="00D86966"/>
    <w:rsid w:val="00DB182C"/>
    <w:rsid w:val="00DB6388"/>
    <w:rsid w:val="00DC6851"/>
    <w:rsid w:val="00DD4F0E"/>
    <w:rsid w:val="00DE0EAF"/>
    <w:rsid w:val="00DF0BF0"/>
    <w:rsid w:val="00DF2CD7"/>
    <w:rsid w:val="00DF3CA2"/>
    <w:rsid w:val="00E01463"/>
    <w:rsid w:val="00E03F7C"/>
    <w:rsid w:val="00E05E0A"/>
    <w:rsid w:val="00E060BE"/>
    <w:rsid w:val="00E164FC"/>
    <w:rsid w:val="00E32450"/>
    <w:rsid w:val="00E534CF"/>
    <w:rsid w:val="00E53D71"/>
    <w:rsid w:val="00E56DE1"/>
    <w:rsid w:val="00E73859"/>
    <w:rsid w:val="00E74A13"/>
    <w:rsid w:val="00E81CB4"/>
    <w:rsid w:val="00E8585B"/>
    <w:rsid w:val="00E865BD"/>
    <w:rsid w:val="00E87F41"/>
    <w:rsid w:val="00EA2F07"/>
    <w:rsid w:val="00EA2FEF"/>
    <w:rsid w:val="00EA3F15"/>
    <w:rsid w:val="00EA7481"/>
    <w:rsid w:val="00EA7847"/>
    <w:rsid w:val="00EB464F"/>
    <w:rsid w:val="00EB4C2F"/>
    <w:rsid w:val="00EC1A9B"/>
    <w:rsid w:val="00EE2E6E"/>
    <w:rsid w:val="00F03EF9"/>
    <w:rsid w:val="00F0759E"/>
    <w:rsid w:val="00F16A43"/>
    <w:rsid w:val="00F2765F"/>
    <w:rsid w:val="00F46780"/>
    <w:rsid w:val="00F5051E"/>
    <w:rsid w:val="00F51B84"/>
    <w:rsid w:val="00F544B5"/>
    <w:rsid w:val="00F77D2D"/>
    <w:rsid w:val="00F821A3"/>
    <w:rsid w:val="00F9314A"/>
    <w:rsid w:val="00F940B2"/>
    <w:rsid w:val="00FC58EF"/>
    <w:rsid w:val="00FD0865"/>
    <w:rsid w:val="00FD33DF"/>
    <w:rsid w:val="00FE39D7"/>
    <w:rsid w:val="00FF07E5"/>
    <w:rsid w:val="00FF67B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15:docId w15:val="{58EB9C1C-D554-40B0-B54C-325747AD9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aliases w:val="Párrafo de lista1"/>
    <w:basedOn w:val="Normal"/>
    <w:link w:val="PrrafodelistaCar"/>
    <w:qFormat/>
    <w:rsid w:val="001405C6"/>
    <w:pPr>
      <w:ind w:left="708"/>
    </w:pPr>
    <w:rPr>
      <w:sz w:val="20"/>
      <w:szCs w:val="20"/>
      <w:lang w:val="es-CO"/>
    </w:rPr>
  </w:style>
  <w:style w:type="character" w:customStyle="1" w:styleId="PrrafodelistaCar">
    <w:name w:val="Párrafo de lista Car"/>
    <w:aliases w:val="Párrafo de lista1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customStyle="1" w:styleId="Epgrafe">
    <w:name w:val="Epígrafe"/>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rsid w:val="00785E91"/>
    <w:rPr>
      <w:vertAlign w:val="superscript"/>
    </w:rPr>
  </w:style>
  <w:style w:type="paragraph" w:styleId="Textonotapie">
    <w:name w:val="footnote text"/>
    <w:basedOn w:val="Normal"/>
    <w:link w:val="TextonotapieCar"/>
    <w:uiPriority w:val="99"/>
    <w:semiHidden/>
    <w:rsid w:val="00785E91"/>
    <w:pPr>
      <w:ind w:left="0"/>
      <w:jc w:val="both"/>
    </w:pPr>
    <w:rPr>
      <w:rFonts w:ascii="CG Times (W1)" w:hAnsi="CG Times (W1)"/>
      <w:sz w:val="20"/>
      <w:szCs w:val="20"/>
      <w:lang w:val="es-ES_tradnl"/>
    </w:rPr>
  </w:style>
  <w:style w:type="character" w:customStyle="1" w:styleId="TextonotapieCar">
    <w:name w:val="Texto nota pie Car"/>
    <w:link w:val="Textonotapie"/>
    <w:uiPriority w:val="99"/>
    <w:semiHidden/>
    <w:rsid w:val="00785E91"/>
    <w:rPr>
      <w:rFonts w:ascii="CG Times (W1)" w:hAnsi="CG Times (W1)"/>
      <w:lang w:val="es-ES_tradnl" w:eastAsia="es-ES"/>
    </w:rPr>
  </w:style>
  <w:style w:type="paragraph" w:customStyle="1" w:styleId="Numeracin">
    <w:name w:val="Numeración"/>
    <w:basedOn w:val="Prrafodelista"/>
    <w:link w:val="NumeracinCar"/>
    <w:qFormat/>
    <w:rsid w:val="00FF07E5"/>
    <w:pPr>
      <w:numPr>
        <w:numId w:val="23"/>
      </w:numPr>
      <w:tabs>
        <w:tab w:val="left" w:pos="284"/>
      </w:tabs>
      <w:spacing w:before="120" w:after="120"/>
      <w:ind w:left="924" w:hanging="357"/>
      <w:jc w:val="both"/>
    </w:pPr>
    <w:rPr>
      <w:rFonts w:ascii="Bookman Old Style" w:hAnsi="Bookman Old Style"/>
      <w:sz w:val="24"/>
    </w:rPr>
  </w:style>
  <w:style w:type="character" w:customStyle="1" w:styleId="NumeracinCar">
    <w:name w:val="Numeración Car"/>
    <w:link w:val="Numeracin"/>
    <w:rsid w:val="00FF07E5"/>
    <w:rPr>
      <w:rFonts w:ascii="Bookman Old Style" w:hAnsi="Bookman Old Style"/>
      <w:sz w:val="24"/>
      <w:lang w:eastAsia="es-ES"/>
    </w:rPr>
  </w:style>
  <w:style w:type="character" w:styleId="Refdecomentario">
    <w:name w:val="annotation reference"/>
    <w:uiPriority w:val="99"/>
    <w:semiHidden/>
    <w:unhideWhenUsed/>
    <w:rsid w:val="00560208"/>
    <w:rPr>
      <w:sz w:val="16"/>
      <w:szCs w:val="16"/>
    </w:rPr>
  </w:style>
  <w:style w:type="paragraph" w:styleId="Textocomentario">
    <w:name w:val="annotation text"/>
    <w:basedOn w:val="Normal"/>
    <w:link w:val="TextocomentarioCar"/>
    <w:uiPriority w:val="99"/>
    <w:unhideWhenUsed/>
    <w:rsid w:val="00560208"/>
    <w:rPr>
      <w:sz w:val="20"/>
      <w:szCs w:val="20"/>
    </w:rPr>
  </w:style>
  <w:style w:type="character" w:customStyle="1" w:styleId="TextocomentarioCar">
    <w:name w:val="Texto comentario Car"/>
    <w:link w:val="Textocomentario"/>
    <w:uiPriority w:val="99"/>
    <w:rsid w:val="00560208"/>
    <w:rPr>
      <w:lang w:val="es-ES" w:eastAsia="es-ES"/>
    </w:rPr>
  </w:style>
  <w:style w:type="character" w:styleId="Textodelmarcadordeposicin">
    <w:name w:val="Placeholder Text"/>
    <w:basedOn w:val="Fuentedeprrafopredeter"/>
    <w:uiPriority w:val="99"/>
    <w:semiHidden/>
    <w:rsid w:val="00D66884"/>
    <w:rPr>
      <w:color w:val="808080"/>
    </w:rPr>
  </w:style>
  <w:style w:type="character" w:styleId="Hipervnculo">
    <w:name w:val="Hyperlink"/>
    <w:basedOn w:val="Fuentedeprrafopredeter"/>
    <w:uiPriority w:val="99"/>
    <w:unhideWhenUsed/>
    <w:rsid w:val="003D4B0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xbase.biz/lexbase/normas/leyes/1994/L0142de1994.ht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creg@creg.gov.co"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4D7B0D-836E-4711-9BC5-F23150FDE4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1</TotalTime>
  <Pages>10</Pages>
  <Words>3186</Words>
  <Characters>17075</Characters>
  <Application>Microsoft Office Word</Application>
  <DocSecurity>0</DocSecurity>
  <Lines>142</Lines>
  <Paragraphs>40</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20221</CharactersWithSpaces>
  <SharedDoc>false</SharedDoc>
  <HLinks>
    <vt:vector size="18" baseType="variant">
      <vt:variant>
        <vt:i4>4194325</vt:i4>
      </vt:variant>
      <vt:variant>
        <vt:i4>6</vt:i4>
      </vt:variant>
      <vt:variant>
        <vt:i4>0</vt:i4>
      </vt:variant>
      <vt:variant>
        <vt:i4>5</vt:i4>
      </vt:variant>
      <vt:variant>
        <vt:lpwstr>http://www.lexbase.biz/lexbase/normas/leyes/1994/L0143de1994.htm</vt:lpwstr>
      </vt:variant>
      <vt:variant>
        <vt:lpwstr/>
      </vt:variant>
      <vt:variant>
        <vt:i4>4259861</vt:i4>
      </vt:variant>
      <vt:variant>
        <vt:i4>3</vt:i4>
      </vt:variant>
      <vt:variant>
        <vt:i4>0</vt:i4>
      </vt:variant>
      <vt:variant>
        <vt:i4>5</vt:i4>
      </vt:variant>
      <vt:variant>
        <vt:lpwstr>http://www.lexbase.biz/lexbase/normas/leyes/1994/L0142de1994.htm</vt:lpwstr>
      </vt:variant>
      <vt:variant>
        <vt:lpwstr/>
      </vt:variant>
      <vt:variant>
        <vt:i4>4259861</vt:i4>
      </vt:variant>
      <vt:variant>
        <vt:i4>0</vt:i4>
      </vt:variant>
      <vt:variant>
        <vt:i4>0</vt:i4>
      </vt:variant>
      <vt:variant>
        <vt:i4>5</vt:i4>
      </vt:variant>
      <vt:variant>
        <vt:lpwstr>http://www.lexbase.biz/lexbase/normas/leyes/1994/L0142de1994.htm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cp:lastModifiedBy>Luz Stella Rojas Macias</cp:lastModifiedBy>
  <cp:revision>2</cp:revision>
  <cp:lastPrinted>2011-07-21T13:53:00Z</cp:lastPrinted>
  <dcterms:created xsi:type="dcterms:W3CDTF">2019-09-25T15:57:00Z</dcterms:created>
  <dcterms:modified xsi:type="dcterms:W3CDTF">2019-09-25T15:57:00Z</dcterms:modified>
</cp:coreProperties>
</file>