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BBDF" w14:textId="68865BDA" w:rsidR="00CA77FB" w:rsidRPr="00BF69C9" w:rsidRDefault="00840C0C"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15pt;width:52.5pt;height:48.75pt;z-index:251658240" fillcolor="#0c9">
            <v:imagedata r:id="rId11" o:title=""/>
          </v:shape>
          <o:OLEObject Type="Embed" ProgID="PBrush" ShapeID="_x0000_s2050" DrawAspect="Content" ObjectID="_1745050163" r:id="rId12"/>
        </w:object>
      </w:r>
      <w:r w:rsidR="00CA77FB" w:rsidRPr="00BF69C9">
        <w:rPr>
          <w:rFonts w:ascii="Bookman Old Style" w:hAnsi="Bookman Old Style"/>
          <w:bCs/>
          <w:szCs w:val="24"/>
        </w:rPr>
        <w:t>Ministerio de Minas y Energía</w:t>
      </w:r>
    </w:p>
    <w:p w14:paraId="22B00C13" w14:textId="77777777" w:rsidR="00862786" w:rsidRPr="00862786" w:rsidRDefault="00862786" w:rsidP="00862786">
      <w:pPr>
        <w:spacing w:before="480" w:after="480"/>
        <w:jc w:val="center"/>
        <w:rPr>
          <w:rFonts w:cs="Arial"/>
          <w:b/>
          <w:snapToGrid w:val="0"/>
          <w:color w:val="000000"/>
          <w:spacing w:val="20"/>
          <w:lang w:val="es-ES_tradnl"/>
        </w:rPr>
      </w:pPr>
      <w:r w:rsidRPr="00862786">
        <w:rPr>
          <w:rFonts w:cs="Arial"/>
          <w:b/>
          <w:snapToGrid w:val="0"/>
          <w:color w:val="000000"/>
          <w:spacing w:val="20"/>
          <w:lang w:val="es-ES_tradnl"/>
        </w:rPr>
        <w:t>COMISIÓN DE REGULACIÓN DE ENERGÍA Y GAS</w:t>
      </w:r>
    </w:p>
    <w:p w14:paraId="6D5E2ABA" w14:textId="20ED0B95" w:rsidR="00F707F6" w:rsidRPr="0065261E" w:rsidRDefault="00F707F6" w:rsidP="00AC356A">
      <w:pPr>
        <w:ind w:left="142" w:right="-142"/>
        <w:jc w:val="center"/>
        <w:rPr>
          <w:rFonts w:cs="Arial"/>
          <w:bCs/>
          <w:color w:val="000000"/>
        </w:rPr>
      </w:pPr>
      <w:r w:rsidRPr="0065261E">
        <w:rPr>
          <w:rFonts w:cs="Arial"/>
          <w:b/>
          <w:color w:val="000000"/>
        </w:rPr>
        <w:t>RESOLUCIÓN No</w:t>
      </w:r>
      <w:r w:rsidRPr="0065261E">
        <w:rPr>
          <w:rFonts w:cs="Arial"/>
          <w:bCs/>
          <w:color w:val="000000"/>
        </w:rPr>
        <w:t xml:space="preserve">. </w:t>
      </w:r>
      <w:r w:rsidR="00A477DE" w:rsidRPr="00AC356A">
        <w:rPr>
          <w:rFonts w:cs="Arial"/>
          <w:b/>
          <w:color w:val="000000"/>
          <w:sz w:val="28"/>
          <w:szCs w:val="28"/>
        </w:rPr>
        <w:t>5</w:t>
      </w:r>
      <w:r w:rsidRPr="00AC356A">
        <w:rPr>
          <w:rFonts w:cs="Arial"/>
          <w:b/>
          <w:color w:val="000000"/>
          <w:sz w:val="28"/>
          <w:szCs w:val="28"/>
        </w:rPr>
        <w:t xml:space="preserve">01 </w:t>
      </w:r>
      <w:r w:rsidR="00AC356A" w:rsidRPr="00AC356A">
        <w:rPr>
          <w:rFonts w:cs="Arial"/>
          <w:b/>
          <w:color w:val="000000"/>
          <w:sz w:val="28"/>
          <w:szCs w:val="28"/>
        </w:rPr>
        <w:t>008</w:t>
      </w:r>
      <w:r w:rsidR="00AC356A">
        <w:rPr>
          <w:rFonts w:cs="Arial"/>
          <w:b/>
          <w:color w:val="000000"/>
          <w:sz w:val="32"/>
          <w:szCs w:val="32"/>
        </w:rPr>
        <w:t xml:space="preserve"> </w:t>
      </w:r>
    </w:p>
    <w:p w14:paraId="509A23CC" w14:textId="14F91307" w:rsidR="00F707F6" w:rsidRPr="00AC356A" w:rsidRDefault="00F707F6" w:rsidP="00F707F6">
      <w:pPr>
        <w:ind w:left="142" w:right="-142"/>
        <w:jc w:val="center"/>
        <w:rPr>
          <w:rFonts w:cs="Arial"/>
          <w:bCs/>
          <w:color w:val="000000"/>
        </w:rPr>
      </w:pPr>
      <w:r w:rsidRPr="00AC356A">
        <w:rPr>
          <w:rFonts w:cs="Arial"/>
          <w:bCs/>
          <w:color w:val="000000"/>
        </w:rPr>
        <w:t>(</w:t>
      </w:r>
      <w:r w:rsidR="00AC356A" w:rsidRPr="00AC356A">
        <w:rPr>
          <w:rFonts w:cs="Arial"/>
          <w:b/>
          <w:color w:val="000000"/>
        </w:rPr>
        <w:t>03 MAR.</w:t>
      </w:r>
      <w:r w:rsidRPr="00AC356A">
        <w:rPr>
          <w:rFonts w:cs="Arial"/>
          <w:b/>
          <w:color w:val="000000"/>
        </w:rPr>
        <w:t>202</w:t>
      </w:r>
      <w:r w:rsidR="005C1104" w:rsidRPr="00AC356A">
        <w:rPr>
          <w:rFonts w:cs="Arial"/>
          <w:b/>
          <w:color w:val="000000"/>
        </w:rPr>
        <w:t>3</w:t>
      </w:r>
      <w:r w:rsidRPr="00AC356A">
        <w:rPr>
          <w:rFonts w:cs="Arial"/>
          <w:bCs/>
          <w:color w:val="000000"/>
        </w:rPr>
        <w:t>)</w:t>
      </w:r>
    </w:p>
    <w:p w14:paraId="445C1742" w14:textId="77777777" w:rsidR="00F707F6" w:rsidRDefault="00F707F6" w:rsidP="00F707F6">
      <w:pPr>
        <w:ind w:left="142" w:right="-142"/>
        <w:jc w:val="center"/>
        <w:rPr>
          <w:rFonts w:cs="Arial"/>
          <w:b/>
          <w:color w:val="000000"/>
        </w:rPr>
      </w:pPr>
    </w:p>
    <w:p w14:paraId="0D3543DB" w14:textId="68793F28" w:rsidR="00510CBD" w:rsidRPr="00F8183F" w:rsidRDefault="00B5231E" w:rsidP="00B5231E">
      <w:pPr>
        <w:spacing w:after="240"/>
        <w:jc w:val="center"/>
        <w:rPr>
          <w:rFonts w:cs="Arial"/>
        </w:rPr>
      </w:pPr>
      <w:bookmarkStart w:id="0" w:name="_Hlk80778688"/>
      <w:r w:rsidRPr="00B5231E">
        <w:t xml:space="preserve">Por la cual se </w:t>
      </w:r>
      <w:r w:rsidR="00C030E5">
        <w:t xml:space="preserve">resuelve la solicitud de revisión tarifaria </w:t>
      </w:r>
      <w:r w:rsidR="00CD690B" w:rsidRPr="00CD690B">
        <w:t xml:space="preserve">de la Resolución </w:t>
      </w:r>
      <w:r w:rsidR="001248C8">
        <w:br/>
      </w:r>
      <w:r w:rsidR="00CD690B" w:rsidRPr="00CD690B">
        <w:t>CREG 219 de 2021</w:t>
      </w:r>
      <w:r w:rsidR="00CD690B">
        <w:t xml:space="preserve"> </w:t>
      </w:r>
      <w:r w:rsidR="00C25607" w:rsidRPr="00C25607">
        <w:t>con base en el artículo</w:t>
      </w:r>
      <w:r w:rsidR="001248C8">
        <w:t xml:space="preserve"> </w:t>
      </w:r>
      <w:r w:rsidR="00C25607" w:rsidRPr="00C25607">
        <w:t>126 de la Ley 142 de 1994, modificado por el artículo 52 de la Ley 2099 de 2021,</w:t>
      </w:r>
      <w:r w:rsidR="00C25607">
        <w:t xml:space="preserve"> </w:t>
      </w:r>
      <w:r w:rsidR="00C25607" w:rsidRPr="00C25607">
        <w:t>mediante la cual se aprobaron las variables</w:t>
      </w:r>
      <w:r w:rsidR="004D52E1">
        <w:t xml:space="preserve"> </w:t>
      </w:r>
      <w:r w:rsidR="00C25607" w:rsidRPr="00C25607">
        <w:t>necesarias para calcular los ingresos y cargos asociados con la actividad de</w:t>
      </w:r>
      <w:r w:rsidR="004D52E1">
        <w:t xml:space="preserve"> </w:t>
      </w:r>
      <w:r w:rsidR="00C25607" w:rsidRPr="00C25607">
        <w:t xml:space="preserve">distribución de energía eléctrica para el </w:t>
      </w:r>
      <w:r w:rsidR="001248C8">
        <w:br/>
      </w:r>
      <w:r w:rsidR="00C25607" w:rsidRPr="00C25607">
        <w:t>mercado de comercialización atendido</w:t>
      </w:r>
      <w:r w:rsidR="004D52E1">
        <w:t xml:space="preserve"> </w:t>
      </w:r>
      <w:r w:rsidR="00C25607" w:rsidRPr="00C25607">
        <w:t xml:space="preserve">por la </w:t>
      </w:r>
      <w:r w:rsidR="00C030E5">
        <w:t xml:space="preserve">Empresa Municipal de </w:t>
      </w:r>
      <w:r w:rsidR="001248C8">
        <w:br/>
      </w:r>
      <w:r w:rsidR="00C030E5">
        <w:t>Energía Eléctrica S.A. E.</w:t>
      </w:r>
      <w:r w:rsidR="00422C11">
        <w:t>S.P.</w:t>
      </w:r>
    </w:p>
    <w:bookmarkEnd w:id="0"/>
    <w:p w14:paraId="1C01FCB2"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26C7E5E3" w14:textId="77777777" w:rsidR="00E27029" w:rsidRPr="00BF69C9" w:rsidRDefault="00E27029" w:rsidP="00E27029">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49DECB61" w14:textId="77777777"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7DDBC6C2" w14:textId="10593582" w:rsidR="005803A9" w:rsidRDefault="005803A9" w:rsidP="005803A9">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t xml:space="preserve">, SIN, la cual fue aclarada y modificada por las resoluciones CREG 085 de 2018, </w:t>
      </w:r>
      <w:r w:rsidRPr="00CD0671">
        <w:t xml:space="preserve">036 </w:t>
      </w:r>
      <w:r w:rsidRPr="00FA0562">
        <w:t>y 199 de 2019, 167 y 195 de 2020</w:t>
      </w:r>
      <w:r>
        <w:t>,</w:t>
      </w:r>
      <w:r w:rsidRPr="00FA0562">
        <w:t xml:space="preserve"> 222 de 2021</w:t>
      </w:r>
      <w:r>
        <w:t xml:space="preserve"> </w:t>
      </w:r>
      <w:r w:rsidRPr="00FD0A8D">
        <w:t>y 101 009, 101 012, 101 022</w:t>
      </w:r>
      <w:r>
        <w:t>,</w:t>
      </w:r>
      <w:r w:rsidRPr="00FD0A8D">
        <w:t xml:space="preserve"> 101 027</w:t>
      </w:r>
      <w:r>
        <w:t xml:space="preserve"> y 101 03</w:t>
      </w:r>
      <w:r w:rsidR="00D27A10">
        <w:t>2</w:t>
      </w:r>
      <w:r w:rsidRPr="00FD0A8D">
        <w:t xml:space="preserve"> de 2022</w:t>
      </w:r>
      <w:r w:rsidRPr="00FA0562">
        <w:t>.</w:t>
      </w:r>
    </w:p>
    <w:p w14:paraId="763366E6" w14:textId="37A8D3CD" w:rsidR="003D3ACD" w:rsidRPr="003D3ACD" w:rsidRDefault="003D3ACD" w:rsidP="003D3ACD">
      <w:pPr>
        <w:rPr>
          <w:lang w:val="es-ES_tradnl"/>
        </w:rPr>
      </w:pPr>
      <w:r w:rsidRPr="003D3ACD">
        <w:rPr>
          <w:lang w:val="es-ES_tradnl"/>
        </w:rPr>
        <w:t>Con la Resolución CREG 219 de 2021 se aprobaron las variables necesarias para calcular los ingresos y cargos asociados con la actividad de distribución de energía eléctrica para el mercado de comercialización atendido por la Empresa Municipal de Energía Eléctrica S.A. E.S.P.</w:t>
      </w:r>
    </w:p>
    <w:p w14:paraId="2CFF7546" w14:textId="6CA563C0" w:rsidR="003D3ACD" w:rsidRDefault="003D3ACD" w:rsidP="003D3ACD">
      <w:pPr>
        <w:rPr>
          <w:lang w:val="es-ES_tradnl"/>
        </w:rPr>
      </w:pPr>
      <w:r w:rsidRPr="003D3ACD">
        <w:rPr>
          <w:lang w:val="es-ES_tradnl"/>
        </w:rPr>
        <w:t>La Empresa Municipal de Energía Eléctrica S.A. E.S.P. interpuso recurso de reposición contra la Resolución CREG 219 de 2021, el cual se resolvió con la Resolución CREG 501 030 de 2022</w:t>
      </w:r>
      <w:r w:rsidR="003B6396">
        <w:rPr>
          <w:lang w:val="es-ES_tradnl"/>
        </w:rPr>
        <w:t>.</w:t>
      </w:r>
    </w:p>
    <w:p w14:paraId="187E6D8B" w14:textId="10B6902E" w:rsidR="00F440D9" w:rsidRPr="00F440D9" w:rsidRDefault="00F440D9" w:rsidP="00F440D9">
      <w:pPr>
        <w:rPr>
          <w:lang w:val="es-ES_tradnl"/>
        </w:rPr>
      </w:pPr>
      <w:r w:rsidRPr="00F440D9">
        <w:rPr>
          <w:lang w:val="es-ES_tradnl"/>
        </w:rPr>
        <w:t xml:space="preserve">Mediante radicado CREG </w:t>
      </w:r>
      <w:bookmarkStart w:id="1" w:name="_Hlk77060499"/>
      <w:r w:rsidRPr="00F440D9">
        <w:rPr>
          <w:lang w:val="es-ES_tradnl"/>
        </w:rPr>
        <w:t>E2022008865</w:t>
      </w:r>
      <w:r w:rsidR="00CA0052">
        <w:rPr>
          <w:lang w:val="es-ES_tradnl"/>
        </w:rPr>
        <w:t xml:space="preserve"> del 16 de agosto de 2022</w:t>
      </w:r>
      <w:r w:rsidRPr="00F440D9">
        <w:rPr>
          <w:lang w:val="es-ES_tradnl"/>
        </w:rPr>
        <w:t xml:space="preserve">, </w:t>
      </w:r>
      <w:bookmarkEnd w:id="1"/>
      <w:r w:rsidRPr="00F440D9">
        <w:rPr>
          <w:lang w:val="es-ES_tradnl"/>
        </w:rPr>
        <w:t xml:space="preserve">la Empresa Municipal de Energía Eléctrica S.A. E.S.P. entregó nueva información relacionada con los activos puestos en operación y </w:t>
      </w:r>
      <w:r w:rsidR="009B69C5">
        <w:rPr>
          <w:lang w:val="es-ES_tradnl"/>
        </w:rPr>
        <w:t xml:space="preserve">los </w:t>
      </w:r>
      <w:r w:rsidRPr="00F440D9">
        <w:rPr>
          <w:lang w:val="es-ES_tradnl"/>
        </w:rPr>
        <w:t>que salieron de operación entre los años 2008 a 2018, relacionados con los reportes de las variables CRI, CRIFO y CRIN de la metodología establecida en la Resolución CREG 015 de 2018</w:t>
      </w:r>
      <w:r w:rsidR="003B334A">
        <w:rPr>
          <w:lang w:val="es-ES_tradnl"/>
        </w:rPr>
        <w:t xml:space="preserve">, y también </w:t>
      </w:r>
      <w:r w:rsidR="00EE07AC">
        <w:rPr>
          <w:lang w:val="es-ES_tradnl"/>
        </w:rPr>
        <w:t xml:space="preserve">entregó </w:t>
      </w:r>
      <w:r w:rsidR="00EE07AC" w:rsidRPr="00F440D9">
        <w:rPr>
          <w:lang w:val="es-ES_tradnl"/>
        </w:rPr>
        <w:t>nueva</w:t>
      </w:r>
      <w:r w:rsidRPr="00F440D9">
        <w:rPr>
          <w:lang w:val="es-ES_tradnl"/>
        </w:rPr>
        <w:t xml:space="preserve"> información con el objetivo de actualizar el cálculo del </w:t>
      </w:r>
      <w:r w:rsidR="002E1344">
        <w:rPr>
          <w:lang w:val="es-ES_tradnl"/>
        </w:rPr>
        <w:t xml:space="preserve">ingreso por gastos de </w:t>
      </w:r>
      <w:r w:rsidRPr="00F440D9">
        <w:rPr>
          <w:lang w:val="es-ES_tradnl"/>
        </w:rPr>
        <w:t>AOM</w:t>
      </w:r>
      <w:r w:rsidR="00E43ADA">
        <w:rPr>
          <w:lang w:val="es-ES_tradnl"/>
        </w:rPr>
        <w:t>.</w:t>
      </w:r>
    </w:p>
    <w:p w14:paraId="453D2B76" w14:textId="67B8AC3A" w:rsidR="00F440D9" w:rsidRPr="00F440D9" w:rsidRDefault="00F440D9" w:rsidP="00F440D9">
      <w:pPr>
        <w:rPr>
          <w:lang w:val="es-ES_tradnl"/>
        </w:rPr>
      </w:pPr>
      <w:r w:rsidRPr="00F440D9">
        <w:rPr>
          <w:lang w:val="es-CO"/>
        </w:rPr>
        <w:lastRenderedPageBreak/>
        <w:t>Mediante radicado CREG E2022009671</w:t>
      </w:r>
      <w:r w:rsidR="00CA0052">
        <w:rPr>
          <w:lang w:val="es-CO"/>
        </w:rPr>
        <w:t xml:space="preserve"> del 01 de septiembre de 2022</w:t>
      </w:r>
      <w:r w:rsidRPr="00F440D9">
        <w:rPr>
          <w:lang w:val="es-ES_tradnl"/>
        </w:rPr>
        <w:t xml:space="preserve">, la Empresa Municipal de Energía Eléctrica S.A. E.S.P. solicitó aumentar el plazo para la aplicación de la variable </w:t>
      </w:r>
      <w:proofErr w:type="spellStart"/>
      <w:proofErr w:type="gramStart"/>
      <w:r w:rsidRPr="00F440D9">
        <w:rPr>
          <w:i/>
          <w:iCs/>
          <w:lang w:val="es-ES_tradnl"/>
        </w:rPr>
        <w:t>AIM</w:t>
      </w:r>
      <w:r w:rsidRPr="00F440D9">
        <w:rPr>
          <w:i/>
          <w:iCs/>
          <w:vertAlign w:val="subscript"/>
          <w:lang w:val="es-ES_tradnl"/>
        </w:rPr>
        <w:t>j,n</w:t>
      </w:r>
      <w:proofErr w:type="gramEnd"/>
      <w:r w:rsidRPr="00F440D9">
        <w:rPr>
          <w:i/>
          <w:iCs/>
          <w:vertAlign w:val="subscript"/>
          <w:lang w:val="es-ES_tradnl"/>
        </w:rPr>
        <w:t>,m</w:t>
      </w:r>
      <w:proofErr w:type="spellEnd"/>
      <w:r w:rsidRPr="00F440D9">
        <w:rPr>
          <w:lang w:val="es-ES_tradnl"/>
        </w:rPr>
        <w:t>, definida en el numeral 1.3.4.1 de la Resolución CREG 015 de 2018 a 60 meses, argumentando que la variación de los ingresos producto del cambio de metodología resultó en cargos por uso negativos para el mes de agosto de 2022, para los niveles de tensión 1 y 2</w:t>
      </w:r>
      <w:r w:rsidR="00822AD4">
        <w:rPr>
          <w:lang w:val="es-ES_tradnl"/>
        </w:rPr>
        <w:t>.</w:t>
      </w:r>
    </w:p>
    <w:p w14:paraId="19742E13" w14:textId="7F30B59D" w:rsidR="00F440D9" w:rsidRPr="00F440D9" w:rsidRDefault="00F440D9" w:rsidP="00F440D9">
      <w:pPr>
        <w:rPr>
          <w:lang w:val="es-ES_tradnl"/>
        </w:rPr>
      </w:pPr>
      <w:r w:rsidRPr="00F440D9">
        <w:rPr>
          <w:lang w:val="es-ES_tradnl"/>
        </w:rPr>
        <w:t>En comunicación con radicado CREG E2022009674</w:t>
      </w:r>
      <w:r w:rsidR="00CA0052">
        <w:rPr>
          <w:lang w:val="es-ES_tradnl"/>
        </w:rPr>
        <w:t xml:space="preserve"> </w:t>
      </w:r>
      <w:r w:rsidR="00CA0052">
        <w:rPr>
          <w:lang w:val="es-CO"/>
        </w:rPr>
        <w:t>del 01 de septiembre de 2022,</w:t>
      </w:r>
      <w:r w:rsidRPr="00F440D9">
        <w:rPr>
          <w:lang w:val="es-ES_tradnl"/>
        </w:rPr>
        <w:t xml:space="preserve"> la Empresa Municipal de Energía Eléctrica S.A. E.S.P.</w:t>
      </w:r>
      <w:r w:rsidR="00C32B99">
        <w:rPr>
          <w:lang w:val="es-ES_tradnl"/>
        </w:rPr>
        <w:t>, en adelante EMEESA,</w:t>
      </w:r>
      <w:r w:rsidRPr="00F440D9">
        <w:rPr>
          <w:lang w:val="es-ES_tradnl"/>
        </w:rPr>
        <w:t xml:space="preserve"> </w:t>
      </w:r>
      <w:r w:rsidR="00822AD4">
        <w:rPr>
          <w:lang w:val="es-ES_tradnl"/>
        </w:rPr>
        <w:t>presentó</w:t>
      </w:r>
      <w:r w:rsidRPr="00F440D9">
        <w:rPr>
          <w:lang w:val="es-ES_tradnl"/>
        </w:rPr>
        <w:t xml:space="preserve"> a la Comisión una solicitud de revisión tarifaria con fundamento en el artículo 126 de la Ley 142 de 1994 para modificar la Resolución CREG 219 de 2021</w:t>
      </w:r>
      <w:r w:rsidR="0016061B">
        <w:rPr>
          <w:lang w:val="es-ES_tradnl"/>
        </w:rPr>
        <w:t xml:space="preserve">, presentando los antecedentes, justificación </w:t>
      </w:r>
      <w:r w:rsidR="00EB1580">
        <w:rPr>
          <w:lang w:val="es-ES_tradnl"/>
        </w:rPr>
        <w:t>y pretensiones de la solicitud de revisión.</w:t>
      </w:r>
    </w:p>
    <w:p w14:paraId="7EECB4E3" w14:textId="64E1CFAE" w:rsidR="00921251" w:rsidRDefault="00921251" w:rsidP="001248C8">
      <w:pPr>
        <w:spacing w:after="240"/>
      </w:pPr>
      <w:r>
        <w:t>En la comunicación citada se señala lo siguiente:</w:t>
      </w:r>
    </w:p>
    <w:p w14:paraId="248FBF62" w14:textId="36B5A905" w:rsidR="003643E9" w:rsidRPr="009421F1" w:rsidRDefault="003643E9" w:rsidP="001248C8">
      <w:pPr>
        <w:ind w:left="426"/>
        <w:jc w:val="center"/>
        <w:rPr>
          <w:rStyle w:val="nfasis"/>
          <w:b/>
          <w:bCs/>
          <w:sz w:val="22"/>
          <w:szCs w:val="22"/>
        </w:rPr>
      </w:pPr>
      <w:r w:rsidRPr="009421F1">
        <w:rPr>
          <w:rStyle w:val="nfasis"/>
          <w:b/>
          <w:bCs/>
          <w:sz w:val="22"/>
          <w:szCs w:val="22"/>
        </w:rPr>
        <w:t>I. CONSIDERACIONES JURÍDICAS</w:t>
      </w:r>
    </w:p>
    <w:p w14:paraId="5D2C9254" w14:textId="36720025" w:rsidR="00362B6E" w:rsidRPr="009421F1" w:rsidRDefault="003643E9" w:rsidP="001248C8">
      <w:pPr>
        <w:ind w:left="426"/>
        <w:rPr>
          <w:rStyle w:val="nfasis"/>
          <w:sz w:val="22"/>
          <w:szCs w:val="22"/>
        </w:rPr>
      </w:pPr>
      <w:r w:rsidRPr="009421F1">
        <w:rPr>
          <w:rStyle w:val="nfasis"/>
          <w:sz w:val="22"/>
          <w:szCs w:val="22"/>
        </w:rPr>
        <w:t>(…)</w:t>
      </w:r>
      <w:r w:rsidR="00362B6E" w:rsidRPr="009421F1">
        <w:rPr>
          <w:rStyle w:val="nfasis"/>
          <w:sz w:val="22"/>
          <w:szCs w:val="22"/>
        </w:rPr>
        <w:t xml:space="preserve"> dispuso el Legislador que el régimen tarifario debía estar orientado por criterios de (i) eficiencia </w:t>
      </w:r>
      <w:r w:rsidR="009421F1" w:rsidRPr="009421F1">
        <w:rPr>
          <w:rStyle w:val="nfasis"/>
          <w:sz w:val="22"/>
          <w:szCs w:val="22"/>
        </w:rPr>
        <w:t>económica</w:t>
      </w:r>
      <w:r w:rsidR="00362B6E" w:rsidRPr="009421F1">
        <w:rPr>
          <w:rStyle w:val="nfasis"/>
          <w:sz w:val="22"/>
          <w:szCs w:val="22"/>
        </w:rPr>
        <w:t>, (</w:t>
      </w:r>
      <w:proofErr w:type="spellStart"/>
      <w:r w:rsidR="00362B6E" w:rsidRPr="009421F1">
        <w:rPr>
          <w:rStyle w:val="nfasis"/>
          <w:sz w:val="22"/>
          <w:szCs w:val="22"/>
        </w:rPr>
        <w:t>ii</w:t>
      </w:r>
      <w:proofErr w:type="spellEnd"/>
      <w:r w:rsidR="00362B6E" w:rsidRPr="009421F1">
        <w:rPr>
          <w:rStyle w:val="nfasis"/>
          <w:sz w:val="22"/>
          <w:szCs w:val="22"/>
        </w:rPr>
        <w:t>) neutralidad, (</w:t>
      </w:r>
      <w:proofErr w:type="spellStart"/>
      <w:r w:rsidR="00362B6E" w:rsidRPr="009421F1">
        <w:rPr>
          <w:rStyle w:val="nfasis"/>
          <w:sz w:val="22"/>
          <w:szCs w:val="22"/>
        </w:rPr>
        <w:t>iii</w:t>
      </w:r>
      <w:proofErr w:type="spellEnd"/>
      <w:r w:rsidR="00362B6E" w:rsidRPr="009421F1">
        <w:rPr>
          <w:rStyle w:val="nfasis"/>
          <w:sz w:val="22"/>
          <w:szCs w:val="22"/>
        </w:rPr>
        <w:t>) solidaridad, (</w:t>
      </w:r>
      <w:proofErr w:type="spellStart"/>
      <w:r w:rsidR="00362B6E" w:rsidRPr="009421F1">
        <w:rPr>
          <w:rStyle w:val="nfasis"/>
          <w:sz w:val="22"/>
          <w:szCs w:val="22"/>
        </w:rPr>
        <w:t>iv</w:t>
      </w:r>
      <w:proofErr w:type="spellEnd"/>
      <w:r w:rsidR="00362B6E" w:rsidRPr="009421F1">
        <w:rPr>
          <w:rStyle w:val="nfasis"/>
          <w:sz w:val="22"/>
          <w:szCs w:val="22"/>
        </w:rPr>
        <w:t>) redistribución, (v) suficiencia financiera, (vi) simplicidad y (</w:t>
      </w:r>
      <w:proofErr w:type="spellStart"/>
      <w:r w:rsidR="00362B6E" w:rsidRPr="009421F1">
        <w:rPr>
          <w:rStyle w:val="nfasis"/>
          <w:sz w:val="22"/>
          <w:szCs w:val="22"/>
        </w:rPr>
        <w:t>vii</w:t>
      </w:r>
      <w:proofErr w:type="spellEnd"/>
      <w:r w:rsidR="00362B6E" w:rsidRPr="009421F1">
        <w:rPr>
          <w:rStyle w:val="nfasis"/>
          <w:sz w:val="22"/>
          <w:szCs w:val="22"/>
        </w:rPr>
        <w:t>) transparencia.</w:t>
      </w:r>
    </w:p>
    <w:p w14:paraId="2581B70F" w14:textId="3C09153B" w:rsidR="002615E1" w:rsidRPr="009421F1" w:rsidRDefault="002615E1" w:rsidP="001248C8">
      <w:pPr>
        <w:ind w:left="426"/>
        <w:rPr>
          <w:rStyle w:val="nfasis"/>
          <w:sz w:val="22"/>
          <w:szCs w:val="22"/>
        </w:rPr>
      </w:pPr>
      <w:r w:rsidRPr="009421F1">
        <w:rPr>
          <w:rStyle w:val="nfasis"/>
          <w:sz w:val="22"/>
          <w:szCs w:val="22"/>
        </w:rPr>
        <w:t>(…)</w:t>
      </w:r>
    </w:p>
    <w:p w14:paraId="43804F47" w14:textId="5D1F39FD" w:rsidR="002615E1" w:rsidRPr="009421F1" w:rsidRDefault="002615E1" w:rsidP="001248C8">
      <w:pPr>
        <w:ind w:left="426"/>
        <w:rPr>
          <w:rStyle w:val="nfasis"/>
          <w:sz w:val="22"/>
          <w:szCs w:val="22"/>
        </w:rPr>
      </w:pPr>
      <w:r w:rsidRPr="009421F1">
        <w:rPr>
          <w:rStyle w:val="nfasis"/>
          <w:sz w:val="22"/>
          <w:szCs w:val="22"/>
        </w:rPr>
        <w:t>En lo que concierne al criterio sobre suficiencia financiera, el numeral 87.4 del artículo 87 de la Ley 142 de 1994, establece que "por suficiencia financiera se entiende que las fórmulas de tarifas garantizarán la recuperación de los costos y gastos propios de operación, incluyendo la expansión, la reposición y el mantenimiento; permitirán remunerar el patr</w:t>
      </w:r>
      <w:r w:rsidR="00B76F92" w:rsidRPr="009421F1">
        <w:rPr>
          <w:rStyle w:val="nfasis"/>
          <w:sz w:val="22"/>
          <w:szCs w:val="22"/>
        </w:rPr>
        <w:t>imonio</w:t>
      </w:r>
      <w:r w:rsidRPr="009421F1">
        <w:rPr>
          <w:rStyle w:val="nfasis"/>
          <w:sz w:val="22"/>
          <w:szCs w:val="22"/>
        </w:rPr>
        <w:t xml:space="preserve"> de los acc</w:t>
      </w:r>
      <w:r w:rsidR="00B76F92" w:rsidRPr="009421F1">
        <w:rPr>
          <w:rStyle w:val="nfasis"/>
          <w:sz w:val="22"/>
          <w:szCs w:val="22"/>
        </w:rPr>
        <w:t>i</w:t>
      </w:r>
      <w:r w:rsidRPr="009421F1">
        <w:rPr>
          <w:rStyle w:val="nfasis"/>
          <w:sz w:val="22"/>
          <w:szCs w:val="22"/>
        </w:rPr>
        <w:t>on</w:t>
      </w:r>
      <w:r w:rsidR="00B76F92" w:rsidRPr="009421F1">
        <w:rPr>
          <w:rStyle w:val="nfasis"/>
          <w:sz w:val="22"/>
          <w:szCs w:val="22"/>
        </w:rPr>
        <w:t>i</w:t>
      </w:r>
      <w:r w:rsidRPr="009421F1">
        <w:rPr>
          <w:rStyle w:val="nfasis"/>
          <w:sz w:val="22"/>
          <w:szCs w:val="22"/>
        </w:rPr>
        <w:t>stas en la misma forma en la que lo habría remunerado una</w:t>
      </w:r>
      <w:r w:rsidR="00B76F92" w:rsidRPr="009421F1">
        <w:rPr>
          <w:rStyle w:val="nfasis"/>
          <w:sz w:val="22"/>
          <w:szCs w:val="22"/>
        </w:rPr>
        <w:t xml:space="preserve"> </w:t>
      </w:r>
      <w:r w:rsidRPr="009421F1">
        <w:rPr>
          <w:rStyle w:val="nfasis"/>
          <w:sz w:val="22"/>
          <w:szCs w:val="22"/>
        </w:rPr>
        <w:t>empresa eficiente en un sector de riesgo comparable; y permitirán utilizar las tecnologías y</w:t>
      </w:r>
      <w:r w:rsidR="00B76F92" w:rsidRPr="009421F1">
        <w:rPr>
          <w:rStyle w:val="nfasis"/>
          <w:sz w:val="22"/>
          <w:szCs w:val="22"/>
        </w:rPr>
        <w:t xml:space="preserve"> </w:t>
      </w:r>
      <w:r w:rsidRPr="009421F1">
        <w:rPr>
          <w:rStyle w:val="nfasis"/>
          <w:sz w:val="22"/>
          <w:szCs w:val="22"/>
        </w:rPr>
        <w:t xml:space="preserve">sistemas administrativos que garanticen la </w:t>
      </w:r>
      <w:r w:rsidR="00B76F92" w:rsidRPr="009421F1">
        <w:rPr>
          <w:rStyle w:val="nfasis"/>
          <w:sz w:val="22"/>
          <w:szCs w:val="22"/>
        </w:rPr>
        <w:t>mejor</w:t>
      </w:r>
      <w:r w:rsidRPr="009421F1">
        <w:rPr>
          <w:rStyle w:val="nfasis"/>
          <w:sz w:val="22"/>
          <w:szCs w:val="22"/>
        </w:rPr>
        <w:t xml:space="preserve"> calidad, continuidad y seguridad a sus</w:t>
      </w:r>
      <w:r w:rsidR="00B76F92" w:rsidRPr="009421F1">
        <w:rPr>
          <w:rStyle w:val="nfasis"/>
          <w:sz w:val="22"/>
          <w:szCs w:val="22"/>
        </w:rPr>
        <w:t xml:space="preserve"> </w:t>
      </w:r>
      <w:r w:rsidRPr="009421F1">
        <w:rPr>
          <w:rStyle w:val="nfasis"/>
          <w:sz w:val="22"/>
          <w:szCs w:val="22"/>
        </w:rPr>
        <w:t>usuarios".</w:t>
      </w:r>
    </w:p>
    <w:p w14:paraId="120093E0" w14:textId="6117C290" w:rsidR="00B76F92" w:rsidRPr="009421F1" w:rsidRDefault="002A3F7E" w:rsidP="001248C8">
      <w:pPr>
        <w:ind w:left="426"/>
        <w:rPr>
          <w:rStyle w:val="nfasis"/>
          <w:sz w:val="22"/>
          <w:szCs w:val="22"/>
        </w:rPr>
      </w:pPr>
      <w:r w:rsidRPr="009421F1">
        <w:rPr>
          <w:rStyle w:val="nfasis"/>
          <w:sz w:val="22"/>
          <w:szCs w:val="22"/>
        </w:rPr>
        <w:t>Bajo este parámetro de acción, la empresa encuentra que con la aplicación de la formula tarifaria en la resolución CREG 015 de 2018 para e</w:t>
      </w:r>
      <w:r w:rsidR="004B7F4B">
        <w:rPr>
          <w:rStyle w:val="nfasis"/>
          <w:sz w:val="22"/>
          <w:szCs w:val="22"/>
        </w:rPr>
        <w:t>l</w:t>
      </w:r>
      <w:r w:rsidRPr="009421F1">
        <w:rPr>
          <w:rStyle w:val="nfasis"/>
          <w:sz w:val="22"/>
          <w:szCs w:val="22"/>
        </w:rPr>
        <w:t xml:space="preserve"> cálculo de los cargos tarifarios que aplican para el mercado atendido por EMEESA, induce a la inestabilidad de la empresa, ya que dicho resultado fue replicado por XM en su comunicación con asunto: Aplicación Resolución CREG 015 de 2018 - cargos por uso con valor negativo con radicado</w:t>
      </w:r>
      <w:r w:rsidR="00E4068E" w:rsidRPr="009421F1">
        <w:rPr>
          <w:rStyle w:val="nfasis"/>
          <w:sz w:val="22"/>
          <w:szCs w:val="22"/>
        </w:rPr>
        <w:t xml:space="preserve"> </w:t>
      </w:r>
      <w:r w:rsidRPr="009421F1">
        <w:rPr>
          <w:rStyle w:val="nfasis"/>
          <w:sz w:val="22"/>
          <w:szCs w:val="22"/>
        </w:rPr>
        <w:t>202244024230</w:t>
      </w:r>
      <w:r w:rsidR="00E4068E" w:rsidRPr="009421F1">
        <w:rPr>
          <w:rStyle w:val="nfasis"/>
          <w:sz w:val="22"/>
          <w:szCs w:val="22"/>
        </w:rPr>
        <w:t>-1</w:t>
      </w:r>
      <w:r w:rsidRPr="009421F1">
        <w:rPr>
          <w:rStyle w:val="nfasis"/>
          <w:sz w:val="22"/>
          <w:szCs w:val="22"/>
        </w:rPr>
        <w:t xml:space="preserve"> XM del 11 de agosto de 2022, expresa que durante el primer año de</w:t>
      </w:r>
      <w:r w:rsidR="00E4068E" w:rsidRPr="009421F1">
        <w:rPr>
          <w:rStyle w:val="nfasis"/>
          <w:sz w:val="22"/>
          <w:szCs w:val="22"/>
        </w:rPr>
        <w:t xml:space="preserve"> </w:t>
      </w:r>
      <w:r w:rsidRPr="009421F1">
        <w:rPr>
          <w:rStyle w:val="nfasis"/>
          <w:sz w:val="22"/>
          <w:szCs w:val="22"/>
        </w:rPr>
        <w:t>operación la empresa devolverá el valor total de los posibles ingresos percibidos por su</w:t>
      </w:r>
      <w:r w:rsidR="00E4068E" w:rsidRPr="009421F1">
        <w:rPr>
          <w:rStyle w:val="nfasis"/>
          <w:sz w:val="22"/>
          <w:szCs w:val="22"/>
        </w:rPr>
        <w:t xml:space="preserve"> </w:t>
      </w:r>
      <w:r w:rsidRPr="009421F1">
        <w:rPr>
          <w:rStyle w:val="nfasis"/>
          <w:sz w:val="22"/>
          <w:szCs w:val="22"/>
        </w:rPr>
        <w:t>actividad de distribución.</w:t>
      </w:r>
    </w:p>
    <w:p w14:paraId="3303AA18" w14:textId="256DC6AD" w:rsidR="002A3F7E" w:rsidRPr="009421F1" w:rsidRDefault="002A3F7E" w:rsidP="001248C8">
      <w:pPr>
        <w:ind w:left="426"/>
        <w:rPr>
          <w:rStyle w:val="nfasis"/>
          <w:sz w:val="22"/>
          <w:szCs w:val="22"/>
        </w:rPr>
      </w:pPr>
      <w:r w:rsidRPr="009421F1">
        <w:rPr>
          <w:rStyle w:val="nfasis"/>
          <w:sz w:val="22"/>
          <w:szCs w:val="22"/>
        </w:rPr>
        <w:t>Esto constituye un elemento directo de inestabilidad, ya que claramente durante un año la</w:t>
      </w:r>
      <w:r w:rsidR="00E4068E" w:rsidRPr="009421F1">
        <w:rPr>
          <w:rStyle w:val="nfasis"/>
          <w:sz w:val="22"/>
          <w:szCs w:val="22"/>
        </w:rPr>
        <w:t xml:space="preserve"> </w:t>
      </w:r>
      <w:r w:rsidRPr="009421F1">
        <w:rPr>
          <w:rStyle w:val="nfasis"/>
          <w:sz w:val="22"/>
          <w:szCs w:val="22"/>
        </w:rPr>
        <w:t>empresa además de devolver ingresos deberá soportar todos sus costos lo que pondría en</w:t>
      </w:r>
      <w:r w:rsidR="00E4068E" w:rsidRPr="009421F1">
        <w:rPr>
          <w:rStyle w:val="nfasis"/>
          <w:sz w:val="22"/>
          <w:szCs w:val="22"/>
        </w:rPr>
        <w:t xml:space="preserve"> </w:t>
      </w:r>
      <w:r w:rsidRPr="009421F1">
        <w:rPr>
          <w:rStyle w:val="nfasis"/>
          <w:sz w:val="22"/>
          <w:szCs w:val="22"/>
        </w:rPr>
        <w:t>peligro la prestación del servicio y lesionaría gravemente los intereses tanto de la empresa</w:t>
      </w:r>
      <w:r w:rsidR="00E4068E" w:rsidRPr="009421F1">
        <w:rPr>
          <w:rStyle w:val="nfasis"/>
          <w:sz w:val="22"/>
          <w:szCs w:val="22"/>
        </w:rPr>
        <w:t xml:space="preserve"> </w:t>
      </w:r>
      <w:r w:rsidRPr="009421F1">
        <w:rPr>
          <w:rStyle w:val="nfasis"/>
          <w:sz w:val="22"/>
          <w:szCs w:val="22"/>
        </w:rPr>
        <w:t>como de los usuarios</w:t>
      </w:r>
      <w:r w:rsidR="00717749" w:rsidRPr="009421F1">
        <w:rPr>
          <w:rStyle w:val="nfasis"/>
          <w:sz w:val="22"/>
          <w:szCs w:val="22"/>
        </w:rPr>
        <w:t>.</w:t>
      </w:r>
      <w:r w:rsidRPr="009421F1">
        <w:rPr>
          <w:rStyle w:val="nfasis"/>
          <w:sz w:val="22"/>
          <w:szCs w:val="22"/>
        </w:rPr>
        <w:t xml:space="preserve"> Este escenario desconoce los esfuerzos de la empresa por conectar</w:t>
      </w:r>
      <w:r w:rsidR="00717749" w:rsidRPr="009421F1">
        <w:rPr>
          <w:rStyle w:val="nfasis"/>
          <w:sz w:val="22"/>
          <w:szCs w:val="22"/>
        </w:rPr>
        <w:t xml:space="preserve"> </w:t>
      </w:r>
      <w:r w:rsidRPr="009421F1">
        <w:rPr>
          <w:rStyle w:val="nfasis"/>
          <w:sz w:val="22"/>
          <w:szCs w:val="22"/>
        </w:rPr>
        <w:t xml:space="preserve">nueva demanda y las inversiones realizadas durante este periodo de </w:t>
      </w:r>
      <w:r w:rsidR="00717749" w:rsidRPr="009421F1">
        <w:rPr>
          <w:rStyle w:val="nfasis"/>
          <w:sz w:val="22"/>
          <w:szCs w:val="22"/>
        </w:rPr>
        <w:t>tiempo</w:t>
      </w:r>
      <w:r w:rsidRPr="009421F1">
        <w:rPr>
          <w:rStyle w:val="nfasis"/>
          <w:sz w:val="22"/>
          <w:szCs w:val="22"/>
        </w:rPr>
        <w:t>, ya que sus</w:t>
      </w:r>
      <w:r w:rsidR="00717749" w:rsidRPr="009421F1">
        <w:rPr>
          <w:rStyle w:val="nfasis"/>
          <w:sz w:val="22"/>
          <w:szCs w:val="22"/>
        </w:rPr>
        <w:t xml:space="preserve"> </w:t>
      </w:r>
      <w:r w:rsidRPr="009421F1">
        <w:rPr>
          <w:rStyle w:val="nfasis"/>
          <w:sz w:val="22"/>
          <w:szCs w:val="22"/>
        </w:rPr>
        <w:t>usuarios</w:t>
      </w:r>
      <w:r w:rsidR="00717749" w:rsidRPr="009421F1">
        <w:rPr>
          <w:rStyle w:val="nfasis"/>
          <w:sz w:val="22"/>
          <w:szCs w:val="22"/>
        </w:rPr>
        <w:t xml:space="preserve"> </w:t>
      </w:r>
      <w:r w:rsidRPr="009421F1">
        <w:rPr>
          <w:rStyle w:val="nfasis"/>
          <w:sz w:val="22"/>
          <w:szCs w:val="22"/>
        </w:rPr>
        <w:t>actualmente</w:t>
      </w:r>
      <w:r w:rsidR="00717749" w:rsidRPr="009421F1">
        <w:rPr>
          <w:rStyle w:val="nfasis"/>
          <w:sz w:val="22"/>
          <w:szCs w:val="22"/>
        </w:rPr>
        <w:t xml:space="preserve"> </w:t>
      </w:r>
      <w:r w:rsidRPr="009421F1">
        <w:rPr>
          <w:rStyle w:val="nfasis"/>
          <w:sz w:val="22"/>
          <w:szCs w:val="22"/>
        </w:rPr>
        <w:t>gozan</w:t>
      </w:r>
      <w:r w:rsidR="00717749" w:rsidRPr="009421F1">
        <w:rPr>
          <w:rStyle w:val="nfasis"/>
          <w:sz w:val="22"/>
          <w:szCs w:val="22"/>
        </w:rPr>
        <w:t xml:space="preserve"> </w:t>
      </w:r>
      <w:r w:rsidRPr="009421F1">
        <w:rPr>
          <w:rStyle w:val="nfasis"/>
          <w:sz w:val="22"/>
          <w:szCs w:val="22"/>
        </w:rPr>
        <w:t>de</w:t>
      </w:r>
      <w:r w:rsidR="00717749" w:rsidRPr="009421F1">
        <w:rPr>
          <w:rStyle w:val="nfasis"/>
          <w:sz w:val="22"/>
          <w:szCs w:val="22"/>
        </w:rPr>
        <w:t xml:space="preserve"> </w:t>
      </w:r>
      <w:r w:rsidRPr="009421F1">
        <w:rPr>
          <w:rStyle w:val="nfasis"/>
          <w:sz w:val="22"/>
          <w:szCs w:val="22"/>
        </w:rPr>
        <w:t>tarifas</w:t>
      </w:r>
      <w:r w:rsidR="00717749" w:rsidRPr="009421F1">
        <w:rPr>
          <w:rStyle w:val="nfasis"/>
          <w:sz w:val="22"/>
          <w:szCs w:val="22"/>
        </w:rPr>
        <w:t xml:space="preserve"> </w:t>
      </w:r>
      <w:r w:rsidRPr="009421F1">
        <w:rPr>
          <w:rStyle w:val="nfasis"/>
          <w:sz w:val="22"/>
          <w:szCs w:val="22"/>
        </w:rPr>
        <w:t>bajas</w:t>
      </w:r>
      <w:r w:rsidR="00717749" w:rsidRPr="009421F1">
        <w:rPr>
          <w:rStyle w:val="nfasis"/>
          <w:sz w:val="22"/>
          <w:szCs w:val="22"/>
        </w:rPr>
        <w:t xml:space="preserve"> </w:t>
      </w:r>
      <w:r w:rsidRPr="009421F1">
        <w:rPr>
          <w:rStyle w:val="nfasis"/>
          <w:sz w:val="22"/>
          <w:szCs w:val="22"/>
        </w:rPr>
        <w:t>y</w:t>
      </w:r>
      <w:r w:rsidR="00717749" w:rsidRPr="009421F1">
        <w:rPr>
          <w:rStyle w:val="nfasis"/>
          <w:sz w:val="22"/>
          <w:szCs w:val="22"/>
        </w:rPr>
        <w:t xml:space="preserve"> </w:t>
      </w:r>
      <w:r w:rsidRPr="009421F1">
        <w:rPr>
          <w:rStyle w:val="nfasis"/>
          <w:sz w:val="22"/>
          <w:szCs w:val="22"/>
        </w:rPr>
        <w:t>una</w:t>
      </w:r>
      <w:r w:rsidR="00717749" w:rsidRPr="009421F1">
        <w:rPr>
          <w:rStyle w:val="nfasis"/>
          <w:sz w:val="22"/>
          <w:szCs w:val="22"/>
        </w:rPr>
        <w:t xml:space="preserve"> </w:t>
      </w:r>
      <w:r w:rsidRPr="009421F1">
        <w:rPr>
          <w:rStyle w:val="nfasis"/>
          <w:sz w:val="22"/>
          <w:szCs w:val="22"/>
        </w:rPr>
        <w:t>buena</w:t>
      </w:r>
      <w:r w:rsidR="00717749" w:rsidRPr="009421F1">
        <w:rPr>
          <w:rStyle w:val="nfasis"/>
          <w:sz w:val="22"/>
          <w:szCs w:val="22"/>
        </w:rPr>
        <w:t xml:space="preserve"> </w:t>
      </w:r>
      <w:r w:rsidRPr="009421F1">
        <w:rPr>
          <w:rStyle w:val="nfasis"/>
          <w:sz w:val="22"/>
          <w:szCs w:val="22"/>
        </w:rPr>
        <w:t>prestación</w:t>
      </w:r>
      <w:r w:rsidR="00717749" w:rsidRPr="009421F1">
        <w:rPr>
          <w:rStyle w:val="nfasis"/>
          <w:sz w:val="22"/>
          <w:szCs w:val="22"/>
        </w:rPr>
        <w:t xml:space="preserve"> </w:t>
      </w:r>
      <w:r w:rsidRPr="009421F1">
        <w:rPr>
          <w:rStyle w:val="nfasis"/>
          <w:sz w:val="22"/>
          <w:szCs w:val="22"/>
        </w:rPr>
        <w:t>del</w:t>
      </w:r>
      <w:r w:rsidR="00717749" w:rsidRPr="009421F1">
        <w:rPr>
          <w:rStyle w:val="nfasis"/>
          <w:sz w:val="22"/>
          <w:szCs w:val="22"/>
        </w:rPr>
        <w:t xml:space="preserve"> </w:t>
      </w:r>
      <w:r w:rsidRPr="009421F1">
        <w:rPr>
          <w:rStyle w:val="nfasis"/>
          <w:sz w:val="22"/>
          <w:szCs w:val="22"/>
        </w:rPr>
        <w:t>servicio.</w:t>
      </w:r>
    </w:p>
    <w:p w14:paraId="60BAC439" w14:textId="43481A3E" w:rsidR="00AD515C" w:rsidRPr="009421F1" w:rsidRDefault="00AD515C" w:rsidP="001248C8">
      <w:pPr>
        <w:ind w:left="426"/>
        <w:jc w:val="center"/>
        <w:rPr>
          <w:rStyle w:val="nfasis"/>
          <w:b/>
          <w:bCs/>
          <w:sz w:val="22"/>
          <w:szCs w:val="22"/>
        </w:rPr>
      </w:pPr>
      <w:r w:rsidRPr="009421F1">
        <w:rPr>
          <w:rStyle w:val="nfasis"/>
          <w:b/>
          <w:bCs/>
          <w:sz w:val="22"/>
          <w:szCs w:val="22"/>
        </w:rPr>
        <w:t>II. CONSIDERACIONES FINANCIERAS Y TÉCNICAS</w:t>
      </w:r>
    </w:p>
    <w:p w14:paraId="4023868E" w14:textId="40AB6FA5" w:rsidR="00AD515C" w:rsidRPr="009421F1" w:rsidRDefault="00226ED6" w:rsidP="001248C8">
      <w:pPr>
        <w:ind w:left="426"/>
        <w:rPr>
          <w:rStyle w:val="nfasis"/>
          <w:sz w:val="22"/>
          <w:szCs w:val="22"/>
        </w:rPr>
      </w:pPr>
      <w:bookmarkStart w:id="2" w:name="_Hlk130897088"/>
      <w:r w:rsidRPr="009421F1">
        <w:rPr>
          <w:rStyle w:val="nfasis"/>
          <w:sz w:val="22"/>
          <w:szCs w:val="22"/>
        </w:rPr>
        <w:t xml:space="preserve">Una vez aplicada la metodología de la Resolución GREG 015 de 2018 </w:t>
      </w:r>
      <w:bookmarkEnd w:id="2"/>
      <w:r w:rsidRPr="009421F1">
        <w:rPr>
          <w:rStyle w:val="nfasis"/>
          <w:sz w:val="22"/>
          <w:szCs w:val="22"/>
        </w:rPr>
        <w:t xml:space="preserve">y la notificación recibida por parte de </w:t>
      </w:r>
      <w:r w:rsidR="00474824" w:rsidRPr="009421F1">
        <w:rPr>
          <w:rStyle w:val="nfasis"/>
          <w:sz w:val="22"/>
          <w:szCs w:val="22"/>
        </w:rPr>
        <w:t>XM</w:t>
      </w:r>
      <w:r w:rsidRPr="009421F1">
        <w:rPr>
          <w:rStyle w:val="nfasis"/>
          <w:sz w:val="22"/>
          <w:szCs w:val="22"/>
        </w:rPr>
        <w:t xml:space="preserve"> </w:t>
      </w:r>
      <w:r w:rsidR="00474824" w:rsidRPr="009421F1">
        <w:rPr>
          <w:rStyle w:val="nfasis"/>
          <w:sz w:val="22"/>
          <w:szCs w:val="22"/>
        </w:rPr>
        <w:t>S</w:t>
      </w:r>
      <w:r w:rsidRPr="009421F1">
        <w:rPr>
          <w:rStyle w:val="nfasis"/>
          <w:sz w:val="22"/>
          <w:szCs w:val="22"/>
        </w:rPr>
        <w:t xml:space="preserve">.A. ESP sobre los cargos finales por uso, se obtienen resultados negativos tanto del </w:t>
      </w:r>
      <w:r w:rsidR="00556072" w:rsidRPr="009421F1">
        <w:rPr>
          <w:rStyle w:val="nfasis"/>
          <w:sz w:val="22"/>
          <w:szCs w:val="22"/>
        </w:rPr>
        <w:t>C</w:t>
      </w:r>
      <w:r w:rsidRPr="009421F1">
        <w:rPr>
          <w:rStyle w:val="nfasis"/>
          <w:sz w:val="22"/>
          <w:szCs w:val="22"/>
        </w:rPr>
        <w:t xml:space="preserve">D y </w:t>
      </w:r>
      <w:proofErr w:type="spellStart"/>
      <w:r w:rsidRPr="009421F1">
        <w:rPr>
          <w:rStyle w:val="nfasis"/>
          <w:sz w:val="22"/>
          <w:szCs w:val="22"/>
        </w:rPr>
        <w:t>Dt</w:t>
      </w:r>
      <w:proofErr w:type="spellEnd"/>
      <w:r w:rsidRPr="009421F1">
        <w:rPr>
          <w:rStyle w:val="nfasis"/>
          <w:sz w:val="22"/>
          <w:szCs w:val="22"/>
        </w:rPr>
        <w:t xml:space="preserve">, estos elementos constituyen el ingreso </w:t>
      </w:r>
      <w:r w:rsidRPr="009421F1">
        <w:rPr>
          <w:rStyle w:val="nfasis"/>
          <w:sz w:val="22"/>
          <w:szCs w:val="22"/>
        </w:rPr>
        <w:lastRenderedPageBreak/>
        <w:t>asociado a la distribución y hace visible la afectación que tendría la empresa en su ejerc</w:t>
      </w:r>
      <w:r w:rsidR="00556072" w:rsidRPr="009421F1">
        <w:rPr>
          <w:rStyle w:val="nfasis"/>
          <w:sz w:val="22"/>
          <w:szCs w:val="22"/>
        </w:rPr>
        <w:t>i</w:t>
      </w:r>
      <w:r w:rsidRPr="009421F1">
        <w:rPr>
          <w:rStyle w:val="nfasis"/>
          <w:sz w:val="22"/>
          <w:szCs w:val="22"/>
        </w:rPr>
        <w:t xml:space="preserve">cio comercial, poniendo en </w:t>
      </w:r>
      <w:r w:rsidR="00556072" w:rsidRPr="009421F1">
        <w:rPr>
          <w:rStyle w:val="nfasis"/>
          <w:sz w:val="22"/>
          <w:szCs w:val="22"/>
        </w:rPr>
        <w:t>riesgo</w:t>
      </w:r>
      <w:r w:rsidRPr="009421F1">
        <w:rPr>
          <w:rStyle w:val="nfasis"/>
          <w:sz w:val="22"/>
          <w:szCs w:val="22"/>
        </w:rPr>
        <w:t xml:space="preserve"> la sostenibilidad de la empresa en su conjunto. Esto podría llevar a que la empresa deba sacrificar ciertas operaciones para poder </w:t>
      </w:r>
      <w:r w:rsidR="00556072" w:rsidRPr="009421F1">
        <w:rPr>
          <w:rStyle w:val="nfasis"/>
          <w:sz w:val="22"/>
          <w:szCs w:val="22"/>
        </w:rPr>
        <w:t>seguir</w:t>
      </w:r>
      <w:r w:rsidRPr="009421F1">
        <w:rPr>
          <w:rStyle w:val="nfasis"/>
          <w:sz w:val="22"/>
          <w:szCs w:val="22"/>
        </w:rPr>
        <w:t xml:space="preserve"> prestando el servicio, pues los costos no pueden ser cubiertos con los ingresos ya que no </w:t>
      </w:r>
      <w:r w:rsidR="00556072" w:rsidRPr="009421F1">
        <w:rPr>
          <w:rStyle w:val="nfasis"/>
          <w:sz w:val="22"/>
          <w:szCs w:val="22"/>
        </w:rPr>
        <w:t>existirían</w:t>
      </w:r>
      <w:r w:rsidRPr="009421F1">
        <w:rPr>
          <w:rStyle w:val="nfasis"/>
          <w:sz w:val="22"/>
          <w:szCs w:val="22"/>
        </w:rPr>
        <w:t xml:space="preserve"> en el primer año de operación, situación que empeorará en los </w:t>
      </w:r>
      <w:r w:rsidR="00556072" w:rsidRPr="009421F1">
        <w:rPr>
          <w:rStyle w:val="nfasis"/>
          <w:sz w:val="22"/>
          <w:szCs w:val="22"/>
        </w:rPr>
        <w:t>siguientes</w:t>
      </w:r>
      <w:r w:rsidRPr="009421F1">
        <w:rPr>
          <w:rStyle w:val="nfasis"/>
          <w:sz w:val="22"/>
          <w:szCs w:val="22"/>
        </w:rPr>
        <w:t xml:space="preserve"> años ya que no se compensaría para los próximos periodos.</w:t>
      </w:r>
    </w:p>
    <w:p w14:paraId="31ED1BB9" w14:textId="13D39A3E" w:rsidR="004B5940" w:rsidRPr="009421F1" w:rsidRDefault="004B5940" w:rsidP="001248C8">
      <w:pPr>
        <w:ind w:left="426"/>
        <w:rPr>
          <w:rStyle w:val="nfasis"/>
          <w:sz w:val="22"/>
          <w:szCs w:val="22"/>
        </w:rPr>
      </w:pPr>
      <w:r w:rsidRPr="009421F1">
        <w:rPr>
          <w:rStyle w:val="nfasis"/>
          <w:sz w:val="22"/>
          <w:szCs w:val="22"/>
        </w:rPr>
        <w:t xml:space="preserve">Para apoyar este parámetro, exponemos los estados financieros de cierre de las diferentes actividades de la empresa en la tabla 1 para el año 2O21, en donde el </w:t>
      </w:r>
      <w:r w:rsidR="001D231F" w:rsidRPr="009421F1">
        <w:rPr>
          <w:rStyle w:val="nfasis"/>
          <w:sz w:val="22"/>
          <w:szCs w:val="22"/>
        </w:rPr>
        <w:t>ejercicio</w:t>
      </w:r>
      <w:r w:rsidRPr="009421F1">
        <w:rPr>
          <w:rStyle w:val="nfasis"/>
          <w:sz w:val="22"/>
          <w:szCs w:val="22"/>
        </w:rPr>
        <w:t xml:space="preserve"> para la</w:t>
      </w:r>
      <w:r w:rsidR="001D231F" w:rsidRPr="009421F1">
        <w:rPr>
          <w:rStyle w:val="nfasis"/>
          <w:sz w:val="22"/>
          <w:szCs w:val="22"/>
        </w:rPr>
        <w:t xml:space="preserve"> </w:t>
      </w:r>
      <w:r w:rsidRPr="009421F1">
        <w:rPr>
          <w:rStyle w:val="nfasis"/>
          <w:sz w:val="22"/>
          <w:szCs w:val="22"/>
        </w:rPr>
        <w:t>actividad de distribución se encuentra para el mes de diciembre del año 2021 en un nivel</w:t>
      </w:r>
      <w:r w:rsidR="001D231F" w:rsidRPr="009421F1">
        <w:rPr>
          <w:rStyle w:val="nfasis"/>
          <w:sz w:val="22"/>
          <w:szCs w:val="22"/>
        </w:rPr>
        <w:t xml:space="preserve"> </w:t>
      </w:r>
      <w:r w:rsidRPr="009421F1">
        <w:rPr>
          <w:rStyle w:val="nfasis"/>
          <w:sz w:val="22"/>
          <w:szCs w:val="22"/>
        </w:rPr>
        <w:t>de pérdidas de alrededor de 5371.4 millones de pesos.</w:t>
      </w:r>
    </w:p>
    <w:p w14:paraId="37D0E925" w14:textId="783CB08B" w:rsidR="000B0151" w:rsidRPr="009421F1" w:rsidRDefault="000B0151" w:rsidP="001248C8">
      <w:pPr>
        <w:ind w:left="426"/>
        <w:jc w:val="center"/>
        <w:rPr>
          <w:rStyle w:val="nfasis"/>
          <w:sz w:val="22"/>
          <w:szCs w:val="22"/>
        </w:rPr>
      </w:pPr>
      <w:r w:rsidRPr="009421F1">
        <w:rPr>
          <w:rStyle w:val="nfasis"/>
          <w:noProof/>
          <w:sz w:val="22"/>
          <w:szCs w:val="22"/>
        </w:rPr>
        <w:drawing>
          <wp:inline distT="0" distB="0" distL="0" distR="0" wp14:anchorId="4B4DB1BE" wp14:editId="0B69885B">
            <wp:extent cx="2692400" cy="1248946"/>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25309" cy="1264212"/>
                    </a:xfrm>
                    <a:prstGeom prst="rect">
                      <a:avLst/>
                    </a:prstGeom>
                  </pic:spPr>
                </pic:pic>
              </a:graphicData>
            </a:graphic>
          </wp:inline>
        </w:drawing>
      </w:r>
    </w:p>
    <w:p w14:paraId="2B5ACA72" w14:textId="151A6630" w:rsidR="004B5940" w:rsidRPr="009421F1" w:rsidRDefault="004B5940" w:rsidP="001248C8">
      <w:pPr>
        <w:ind w:left="426"/>
        <w:rPr>
          <w:rStyle w:val="nfasis"/>
          <w:sz w:val="22"/>
          <w:szCs w:val="22"/>
        </w:rPr>
      </w:pPr>
      <w:r w:rsidRPr="009421F1">
        <w:rPr>
          <w:rStyle w:val="nfasis"/>
          <w:sz w:val="22"/>
          <w:szCs w:val="22"/>
        </w:rPr>
        <w:t>Los resultados financieros para el primer semestre del año 2022 corroboran según los</w:t>
      </w:r>
      <w:r w:rsidR="001D231F" w:rsidRPr="009421F1">
        <w:rPr>
          <w:rStyle w:val="nfasis"/>
          <w:sz w:val="22"/>
          <w:szCs w:val="22"/>
        </w:rPr>
        <w:t xml:space="preserve"> </w:t>
      </w:r>
      <w:r w:rsidRPr="009421F1">
        <w:rPr>
          <w:rStyle w:val="nfasis"/>
          <w:sz w:val="22"/>
          <w:szCs w:val="22"/>
        </w:rPr>
        <w:t>balances de prueba llevados hasta esa fecha, que las pérdidas en el negocio de distribución</w:t>
      </w:r>
      <w:r w:rsidR="001D231F" w:rsidRPr="009421F1">
        <w:rPr>
          <w:rStyle w:val="nfasis"/>
          <w:sz w:val="22"/>
          <w:szCs w:val="22"/>
        </w:rPr>
        <w:t xml:space="preserve"> </w:t>
      </w:r>
      <w:r w:rsidRPr="009421F1">
        <w:rPr>
          <w:rStyle w:val="nfasis"/>
          <w:sz w:val="22"/>
          <w:szCs w:val="22"/>
        </w:rPr>
        <w:t xml:space="preserve">se encuentran en </w:t>
      </w:r>
      <w:r w:rsidR="009F1717" w:rsidRPr="009421F1">
        <w:rPr>
          <w:rStyle w:val="nfasis"/>
          <w:sz w:val="22"/>
          <w:szCs w:val="22"/>
        </w:rPr>
        <w:t>$</w:t>
      </w:r>
      <w:r w:rsidRPr="009421F1">
        <w:rPr>
          <w:rStyle w:val="nfasis"/>
          <w:sz w:val="22"/>
          <w:szCs w:val="22"/>
        </w:rPr>
        <w:t>268.123.462 pesos, para este año.</w:t>
      </w:r>
    </w:p>
    <w:p w14:paraId="0BE6E49C" w14:textId="25183DD3" w:rsidR="004B5940" w:rsidRPr="009421F1" w:rsidRDefault="004B5940" w:rsidP="001248C8">
      <w:pPr>
        <w:ind w:left="426"/>
        <w:rPr>
          <w:rStyle w:val="nfasis"/>
          <w:sz w:val="22"/>
          <w:szCs w:val="22"/>
        </w:rPr>
      </w:pPr>
      <w:r w:rsidRPr="009421F1">
        <w:rPr>
          <w:rStyle w:val="nfasis"/>
          <w:sz w:val="22"/>
          <w:szCs w:val="22"/>
        </w:rPr>
        <w:t xml:space="preserve">En definitiva, suponiendo que los niveles de gasto se mantienen para el próximo año, </w:t>
      </w:r>
      <w:r w:rsidR="009F1717" w:rsidRPr="009421F1">
        <w:rPr>
          <w:rStyle w:val="nfasis"/>
          <w:sz w:val="22"/>
          <w:szCs w:val="22"/>
        </w:rPr>
        <w:t>l</w:t>
      </w:r>
      <w:r w:rsidRPr="009421F1">
        <w:rPr>
          <w:rStyle w:val="nfasis"/>
          <w:sz w:val="22"/>
          <w:szCs w:val="22"/>
        </w:rPr>
        <w:t>o que</w:t>
      </w:r>
      <w:r w:rsidR="009F1717" w:rsidRPr="009421F1">
        <w:rPr>
          <w:rStyle w:val="nfasis"/>
          <w:sz w:val="22"/>
          <w:szCs w:val="22"/>
        </w:rPr>
        <w:t xml:space="preserve"> </w:t>
      </w:r>
      <w:r w:rsidRPr="009421F1">
        <w:rPr>
          <w:rStyle w:val="nfasis"/>
          <w:sz w:val="22"/>
          <w:szCs w:val="22"/>
        </w:rPr>
        <w:t>expone unos ingresos con los cargos actuales, estos no compensan la operación de EMEESA</w:t>
      </w:r>
      <w:r w:rsidR="009F1717" w:rsidRPr="009421F1">
        <w:rPr>
          <w:rStyle w:val="nfasis"/>
          <w:sz w:val="22"/>
          <w:szCs w:val="22"/>
        </w:rPr>
        <w:t xml:space="preserve"> </w:t>
      </w:r>
      <w:r w:rsidRPr="009421F1">
        <w:rPr>
          <w:rStyle w:val="nfasis"/>
          <w:sz w:val="22"/>
          <w:szCs w:val="22"/>
        </w:rPr>
        <w:t xml:space="preserve">en este eslabón en caso de mantenerse la </w:t>
      </w:r>
      <w:r w:rsidR="009F1717" w:rsidRPr="009421F1">
        <w:rPr>
          <w:rStyle w:val="nfasis"/>
          <w:sz w:val="22"/>
          <w:szCs w:val="22"/>
        </w:rPr>
        <w:t>tarifa</w:t>
      </w:r>
      <w:r w:rsidRPr="009421F1">
        <w:rPr>
          <w:rStyle w:val="nfasis"/>
          <w:sz w:val="22"/>
          <w:szCs w:val="22"/>
        </w:rPr>
        <w:t xml:space="preserve"> negativa. Tal y cómo se observa, tanto las</w:t>
      </w:r>
      <w:r w:rsidR="009F1717" w:rsidRPr="009421F1">
        <w:rPr>
          <w:rStyle w:val="nfasis"/>
          <w:sz w:val="22"/>
          <w:szCs w:val="22"/>
        </w:rPr>
        <w:t xml:space="preserve"> actividades</w:t>
      </w:r>
      <w:r w:rsidRPr="009421F1">
        <w:rPr>
          <w:rStyle w:val="nfasis"/>
          <w:sz w:val="22"/>
          <w:szCs w:val="22"/>
        </w:rPr>
        <w:t xml:space="preserve"> de generación cómo comercialización soportan el ejercicio comercial de</w:t>
      </w:r>
      <w:r w:rsidR="009F1717" w:rsidRPr="009421F1">
        <w:rPr>
          <w:rStyle w:val="nfasis"/>
          <w:sz w:val="22"/>
          <w:szCs w:val="22"/>
        </w:rPr>
        <w:t xml:space="preserve"> </w:t>
      </w:r>
      <w:r w:rsidRPr="009421F1">
        <w:rPr>
          <w:rStyle w:val="nfasis"/>
          <w:sz w:val="22"/>
          <w:szCs w:val="22"/>
        </w:rPr>
        <w:t xml:space="preserve">EMEESA, que en el caso en que se lleguen a aprobar unos cargos </w:t>
      </w:r>
      <w:r w:rsidR="009F1717" w:rsidRPr="009421F1">
        <w:rPr>
          <w:rStyle w:val="nfasis"/>
          <w:sz w:val="22"/>
          <w:szCs w:val="22"/>
        </w:rPr>
        <w:t>negativos</w:t>
      </w:r>
      <w:r w:rsidRPr="009421F1">
        <w:rPr>
          <w:rStyle w:val="nfasis"/>
          <w:sz w:val="22"/>
          <w:szCs w:val="22"/>
        </w:rPr>
        <w:t>, ahondarían más</w:t>
      </w:r>
      <w:r w:rsidR="009F1717" w:rsidRPr="009421F1">
        <w:rPr>
          <w:rStyle w:val="nfasis"/>
          <w:sz w:val="22"/>
          <w:szCs w:val="22"/>
        </w:rPr>
        <w:t xml:space="preserve"> </w:t>
      </w:r>
      <w:r w:rsidRPr="009421F1">
        <w:rPr>
          <w:rStyle w:val="nfasis"/>
          <w:sz w:val="22"/>
          <w:szCs w:val="22"/>
        </w:rPr>
        <w:t>las p</w:t>
      </w:r>
      <w:r w:rsidR="009F1717" w:rsidRPr="009421F1">
        <w:rPr>
          <w:rStyle w:val="nfasis"/>
          <w:sz w:val="22"/>
          <w:szCs w:val="22"/>
        </w:rPr>
        <w:t>é</w:t>
      </w:r>
      <w:r w:rsidRPr="009421F1">
        <w:rPr>
          <w:rStyle w:val="nfasis"/>
          <w:sz w:val="22"/>
          <w:szCs w:val="22"/>
        </w:rPr>
        <w:t xml:space="preserve">rdidas en los niveles de operación para la actividad de </w:t>
      </w:r>
      <w:r w:rsidR="009F1717" w:rsidRPr="009421F1">
        <w:rPr>
          <w:rStyle w:val="nfasis"/>
          <w:sz w:val="22"/>
          <w:szCs w:val="22"/>
        </w:rPr>
        <w:t>distribución</w:t>
      </w:r>
      <w:r w:rsidRPr="009421F1">
        <w:rPr>
          <w:rStyle w:val="nfasis"/>
          <w:sz w:val="22"/>
          <w:szCs w:val="22"/>
        </w:rPr>
        <w:t>.</w:t>
      </w:r>
    </w:p>
    <w:p w14:paraId="2E087BBB" w14:textId="530846F6" w:rsidR="000B0151" w:rsidRPr="009421F1" w:rsidRDefault="000B0151" w:rsidP="001248C8">
      <w:pPr>
        <w:ind w:left="426"/>
        <w:rPr>
          <w:rStyle w:val="nfasis"/>
          <w:sz w:val="22"/>
          <w:szCs w:val="22"/>
        </w:rPr>
      </w:pPr>
      <w:r w:rsidRPr="009421F1">
        <w:rPr>
          <w:rStyle w:val="nfasis"/>
          <w:sz w:val="22"/>
          <w:szCs w:val="22"/>
        </w:rPr>
        <w:t>(…)</w:t>
      </w:r>
    </w:p>
    <w:p w14:paraId="7A75F525" w14:textId="77777777" w:rsidR="006E6AFA" w:rsidRPr="009421F1" w:rsidRDefault="006E6AFA" w:rsidP="001248C8">
      <w:pPr>
        <w:ind w:left="426"/>
        <w:jc w:val="center"/>
        <w:rPr>
          <w:rStyle w:val="nfasis"/>
          <w:b/>
          <w:bCs/>
          <w:sz w:val="22"/>
          <w:szCs w:val="22"/>
        </w:rPr>
      </w:pPr>
      <w:r w:rsidRPr="009421F1">
        <w:rPr>
          <w:rStyle w:val="nfasis"/>
          <w:b/>
          <w:bCs/>
          <w:sz w:val="22"/>
          <w:szCs w:val="22"/>
        </w:rPr>
        <w:t>III. SOLICITUDES</w:t>
      </w:r>
    </w:p>
    <w:p w14:paraId="30F7742F" w14:textId="4F13718A" w:rsidR="006E6AFA" w:rsidRPr="009421F1" w:rsidRDefault="006E6AFA" w:rsidP="001248C8">
      <w:pPr>
        <w:ind w:left="426"/>
        <w:rPr>
          <w:rStyle w:val="nfasis"/>
          <w:sz w:val="22"/>
          <w:szCs w:val="22"/>
        </w:rPr>
      </w:pPr>
      <w:r w:rsidRPr="009421F1">
        <w:rPr>
          <w:rStyle w:val="nfasis"/>
          <w:sz w:val="22"/>
          <w:szCs w:val="22"/>
        </w:rPr>
        <w:t>Por lo expuesto y ante la gravedad de las consecuencias que comprometen la capacidad</w:t>
      </w:r>
      <w:r w:rsidR="00884DF9" w:rsidRPr="009421F1">
        <w:rPr>
          <w:rStyle w:val="nfasis"/>
          <w:sz w:val="22"/>
          <w:szCs w:val="22"/>
        </w:rPr>
        <w:t xml:space="preserve"> </w:t>
      </w:r>
      <w:r w:rsidRPr="009421F1">
        <w:rPr>
          <w:rStyle w:val="nfasis"/>
          <w:sz w:val="22"/>
          <w:szCs w:val="22"/>
        </w:rPr>
        <w:t xml:space="preserve">financiera de la Empresa para </w:t>
      </w:r>
      <w:r w:rsidR="00884DF9" w:rsidRPr="009421F1">
        <w:rPr>
          <w:rStyle w:val="nfasis"/>
          <w:sz w:val="22"/>
          <w:szCs w:val="22"/>
        </w:rPr>
        <w:t>continuar</w:t>
      </w:r>
      <w:r w:rsidRPr="009421F1">
        <w:rPr>
          <w:rStyle w:val="nfasis"/>
          <w:sz w:val="22"/>
          <w:szCs w:val="22"/>
        </w:rPr>
        <w:t xml:space="preserve"> prestando el servicio en las condiciones tarifarias</w:t>
      </w:r>
      <w:r w:rsidR="00884DF9" w:rsidRPr="009421F1">
        <w:rPr>
          <w:rStyle w:val="nfasis"/>
          <w:sz w:val="22"/>
          <w:szCs w:val="22"/>
        </w:rPr>
        <w:t xml:space="preserve"> previstas</w:t>
      </w:r>
      <w:r w:rsidRPr="009421F1">
        <w:rPr>
          <w:rStyle w:val="nfasis"/>
          <w:sz w:val="22"/>
          <w:szCs w:val="22"/>
        </w:rPr>
        <w:t xml:space="preserve">, se solicita en </w:t>
      </w:r>
      <w:r w:rsidR="00884DF9" w:rsidRPr="009421F1">
        <w:rPr>
          <w:rStyle w:val="nfasis"/>
          <w:sz w:val="22"/>
          <w:szCs w:val="22"/>
        </w:rPr>
        <w:t>ejercicio</w:t>
      </w:r>
      <w:r w:rsidRPr="009421F1">
        <w:rPr>
          <w:rStyle w:val="nfasis"/>
          <w:sz w:val="22"/>
          <w:szCs w:val="22"/>
        </w:rPr>
        <w:t xml:space="preserve"> del </w:t>
      </w:r>
      <w:r w:rsidR="00884DF9" w:rsidRPr="009421F1">
        <w:rPr>
          <w:rStyle w:val="nfasis"/>
          <w:sz w:val="22"/>
          <w:szCs w:val="22"/>
        </w:rPr>
        <w:t>procedimiento</w:t>
      </w:r>
      <w:r w:rsidRPr="009421F1">
        <w:rPr>
          <w:rStyle w:val="nfasis"/>
          <w:sz w:val="22"/>
          <w:szCs w:val="22"/>
        </w:rPr>
        <w:t xml:space="preserve"> excepcional contemplado en el artículo</w:t>
      </w:r>
      <w:r w:rsidR="00884DF9" w:rsidRPr="009421F1">
        <w:rPr>
          <w:rStyle w:val="nfasis"/>
          <w:sz w:val="22"/>
          <w:szCs w:val="22"/>
        </w:rPr>
        <w:t xml:space="preserve"> </w:t>
      </w:r>
      <w:r w:rsidRPr="009421F1">
        <w:rPr>
          <w:rStyle w:val="nfasis"/>
          <w:sz w:val="22"/>
          <w:szCs w:val="22"/>
        </w:rPr>
        <w:t>126</w:t>
      </w:r>
      <w:r w:rsidR="00884DF9" w:rsidRPr="009421F1">
        <w:rPr>
          <w:rStyle w:val="nfasis"/>
          <w:sz w:val="22"/>
          <w:szCs w:val="22"/>
        </w:rPr>
        <w:t xml:space="preserve"> </w:t>
      </w:r>
      <w:r w:rsidRPr="009421F1">
        <w:rPr>
          <w:rStyle w:val="nfasis"/>
          <w:sz w:val="22"/>
          <w:szCs w:val="22"/>
        </w:rPr>
        <w:t>de</w:t>
      </w:r>
      <w:r w:rsidR="00884DF9" w:rsidRPr="009421F1">
        <w:rPr>
          <w:rStyle w:val="nfasis"/>
          <w:sz w:val="22"/>
          <w:szCs w:val="22"/>
        </w:rPr>
        <w:t xml:space="preserve"> </w:t>
      </w:r>
      <w:r w:rsidRPr="009421F1">
        <w:rPr>
          <w:rStyle w:val="nfasis"/>
          <w:sz w:val="22"/>
          <w:szCs w:val="22"/>
        </w:rPr>
        <w:t>la</w:t>
      </w:r>
      <w:r w:rsidR="00884DF9" w:rsidRPr="009421F1">
        <w:rPr>
          <w:rStyle w:val="nfasis"/>
          <w:sz w:val="22"/>
          <w:szCs w:val="22"/>
        </w:rPr>
        <w:t xml:space="preserve"> </w:t>
      </w:r>
      <w:r w:rsidRPr="009421F1">
        <w:rPr>
          <w:rStyle w:val="nfasis"/>
          <w:sz w:val="22"/>
          <w:szCs w:val="22"/>
        </w:rPr>
        <w:t>ley</w:t>
      </w:r>
      <w:r w:rsidR="00884DF9" w:rsidRPr="009421F1">
        <w:rPr>
          <w:rStyle w:val="nfasis"/>
          <w:sz w:val="22"/>
          <w:szCs w:val="22"/>
        </w:rPr>
        <w:t xml:space="preserve"> </w:t>
      </w:r>
      <w:r w:rsidRPr="009421F1">
        <w:rPr>
          <w:rStyle w:val="nfasis"/>
          <w:sz w:val="22"/>
          <w:szCs w:val="22"/>
        </w:rPr>
        <w:t>l42</w:t>
      </w:r>
      <w:r w:rsidR="00884DF9" w:rsidRPr="009421F1">
        <w:rPr>
          <w:rStyle w:val="nfasis"/>
          <w:sz w:val="22"/>
          <w:szCs w:val="22"/>
        </w:rPr>
        <w:t xml:space="preserve"> </w:t>
      </w:r>
      <w:r w:rsidRPr="009421F1">
        <w:rPr>
          <w:rStyle w:val="nfasis"/>
          <w:sz w:val="22"/>
          <w:szCs w:val="22"/>
        </w:rPr>
        <w:t>de</w:t>
      </w:r>
      <w:r w:rsidR="00884DF9" w:rsidRPr="009421F1">
        <w:rPr>
          <w:rStyle w:val="nfasis"/>
          <w:sz w:val="22"/>
          <w:szCs w:val="22"/>
        </w:rPr>
        <w:t xml:space="preserve"> </w:t>
      </w:r>
      <w:r w:rsidRPr="009421F1">
        <w:rPr>
          <w:rStyle w:val="nfasis"/>
          <w:sz w:val="22"/>
          <w:szCs w:val="22"/>
        </w:rPr>
        <w:t>l</w:t>
      </w:r>
      <w:r w:rsidR="00884DF9" w:rsidRPr="009421F1">
        <w:rPr>
          <w:rStyle w:val="nfasis"/>
          <w:sz w:val="22"/>
          <w:szCs w:val="22"/>
        </w:rPr>
        <w:t>99</w:t>
      </w:r>
      <w:r w:rsidRPr="009421F1">
        <w:rPr>
          <w:rStyle w:val="nfasis"/>
          <w:sz w:val="22"/>
          <w:szCs w:val="22"/>
        </w:rPr>
        <w:t>4,</w:t>
      </w:r>
      <w:r w:rsidR="00884DF9" w:rsidRPr="009421F1">
        <w:rPr>
          <w:rStyle w:val="nfasis"/>
          <w:sz w:val="22"/>
          <w:szCs w:val="22"/>
        </w:rPr>
        <w:t xml:space="preserve"> </w:t>
      </w:r>
      <w:r w:rsidRPr="009421F1">
        <w:rPr>
          <w:rStyle w:val="nfasis"/>
          <w:sz w:val="22"/>
          <w:szCs w:val="22"/>
        </w:rPr>
        <w:t>no</w:t>
      </w:r>
      <w:r w:rsidR="00884DF9" w:rsidRPr="009421F1">
        <w:rPr>
          <w:rStyle w:val="nfasis"/>
          <w:sz w:val="22"/>
          <w:szCs w:val="22"/>
        </w:rPr>
        <w:t xml:space="preserve"> </w:t>
      </w:r>
      <w:r w:rsidRPr="009421F1">
        <w:rPr>
          <w:rStyle w:val="nfasis"/>
          <w:sz w:val="22"/>
          <w:szCs w:val="22"/>
        </w:rPr>
        <w:t>aplicar</w:t>
      </w:r>
      <w:r w:rsidR="00884DF9" w:rsidRPr="009421F1">
        <w:rPr>
          <w:rStyle w:val="nfasis"/>
          <w:sz w:val="22"/>
          <w:szCs w:val="22"/>
        </w:rPr>
        <w:t xml:space="preserve"> </w:t>
      </w:r>
      <w:r w:rsidRPr="009421F1">
        <w:rPr>
          <w:rStyle w:val="nfasis"/>
          <w:sz w:val="22"/>
          <w:szCs w:val="22"/>
        </w:rPr>
        <w:t>los</w:t>
      </w:r>
      <w:r w:rsidR="00884DF9" w:rsidRPr="009421F1">
        <w:rPr>
          <w:rStyle w:val="nfasis"/>
          <w:sz w:val="22"/>
          <w:szCs w:val="22"/>
        </w:rPr>
        <w:t xml:space="preserve"> </w:t>
      </w:r>
      <w:r w:rsidRPr="009421F1">
        <w:rPr>
          <w:rStyle w:val="nfasis"/>
          <w:sz w:val="22"/>
          <w:szCs w:val="22"/>
        </w:rPr>
        <w:t>efectos</w:t>
      </w:r>
      <w:r w:rsidR="00884DF9" w:rsidRPr="009421F1">
        <w:rPr>
          <w:rStyle w:val="nfasis"/>
          <w:sz w:val="22"/>
          <w:szCs w:val="22"/>
        </w:rPr>
        <w:t xml:space="preserve"> </w:t>
      </w:r>
      <w:r w:rsidRPr="009421F1">
        <w:rPr>
          <w:rStyle w:val="nfasis"/>
          <w:sz w:val="22"/>
          <w:szCs w:val="22"/>
        </w:rPr>
        <w:t>de</w:t>
      </w:r>
      <w:r w:rsidR="00884DF9" w:rsidRPr="009421F1">
        <w:rPr>
          <w:rStyle w:val="nfasis"/>
          <w:sz w:val="22"/>
          <w:szCs w:val="22"/>
        </w:rPr>
        <w:t xml:space="preserve"> </w:t>
      </w:r>
      <w:r w:rsidRPr="009421F1">
        <w:rPr>
          <w:rStyle w:val="nfasis"/>
          <w:sz w:val="22"/>
          <w:szCs w:val="22"/>
        </w:rPr>
        <w:t>la</w:t>
      </w:r>
      <w:r w:rsidR="00884DF9" w:rsidRPr="009421F1">
        <w:rPr>
          <w:rStyle w:val="nfasis"/>
          <w:sz w:val="22"/>
          <w:szCs w:val="22"/>
        </w:rPr>
        <w:t xml:space="preserve"> </w:t>
      </w:r>
      <w:r w:rsidRPr="009421F1">
        <w:rPr>
          <w:rStyle w:val="nfasis"/>
          <w:sz w:val="22"/>
          <w:szCs w:val="22"/>
        </w:rPr>
        <w:t>metodología</w:t>
      </w:r>
      <w:r w:rsidR="00884DF9" w:rsidRPr="009421F1">
        <w:rPr>
          <w:rStyle w:val="nfasis"/>
          <w:sz w:val="22"/>
          <w:szCs w:val="22"/>
        </w:rPr>
        <w:t xml:space="preserve"> </w:t>
      </w:r>
      <w:r w:rsidRPr="009421F1">
        <w:rPr>
          <w:rStyle w:val="nfasis"/>
          <w:sz w:val="22"/>
          <w:szCs w:val="22"/>
        </w:rPr>
        <w:t>de</w:t>
      </w:r>
      <w:r w:rsidR="00884DF9" w:rsidRPr="009421F1">
        <w:rPr>
          <w:rStyle w:val="nfasis"/>
          <w:sz w:val="22"/>
          <w:szCs w:val="22"/>
        </w:rPr>
        <w:t xml:space="preserve"> </w:t>
      </w:r>
      <w:r w:rsidRPr="009421F1">
        <w:rPr>
          <w:rStyle w:val="nfasis"/>
          <w:sz w:val="22"/>
          <w:szCs w:val="22"/>
        </w:rPr>
        <w:t>la</w:t>
      </w:r>
      <w:r w:rsidR="00884DF9" w:rsidRPr="009421F1">
        <w:rPr>
          <w:rStyle w:val="nfasis"/>
          <w:sz w:val="22"/>
          <w:szCs w:val="22"/>
        </w:rPr>
        <w:t xml:space="preserve"> </w:t>
      </w:r>
      <w:r w:rsidRPr="009421F1">
        <w:rPr>
          <w:rStyle w:val="nfasis"/>
          <w:sz w:val="22"/>
          <w:szCs w:val="22"/>
        </w:rPr>
        <w:t>Resolución</w:t>
      </w:r>
      <w:r w:rsidR="00884DF9" w:rsidRPr="009421F1">
        <w:rPr>
          <w:rStyle w:val="nfasis"/>
          <w:sz w:val="22"/>
          <w:szCs w:val="22"/>
        </w:rPr>
        <w:t xml:space="preserve"> </w:t>
      </w:r>
      <w:r w:rsidRPr="009421F1">
        <w:rPr>
          <w:rStyle w:val="nfasis"/>
          <w:sz w:val="22"/>
          <w:szCs w:val="22"/>
        </w:rPr>
        <w:t>CREG</w:t>
      </w:r>
      <w:r w:rsidR="00884DF9" w:rsidRPr="009421F1">
        <w:rPr>
          <w:rStyle w:val="nfasis"/>
          <w:sz w:val="22"/>
          <w:szCs w:val="22"/>
        </w:rPr>
        <w:t xml:space="preserve"> </w:t>
      </w:r>
      <w:r w:rsidRPr="009421F1">
        <w:rPr>
          <w:rStyle w:val="nfasis"/>
          <w:sz w:val="22"/>
          <w:szCs w:val="22"/>
        </w:rPr>
        <w:t>015 de 2018 y sus modificatorias a EMEESA S</w:t>
      </w:r>
      <w:r w:rsidR="00884DF9" w:rsidRPr="009421F1">
        <w:rPr>
          <w:rStyle w:val="nfasis"/>
          <w:sz w:val="22"/>
          <w:szCs w:val="22"/>
        </w:rPr>
        <w:t>.</w:t>
      </w:r>
      <w:r w:rsidRPr="009421F1">
        <w:rPr>
          <w:rStyle w:val="nfasis"/>
          <w:sz w:val="22"/>
          <w:szCs w:val="22"/>
        </w:rPr>
        <w:t>A</w:t>
      </w:r>
      <w:r w:rsidR="00884DF9" w:rsidRPr="009421F1">
        <w:rPr>
          <w:rStyle w:val="nfasis"/>
          <w:sz w:val="22"/>
          <w:szCs w:val="22"/>
        </w:rPr>
        <w:t>.</w:t>
      </w:r>
      <w:r w:rsidRPr="009421F1">
        <w:rPr>
          <w:rStyle w:val="nfasis"/>
          <w:sz w:val="22"/>
          <w:szCs w:val="22"/>
        </w:rPr>
        <w:t xml:space="preserve"> ESP, y en su defecto acoger los</w:t>
      </w:r>
      <w:r w:rsidR="005713E6" w:rsidRPr="009421F1">
        <w:rPr>
          <w:rStyle w:val="nfasis"/>
          <w:sz w:val="22"/>
          <w:szCs w:val="22"/>
        </w:rPr>
        <w:t xml:space="preserve"> </w:t>
      </w:r>
      <w:r w:rsidRPr="009421F1">
        <w:rPr>
          <w:rStyle w:val="nfasis"/>
          <w:sz w:val="22"/>
          <w:szCs w:val="22"/>
        </w:rPr>
        <w:t>presupuestos aquí planteados, o aquello que a consideración del Regulador sean suf</w:t>
      </w:r>
      <w:r w:rsidR="005713E6" w:rsidRPr="009421F1">
        <w:rPr>
          <w:rStyle w:val="nfasis"/>
          <w:sz w:val="22"/>
          <w:szCs w:val="22"/>
        </w:rPr>
        <w:t>i</w:t>
      </w:r>
      <w:r w:rsidRPr="009421F1">
        <w:rPr>
          <w:rStyle w:val="nfasis"/>
          <w:sz w:val="22"/>
          <w:szCs w:val="22"/>
        </w:rPr>
        <w:t>cientes</w:t>
      </w:r>
      <w:r w:rsidR="005713E6" w:rsidRPr="009421F1">
        <w:rPr>
          <w:rStyle w:val="nfasis"/>
          <w:sz w:val="22"/>
          <w:szCs w:val="22"/>
        </w:rPr>
        <w:t xml:space="preserve"> </w:t>
      </w:r>
      <w:r w:rsidRPr="009421F1">
        <w:rPr>
          <w:rStyle w:val="nfasis"/>
          <w:sz w:val="22"/>
          <w:szCs w:val="22"/>
        </w:rPr>
        <w:t>para sortear la inminente amenaza explicada y la suficiencia financiera de la empresa.</w:t>
      </w:r>
    </w:p>
    <w:p w14:paraId="28820A04" w14:textId="26C9B761" w:rsidR="006E6AFA" w:rsidRPr="009421F1" w:rsidRDefault="006E6AFA" w:rsidP="001248C8">
      <w:pPr>
        <w:ind w:left="426"/>
        <w:rPr>
          <w:rStyle w:val="nfasis"/>
          <w:sz w:val="22"/>
          <w:szCs w:val="22"/>
        </w:rPr>
      </w:pPr>
      <w:r w:rsidRPr="009421F1">
        <w:rPr>
          <w:rStyle w:val="nfasis"/>
          <w:sz w:val="22"/>
          <w:szCs w:val="22"/>
        </w:rPr>
        <w:t xml:space="preserve">Conforme con las </w:t>
      </w:r>
      <w:r w:rsidR="005713E6" w:rsidRPr="009421F1">
        <w:rPr>
          <w:rStyle w:val="nfasis"/>
          <w:sz w:val="22"/>
          <w:szCs w:val="22"/>
        </w:rPr>
        <w:t>consecuencias</w:t>
      </w:r>
      <w:r w:rsidRPr="009421F1">
        <w:rPr>
          <w:rStyle w:val="nfasis"/>
          <w:sz w:val="22"/>
          <w:szCs w:val="22"/>
        </w:rPr>
        <w:t xml:space="preserve"> anteriormente </w:t>
      </w:r>
      <w:r w:rsidR="005713E6" w:rsidRPr="009421F1">
        <w:rPr>
          <w:rStyle w:val="nfasis"/>
          <w:sz w:val="22"/>
          <w:szCs w:val="22"/>
        </w:rPr>
        <w:t>explicadas</w:t>
      </w:r>
      <w:r w:rsidRPr="009421F1">
        <w:rPr>
          <w:rStyle w:val="nfasis"/>
          <w:sz w:val="22"/>
          <w:szCs w:val="22"/>
        </w:rPr>
        <w:t xml:space="preserve">, </w:t>
      </w:r>
      <w:r w:rsidR="005713E6" w:rsidRPr="009421F1">
        <w:rPr>
          <w:rStyle w:val="nfasis"/>
          <w:sz w:val="22"/>
          <w:szCs w:val="22"/>
        </w:rPr>
        <w:t>las</w:t>
      </w:r>
      <w:r w:rsidRPr="009421F1">
        <w:rPr>
          <w:rStyle w:val="nfasis"/>
          <w:sz w:val="22"/>
          <w:szCs w:val="22"/>
        </w:rPr>
        <w:t xml:space="preserve"> cuales </w:t>
      </w:r>
      <w:r w:rsidR="005713E6" w:rsidRPr="009421F1">
        <w:rPr>
          <w:rStyle w:val="nfasis"/>
          <w:sz w:val="22"/>
          <w:szCs w:val="22"/>
        </w:rPr>
        <w:t>impactan</w:t>
      </w:r>
      <w:r w:rsidRPr="009421F1">
        <w:rPr>
          <w:rStyle w:val="nfasis"/>
          <w:sz w:val="22"/>
          <w:szCs w:val="22"/>
        </w:rPr>
        <w:t xml:space="preserve"> en la</w:t>
      </w:r>
      <w:r w:rsidR="005713E6" w:rsidRPr="009421F1">
        <w:rPr>
          <w:rStyle w:val="nfasis"/>
          <w:sz w:val="22"/>
          <w:szCs w:val="22"/>
        </w:rPr>
        <w:t xml:space="preserve"> </w:t>
      </w:r>
      <w:r w:rsidRPr="009421F1">
        <w:rPr>
          <w:rStyle w:val="nfasis"/>
          <w:sz w:val="22"/>
          <w:szCs w:val="22"/>
        </w:rPr>
        <w:t xml:space="preserve">capacidad financiera de la empresa en todos sus eslabones, y a los argumentos </w:t>
      </w:r>
      <w:r w:rsidR="005713E6" w:rsidRPr="009421F1">
        <w:rPr>
          <w:rStyle w:val="nfasis"/>
          <w:sz w:val="22"/>
          <w:szCs w:val="22"/>
        </w:rPr>
        <w:t xml:space="preserve">jurídicos </w:t>
      </w:r>
      <w:r w:rsidRPr="009421F1">
        <w:rPr>
          <w:rStyle w:val="nfasis"/>
          <w:sz w:val="22"/>
          <w:szCs w:val="22"/>
        </w:rPr>
        <w:t xml:space="preserve">expuestos, a continuación, expresamos </w:t>
      </w:r>
      <w:r w:rsidR="005713E6" w:rsidRPr="009421F1">
        <w:rPr>
          <w:rStyle w:val="nfasis"/>
          <w:sz w:val="22"/>
          <w:szCs w:val="22"/>
        </w:rPr>
        <w:t>también</w:t>
      </w:r>
      <w:r w:rsidRPr="009421F1">
        <w:rPr>
          <w:rStyle w:val="nfasis"/>
          <w:sz w:val="22"/>
          <w:szCs w:val="22"/>
        </w:rPr>
        <w:t>:</w:t>
      </w:r>
    </w:p>
    <w:p w14:paraId="1FC6F1A1" w14:textId="77777777" w:rsidR="006E6AFA" w:rsidRPr="009421F1" w:rsidRDefault="006E6AFA" w:rsidP="001248C8">
      <w:pPr>
        <w:ind w:left="426"/>
        <w:jc w:val="center"/>
        <w:rPr>
          <w:rStyle w:val="nfasis"/>
          <w:b/>
          <w:bCs/>
          <w:sz w:val="22"/>
          <w:szCs w:val="22"/>
        </w:rPr>
      </w:pPr>
      <w:r w:rsidRPr="009421F1">
        <w:rPr>
          <w:rStyle w:val="nfasis"/>
          <w:b/>
          <w:bCs/>
          <w:sz w:val="22"/>
          <w:szCs w:val="22"/>
        </w:rPr>
        <w:t>a. RETROACTIVIDAD A 60 MESES DE LA VARIABLE AIM</w:t>
      </w:r>
    </w:p>
    <w:p w14:paraId="2F3D6A4A" w14:textId="35025A4E" w:rsidR="006E6AFA" w:rsidRPr="009421F1" w:rsidRDefault="006E6AFA" w:rsidP="001248C8">
      <w:pPr>
        <w:ind w:left="426"/>
        <w:rPr>
          <w:rStyle w:val="nfasis"/>
          <w:sz w:val="22"/>
          <w:szCs w:val="22"/>
        </w:rPr>
      </w:pPr>
      <w:r w:rsidRPr="009421F1">
        <w:rPr>
          <w:rStyle w:val="nfasis"/>
          <w:sz w:val="22"/>
          <w:szCs w:val="22"/>
        </w:rPr>
        <w:t>La Resolución CREG 036 de 2019 en su numeral 1.3.4.1 Ajuste de ingresos para el primer</w:t>
      </w:r>
      <w:r w:rsidR="005F3671" w:rsidRPr="009421F1">
        <w:rPr>
          <w:rStyle w:val="nfasis"/>
          <w:sz w:val="22"/>
          <w:szCs w:val="22"/>
        </w:rPr>
        <w:t xml:space="preserve"> </w:t>
      </w:r>
      <w:r w:rsidRPr="009421F1">
        <w:rPr>
          <w:rStyle w:val="nfasis"/>
          <w:sz w:val="22"/>
          <w:szCs w:val="22"/>
        </w:rPr>
        <w:t>año de operación, estableció la retroactividad del delta (positivo o negativo) de los ingresos</w:t>
      </w:r>
      <w:r w:rsidR="005F3671" w:rsidRPr="009421F1">
        <w:rPr>
          <w:rStyle w:val="nfasis"/>
          <w:sz w:val="22"/>
          <w:szCs w:val="22"/>
        </w:rPr>
        <w:t xml:space="preserve"> </w:t>
      </w:r>
      <w:r w:rsidRPr="009421F1">
        <w:rPr>
          <w:rStyle w:val="nfasis"/>
          <w:sz w:val="22"/>
          <w:szCs w:val="22"/>
        </w:rPr>
        <w:t xml:space="preserve">recibidos desde abril de 2019 a la fecha de aprobación de ingresos. Por </w:t>
      </w:r>
      <w:r w:rsidR="005F3671" w:rsidRPr="009421F1">
        <w:rPr>
          <w:rStyle w:val="nfasis"/>
          <w:sz w:val="22"/>
          <w:szCs w:val="22"/>
        </w:rPr>
        <w:t>consiguiente</w:t>
      </w:r>
      <w:r w:rsidRPr="009421F1">
        <w:rPr>
          <w:rStyle w:val="nfasis"/>
          <w:sz w:val="22"/>
          <w:szCs w:val="22"/>
        </w:rPr>
        <w:t>, un</w:t>
      </w:r>
      <w:r w:rsidR="005F3671" w:rsidRPr="009421F1">
        <w:rPr>
          <w:rStyle w:val="nfasis"/>
          <w:sz w:val="22"/>
          <w:szCs w:val="22"/>
        </w:rPr>
        <w:t xml:space="preserve"> </w:t>
      </w:r>
      <w:r w:rsidRPr="009421F1">
        <w:rPr>
          <w:rStyle w:val="nfasis"/>
          <w:sz w:val="22"/>
          <w:szCs w:val="22"/>
        </w:rPr>
        <w:t>menor pago por la retroactividad reflejaría en una menor disminución de los cargos por uso.</w:t>
      </w:r>
    </w:p>
    <w:p w14:paraId="16DA7908" w14:textId="2CB5C331" w:rsidR="006E6AFA" w:rsidRPr="009421F1" w:rsidRDefault="006E6AFA" w:rsidP="001248C8">
      <w:pPr>
        <w:ind w:left="426"/>
        <w:rPr>
          <w:rStyle w:val="nfasis"/>
          <w:sz w:val="22"/>
          <w:szCs w:val="22"/>
        </w:rPr>
      </w:pPr>
      <w:r w:rsidRPr="009421F1">
        <w:rPr>
          <w:rStyle w:val="nfasis"/>
          <w:sz w:val="22"/>
          <w:szCs w:val="22"/>
        </w:rPr>
        <w:lastRenderedPageBreak/>
        <w:t xml:space="preserve">Cómo los cargos son </w:t>
      </w:r>
      <w:r w:rsidR="005F3671" w:rsidRPr="009421F1">
        <w:rPr>
          <w:rStyle w:val="nfasis"/>
          <w:sz w:val="22"/>
          <w:szCs w:val="22"/>
        </w:rPr>
        <w:t>negativos</w:t>
      </w:r>
      <w:r w:rsidRPr="009421F1">
        <w:rPr>
          <w:rStyle w:val="nfasis"/>
          <w:sz w:val="22"/>
          <w:szCs w:val="22"/>
        </w:rPr>
        <w:t xml:space="preserve"> y se recibió una </w:t>
      </w:r>
      <w:r w:rsidR="005F3671" w:rsidRPr="009421F1">
        <w:rPr>
          <w:rStyle w:val="nfasis"/>
          <w:sz w:val="22"/>
          <w:szCs w:val="22"/>
        </w:rPr>
        <w:t>comunicación</w:t>
      </w:r>
      <w:r w:rsidRPr="009421F1">
        <w:rPr>
          <w:rStyle w:val="nfasis"/>
          <w:sz w:val="22"/>
          <w:szCs w:val="22"/>
        </w:rPr>
        <w:t xml:space="preserve"> por parte de XM, dejamos a</w:t>
      </w:r>
      <w:r w:rsidR="005F3671" w:rsidRPr="009421F1">
        <w:rPr>
          <w:rStyle w:val="nfasis"/>
          <w:sz w:val="22"/>
          <w:szCs w:val="22"/>
        </w:rPr>
        <w:t xml:space="preserve"> </w:t>
      </w:r>
      <w:r w:rsidRPr="009421F1">
        <w:rPr>
          <w:rStyle w:val="nfasis"/>
          <w:sz w:val="22"/>
          <w:szCs w:val="22"/>
        </w:rPr>
        <w:t>consideración del nuevo cálculo un alivio en estas variables, con el fin de que los valores</w:t>
      </w:r>
      <w:r w:rsidR="005F3671" w:rsidRPr="009421F1">
        <w:rPr>
          <w:rStyle w:val="nfasis"/>
          <w:sz w:val="22"/>
          <w:szCs w:val="22"/>
        </w:rPr>
        <w:t xml:space="preserve"> </w:t>
      </w:r>
      <w:r w:rsidRPr="009421F1">
        <w:rPr>
          <w:rStyle w:val="nfasis"/>
          <w:sz w:val="22"/>
          <w:szCs w:val="22"/>
        </w:rPr>
        <w:t xml:space="preserve">aporten </w:t>
      </w:r>
      <w:r w:rsidR="005F3671" w:rsidRPr="009421F1">
        <w:rPr>
          <w:rStyle w:val="nfasis"/>
          <w:sz w:val="22"/>
          <w:szCs w:val="22"/>
        </w:rPr>
        <w:t>i</w:t>
      </w:r>
      <w:r w:rsidRPr="009421F1">
        <w:rPr>
          <w:rStyle w:val="nfasis"/>
          <w:sz w:val="22"/>
          <w:szCs w:val="22"/>
        </w:rPr>
        <w:t xml:space="preserve">ngresos a </w:t>
      </w:r>
      <w:r w:rsidR="005F3671" w:rsidRPr="009421F1">
        <w:rPr>
          <w:rStyle w:val="nfasis"/>
          <w:sz w:val="22"/>
          <w:szCs w:val="22"/>
        </w:rPr>
        <w:t>l</w:t>
      </w:r>
      <w:r w:rsidRPr="009421F1">
        <w:rPr>
          <w:rStyle w:val="nfasis"/>
          <w:sz w:val="22"/>
          <w:szCs w:val="22"/>
        </w:rPr>
        <w:t>a empresa que puedan sopesar los costos de la actividad de distribución.</w:t>
      </w:r>
    </w:p>
    <w:p w14:paraId="53D69E99" w14:textId="658A83DB" w:rsidR="006E6AFA" w:rsidRPr="009421F1" w:rsidRDefault="006E6AFA" w:rsidP="001248C8">
      <w:pPr>
        <w:ind w:left="426"/>
        <w:rPr>
          <w:rStyle w:val="nfasis"/>
          <w:sz w:val="22"/>
          <w:szCs w:val="22"/>
        </w:rPr>
      </w:pPr>
      <w:r w:rsidRPr="009421F1">
        <w:rPr>
          <w:rStyle w:val="nfasis"/>
          <w:sz w:val="22"/>
          <w:szCs w:val="22"/>
        </w:rPr>
        <w:t>Teniendo en cuenta lo comentado, se solicita la aplicación de la retroactividad en un</w:t>
      </w:r>
      <w:r w:rsidR="005F3671" w:rsidRPr="009421F1">
        <w:rPr>
          <w:rStyle w:val="nfasis"/>
          <w:sz w:val="22"/>
          <w:szCs w:val="22"/>
        </w:rPr>
        <w:t xml:space="preserve"> </w:t>
      </w:r>
      <w:r w:rsidRPr="009421F1">
        <w:rPr>
          <w:rStyle w:val="nfasis"/>
          <w:sz w:val="22"/>
          <w:szCs w:val="22"/>
        </w:rPr>
        <w:t>periodo de 60 meses y que sea la primera medida en el momento de expedición de los</w:t>
      </w:r>
      <w:r w:rsidR="005F3671" w:rsidRPr="009421F1">
        <w:rPr>
          <w:rStyle w:val="nfasis"/>
          <w:sz w:val="22"/>
          <w:szCs w:val="22"/>
        </w:rPr>
        <w:t xml:space="preserve"> </w:t>
      </w:r>
      <w:r w:rsidRPr="009421F1">
        <w:rPr>
          <w:rStyle w:val="nfasis"/>
          <w:sz w:val="22"/>
          <w:szCs w:val="22"/>
        </w:rPr>
        <w:t>cargos d</w:t>
      </w:r>
      <w:r w:rsidR="005F3671" w:rsidRPr="009421F1">
        <w:rPr>
          <w:rStyle w:val="nfasis"/>
          <w:sz w:val="22"/>
          <w:szCs w:val="22"/>
        </w:rPr>
        <w:t>efin</w:t>
      </w:r>
      <w:r w:rsidRPr="009421F1">
        <w:rPr>
          <w:rStyle w:val="nfasis"/>
          <w:sz w:val="22"/>
          <w:szCs w:val="22"/>
        </w:rPr>
        <w:t>itivos</w:t>
      </w:r>
      <w:r w:rsidR="005F3671" w:rsidRPr="009421F1">
        <w:rPr>
          <w:rStyle w:val="nfasis"/>
          <w:sz w:val="22"/>
          <w:szCs w:val="22"/>
        </w:rPr>
        <w:t>.</w:t>
      </w:r>
    </w:p>
    <w:p w14:paraId="6B8F23FA" w14:textId="77777777" w:rsidR="006E6AFA" w:rsidRPr="009421F1" w:rsidRDefault="006E6AFA" w:rsidP="001248C8">
      <w:pPr>
        <w:ind w:left="426"/>
        <w:jc w:val="center"/>
        <w:rPr>
          <w:rStyle w:val="nfasis"/>
          <w:b/>
          <w:bCs/>
          <w:sz w:val="22"/>
          <w:szCs w:val="22"/>
        </w:rPr>
      </w:pPr>
      <w:r w:rsidRPr="009421F1">
        <w:rPr>
          <w:rStyle w:val="nfasis"/>
          <w:b/>
          <w:bCs/>
          <w:sz w:val="22"/>
          <w:szCs w:val="22"/>
        </w:rPr>
        <w:t>b. SOLICITUD DE LA REVISIÓN DE LA TARIFA A PETICIÓN DE PARTE</w:t>
      </w:r>
    </w:p>
    <w:p w14:paraId="08EF1D9A" w14:textId="327AC14B" w:rsidR="00884DF9" w:rsidRPr="009421F1" w:rsidRDefault="006E6AFA" w:rsidP="001248C8">
      <w:pPr>
        <w:ind w:left="426"/>
        <w:rPr>
          <w:rStyle w:val="nfasis"/>
          <w:sz w:val="22"/>
          <w:szCs w:val="22"/>
        </w:rPr>
      </w:pPr>
      <w:r w:rsidRPr="009421F1">
        <w:rPr>
          <w:rStyle w:val="nfasis"/>
          <w:sz w:val="22"/>
          <w:szCs w:val="22"/>
        </w:rPr>
        <w:t>Conforme a los cargos negativos expuestos en los cálculos hechos por XM con radicado</w:t>
      </w:r>
      <w:r w:rsidR="005F3671" w:rsidRPr="009421F1">
        <w:rPr>
          <w:rStyle w:val="nfasis"/>
          <w:sz w:val="22"/>
          <w:szCs w:val="22"/>
        </w:rPr>
        <w:t xml:space="preserve"> </w:t>
      </w:r>
      <w:r w:rsidRPr="009421F1">
        <w:rPr>
          <w:rStyle w:val="nfasis"/>
          <w:sz w:val="22"/>
          <w:szCs w:val="22"/>
        </w:rPr>
        <w:t>202244024230-7 XM y a las solicitudes previas hechas por la empresa bajo radicado DE-2022-0172, cómo el reconocimiento de los planes de inversión, la actualización de la base</w:t>
      </w:r>
      <w:r w:rsidR="00884DF9" w:rsidRPr="009421F1">
        <w:rPr>
          <w:rStyle w:val="nfasis"/>
          <w:sz w:val="22"/>
          <w:szCs w:val="22"/>
        </w:rPr>
        <w:t xml:space="preserve"> tarifar</w:t>
      </w:r>
      <w:r w:rsidR="000C2BA1" w:rsidRPr="009421F1">
        <w:rPr>
          <w:rStyle w:val="nfasis"/>
          <w:sz w:val="22"/>
          <w:szCs w:val="22"/>
        </w:rPr>
        <w:t>i</w:t>
      </w:r>
      <w:r w:rsidR="00884DF9" w:rsidRPr="009421F1">
        <w:rPr>
          <w:rStyle w:val="nfasis"/>
          <w:sz w:val="22"/>
          <w:szCs w:val="22"/>
        </w:rPr>
        <w:t xml:space="preserve">a y el ajuste en el </w:t>
      </w:r>
      <w:r w:rsidR="000C2BA1" w:rsidRPr="009421F1">
        <w:rPr>
          <w:rStyle w:val="nfasis"/>
          <w:sz w:val="22"/>
          <w:szCs w:val="22"/>
        </w:rPr>
        <w:t>periodo</w:t>
      </w:r>
      <w:r w:rsidR="00884DF9" w:rsidRPr="009421F1">
        <w:rPr>
          <w:rStyle w:val="nfasis"/>
          <w:sz w:val="22"/>
          <w:szCs w:val="22"/>
        </w:rPr>
        <w:t xml:space="preserve"> de </w:t>
      </w:r>
      <w:r w:rsidR="000C2BA1" w:rsidRPr="009421F1">
        <w:rPr>
          <w:rStyle w:val="nfasis"/>
          <w:sz w:val="22"/>
          <w:szCs w:val="22"/>
        </w:rPr>
        <w:t>tiempo</w:t>
      </w:r>
      <w:r w:rsidR="00884DF9" w:rsidRPr="009421F1">
        <w:rPr>
          <w:rStyle w:val="nfasis"/>
          <w:sz w:val="22"/>
          <w:szCs w:val="22"/>
        </w:rPr>
        <w:t xml:space="preserve"> de la variable </w:t>
      </w:r>
      <w:r w:rsidR="000C2BA1" w:rsidRPr="009421F1">
        <w:rPr>
          <w:rStyle w:val="nfasis"/>
          <w:sz w:val="22"/>
          <w:szCs w:val="22"/>
        </w:rPr>
        <w:t>AIM,</w:t>
      </w:r>
      <w:r w:rsidR="00884DF9" w:rsidRPr="009421F1">
        <w:rPr>
          <w:rStyle w:val="nfasis"/>
          <w:sz w:val="22"/>
          <w:szCs w:val="22"/>
        </w:rPr>
        <w:t xml:space="preserve"> ped</w:t>
      </w:r>
      <w:r w:rsidR="000C2BA1" w:rsidRPr="009421F1">
        <w:rPr>
          <w:rStyle w:val="nfasis"/>
          <w:sz w:val="22"/>
          <w:szCs w:val="22"/>
        </w:rPr>
        <w:t>i</w:t>
      </w:r>
      <w:r w:rsidR="00884DF9" w:rsidRPr="009421F1">
        <w:rPr>
          <w:rStyle w:val="nfasis"/>
          <w:sz w:val="22"/>
          <w:szCs w:val="22"/>
        </w:rPr>
        <w:t>mos</w:t>
      </w:r>
      <w:r w:rsidR="000C2BA1" w:rsidRPr="009421F1">
        <w:rPr>
          <w:rStyle w:val="nfasis"/>
          <w:sz w:val="22"/>
          <w:szCs w:val="22"/>
        </w:rPr>
        <w:t xml:space="preserve"> </w:t>
      </w:r>
      <w:r w:rsidR="00884DF9" w:rsidRPr="009421F1">
        <w:rPr>
          <w:rStyle w:val="nfasis"/>
          <w:sz w:val="22"/>
          <w:szCs w:val="22"/>
        </w:rPr>
        <w:t>comedidamente a la comisión una revisión de la tarifa de manera excepcional</w:t>
      </w:r>
      <w:r w:rsidR="000C2BA1" w:rsidRPr="009421F1">
        <w:rPr>
          <w:rStyle w:val="nfasis"/>
          <w:sz w:val="22"/>
          <w:szCs w:val="22"/>
        </w:rPr>
        <w:t>.</w:t>
      </w:r>
    </w:p>
    <w:p w14:paraId="6437A8E2" w14:textId="283D2D77" w:rsidR="00884DF9" w:rsidRPr="009421F1" w:rsidRDefault="00884DF9" w:rsidP="001248C8">
      <w:pPr>
        <w:ind w:left="426"/>
        <w:rPr>
          <w:rStyle w:val="nfasis"/>
          <w:sz w:val="22"/>
          <w:szCs w:val="22"/>
        </w:rPr>
      </w:pPr>
      <w:r w:rsidRPr="009421F1">
        <w:rPr>
          <w:rStyle w:val="nfasis"/>
          <w:sz w:val="22"/>
          <w:szCs w:val="22"/>
        </w:rPr>
        <w:t>Lo anterior co</w:t>
      </w:r>
      <w:r w:rsidR="00B40601" w:rsidRPr="009421F1">
        <w:rPr>
          <w:rStyle w:val="nfasis"/>
          <w:sz w:val="22"/>
          <w:szCs w:val="22"/>
        </w:rPr>
        <w:t>i</w:t>
      </w:r>
      <w:r w:rsidRPr="009421F1">
        <w:rPr>
          <w:rStyle w:val="nfasis"/>
          <w:sz w:val="22"/>
          <w:szCs w:val="22"/>
        </w:rPr>
        <w:t>nc</w:t>
      </w:r>
      <w:r w:rsidR="00B40601" w:rsidRPr="009421F1">
        <w:rPr>
          <w:rStyle w:val="nfasis"/>
          <w:sz w:val="22"/>
          <w:szCs w:val="22"/>
        </w:rPr>
        <w:t>i</w:t>
      </w:r>
      <w:r w:rsidRPr="009421F1">
        <w:rPr>
          <w:rStyle w:val="nfasis"/>
          <w:sz w:val="22"/>
          <w:szCs w:val="22"/>
        </w:rPr>
        <w:t>de con los principios jurídicos expuestos en la primera parte de esta</w:t>
      </w:r>
      <w:r w:rsidR="00B40601" w:rsidRPr="009421F1">
        <w:rPr>
          <w:rStyle w:val="nfasis"/>
          <w:sz w:val="22"/>
          <w:szCs w:val="22"/>
        </w:rPr>
        <w:t xml:space="preserve"> </w:t>
      </w:r>
      <w:r w:rsidRPr="009421F1">
        <w:rPr>
          <w:rStyle w:val="nfasis"/>
          <w:sz w:val="22"/>
          <w:szCs w:val="22"/>
        </w:rPr>
        <w:t xml:space="preserve">comunicación, en donde las </w:t>
      </w:r>
      <w:r w:rsidR="00B40601" w:rsidRPr="009421F1">
        <w:rPr>
          <w:rStyle w:val="nfasis"/>
          <w:sz w:val="22"/>
          <w:szCs w:val="22"/>
        </w:rPr>
        <w:t>pérdidas</w:t>
      </w:r>
      <w:r w:rsidRPr="009421F1">
        <w:rPr>
          <w:rStyle w:val="nfasis"/>
          <w:sz w:val="22"/>
          <w:szCs w:val="22"/>
        </w:rPr>
        <w:t xml:space="preserve"> que ocasionaría una tarifa poco eficiente no</w:t>
      </w:r>
      <w:r w:rsidR="00B40601" w:rsidRPr="009421F1">
        <w:rPr>
          <w:rStyle w:val="nfasis"/>
          <w:sz w:val="22"/>
          <w:szCs w:val="22"/>
        </w:rPr>
        <w:t xml:space="preserve"> </w:t>
      </w:r>
      <w:r w:rsidRPr="009421F1">
        <w:rPr>
          <w:rStyle w:val="nfasis"/>
          <w:sz w:val="22"/>
          <w:szCs w:val="22"/>
        </w:rPr>
        <w:t xml:space="preserve">compensarían los costos de </w:t>
      </w:r>
      <w:r w:rsidR="00B40601" w:rsidRPr="009421F1">
        <w:rPr>
          <w:rStyle w:val="nfasis"/>
          <w:sz w:val="22"/>
          <w:szCs w:val="22"/>
        </w:rPr>
        <w:t>funcionamiento</w:t>
      </w:r>
      <w:r w:rsidRPr="009421F1">
        <w:rPr>
          <w:rStyle w:val="nfasis"/>
          <w:sz w:val="22"/>
          <w:szCs w:val="22"/>
        </w:rPr>
        <w:t xml:space="preserve"> de la empresa para esta </w:t>
      </w:r>
      <w:r w:rsidR="00B40601" w:rsidRPr="009421F1">
        <w:rPr>
          <w:rStyle w:val="nfasis"/>
          <w:sz w:val="22"/>
          <w:szCs w:val="22"/>
        </w:rPr>
        <w:t>actividad</w:t>
      </w:r>
      <w:r w:rsidRPr="009421F1">
        <w:rPr>
          <w:rStyle w:val="nfasis"/>
          <w:sz w:val="22"/>
          <w:szCs w:val="22"/>
        </w:rPr>
        <w:t>. Por tanto,</w:t>
      </w:r>
      <w:r w:rsidR="00B40601" w:rsidRPr="009421F1">
        <w:rPr>
          <w:rStyle w:val="nfasis"/>
          <w:sz w:val="22"/>
          <w:szCs w:val="22"/>
        </w:rPr>
        <w:t xml:space="preserve"> </w:t>
      </w:r>
      <w:r w:rsidRPr="009421F1">
        <w:rPr>
          <w:rStyle w:val="nfasis"/>
          <w:sz w:val="22"/>
          <w:szCs w:val="22"/>
        </w:rPr>
        <w:t>pedimos un acompañamiento y ajuste en los cálculos de los nuevos car</w:t>
      </w:r>
      <w:r w:rsidR="00B40601" w:rsidRPr="009421F1">
        <w:rPr>
          <w:rStyle w:val="nfasis"/>
          <w:sz w:val="22"/>
          <w:szCs w:val="22"/>
        </w:rPr>
        <w:t>g</w:t>
      </w:r>
      <w:r w:rsidRPr="009421F1">
        <w:rPr>
          <w:rStyle w:val="nfasis"/>
          <w:sz w:val="22"/>
          <w:szCs w:val="22"/>
        </w:rPr>
        <w:t xml:space="preserve">os, </w:t>
      </w:r>
      <w:proofErr w:type="gramStart"/>
      <w:r w:rsidRPr="009421F1">
        <w:rPr>
          <w:rStyle w:val="nfasis"/>
          <w:sz w:val="22"/>
          <w:szCs w:val="22"/>
        </w:rPr>
        <w:t>en virtud a</w:t>
      </w:r>
      <w:proofErr w:type="gramEnd"/>
      <w:r w:rsidRPr="009421F1">
        <w:rPr>
          <w:rStyle w:val="nfasis"/>
          <w:sz w:val="22"/>
          <w:szCs w:val="22"/>
        </w:rPr>
        <w:t xml:space="preserve"> lo</w:t>
      </w:r>
      <w:r w:rsidR="00623613" w:rsidRPr="009421F1">
        <w:rPr>
          <w:rStyle w:val="nfasis"/>
          <w:sz w:val="22"/>
          <w:szCs w:val="22"/>
        </w:rPr>
        <w:t xml:space="preserve"> </w:t>
      </w:r>
      <w:r w:rsidRPr="009421F1">
        <w:rPr>
          <w:rStyle w:val="nfasis"/>
          <w:sz w:val="22"/>
          <w:szCs w:val="22"/>
        </w:rPr>
        <w:t xml:space="preserve">expuesto en el artículo 126 de la ley 142 de 1994, solicitando que </w:t>
      </w:r>
      <w:r w:rsidR="00623613" w:rsidRPr="009421F1">
        <w:rPr>
          <w:rStyle w:val="nfasis"/>
          <w:sz w:val="22"/>
          <w:szCs w:val="22"/>
        </w:rPr>
        <w:t>excepcionalm</w:t>
      </w:r>
      <w:r w:rsidRPr="009421F1">
        <w:rPr>
          <w:rStyle w:val="nfasis"/>
          <w:sz w:val="22"/>
          <w:szCs w:val="22"/>
        </w:rPr>
        <w:t>ente el</w:t>
      </w:r>
      <w:r w:rsidR="00623613" w:rsidRPr="009421F1">
        <w:rPr>
          <w:rStyle w:val="nfasis"/>
          <w:sz w:val="22"/>
          <w:szCs w:val="22"/>
        </w:rPr>
        <w:t xml:space="preserve"> </w:t>
      </w:r>
      <w:r w:rsidRPr="009421F1">
        <w:rPr>
          <w:rStyle w:val="nfasis"/>
          <w:sz w:val="22"/>
          <w:szCs w:val="22"/>
        </w:rPr>
        <w:t xml:space="preserve">regulador modifique la formula </w:t>
      </w:r>
      <w:r w:rsidR="00623613" w:rsidRPr="009421F1">
        <w:rPr>
          <w:rStyle w:val="nfasis"/>
          <w:sz w:val="22"/>
          <w:szCs w:val="22"/>
        </w:rPr>
        <w:t>tarifaria</w:t>
      </w:r>
      <w:r w:rsidRPr="009421F1">
        <w:rPr>
          <w:rStyle w:val="nfasis"/>
          <w:sz w:val="22"/>
          <w:szCs w:val="22"/>
        </w:rPr>
        <w:t xml:space="preserve"> y su tiempo de ejecución, ya que se podrían</w:t>
      </w:r>
      <w:r w:rsidR="00623613" w:rsidRPr="009421F1">
        <w:rPr>
          <w:rStyle w:val="nfasis"/>
          <w:sz w:val="22"/>
          <w:szCs w:val="22"/>
        </w:rPr>
        <w:t xml:space="preserve"> </w:t>
      </w:r>
      <w:r w:rsidRPr="009421F1">
        <w:rPr>
          <w:rStyle w:val="nfasis"/>
          <w:sz w:val="22"/>
          <w:szCs w:val="22"/>
        </w:rPr>
        <w:t>lesionar gravemente los intereses de la empresa y los usuarios.</w:t>
      </w:r>
    </w:p>
    <w:p w14:paraId="1FF0A56D" w14:textId="13688DA8" w:rsidR="003B6396" w:rsidRPr="003D3ACD" w:rsidRDefault="00884DF9" w:rsidP="001248C8">
      <w:pPr>
        <w:spacing w:after="360"/>
        <w:ind w:left="426"/>
        <w:rPr>
          <w:rStyle w:val="nfasis"/>
          <w:sz w:val="22"/>
          <w:szCs w:val="22"/>
        </w:rPr>
      </w:pPr>
      <w:r w:rsidRPr="009421F1">
        <w:rPr>
          <w:rStyle w:val="nfasis"/>
          <w:sz w:val="22"/>
          <w:szCs w:val="22"/>
        </w:rPr>
        <w:t>En el evento en que no sea posible la actuación de oficio a petición de parte, se solicita que</w:t>
      </w:r>
      <w:r w:rsidR="00623613" w:rsidRPr="009421F1">
        <w:rPr>
          <w:rStyle w:val="nfasis"/>
          <w:sz w:val="22"/>
          <w:szCs w:val="22"/>
        </w:rPr>
        <w:t xml:space="preserve"> </w:t>
      </w:r>
      <w:r w:rsidRPr="009421F1">
        <w:rPr>
          <w:rStyle w:val="nfasis"/>
          <w:sz w:val="22"/>
          <w:szCs w:val="22"/>
        </w:rPr>
        <w:t xml:space="preserve">la misma se haga de común acuerdo como está previsto en la </w:t>
      </w:r>
      <w:r w:rsidR="00623613" w:rsidRPr="009421F1">
        <w:rPr>
          <w:rStyle w:val="nfasis"/>
          <w:sz w:val="22"/>
          <w:szCs w:val="22"/>
        </w:rPr>
        <w:t>mencionada Ley</w:t>
      </w:r>
      <w:r w:rsidRPr="009421F1">
        <w:rPr>
          <w:rStyle w:val="nfasis"/>
          <w:sz w:val="22"/>
          <w:szCs w:val="22"/>
        </w:rPr>
        <w:t xml:space="preserve"> </w:t>
      </w:r>
      <w:r w:rsidR="00623613" w:rsidRPr="009421F1">
        <w:rPr>
          <w:rStyle w:val="nfasis"/>
          <w:sz w:val="22"/>
          <w:szCs w:val="22"/>
        </w:rPr>
        <w:t>1</w:t>
      </w:r>
      <w:r w:rsidRPr="009421F1">
        <w:rPr>
          <w:rStyle w:val="nfasis"/>
          <w:sz w:val="22"/>
          <w:szCs w:val="22"/>
        </w:rPr>
        <w:t>42 de 1994</w:t>
      </w:r>
      <w:r w:rsidR="00623613" w:rsidRPr="009421F1">
        <w:rPr>
          <w:rStyle w:val="nfasis"/>
          <w:sz w:val="22"/>
          <w:szCs w:val="22"/>
        </w:rPr>
        <w:t xml:space="preserve"> </w:t>
      </w:r>
      <w:r w:rsidRPr="009421F1">
        <w:rPr>
          <w:rStyle w:val="nfasis"/>
          <w:sz w:val="22"/>
          <w:szCs w:val="22"/>
        </w:rPr>
        <w:t>en el artículo 12</w:t>
      </w:r>
      <w:r w:rsidR="000E47A8" w:rsidRPr="009421F1">
        <w:rPr>
          <w:rStyle w:val="nfasis"/>
          <w:sz w:val="22"/>
          <w:szCs w:val="22"/>
        </w:rPr>
        <w:t>6</w:t>
      </w:r>
      <w:r w:rsidRPr="009421F1">
        <w:rPr>
          <w:rStyle w:val="nfasis"/>
          <w:sz w:val="22"/>
          <w:szCs w:val="22"/>
        </w:rPr>
        <w:t>.</w:t>
      </w:r>
    </w:p>
    <w:p w14:paraId="04420E3B" w14:textId="77777777" w:rsidR="00511A42" w:rsidRPr="001248C8" w:rsidRDefault="00511A42" w:rsidP="00A345B3">
      <w:pPr>
        <w:spacing w:before="240" w:after="240"/>
        <w:jc w:val="center"/>
        <w:rPr>
          <w:b/>
          <w:sz w:val="26"/>
          <w:szCs w:val="26"/>
          <w:lang w:val="es-CO" w:eastAsia="en-US"/>
        </w:rPr>
      </w:pPr>
      <w:r w:rsidRPr="001248C8">
        <w:rPr>
          <w:b/>
          <w:sz w:val="26"/>
          <w:szCs w:val="26"/>
          <w:lang w:val="es-CO" w:eastAsia="en-US"/>
        </w:rPr>
        <w:t>ANÁLISIS DE LA COMISIÓN</w:t>
      </w:r>
    </w:p>
    <w:p w14:paraId="06B37543" w14:textId="3D471972" w:rsidR="0094709F" w:rsidRDefault="00511A42" w:rsidP="00511A42">
      <w:r w:rsidRPr="00D10C65">
        <w:t xml:space="preserve">A </w:t>
      </w:r>
      <w:r>
        <w:t>continuación, se presenta el análisis de la Comisión sobre las peticiones realizadas.</w:t>
      </w:r>
      <w:r w:rsidR="0094709F">
        <w:t xml:space="preserve"> </w:t>
      </w:r>
    </w:p>
    <w:p w14:paraId="55326A0F" w14:textId="6F43C48F" w:rsidR="004269F5" w:rsidRDefault="0094709F" w:rsidP="001248C8">
      <w:pPr>
        <w:spacing w:after="360"/>
      </w:pPr>
      <w:r>
        <w:t xml:space="preserve">Aunque la primera solicitud de la empresa corresponde al aumento de plazo para el ajuste de ingresos de la variable </w:t>
      </w:r>
      <w:proofErr w:type="spellStart"/>
      <w:r w:rsidRPr="006E70E4">
        <w:rPr>
          <w:i/>
          <w:iCs/>
        </w:rPr>
        <w:t>AIM</w:t>
      </w:r>
      <w:r w:rsidR="006E70E4" w:rsidRPr="006E70E4">
        <w:rPr>
          <w:i/>
          <w:iCs/>
          <w:vertAlign w:val="subscript"/>
        </w:rPr>
        <w:t>j,n,m</w:t>
      </w:r>
      <w:proofErr w:type="spellEnd"/>
      <w:r w:rsidR="006E70E4">
        <w:rPr>
          <w:i/>
          <w:iCs/>
          <w:vertAlign w:val="subscript"/>
        </w:rPr>
        <w:t xml:space="preserve"> </w:t>
      </w:r>
      <w:r w:rsidR="006E70E4">
        <w:t>del numeral 1.3.4.1</w:t>
      </w:r>
      <w:r w:rsidR="001B02A8">
        <w:t xml:space="preserve"> del anexo general de la Resolución CREG 015 de 2018</w:t>
      </w:r>
      <w:r w:rsidR="001B02A8">
        <w:rPr>
          <w:rStyle w:val="Refdenotaalpie"/>
        </w:rPr>
        <w:footnoteReference w:id="2"/>
      </w:r>
      <w:r w:rsidR="006F4494">
        <w:t xml:space="preserve">, el análisis de esta solicitud será presentado luego de la revisión tarifaria solicitada por la empresa, dado que el </w:t>
      </w:r>
      <w:r w:rsidR="00E033FF">
        <w:t xml:space="preserve">plazo requerido por la empresa para </w:t>
      </w:r>
      <w:r w:rsidR="00E70FCF">
        <w:t xml:space="preserve">aliviar el efecto de la variable </w:t>
      </w:r>
      <w:proofErr w:type="spellStart"/>
      <w:r w:rsidR="00E70FCF" w:rsidRPr="006E70E4">
        <w:rPr>
          <w:i/>
          <w:iCs/>
        </w:rPr>
        <w:t>AIM</w:t>
      </w:r>
      <w:r w:rsidR="00E70FCF" w:rsidRPr="006E70E4">
        <w:rPr>
          <w:i/>
          <w:iCs/>
          <w:vertAlign w:val="subscript"/>
        </w:rPr>
        <w:t>j,n,m</w:t>
      </w:r>
      <w:proofErr w:type="spellEnd"/>
      <w:r w:rsidR="00E70FCF">
        <w:rPr>
          <w:i/>
          <w:iCs/>
          <w:vertAlign w:val="subscript"/>
        </w:rPr>
        <w:t xml:space="preserve"> </w:t>
      </w:r>
      <w:r w:rsidR="00E70FCF">
        <w:t xml:space="preserve">depende de los ingresos que se aprueben a la empresa y </w:t>
      </w:r>
      <w:r w:rsidR="004269F5">
        <w:t>pueden variar al atender la segunda solicitud</w:t>
      </w:r>
      <w:r w:rsidR="006F5A24">
        <w:t xml:space="preserve">, que pretende modificar la base de activos y los gastos de AOM reconocidos a </w:t>
      </w:r>
      <w:r w:rsidR="00430C96">
        <w:t>EMEESA</w:t>
      </w:r>
      <w:r w:rsidR="004269F5">
        <w:t>.</w:t>
      </w:r>
    </w:p>
    <w:p w14:paraId="0E82EACB" w14:textId="5258771E" w:rsidR="002D74B0" w:rsidRDefault="002D74B0" w:rsidP="004B4540">
      <w:pPr>
        <w:pStyle w:val="Prrafodelista"/>
        <w:numPr>
          <w:ilvl w:val="0"/>
          <w:numId w:val="11"/>
        </w:numPr>
        <w:ind w:left="426" w:hanging="426"/>
        <w:rPr>
          <w:b/>
          <w:bCs/>
        </w:rPr>
      </w:pPr>
      <w:r>
        <w:rPr>
          <w:b/>
          <w:bCs/>
        </w:rPr>
        <w:t>ANÁLISIS JURÍDICO</w:t>
      </w:r>
    </w:p>
    <w:p w14:paraId="5A5B721A" w14:textId="569C09C6" w:rsidR="0047373B" w:rsidRPr="0047373B" w:rsidRDefault="003E475A" w:rsidP="00E41ECB">
      <w:pPr>
        <w:rPr>
          <w:bCs/>
        </w:rPr>
      </w:pPr>
      <w:r>
        <w:rPr>
          <w:bCs/>
        </w:rPr>
        <w:t>Inicialmente</w:t>
      </w:r>
      <w:r w:rsidR="0047373B" w:rsidRPr="0047373B">
        <w:rPr>
          <w:bCs/>
        </w:rPr>
        <w:t>, cabe recordar que el Artículo 5 de la Resolución CREG 015 de 2018 establece:</w:t>
      </w:r>
    </w:p>
    <w:p w14:paraId="01352637" w14:textId="77777777" w:rsidR="0047373B" w:rsidRPr="00DA1483" w:rsidRDefault="0047373B" w:rsidP="00E41ECB">
      <w:pPr>
        <w:pStyle w:val="NormalWeb"/>
        <w:ind w:left="708"/>
        <w:rPr>
          <w:rStyle w:val="nfasis"/>
          <w:sz w:val="22"/>
          <w:szCs w:val="22"/>
          <w:lang w:val="es-CO"/>
        </w:rPr>
      </w:pPr>
      <w:r w:rsidRPr="00DA1483">
        <w:rPr>
          <w:rStyle w:val="nfasis"/>
          <w:b/>
          <w:bCs/>
          <w:sz w:val="22"/>
          <w:szCs w:val="22"/>
        </w:rPr>
        <w:lastRenderedPageBreak/>
        <w:t>ARTÍCULO 5o. SOLICITUD DE APROBACIÓN DE INGRESOS.</w:t>
      </w:r>
      <w:r w:rsidRPr="00DA1483">
        <w:rPr>
          <w:rStyle w:val="nfasis"/>
          <w:sz w:val="22"/>
          <w:szCs w:val="22"/>
        </w:rPr>
        <w:t xml:space="preserve"> &lt;Artículo modificado por el artículo </w:t>
      </w:r>
      <w:hyperlink r:id="rId14" w:anchor="1" w:tgtFrame="_blank" w:tooltip="Resolución 85 de 2018 CREG - Por la cual se aclaran y corrigen algunas disposiciones de la Resolución CREG 015 de 2018, 1" w:history="1">
        <w:r w:rsidRPr="00DA1483">
          <w:rPr>
            <w:rStyle w:val="nfasis"/>
            <w:sz w:val="22"/>
            <w:szCs w:val="22"/>
          </w:rPr>
          <w:t>1</w:t>
        </w:r>
      </w:hyperlink>
      <w:r w:rsidRPr="00DA1483">
        <w:rPr>
          <w:rStyle w:val="nfasis"/>
          <w:sz w:val="22"/>
          <w:szCs w:val="22"/>
        </w:rPr>
        <w:t xml:space="preserve"> de la Resolución 85 de 2018. El nuevo texto es el siguiente:&gt; Los OR deberán someter a aprobación de la CREG la solicitud de ingresos para el periodo tarifario dentro de los ciento cincuenta (150) días calendario siguientes a la fecha de publicación de los formatos para el reporte de información de la solicitud. </w:t>
      </w:r>
    </w:p>
    <w:p w14:paraId="6F07CC7E" w14:textId="77777777" w:rsidR="0047373B" w:rsidRPr="00DA1483" w:rsidRDefault="0047373B" w:rsidP="00E41ECB">
      <w:pPr>
        <w:pStyle w:val="NormalWeb"/>
        <w:ind w:left="708"/>
        <w:rPr>
          <w:rStyle w:val="nfasis"/>
          <w:sz w:val="22"/>
          <w:szCs w:val="22"/>
        </w:rPr>
      </w:pPr>
      <w:r w:rsidRPr="00DA1483">
        <w:rPr>
          <w:rStyle w:val="nfasis"/>
          <w:sz w:val="22"/>
          <w:szCs w:val="22"/>
        </w:rPr>
        <w:t xml:space="preserve">La solicitud deberá ajustarse al procedimiento, contenido y formatos que la Comisión publique para tal fin vía circular. </w:t>
      </w:r>
    </w:p>
    <w:p w14:paraId="193CE6AD" w14:textId="77777777" w:rsidR="0047373B" w:rsidRPr="00DA1483" w:rsidRDefault="0047373B" w:rsidP="00E41ECB">
      <w:pPr>
        <w:pStyle w:val="NormalWeb"/>
        <w:ind w:left="708"/>
        <w:rPr>
          <w:rStyle w:val="nfasis"/>
        </w:rPr>
      </w:pPr>
      <w:r w:rsidRPr="00DA1483">
        <w:rPr>
          <w:rStyle w:val="nfasis"/>
          <w:sz w:val="22"/>
          <w:szCs w:val="22"/>
        </w:rPr>
        <w:t xml:space="preserve">PARÁGRAFO 1. Cuando el OR </w:t>
      </w:r>
      <w:r w:rsidRPr="00DA1483">
        <w:rPr>
          <w:rStyle w:val="nfasis"/>
          <w:sz w:val="22"/>
          <w:szCs w:val="22"/>
          <w:u w:val="single"/>
        </w:rPr>
        <w:t>no someta a aprobación de la CREG la solicitud de ingresos en el plazo previsto, la Comisión fijará la remuneración con la información disponible</w:t>
      </w:r>
      <w:r w:rsidRPr="00DA1483">
        <w:rPr>
          <w:rStyle w:val="nfasis"/>
          <w:sz w:val="22"/>
          <w:szCs w:val="22"/>
        </w:rPr>
        <w:t xml:space="preserve"> sin perjuicio de las sanciones y demás medidas a que haya lugar. </w:t>
      </w:r>
      <w:r w:rsidRPr="00DA1483">
        <w:rPr>
          <w:rStyle w:val="nfasis"/>
          <w:sz w:val="22"/>
          <w:szCs w:val="22"/>
          <w:u w:val="single"/>
        </w:rPr>
        <w:t>Estos ingresos estarán vigentes hasta que el OR formule la respectiva solicitud y los nuevos le sean aprobados.</w:t>
      </w:r>
      <w:r w:rsidRPr="00DA1483">
        <w:rPr>
          <w:rStyle w:val="nfasis"/>
          <w:sz w:val="22"/>
          <w:szCs w:val="22"/>
        </w:rPr>
        <w:t xml:space="preserve"> </w:t>
      </w:r>
      <w:r>
        <w:rPr>
          <w:rStyle w:val="nfasis"/>
          <w:sz w:val="22"/>
          <w:szCs w:val="22"/>
        </w:rPr>
        <w:t xml:space="preserve"> (subrayado fuera de texto)</w:t>
      </w:r>
    </w:p>
    <w:p w14:paraId="65B71E17" w14:textId="5BDC4B39" w:rsidR="00123923" w:rsidRDefault="0047373B" w:rsidP="00123923">
      <w:pPr>
        <w:rPr>
          <w:szCs w:val="22"/>
        </w:rPr>
      </w:pPr>
      <w:r w:rsidRPr="0047373B">
        <w:rPr>
          <w:bCs/>
        </w:rPr>
        <w:t xml:space="preserve">En tal sentido, </w:t>
      </w:r>
      <w:r w:rsidR="0051384E">
        <w:rPr>
          <w:bCs/>
        </w:rPr>
        <w:t xml:space="preserve">mediante auto del </w:t>
      </w:r>
      <w:r w:rsidR="0051384E" w:rsidRPr="001D2CE0">
        <w:rPr>
          <w:spacing w:val="-3"/>
        </w:rPr>
        <w:t>2</w:t>
      </w:r>
      <w:r w:rsidR="0051384E">
        <w:rPr>
          <w:spacing w:val="-3"/>
        </w:rPr>
        <w:t>8</w:t>
      </w:r>
      <w:r w:rsidR="0051384E" w:rsidRPr="001D2CE0">
        <w:rPr>
          <w:spacing w:val="-3"/>
        </w:rPr>
        <w:t xml:space="preserve"> de septiembre de 2018</w:t>
      </w:r>
      <w:r w:rsidRPr="0047373B">
        <w:rPr>
          <w:bCs/>
        </w:rPr>
        <w:t xml:space="preserve"> </w:t>
      </w:r>
      <w:r w:rsidR="0051384E" w:rsidRPr="0047373B">
        <w:rPr>
          <w:bCs/>
        </w:rPr>
        <w:t>la Comisión</w:t>
      </w:r>
      <w:r w:rsidR="0051384E">
        <w:rPr>
          <w:bCs/>
        </w:rPr>
        <w:t xml:space="preserve"> </w:t>
      </w:r>
      <w:r w:rsidRPr="0047373B">
        <w:rPr>
          <w:bCs/>
        </w:rPr>
        <w:t>inició</w:t>
      </w:r>
      <w:r w:rsidR="00B30260">
        <w:rPr>
          <w:bCs/>
        </w:rPr>
        <w:t>,</w:t>
      </w:r>
      <w:r w:rsidRPr="0047373B">
        <w:rPr>
          <w:bCs/>
        </w:rPr>
        <w:t xml:space="preserve"> de oficio</w:t>
      </w:r>
      <w:r w:rsidR="00B30260">
        <w:rPr>
          <w:bCs/>
        </w:rPr>
        <w:t>,</w:t>
      </w:r>
      <w:r w:rsidRPr="0047373B">
        <w:rPr>
          <w:bCs/>
        </w:rPr>
        <w:t xml:space="preserve"> la actuación</w:t>
      </w:r>
      <w:r w:rsidR="00457A1F">
        <w:rPr>
          <w:bCs/>
        </w:rPr>
        <w:t xml:space="preserve"> administrativa </w:t>
      </w:r>
      <w:r w:rsidR="004A2574">
        <w:rPr>
          <w:bCs/>
        </w:rPr>
        <w:t>tendiente</w:t>
      </w:r>
      <w:r w:rsidR="00457A1F">
        <w:rPr>
          <w:bCs/>
        </w:rPr>
        <w:t xml:space="preserve"> a aprobar las variables </w:t>
      </w:r>
      <w:r w:rsidR="00553BBA">
        <w:rPr>
          <w:bCs/>
        </w:rPr>
        <w:t>necesarias para el cálculo de los ingresos y cargos de la actividad de distribución de EMEESA</w:t>
      </w:r>
      <w:r w:rsidR="003B137C">
        <w:rPr>
          <w:bCs/>
        </w:rPr>
        <w:t xml:space="preserve">. </w:t>
      </w:r>
      <w:r w:rsidR="00123923" w:rsidRPr="007807E0">
        <w:rPr>
          <w:szCs w:val="22"/>
        </w:rPr>
        <w:t xml:space="preserve">El inicio de la actuación administrativa fue </w:t>
      </w:r>
      <w:r w:rsidR="00123923">
        <w:rPr>
          <w:szCs w:val="22"/>
        </w:rPr>
        <w:t>informado</w:t>
      </w:r>
      <w:r w:rsidR="00123923" w:rsidRPr="007807E0">
        <w:rPr>
          <w:szCs w:val="22"/>
        </w:rPr>
        <w:t xml:space="preserve"> al OR mediante comunicación con </w:t>
      </w:r>
      <w:r w:rsidR="00123923" w:rsidRPr="00EA0637">
        <w:rPr>
          <w:szCs w:val="22"/>
        </w:rPr>
        <w:t xml:space="preserve">radicado CREG </w:t>
      </w:r>
      <w:r w:rsidR="00123923" w:rsidRPr="001D2CE0">
        <w:rPr>
          <w:szCs w:val="22"/>
        </w:rPr>
        <w:t>S-2018-</w:t>
      </w:r>
      <w:r w:rsidR="00123923" w:rsidRPr="00537A89">
        <w:rPr>
          <w:szCs w:val="22"/>
        </w:rPr>
        <w:t>004506</w:t>
      </w:r>
      <w:r w:rsidR="00123923">
        <w:rPr>
          <w:szCs w:val="22"/>
        </w:rPr>
        <w:t xml:space="preserve"> del </w:t>
      </w:r>
      <w:r w:rsidR="009E5BD0">
        <w:rPr>
          <w:szCs w:val="22"/>
        </w:rPr>
        <w:t xml:space="preserve">28 de septiembre de </w:t>
      </w:r>
      <w:r w:rsidR="002D7909">
        <w:rPr>
          <w:szCs w:val="22"/>
        </w:rPr>
        <w:t>2018</w:t>
      </w:r>
      <w:r w:rsidR="00123923" w:rsidRPr="00EA0637">
        <w:rPr>
          <w:szCs w:val="22"/>
        </w:rPr>
        <w:t>.</w:t>
      </w:r>
    </w:p>
    <w:p w14:paraId="7E0E3DDA" w14:textId="0E6A1C48" w:rsidR="00603CE1" w:rsidRPr="00E41ECB" w:rsidRDefault="00B05A3A" w:rsidP="00AA6245">
      <w:pPr>
        <w:rPr>
          <w:rStyle w:val="nfasis"/>
          <w:sz w:val="22"/>
          <w:szCs w:val="22"/>
        </w:rPr>
      </w:pPr>
      <w:r>
        <w:rPr>
          <w:bCs/>
        </w:rPr>
        <w:t xml:space="preserve">En </w:t>
      </w:r>
      <w:r w:rsidR="00193007">
        <w:rPr>
          <w:bCs/>
        </w:rPr>
        <w:t>la</w:t>
      </w:r>
      <w:r w:rsidR="009411BE">
        <w:rPr>
          <w:bCs/>
        </w:rPr>
        <w:t xml:space="preserve"> presente</w:t>
      </w:r>
      <w:r w:rsidR="00193007">
        <w:rPr>
          <w:bCs/>
        </w:rPr>
        <w:t xml:space="preserve"> solicitud de revisión tarifaria</w:t>
      </w:r>
      <w:r>
        <w:rPr>
          <w:bCs/>
        </w:rPr>
        <w:t xml:space="preserve"> presentad</w:t>
      </w:r>
      <w:r w:rsidR="00193007">
        <w:rPr>
          <w:bCs/>
        </w:rPr>
        <w:t>a</w:t>
      </w:r>
      <w:r>
        <w:rPr>
          <w:bCs/>
        </w:rPr>
        <w:t xml:space="preserve"> por </w:t>
      </w:r>
      <w:r w:rsidR="0047373B" w:rsidRPr="0047373B">
        <w:rPr>
          <w:bCs/>
        </w:rPr>
        <w:t>EMEESA,</w:t>
      </w:r>
      <w:r w:rsidR="00193007">
        <w:rPr>
          <w:bCs/>
        </w:rPr>
        <w:t xml:space="preserve"> recibida mediante </w:t>
      </w:r>
      <w:r w:rsidR="00193007" w:rsidRPr="0047373B">
        <w:rPr>
          <w:szCs w:val="22"/>
        </w:rPr>
        <w:t xml:space="preserve">radicado </w:t>
      </w:r>
      <w:r w:rsidR="00193007" w:rsidRPr="0047373B">
        <w:rPr>
          <w:lang w:val="es-ES_tradnl"/>
        </w:rPr>
        <w:t>CREG E2022009674</w:t>
      </w:r>
      <w:r w:rsidR="00FD7392">
        <w:rPr>
          <w:lang w:val="es-ES_tradnl"/>
        </w:rPr>
        <w:t xml:space="preserve"> </w:t>
      </w:r>
      <w:r w:rsidR="001557D1">
        <w:rPr>
          <w:bCs/>
        </w:rPr>
        <w:t>de</w:t>
      </w:r>
      <w:r w:rsidR="00FD7392">
        <w:rPr>
          <w:bCs/>
        </w:rPr>
        <w:t>l 01 de septiembre de 2022,</w:t>
      </w:r>
      <w:r w:rsidR="001557D1">
        <w:rPr>
          <w:bCs/>
        </w:rPr>
        <w:t xml:space="preserve"> </w:t>
      </w:r>
      <w:r>
        <w:rPr>
          <w:bCs/>
        </w:rPr>
        <w:t>la empresa</w:t>
      </w:r>
      <w:r w:rsidR="0047373B" w:rsidRPr="0047373B">
        <w:rPr>
          <w:bCs/>
        </w:rPr>
        <w:t xml:space="preserve"> </w:t>
      </w:r>
      <w:r w:rsidR="000D08D6">
        <w:rPr>
          <w:bCs/>
        </w:rPr>
        <w:t>manifest</w:t>
      </w:r>
      <w:r w:rsidR="007160F2">
        <w:rPr>
          <w:bCs/>
        </w:rPr>
        <w:t>ó</w:t>
      </w:r>
      <w:r w:rsidR="00AA6245">
        <w:rPr>
          <w:bCs/>
        </w:rPr>
        <w:t xml:space="preserve"> que: </w:t>
      </w:r>
      <w:r w:rsidR="000D08D6" w:rsidRPr="00E41ECB">
        <w:rPr>
          <w:bCs/>
          <w:i/>
          <w:iCs/>
          <w:sz w:val="22"/>
          <w:szCs w:val="22"/>
        </w:rPr>
        <w:t>“</w:t>
      </w:r>
      <w:r w:rsidR="00930F92" w:rsidRPr="00E41ECB">
        <w:rPr>
          <w:bCs/>
          <w:i/>
          <w:iCs/>
          <w:sz w:val="22"/>
          <w:szCs w:val="22"/>
        </w:rPr>
        <w:t xml:space="preserve">Una vez aplicada la metodología de la Resolución GREG 015 de 2018 </w:t>
      </w:r>
      <w:r w:rsidR="00744A09" w:rsidRPr="00E41ECB">
        <w:rPr>
          <w:bCs/>
          <w:i/>
          <w:iCs/>
          <w:sz w:val="22"/>
          <w:szCs w:val="22"/>
        </w:rPr>
        <w:t>(…)</w:t>
      </w:r>
      <w:r w:rsidR="002B7844" w:rsidRPr="00E41ECB">
        <w:rPr>
          <w:bCs/>
          <w:i/>
          <w:iCs/>
          <w:sz w:val="22"/>
          <w:szCs w:val="22"/>
        </w:rPr>
        <w:t xml:space="preserve"> hace visible</w:t>
      </w:r>
      <w:r w:rsidR="00744A09" w:rsidRPr="00E41ECB">
        <w:rPr>
          <w:bCs/>
          <w:i/>
          <w:iCs/>
          <w:sz w:val="22"/>
          <w:szCs w:val="22"/>
        </w:rPr>
        <w:t xml:space="preserve"> </w:t>
      </w:r>
      <w:r w:rsidR="000D08D6" w:rsidRPr="00AA6245">
        <w:rPr>
          <w:rStyle w:val="nfasis"/>
          <w:sz w:val="22"/>
          <w:szCs w:val="22"/>
        </w:rPr>
        <w:t>la afectación que tendría la empresa en su ejercicio comercial, poniendo en riesgo la sostenibilidad de la empresa en su conjunto. Esto podría llevar a que la empresa deba sacrificar ciertas operaciones para poder seguir prestando el servicio, pues los costos no pueden ser cubiertos con los ingresos</w:t>
      </w:r>
      <w:r w:rsidR="000D08D6" w:rsidRPr="00E41ECB">
        <w:rPr>
          <w:rStyle w:val="nfasis"/>
          <w:sz w:val="22"/>
          <w:szCs w:val="22"/>
        </w:rPr>
        <w:t>”</w:t>
      </w:r>
    </w:p>
    <w:p w14:paraId="506A4540" w14:textId="57DE56DF" w:rsidR="0047373B" w:rsidRPr="0047373B" w:rsidRDefault="00B05A3A" w:rsidP="00E41ECB">
      <w:pPr>
        <w:rPr>
          <w:szCs w:val="22"/>
        </w:rPr>
      </w:pPr>
      <w:r>
        <w:rPr>
          <w:bCs/>
        </w:rPr>
        <w:t>Esta</w:t>
      </w:r>
      <w:r w:rsidRPr="0047373B">
        <w:rPr>
          <w:bCs/>
        </w:rPr>
        <w:t xml:space="preserve"> situación particular </w:t>
      </w:r>
      <w:r>
        <w:rPr>
          <w:bCs/>
        </w:rPr>
        <w:t>s</w:t>
      </w:r>
      <w:r w:rsidR="0047373B" w:rsidRPr="0047373B">
        <w:rPr>
          <w:bCs/>
        </w:rPr>
        <w:t xml:space="preserve">e </w:t>
      </w:r>
      <w:r w:rsidR="007160F2" w:rsidRPr="0047373B">
        <w:rPr>
          <w:bCs/>
        </w:rPr>
        <w:t>di</w:t>
      </w:r>
      <w:r w:rsidR="007160F2">
        <w:rPr>
          <w:bCs/>
        </w:rPr>
        <w:t>o</w:t>
      </w:r>
      <w:r w:rsidR="0047373B" w:rsidRPr="0047373B">
        <w:rPr>
          <w:bCs/>
        </w:rPr>
        <w:t xml:space="preserve"> debido a que la empresa no suministró ningún tipo de información ni se hizo partícipe durante el desarrollo de la actuación administrativa </w:t>
      </w:r>
      <w:r w:rsidR="008E034B">
        <w:rPr>
          <w:szCs w:val="22"/>
        </w:rPr>
        <w:t>arriba mencionada,</w:t>
      </w:r>
      <w:r w:rsidR="0047373B" w:rsidRPr="0047373B">
        <w:rPr>
          <w:szCs w:val="22"/>
        </w:rPr>
        <w:t xml:space="preserve"> que culminó en la expedición de la Resolución CREG 219 de 2021.</w:t>
      </w:r>
    </w:p>
    <w:p w14:paraId="76451494" w14:textId="3327E07F" w:rsidR="0047373B" w:rsidRDefault="0047373B" w:rsidP="00E41ECB">
      <w:r w:rsidRPr="0047373B">
        <w:rPr>
          <w:szCs w:val="22"/>
        </w:rPr>
        <w:t xml:space="preserve">Ahora bien, la solicitud de revisión tarifaria </w:t>
      </w:r>
      <w:r w:rsidRPr="0047373B">
        <w:rPr>
          <w:lang w:val="es-ES_tradnl"/>
        </w:rPr>
        <w:t xml:space="preserve">se encuentra procedente y se realiza de mutuo acuerdo por cuánto da cumplimiento al Parágrafo 1 del Artículo 5 de la Resolución CREG 015 de 2018 arriba trascrito, y los nuevos ingresos de EMEESA estarán vigentes a partir de su aprobación.  </w:t>
      </w:r>
    </w:p>
    <w:p w14:paraId="26DE959D" w14:textId="7DC787D7" w:rsidR="0071756B" w:rsidRPr="0071756B" w:rsidRDefault="0060164F" w:rsidP="0071756B">
      <w:r>
        <w:t>Adicionalmente</w:t>
      </w:r>
      <w:r w:rsidR="00344EEF">
        <w:t>,</w:t>
      </w:r>
      <w:r w:rsidR="00AA6245">
        <w:t xml:space="preserve"> en su solicitud</w:t>
      </w:r>
      <w:r w:rsidR="00344EEF">
        <w:t xml:space="preserve"> la empresa señala que: </w:t>
      </w:r>
      <w:r w:rsidR="00344EEF" w:rsidRPr="00E41ECB">
        <w:rPr>
          <w:i/>
          <w:iCs/>
          <w:sz w:val="22"/>
          <w:szCs w:val="22"/>
        </w:rPr>
        <w:t xml:space="preserve">“(…) </w:t>
      </w:r>
      <w:r w:rsidR="00344EEF" w:rsidRPr="001F0434">
        <w:rPr>
          <w:rStyle w:val="nfasis"/>
          <w:sz w:val="22"/>
          <w:szCs w:val="22"/>
        </w:rPr>
        <w:t>la aplicación de la formula tarifaria en la resolución CREG 015 de 2018 para el cálculo de los cargos tarifarios que aplican para el mercado atendido por EMEESA, induce a la inestabilidad de la empresa</w:t>
      </w:r>
      <w:r w:rsidR="009E0662" w:rsidRPr="001F0434">
        <w:rPr>
          <w:rStyle w:val="nfasis"/>
          <w:sz w:val="22"/>
          <w:szCs w:val="22"/>
        </w:rPr>
        <w:t>, ya que dicho resultado</w:t>
      </w:r>
      <w:r w:rsidR="00851D52" w:rsidRPr="001F0434">
        <w:rPr>
          <w:rStyle w:val="nfasis"/>
          <w:sz w:val="22"/>
          <w:szCs w:val="22"/>
        </w:rPr>
        <w:t xml:space="preserve"> (…) expresa que durante el primer</w:t>
      </w:r>
      <w:r w:rsidR="00851D52" w:rsidRPr="009421F1">
        <w:rPr>
          <w:rStyle w:val="nfasis"/>
          <w:sz w:val="22"/>
          <w:szCs w:val="22"/>
        </w:rPr>
        <w:t xml:space="preserve"> año de operación la empresa devolverá el valor total de los posibles ingresos percibidos por su actividad de distribución</w:t>
      </w:r>
      <w:r w:rsidR="00344EEF">
        <w:rPr>
          <w:rStyle w:val="nfasis"/>
          <w:sz w:val="22"/>
          <w:szCs w:val="22"/>
        </w:rPr>
        <w:t>”</w:t>
      </w:r>
      <w:r w:rsidR="00851D52">
        <w:rPr>
          <w:rStyle w:val="nfasis"/>
          <w:sz w:val="22"/>
          <w:szCs w:val="22"/>
        </w:rPr>
        <w:t>.</w:t>
      </w:r>
    </w:p>
    <w:p w14:paraId="5CCB9178" w14:textId="6AB33AEA" w:rsidR="002D74B0" w:rsidRPr="002D74B0" w:rsidRDefault="001F0434" w:rsidP="002D74B0">
      <w:pPr>
        <w:rPr>
          <w:bCs/>
        </w:rPr>
      </w:pPr>
      <w:r>
        <w:t>Al respecto, t</w:t>
      </w:r>
      <w:r w:rsidR="002D74B0">
        <w:t xml:space="preserve">al como se enuncia en el documento soporte D-010-18 de la Resolución CREG 015 de 2018, la definición de esta metodología se sustenta en una serie de estudios y razonamientos que buscan en todo momento respetar los fines primordiales que consagran la Ley 142 de 1994, los criterios a ser </w:t>
      </w:r>
      <w:r w:rsidR="002D74B0">
        <w:lastRenderedPageBreak/>
        <w:t>tenidos en cuenta como son los de eficiencia económica, neutralidad, solidaridad, redistribución, suficiencia financiera, simplicidad y transparencia, y adicionalmente se hace respetando el procedimiento que para la adopción de este tipo de medidas consagra la ley, en donde está garantizada la participación de los agentes y personas interesadas.</w:t>
      </w:r>
    </w:p>
    <w:p w14:paraId="170C8649" w14:textId="3D71D0D6" w:rsidR="00A66135" w:rsidRPr="002D74B0" w:rsidRDefault="002D74B0" w:rsidP="00E41ECB">
      <w:pPr>
        <w:spacing w:after="240"/>
        <w:rPr>
          <w:bCs/>
        </w:rPr>
      </w:pPr>
      <w:r>
        <w:t xml:space="preserve">Así las cosas, esta Comisión puede afirmar que ha cumplido cabalmente no solo con las funciones asignadas por la ley, sino con la aplicación de los principios tarifarios allí definidos tanto para la expedición de la resolución de carácter general que estableció la metodología de distribución de ingresos de energía eléctrica, como para el desarrollo de la actuación administrativa de carácter particular adelantada </w:t>
      </w:r>
      <w:r w:rsidR="00E128B6">
        <w:t>de oficio,</w:t>
      </w:r>
      <w:r w:rsidR="005704DB">
        <w:t xml:space="preserve"> en cumplimiento de lo dispuesto en el parágrafo 1 del artículo 5 de la Resolución CREG 015 de 2018,</w:t>
      </w:r>
      <w:r>
        <w:t xml:space="preserve"> con miras a establecer los ingresos particulares de </w:t>
      </w:r>
      <w:r w:rsidR="00E128B6">
        <w:t>EMEESA</w:t>
      </w:r>
      <w:r>
        <w:t>, garantizando además el debido proceso y derecho a contradicción.</w:t>
      </w:r>
      <w:r w:rsidR="00AF17BC">
        <w:rPr>
          <w:lang w:val="es-ES_tradnl"/>
        </w:rPr>
        <w:t xml:space="preserve"> </w:t>
      </w:r>
    </w:p>
    <w:p w14:paraId="7528A5A0" w14:textId="65AF3B4D" w:rsidR="00511A42" w:rsidRDefault="004269F5" w:rsidP="004B4540">
      <w:pPr>
        <w:pStyle w:val="Prrafodelista"/>
        <w:numPr>
          <w:ilvl w:val="0"/>
          <w:numId w:val="11"/>
        </w:numPr>
        <w:ind w:left="426" w:hanging="426"/>
        <w:rPr>
          <w:b/>
          <w:bCs/>
        </w:rPr>
      </w:pPr>
      <w:r w:rsidRPr="004269F5">
        <w:rPr>
          <w:b/>
          <w:bCs/>
        </w:rPr>
        <w:t>SOLICITUD DE REVISIÓN TARIFARIA</w:t>
      </w:r>
      <w:r w:rsidR="006F4494" w:rsidRPr="004269F5">
        <w:rPr>
          <w:b/>
          <w:bCs/>
        </w:rPr>
        <w:t xml:space="preserve"> </w:t>
      </w:r>
    </w:p>
    <w:p w14:paraId="4B4EA080" w14:textId="3941C18C" w:rsidR="00CA7035" w:rsidRDefault="005C1BC1" w:rsidP="005C1BC1">
      <w:r>
        <w:t xml:space="preserve">EMEESA solicitó </w:t>
      </w:r>
      <w:r w:rsidR="00E04994">
        <w:t xml:space="preserve">ajustar las variables aprobadas en la Resolución CREG 219 de 2021 en </w:t>
      </w:r>
      <w:r w:rsidR="00430EEB">
        <w:t>dos aspectos</w:t>
      </w:r>
      <w:r w:rsidR="00E04994">
        <w:t xml:space="preserve"> principales: </w:t>
      </w:r>
      <w:r w:rsidR="0031090E">
        <w:t xml:space="preserve">i) </w:t>
      </w:r>
      <w:r w:rsidR="00E04994">
        <w:t xml:space="preserve">la base regulatoria de activos </w:t>
      </w:r>
      <w:r w:rsidR="00430EEB">
        <w:t xml:space="preserve">(base </w:t>
      </w:r>
      <w:r w:rsidR="00E04994">
        <w:t>al inicio del periodo tarifario</w:t>
      </w:r>
      <w:r w:rsidR="004721F4">
        <w:t>, inversiones 2018</w:t>
      </w:r>
      <w:r w:rsidR="00430EEB">
        <w:t xml:space="preserve"> e inversiones ejecutadas entre 201</w:t>
      </w:r>
      <w:r w:rsidR="004721F4">
        <w:t>9</w:t>
      </w:r>
      <w:r w:rsidR="00430EEB">
        <w:t xml:space="preserve"> y 2022)</w:t>
      </w:r>
      <w:r w:rsidR="00F93450">
        <w:t xml:space="preserve"> y </w:t>
      </w:r>
      <w:proofErr w:type="spellStart"/>
      <w:r w:rsidR="00F93450">
        <w:t>ii</w:t>
      </w:r>
      <w:proofErr w:type="spellEnd"/>
      <w:r w:rsidR="00F93450">
        <w:t>) ingreso por gastos de AOM.</w:t>
      </w:r>
    </w:p>
    <w:p w14:paraId="53D756CF" w14:textId="498657CC" w:rsidR="00D2136B" w:rsidRDefault="00D2136B" w:rsidP="004B4540">
      <w:pPr>
        <w:pStyle w:val="Prrafodelista"/>
        <w:numPr>
          <w:ilvl w:val="1"/>
          <w:numId w:val="11"/>
        </w:numPr>
        <w:ind w:left="851" w:hanging="425"/>
        <w:rPr>
          <w:b/>
          <w:bCs/>
        </w:rPr>
      </w:pPr>
      <w:r>
        <w:rPr>
          <w:b/>
          <w:bCs/>
        </w:rPr>
        <w:t>Base regulatoria de activos</w:t>
      </w:r>
    </w:p>
    <w:p w14:paraId="4100F3AC" w14:textId="60A3E96C" w:rsidR="008B3A14" w:rsidRDefault="001D3F0D" w:rsidP="00452CAF">
      <w:r>
        <w:t>EMEE</w:t>
      </w:r>
      <w:r w:rsidR="00EC4346">
        <w:t>SA</w:t>
      </w:r>
      <w:r>
        <w:t xml:space="preserve"> solicitó el reconocimiento de </w:t>
      </w:r>
      <w:r w:rsidR="008B3A14">
        <w:t>activos puestos en operación en el periodo de 2008 a 2022 y la actualización</w:t>
      </w:r>
      <w:r w:rsidR="009953C9">
        <w:t xml:space="preserve"> respectiva</w:t>
      </w:r>
      <w:r w:rsidR="008B3A14">
        <w:t xml:space="preserve"> de </w:t>
      </w:r>
      <w:r w:rsidR="009953C9">
        <w:t>su</w:t>
      </w:r>
      <w:r w:rsidR="008B3A14">
        <w:t xml:space="preserve"> base</w:t>
      </w:r>
      <w:r w:rsidR="009953C9">
        <w:t xml:space="preserve"> regulatoria de activos hasta este último año.</w:t>
      </w:r>
    </w:p>
    <w:p w14:paraId="5473D30C" w14:textId="72D731DE" w:rsidR="00C973EF" w:rsidRDefault="00C973EF" w:rsidP="00452CAF">
      <w:r>
        <w:t xml:space="preserve">Al respecto, el tratamiento de la solicitud por parte de la Comisión </w:t>
      </w:r>
      <w:r w:rsidR="00AE12DA">
        <w:t xml:space="preserve">en cumplimiento de la metodología establecida en la Resolución CREG 015 de 2018 </w:t>
      </w:r>
      <w:r>
        <w:t xml:space="preserve">debe separarse </w:t>
      </w:r>
      <w:r w:rsidR="004721F4">
        <w:t xml:space="preserve">en tres partes: i) base </w:t>
      </w:r>
      <w:r w:rsidR="000D1956">
        <w:t xml:space="preserve">regulatoria </w:t>
      </w:r>
      <w:r w:rsidR="00531201">
        <w:t>inicial de activos</w:t>
      </w:r>
      <w:r w:rsidR="000D1956">
        <w:t xml:space="preserve"> (con corte a 2017)</w:t>
      </w:r>
      <w:r w:rsidR="004721F4">
        <w:t xml:space="preserve">, </w:t>
      </w:r>
      <w:proofErr w:type="spellStart"/>
      <w:r w:rsidR="005704DB">
        <w:t>ii</w:t>
      </w:r>
      <w:proofErr w:type="spellEnd"/>
      <w:r w:rsidR="005704DB">
        <w:t xml:space="preserve">) </w:t>
      </w:r>
      <w:r w:rsidR="004721F4">
        <w:t xml:space="preserve">inversiones </w:t>
      </w:r>
      <w:r w:rsidR="000D1956">
        <w:t xml:space="preserve">durante el periodo de transición (año </w:t>
      </w:r>
      <w:r w:rsidR="004721F4">
        <w:t>2018</w:t>
      </w:r>
      <w:r w:rsidR="000D1956">
        <w:t>)</w:t>
      </w:r>
      <w:r w:rsidR="004721F4">
        <w:t xml:space="preserve"> </w:t>
      </w:r>
      <w:r w:rsidR="005704DB">
        <w:t xml:space="preserve">y </w:t>
      </w:r>
      <w:proofErr w:type="spellStart"/>
      <w:r w:rsidR="005704DB">
        <w:t>iii</w:t>
      </w:r>
      <w:proofErr w:type="spellEnd"/>
      <w:r w:rsidR="005704DB">
        <w:t xml:space="preserve">) </w:t>
      </w:r>
      <w:r w:rsidR="004721F4">
        <w:t>inversiones ejecutadas</w:t>
      </w:r>
      <w:r w:rsidR="00D908B4">
        <w:t xml:space="preserve"> durante el periodo tarifario</w:t>
      </w:r>
      <w:r w:rsidR="004721F4">
        <w:t xml:space="preserve"> </w:t>
      </w:r>
      <w:r w:rsidR="00D908B4">
        <w:t>(</w:t>
      </w:r>
      <w:r w:rsidR="004721F4">
        <w:t>2019 y 2022</w:t>
      </w:r>
      <w:r w:rsidR="00D908B4">
        <w:t>).</w:t>
      </w:r>
    </w:p>
    <w:p w14:paraId="352D81F7" w14:textId="47144F0E" w:rsidR="00D908B4" w:rsidRDefault="00D908B4" w:rsidP="004B4540">
      <w:pPr>
        <w:pStyle w:val="Prrafodelista"/>
        <w:numPr>
          <w:ilvl w:val="0"/>
          <w:numId w:val="13"/>
        </w:numPr>
        <w:ind w:left="851" w:hanging="491"/>
      </w:pPr>
      <w:r>
        <w:t xml:space="preserve">Base regulatoria </w:t>
      </w:r>
      <w:r w:rsidR="00531201">
        <w:t>inicial de activos</w:t>
      </w:r>
      <w:r>
        <w:t>.</w:t>
      </w:r>
    </w:p>
    <w:p w14:paraId="6C42CFE6" w14:textId="4C77E444" w:rsidR="008A7912" w:rsidRDefault="00D509B9" w:rsidP="009B75B7">
      <w:r>
        <w:t>L</w:t>
      </w:r>
      <w:r w:rsidR="004412C3">
        <w:t xml:space="preserve">os activos que componen la base </w:t>
      </w:r>
      <w:r w:rsidR="008A7912">
        <w:t>regulatoria inicial de una empresa</w:t>
      </w:r>
      <w:r w:rsidR="004412C3">
        <w:t xml:space="preserve"> se puede</w:t>
      </w:r>
      <w:r>
        <w:t>n</w:t>
      </w:r>
      <w:r w:rsidR="004412C3">
        <w:t xml:space="preserve"> clasificar según su antigüedad como</w:t>
      </w:r>
      <w:r>
        <w:t xml:space="preserve"> tipo de inventario </w:t>
      </w:r>
      <w:r w:rsidR="004412C3">
        <w:t xml:space="preserve">CRI (activos existentes con corte a 2007), CRINR (activos que a diciembre de 2007 se encontraban en </w:t>
      </w:r>
      <w:proofErr w:type="gramStart"/>
      <w:r w:rsidR="004412C3">
        <w:t>operación</w:t>
      </w:r>
      <w:proofErr w:type="gramEnd"/>
      <w:r w:rsidR="004412C3">
        <w:t xml:space="preserve"> pero no habían sido reportados por la empresa)</w:t>
      </w:r>
      <w:r w:rsidR="008A7912">
        <w:t xml:space="preserve">, </w:t>
      </w:r>
      <w:r w:rsidR="004412C3">
        <w:t>CRIN (activos que entraron en operación entre 2008 y 2017)</w:t>
      </w:r>
      <w:r w:rsidR="008A7912">
        <w:t xml:space="preserve"> o CRIFO (activos que salieron de operación entre 2008 y 2017)</w:t>
      </w:r>
      <w:r w:rsidR="004412C3">
        <w:t xml:space="preserve">. </w:t>
      </w:r>
    </w:p>
    <w:p w14:paraId="08B12A1B" w14:textId="74F552AA" w:rsidR="009B75B7" w:rsidRDefault="00C9101C" w:rsidP="009B75B7">
      <w:r>
        <w:t xml:space="preserve">El OR presentó </w:t>
      </w:r>
      <w:r w:rsidR="00101AE7">
        <w:t xml:space="preserve">nueva </w:t>
      </w:r>
      <w:r>
        <w:t xml:space="preserve">información </w:t>
      </w:r>
      <w:r w:rsidR="00FB7C71">
        <w:t xml:space="preserve">de activos clasificados como </w:t>
      </w:r>
      <w:r w:rsidR="00101AE7">
        <w:t>CRIN o CRIFO</w:t>
      </w:r>
      <w:r>
        <w:t xml:space="preserve">, </w:t>
      </w:r>
      <w:r w:rsidR="00534302">
        <w:t>en los formatos establecidos en las circulares CREG 029 y 051 de 2018</w:t>
      </w:r>
      <w:r w:rsidR="008F167F">
        <w:t xml:space="preserve"> para su revisión y aprobación por parte de la Comisión. Estos activos deben contar con el detalle solicitado en los formatos mencionados, y con información georreferenciada que soporte </w:t>
      </w:r>
      <w:r w:rsidR="001417AA">
        <w:t>su lugar de operación.</w:t>
      </w:r>
      <w:r w:rsidR="003C08C0">
        <w:t xml:space="preserve"> </w:t>
      </w:r>
    </w:p>
    <w:p w14:paraId="08F97159" w14:textId="44CB14E8" w:rsidR="00AE12DA" w:rsidRDefault="00AE12DA" w:rsidP="004B4540">
      <w:pPr>
        <w:pStyle w:val="Prrafodelista"/>
        <w:numPr>
          <w:ilvl w:val="0"/>
          <w:numId w:val="13"/>
        </w:numPr>
        <w:ind w:left="851" w:hanging="491"/>
      </w:pPr>
      <w:r>
        <w:lastRenderedPageBreak/>
        <w:t>Inversiones 2018</w:t>
      </w:r>
    </w:p>
    <w:p w14:paraId="0F7C4B51" w14:textId="6F1D4DA2" w:rsidR="00BD539A" w:rsidRDefault="00EC4346" w:rsidP="00BD539A">
      <w:r>
        <w:t>Para EMEESA, el</w:t>
      </w:r>
      <w:r w:rsidR="00BD539A">
        <w:t xml:space="preserve"> año 2018</w:t>
      </w:r>
      <w:r w:rsidR="00965203">
        <w:t xml:space="preserve"> </w:t>
      </w:r>
      <w:r>
        <w:t>corresponde a un</w:t>
      </w:r>
      <w:r w:rsidR="001B5A9B">
        <w:t xml:space="preserve"> </w:t>
      </w:r>
      <w:r w:rsidR="00965203">
        <w:t>periodo de transición de acuerdo con el artículo 6 de la Resolución CREG 015 de 2018</w:t>
      </w:r>
      <w:r>
        <w:t>,</w:t>
      </w:r>
      <w:r w:rsidR="001B5A9B">
        <w:t xml:space="preserve"> </w:t>
      </w:r>
      <w:r>
        <w:t xml:space="preserve">en el cual </w:t>
      </w:r>
      <w:r w:rsidR="001B5A9B">
        <w:t xml:space="preserve">las inversiones realizadas por el OR se pueden reconocer como parte de la base </w:t>
      </w:r>
      <w:r w:rsidR="00D155F4">
        <w:t xml:space="preserve">regulatoria </w:t>
      </w:r>
      <w:r w:rsidR="001B5A9B">
        <w:t>inicial de activos, o como parte de los ingresos del plan de inversi</w:t>
      </w:r>
      <w:r w:rsidR="005704DB">
        <w:t>ones</w:t>
      </w:r>
      <w:r w:rsidR="001B5A9B">
        <w:t xml:space="preserve"> de la </w:t>
      </w:r>
      <w:r w:rsidR="00DD7C0D">
        <w:t>empresa</w:t>
      </w:r>
      <w:r w:rsidR="00B81D52">
        <w:t xml:space="preserve">. El OR solicitó esta última opción </w:t>
      </w:r>
      <w:r w:rsidR="004F40D2">
        <w:t>y reportó la información respectiva también en los formatos establecidos en las</w:t>
      </w:r>
      <w:r w:rsidR="001A001A">
        <w:t xml:space="preserve"> </w:t>
      </w:r>
      <w:r w:rsidR="004F40D2">
        <w:t xml:space="preserve">circulares CREG 029 y 051 de 2018. De la misma manera, </w:t>
      </w:r>
      <w:r w:rsidR="00E11F43">
        <w:t>los activos reportados deben contar con soporte georreferenciado.</w:t>
      </w:r>
      <w:r w:rsidR="00EF56BA">
        <w:tab/>
      </w:r>
    </w:p>
    <w:p w14:paraId="6BC05D25" w14:textId="3306020F" w:rsidR="00AE12DA" w:rsidRDefault="00AE12DA" w:rsidP="004B4540">
      <w:pPr>
        <w:pStyle w:val="Prrafodelista"/>
        <w:numPr>
          <w:ilvl w:val="0"/>
          <w:numId w:val="13"/>
        </w:numPr>
        <w:ind w:left="851" w:hanging="491"/>
      </w:pPr>
      <w:r>
        <w:t>Inversiones 2019 a 2022</w:t>
      </w:r>
    </w:p>
    <w:p w14:paraId="2AC5AAC8" w14:textId="51F2D6EF" w:rsidR="00DB0D26" w:rsidRDefault="00DB0D26" w:rsidP="00452CAF">
      <w:r>
        <w:t xml:space="preserve">Las inversiones realizadas por la empresa </w:t>
      </w:r>
      <w:r w:rsidR="00740059">
        <w:t>durante el periodo tarifario (a partir de 2019 para EMEESA) hacen parte de su plan de inversi</w:t>
      </w:r>
      <w:r w:rsidR="0039269A">
        <w:t>ones</w:t>
      </w:r>
      <w:r w:rsidR="00740059">
        <w:t>. Aunque en la Resolución CREG 219 de 2021 la empresa no tuvo un plan de inversiones aprobado</w:t>
      </w:r>
      <w:r w:rsidR="005019FE">
        <w:t>, las inversiones ejecutadas deben haber sido reportadas por la empresa al LAC para la actualización de la base regulatoria de activos.</w:t>
      </w:r>
    </w:p>
    <w:p w14:paraId="6FD6505F" w14:textId="221BCA47" w:rsidR="0045208F" w:rsidRDefault="00255A2E" w:rsidP="00452CAF">
      <w:r>
        <w:t xml:space="preserve">Dado que </w:t>
      </w:r>
      <w:r w:rsidR="00581BA3">
        <w:t>el conjunto de</w:t>
      </w:r>
      <w:r>
        <w:t xml:space="preserve"> variables utilizadas para </w:t>
      </w:r>
      <w:r w:rsidR="00581BA3">
        <w:t xml:space="preserve">el cálculo de ingresos y cargos que aprueba la Comisión en resolución particular no contempla valores </w:t>
      </w:r>
      <w:r w:rsidR="00EA0AC5">
        <w:t xml:space="preserve">relacionados con inversiones durante el periodo tarifario, </w:t>
      </w:r>
      <w:r w:rsidR="0045208F">
        <w:t xml:space="preserve">la </w:t>
      </w:r>
      <w:r w:rsidR="00EA0AC5">
        <w:t>solicitud de aprobación de inversiones ejecutadas durante los años 20</w:t>
      </w:r>
      <w:r w:rsidR="008045BE">
        <w:t>19</w:t>
      </w:r>
      <w:r w:rsidR="00EA0AC5">
        <w:t xml:space="preserve"> a 2022 </w:t>
      </w:r>
      <w:r w:rsidR="0045208F">
        <w:t xml:space="preserve">se sale del alcance de </w:t>
      </w:r>
      <w:r w:rsidR="001436ED">
        <w:t>la Comisión</w:t>
      </w:r>
      <w:r w:rsidR="00EA0AC5">
        <w:t xml:space="preserve"> en cumplimiento de la metodología vigente</w:t>
      </w:r>
      <w:r w:rsidR="0019737A">
        <w:t>, dado que la Comisión puede</w:t>
      </w:r>
      <w:r w:rsidR="001436ED">
        <w:t xml:space="preserve"> aprobar </w:t>
      </w:r>
      <w:r w:rsidR="001F051A">
        <w:t xml:space="preserve">modificaciones al </w:t>
      </w:r>
      <w:r w:rsidR="001436ED">
        <w:t>plan de inversi</w:t>
      </w:r>
      <w:r w:rsidR="0039269A">
        <w:t>ones</w:t>
      </w:r>
      <w:r w:rsidR="001436ED">
        <w:t xml:space="preserve">, pero no </w:t>
      </w:r>
      <w:r w:rsidR="001A1CDE">
        <w:t xml:space="preserve">inversiones </w:t>
      </w:r>
      <w:r w:rsidR="0019737A">
        <w:t>ya ejecutadas por la empresa</w:t>
      </w:r>
      <w:r w:rsidR="003914FF">
        <w:t xml:space="preserve"> al momento de realizar la solicitud</w:t>
      </w:r>
      <w:r w:rsidR="001A1CDE">
        <w:t xml:space="preserve">. </w:t>
      </w:r>
      <w:r w:rsidR="003914FF">
        <w:t>En este sentido, l</w:t>
      </w:r>
      <w:r w:rsidR="001A1CDE">
        <w:t>as inversiones ejecutadas</w:t>
      </w:r>
      <w:r w:rsidR="003914FF">
        <w:t>, incluso si la empresa no contaba con un plan de inversi</w:t>
      </w:r>
      <w:r w:rsidR="0039269A">
        <w:t>ones</w:t>
      </w:r>
      <w:r w:rsidR="003914FF">
        <w:t xml:space="preserve"> aprobado,</w:t>
      </w:r>
      <w:r w:rsidR="001A1CDE">
        <w:t xml:space="preserve"> deb</w:t>
      </w:r>
      <w:r w:rsidR="00905477">
        <w:t>iero</w:t>
      </w:r>
      <w:r w:rsidR="001A1CDE">
        <w:t>n ser reportadas por la empresa al LAC</w:t>
      </w:r>
      <w:r w:rsidR="00BC5E1E">
        <w:t xml:space="preserve"> para el respectivo ajuste de la base regulatoria de activos del OR</w:t>
      </w:r>
      <w:r w:rsidR="001A1CDE">
        <w:t xml:space="preserve"> y </w:t>
      </w:r>
      <w:r w:rsidR="005A539F">
        <w:t xml:space="preserve">su reconocimiento </w:t>
      </w:r>
      <w:r w:rsidR="001A1CDE">
        <w:t>está sujet</w:t>
      </w:r>
      <w:r w:rsidR="005A539F">
        <w:t>o</w:t>
      </w:r>
      <w:r w:rsidR="001A1CDE">
        <w:t xml:space="preserve"> a </w:t>
      </w:r>
      <w:r w:rsidR="005A539F">
        <w:t xml:space="preserve">las </w:t>
      </w:r>
      <w:r w:rsidR="001A1CDE">
        <w:t>verificaci</w:t>
      </w:r>
      <w:r w:rsidR="005A539F">
        <w:t>ones que se lleven a cabo</w:t>
      </w:r>
      <w:r w:rsidR="001A1CDE">
        <w:t xml:space="preserve"> por parte de </w:t>
      </w:r>
      <w:r w:rsidR="00DC10F9">
        <w:t>los organismos respectivos y de acuerdo con las reglas establecidas en la</w:t>
      </w:r>
      <w:r w:rsidR="00812E31">
        <w:t>s</w:t>
      </w:r>
      <w:r w:rsidR="00DC10F9">
        <w:t xml:space="preserve"> </w:t>
      </w:r>
      <w:r w:rsidR="00812E31">
        <w:t>r</w:t>
      </w:r>
      <w:r w:rsidR="00DC10F9">
        <w:t>esoluci</w:t>
      </w:r>
      <w:r w:rsidR="00812E31">
        <w:t>ones</w:t>
      </w:r>
      <w:r w:rsidR="00DC10F9">
        <w:t xml:space="preserve"> CREG</w:t>
      </w:r>
      <w:r w:rsidR="00812E31">
        <w:t xml:space="preserve"> 015 de 2018,</w:t>
      </w:r>
      <w:r w:rsidR="00DC10F9">
        <w:t xml:space="preserve"> 101 022 de 2022</w:t>
      </w:r>
      <w:r w:rsidR="00905477">
        <w:t xml:space="preserve"> </w:t>
      </w:r>
      <w:r w:rsidR="00DC10F9">
        <w:t xml:space="preserve">y aquellas que </w:t>
      </w:r>
      <w:r w:rsidR="00452CAF">
        <w:t>la modifiquen o sustituyan.</w:t>
      </w:r>
    </w:p>
    <w:p w14:paraId="0354D9BB" w14:textId="1F2BD66B" w:rsidR="002356F5" w:rsidRDefault="002356F5" w:rsidP="00452CAF">
      <w:r>
        <w:t>De esta manera, no es posible realizar la aprobación de las inversiones del OR ejecutadas entre 20</w:t>
      </w:r>
      <w:r w:rsidR="008045BE">
        <w:t xml:space="preserve">19 </w:t>
      </w:r>
      <w:r w:rsidR="0039269A">
        <w:t xml:space="preserve">y </w:t>
      </w:r>
      <w:r w:rsidR="008045BE">
        <w:t>2022</w:t>
      </w:r>
      <w:r w:rsidR="00BB31BF">
        <w:t xml:space="preserve"> y no se analizan dentro de la presente actuación.</w:t>
      </w:r>
    </w:p>
    <w:p w14:paraId="75E4C607" w14:textId="77777777" w:rsidR="00DB73B8" w:rsidRDefault="00DB73B8" w:rsidP="00452CAF"/>
    <w:p w14:paraId="2884C61E" w14:textId="77777777" w:rsidR="00DB73B8" w:rsidRDefault="00DB73B8" w:rsidP="00E41ECB">
      <w:pPr>
        <w:keepNext/>
        <w:spacing w:after="0"/>
        <w:jc w:val="center"/>
      </w:pPr>
      <w:r w:rsidRPr="00490C03">
        <w:rPr>
          <w:b/>
          <w:bCs/>
          <w:noProof/>
        </w:rPr>
        <w:lastRenderedPageBreak/>
        <w:drawing>
          <wp:inline distT="0" distB="0" distL="0" distR="0" wp14:anchorId="0F7B85CF" wp14:editId="10C8FFCA">
            <wp:extent cx="4884516" cy="2870880"/>
            <wp:effectExtent l="0" t="0" r="0" b="5715"/>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schematic&#10;&#10;Description automatically generated"/>
                    <pic:cNvPicPr/>
                  </pic:nvPicPr>
                  <pic:blipFill>
                    <a:blip r:embed="rId15"/>
                    <a:stretch>
                      <a:fillRect/>
                    </a:stretch>
                  </pic:blipFill>
                  <pic:spPr>
                    <a:xfrm>
                      <a:off x="0" y="0"/>
                      <a:ext cx="4914340" cy="2888409"/>
                    </a:xfrm>
                    <a:prstGeom prst="rect">
                      <a:avLst/>
                    </a:prstGeom>
                  </pic:spPr>
                </pic:pic>
              </a:graphicData>
            </a:graphic>
          </wp:inline>
        </w:drawing>
      </w:r>
    </w:p>
    <w:p w14:paraId="08B128EB" w14:textId="1C98E158" w:rsidR="00DB73B8" w:rsidRPr="00697394" w:rsidRDefault="00DB73B8" w:rsidP="00E41ECB">
      <w:pPr>
        <w:pStyle w:val="Descripcin"/>
        <w:spacing w:before="0" w:after="240"/>
        <w:rPr>
          <w:sz w:val="18"/>
          <w:szCs w:val="18"/>
          <w:lang w:val="pt-PT"/>
        </w:rPr>
      </w:pPr>
      <w:bookmarkStart w:id="3" w:name="_Ref128916884"/>
      <w:r w:rsidRPr="00697394">
        <w:rPr>
          <w:sz w:val="18"/>
          <w:szCs w:val="18"/>
          <w:lang w:val="pt-PT"/>
        </w:rPr>
        <w:t xml:space="preserve">Figura </w:t>
      </w:r>
      <w:r w:rsidRPr="00697394">
        <w:rPr>
          <w:sz w:val="18"/>
          <w:szCs w:val="18"/>
        </w:rPr>
        <w:fldChar w:fldCharType="begin"/>
      </w:r>
      <w:r w:rsidRPr="00697394">
        <w:rPr>
          <w:sz w:val="18"/>
          <w:szCs w:val="18"/>
          <w:lang w:val="pt-PT"/>
        </w:rPr>
        <w:instrText xml:space="preserve"> SEQ Figura \* ARABIC </w:instrText>
      </w:r>
      <w:r w:rsidRPr="00697394">
        <w:rPr>
          <w:sz w:val="18"/>
          <w:szCs w:val="18"/>
        </w:rPr>
        <w:fldChar w:fldCharType="separate"/>
      </w:r>
      <w:r w:rsidR="00555F38">
        <w:rPr>
          <w:noProof/>
          <w:sz w:val="18"/>
          <w:szCs w:val="18"/>
          <w:lang w:val="pt-PT"/>
        </w:rPr>
        <w:t>1</w:t>
      </w:r>
      <w:r w:rsidRPr="00697394">
        <w:rPr>
          <w:sz w:val="18"/>
          <w:szCs w:val="18"/>
        </w:rPr>
        <w:fldChar w:fldCharType="end"/>
      </w:r>
      <w:bookmarkEnd w:id="3"/>
      <w:r w:rsidRPr="00697394">
        <w:rPr>
          <w:sz w:val="18"/>
          <w:szCs w:val="18"/>
          <w:lang w:val="pt-PT"/>
        </w:rPr>
        <w:t xml:space="preserve"> Diagrama unifilar presentado por EMEESA</w:t>
      </w:r>
    </w:p>
    <w:p w14:paraId="51A9AAD0" w14:textId="3604B59D" w:rsidR="006F4132" w:rsidRDefault="006F4132" w:rsidP="004B4540">
      <w:pPr>
        <w:pStyle w:val="Prrafodelista"/>
        <w:numPr>
          <w:ilvl w:val="2"/>
          <w:numId w:val="11"/>
        </w:numPr>
        <w:rPr>
          <w:b/>
          <w:bCs/>
        </w:rPr>
      </w:pPr>
      <w:r>
        <w:rPr>
          <w:b/>
          <w:bCs/>
        </w:rPr>
        <w:t>Revisión de la información reportada</w:t>
      </w:r>
    </w:p>
    <w:p w14:paraId="346532B9" w14:textId="5D6B9941" w:rsidR="00EC10EE" w:rsidRDefault="00A345B3" w:rsidP="00A345B3">
      <w:r>
        <w:t>Se realizaron revisiones de la información</w:t>
      </w:r>
      <w:r w:rsidR="00B83F1E">
        <w:t xml:space="preserve"> reportada por EMEESA en los formatos establecidos en las circulares CREG 029 y 051 de 2018 para los años 2008 a 2018</w:t>
      </w:r>
      <w:r w:rsidR="009D720E">
        <w:t xml:space="preserve"> (base regulatoria inicial de activos e inversiones 2018)</w:t>
      </w:r>
      <w:r w:rsidR="00B83F1E">
        <w:t>, incluyendo aspectos de forma</w:t>
      </w:r>
      <w:r w:rsidR="00337BC3">
        <w:t xml:space="preserve">, consistencia de los datos reportados, comparación de cantidades de UC contra el diagrama unifilar </w:t>
      </w:r>
      <w:r w:rsidR="00697394">
        <w:t>presentado por la empresa (</w:t>
      </w:r>
      <w:r w:rsidR="00697394" w:rsidRPr="00697394">
        <w:t xml:space="preserve">ver </w:t>
      </w:r>
      <w:r w:rsidR="00697394" w:rsidRPr="00697394">
        <w:fldChar w:fldCharType="begin"/>
      </w:r>
      <w:r w:rsidR="00697394" w:rsidRPr="00697394">
        <w:instrText xml:space="preserve"> REF _Ref128916884 \h </w:instrText>
      </w:r>
      <w:r w:rsidR="00697394">
        <w:instrText xml:space="preserve"> \* MERGEFORMAT </w:instrText>
      </w:r>
      <w:r w:rsidR="00697394" w:rsidRPr="00697394">
        <w:fldChar w:fldCharType="separate"/>
      </w:r>
      <w:r w:rsidR="00555F38" w:rsidRPr="00555F38">
        <w:rPr>
          <w:lang w:val="es-CO"/>
        </w:rPr>
        <w:t xml:space="preserve">Figura </w:t>
      </w:r>
      <w:r w:rsidR="00555F38" w:rsidRPr="00555F38">
        <w:rPr>
          <w:noProof/>
          <w:lang w:val="es-CO"/>
        </w:rPr>
        <w:t>1</w:t>
      </w:r>
      <w:r w:rsidR="00697394" w:rsidRPr="00697394">
        <w:fldChar w:fldCharType="end"/>
      </w:r>
      <w:r w:rsidR="00697394">
        <w:t>)</w:t>
      </w:r>
      <w:r w:rsidR="009C7B85">
        <w:t xml:space="preserve">, </w:t>
      </w:r>
      <w:r w:rsidR="00533E3A">
        <w:t>clasificación</w:t>
      </w:r>
      <w:r w:rsidR="00BD06AC">
        <w:t xml:space="preserve"> de activos </w:t>
      </w:r>
      <w:r w:rsidR="00533E3A">
        <w:t>de uso o de conexión en la información presentada por el OR</w:t>
      </w:r>
      <w:r w:rsidR="00DB73B8">
        <w:t>, y se realizaron los ajustes correspondientes en el inventario presentado por la empresa</w:t>
      </w:r>
      <w:r w:rsidR="00EC10EE">
        <w:t>.</w:t>
      </w:r>
    </w:p>
    <w:p w14:paraId="34A43D59" w14:textId="5514DEE3" w:rsidR="007B73AA" w:rsidRDefault="00906137" w:rsidP="00A345B3">
      <w:r>
        <w:t>E</w:t>
      </w:r>
      <w:r w:rsidR="00AD4B7F">
        <w:t xml:space="preserve">n </w:t>
      </w:r>
      <w:r w:rsidR="002E2945">
        <w:t xml:space="preserve">relación con la clasificación de activos por tipo de uso, cabe recordar que </w:t>
      </w:r>
      <w:r w:rsidR="00AD4B7F">
        <w:t>e</w:t>
      </w:r>
      <w:r>
        <w:t xml:space="preserve">l </w:t>
      </w:r>
      <w:r w:rsidR="00AD4B7F">
        <w:t>artículo 3 de la Resolución CREG 015 de 2018 se define:</w:t>
      </w:r>
    </w:p>
    <w:p w14:paraId="3E6F6D55" w14:textId="214585D7" w:rsidR="00AD4B7F" w:rsidRPr="00051B6F" w:rsidRDefault="00051B6F" w:rsidP="00051B6F">
      <w:pPr>
        <w:ind w:left="708"/>
        <w:rPr>
          <w:rStyle w:val="nfasis"/>
        </w:rPr>
      </w:pPr>
      <w:r w:rsidRPr="00051B6F">
        <w:rPr>
          <w:rStyle w:val="nfasis"/>
          <w:b/>
          <w:bCs/>
        </w:rPr>
        <w:t>Activos de uso de STR y SDL:</w:t>
      </w:r>
      <w:r w:rsidRPr="00051B6F">
        <w:rPr>
          <w:rStyle w:val="nfasis"/>
        </w:rPr>
        <w:t xml:space="preserve"> son aquellos activos de transporte de electricidad que operan a tensiones inferiores a 220 kV que son </w:t>
      </w:r>
      <w:r w:rsidRPr="00051B6F">
        <w:rPr>
          <w:rStyle w:val="nfasis"/>
          <w:u w:val="single"/>
        </w:rPr>
        <w:t>utilizados por más de un usuario</w:t>
      </w:r>
      <w:r w:rsidRPr="00051B6F">
        <w:rPr>
          <w:rStyle w:val="nfasis"/>
        </w:rPr>
        <w:t xml:space="preserve"> y son remunerados mediante cargos por uso de STR o SDL.</w:t>
      </w:r>
      <w:r>
        <w:rPr>
          <w:rStyle w:val="nfasis"/>
        </w:rPr>
        <w:t xml:space="preserve"> (subrayado fuera de texto)</w:t>
      </w:r>
    </w:p>
    <w:p w14:paraId="6FD35D3B" w14:textId="22106AF9" w:rsidR="007B73AA" w:rsidRDefault="002E2945" w:rsidP="00A345B3">
      <w:r>
        <w:t>De tal manera que cualquier activo</w:t>
      </w:r>
      <w:r w:rsidR="00394C17">
        <w:t xml:space="preserve"> que opere a menos de 220 kV y sea utilizado por más de un usuario se considera activo de uso y por consiguiente es remunerado mediante tarifa.</w:t>
      </w:r>
    </w:p>
    <w:p w14:paraId="6ED2A011" w14:textId="6FCD8B6E" w:rsidR="001E58DD" w:rsidRDefault="00EC5880" w:rsidP="00A345B3">
      <w:r>
        <w:t>En este sentido, para el circuito de nivel 3 con IUL 0001</w:t>
      </w:r>
      <w:r w:rsidR="00E418FA">
        <w:t xml:space="preserve"> (entre las subestaciones Tulcán y Alameda)</w:t>
      </w:r>
      <w:r w:rsidR="005B36C3">
        <w:t xml:space="preserve"> se venía reconociendo un 20% de su valor</w:t>
      </w:r>
      <w:r w:rsidR="00F51329">
        <w:t xml:space="preserve">, dado que el OR </w:t>
      </w:r>
      <w:r w:rsidR="00964FFA">
        <w:t>manifestó</w:t>
      </w:r>
      <w:r w:rsidR="00F51329">
        <w:t xml:space="preserve"> </w:t>
      </w:r>
      <w:r w:rsidR="007D14CA">
        <w:t>durante</w:t>
      </w:r>
      <w:r w:rsidR="00F51329">
        <w:t xml:space="preserve"> la actuación adelantada con base en la metodología de la Resolución CREG 097 de 2008</w:t>
      </w:r>
      <w:r w:rsidR="008E594A">
        <w:t xml:space="preserve"> que resultó en la expedición de la Resolución CREG 119 de 2009</w:t>
      </w:r>
      <w:r w:rsidR="00964FFA">
        <w:t>,</w:t>
      </w:r>
      <w:r w:rsidR="00F51329">
        <w:t xml:space="preserve"> que dicho activo tenía un uso compartido </w:t>
      </w:r>
      <w:r w:rsidR="00E4040A">
        <w:t>entre atención de demanda de usuarios y evacuación de energía generada hacia otros sistemas.</w:t>
      </w:r>
    </w:p>
    <w:p w14:paraId="32A3244A" w14:textId="37BE355B" w:rsidR="00E4040A" w:rsidRDefault="00964FFA" w:rsidP="00A345B3">
      <w:r>
        <w:t>Como parte</w:t>
      </w:r>
      <w:r w:rsidR="00F6753D">
        <w:t xml:space="preserve"> de la presente solicitud, </w:t>
      </w:r>
      <w:r w:rsidR="00734FB8">
        <w:t>el OR solicitó un reconocimiento del 100% del valor de dicho circuito</w:t>
      </w:r>
      <w:r w:rsidR="0043648E">
        <w:t xml:space="preserve">. Dado que, como se observa en el diagrama unifilar </w:t>
      </w:r>
      <w:r w:rsidR="0043648E">
        <w:lastRenderedPageBreak/>
        <w:t>del OR</w:t>
      </w:r>
      <w:r w:rsidR="00693527">
        <w:t xml:space="preserve"> y en el mapa de las redes </w:t>
      </w:r>
      <w:r w:rsidR="00693527" w:rsidRPr="00693527">
        <w:t>del OR</w:t>
      </w:r>
      <w:r w:rsidR="0043648E" w:rsidRPr="00693527">
        <w:t xml:space="preserve"> (ver </w:t>
      </w:r>
      <w:r w:rsidR="0043648E" w:rsidRPr="00693527">
        <w:fldChar w:fldCharType="begin"/>
      </w:r>
      <w:r w:rsidR="0043648E" w:rsidRPr="00693527">
        <w:instrText xml:space="preserve"> REF _Ref128916884 \h  \* MERGEFORMAT </w:instrText>
      </w:r>
      <w:r w:rsidR="0043648E" w:rsidRPr="00693527">
        <w:fldChar w:fldCharType="separate"/>
      </w:r>
      <w:r w:rsidR="00555F38" w:rsidRPr="00555F38">
        <w:rPr>
          <w:lang w:val="es-CO"/>
        </w:rPr>
        <w:t xml:space="preserve">Figura </w:t>
      </w:r>
      <w:r w:rsidR="00555F38" w:rsidRPr="00555F38">
        <w:rPr>
          <w:noProof/>
          <w:lang w:val="es-CO"/>
        </w:rPr>
        <w:t>1</w:t>
      </w:r>
      <w:r w:rsidR="0043648E" w:rsidRPr="00693527">
        <w:fldChar w:fldCharType="end"/>
      </w:r>
      <w:r w:rsidR="00693527" w:rsidRPr="00693527">
        <w:t xml:space="preserve"> y </w:t>
      </w:r>
      <w:r w:rsidR="00693527" w:rsidRPr="00693527">
        <w:fldChar w:fldCharType="begin"/>
      </w:r>
      <w:r w:rsidR="00693527" w:rsidRPr="00693527">
        <w:instrText xml:space="preserve"> REF _Ref128928817 \h  \* MERGEFORMAT </w:instrText>
      </w:r>
      <w:r w:rsidR="00693527" w:rsidRPr="00693527">
        <w:fldChar w:fldCharType="separate"/>
      </w:r>
      <w:r w:rsidR="00555F38" w:rsidRPr="00555F38">
        <w:t xml:space="preserve">Figura </w:t>
      </w:r>
      <w:r w:rsidR="00555F38" w:rsidRPr="00555F38">
        <w:rPr>
          <w:noProof/>
        </w:rPr>
        <w:t>2</w:t>
      </w:r>
      <w:r w:rsidR="00693527" w:rsidRPr="00693527">
        <w:fldChar w:fldCharType="end"/>
      </w:r>
      <w:r w:rsidR="0043648E" w:rsidRPr="00693527">
        <w:t>)</w:t>
      </w:r>
      <w:r w:rsidR="00F07D6B" w:rsidRPr="00693527">
        <w:t>,</w:t>
      </w:r>
      <w:r w:rsidR="0043648E" w:rsidRPr="00693527">
        <w:t xml:space="preserve"> </w:t>
      </w:r>
      <w:r w:rsidR="00F07D6B" w:rsidRPr="00693527">
        <w:t>el circuito</w:t>
      </w:r>
      <w:r w:rsidR="00F07D6B">
        <w:t xml:space="preserve"> con IUL 0001 es utilizado para atender a más de un usuario</w:t>
      </w:r>
      <w:r w:rsidR="00E10B4C">
        <w:t>, este se clasifica como activo de uso</w:t>
      </w:r>
      <w:r w:rsidR="00396602">
        <w:t xml:space="preserve"> y es procedente su remuneración mediante cargos por uso.</w:t>
      </w:r>
      <w:r w:rsidR="00B444CD">
        <w:tab/>
      </w:r>
    </w:p>
    <w:p w14:paraId="37122DBD" w14:textId="291FBCD8" w:rsidR="006F4132" w:rsidRDefault="006F4132" w:rsidP="004B4540">
      <w:pPr>
        <w:pStyle w:val="Prrafodelista"/>
        <w:numPr>
          <w:ilvl w:val="2"/>
          <w:numId w:val="11"/>
        </w:numPr>
        <w:rPr>
          <w:b/>
          <w:bCs/>
        </w:rPr>
      </w:pPr>
      <w:r>
        <w:rPr>
          <w:b/>
          <w:bCs/>
        </w:rPr>
        <w:t>Soporte de información georreferenciada</w:t>
      </w:r>
    </w:p>
    <w:p w14:paraId="78691CAC" w14:textId="46B48054" w:rsidR="00FD167E" w:rsidRDefault="00FD167E" w:rsidP="00FD167E">
      <w:r>
        <w:t xml:space="preserve">El OR entregó información georreferenciada </w:t>
      </w:r>
      <w:r w:rsidR="00690FFC">
        <w:t>como se muestra en la siguiente tabla:</w:t>
      </w:r>
    </w:p>
    <w:p w14:paraId="3EA2F00A" w14:textId="4306CE70" w:rsidR="00407AF6" w:rsidRPr="00407AF6" w:rsidRDefault="00407AF6" w:rsidP="00407AF6">
      <w:pPr>
        <w:pStyle w:val="Descripcin"/>
        <w:rPr>
          <w:sz w:val="18"/>
          <w:szCs w:val="18"/>
        </w:rPr>
      </w:pPr>
      <w:r w:rsidRPr="00407AF6">
        <w:rPr>
          <w:sz w:val="18"/>
          <w:szCs w:val="18"/>
        </w:rPr>
        <w:t xml:space="preserve">Tabla </w:t>
      </w:r>
      <w:r w:rsidRPr="00407AF6">
        <w:rPr>
          <w:sz w:val="18"/>
          <w:szCs w:val="18"/>
        </w:rPr>
        <w:fldChar w:fldCharType="begin"/>
      </w:r>
      <w:r w:rsidRPr="00407AF6">
        <w:rPr>
          <w:sz w:val="18"/>
          <w:szCs w:val="18"/>
        </w:rPr>
        <w:instrText xml:space="preserve"> SEQ Tabla \* ARABIC </w:instrText>
      </w:r>
      <w:r w:rsidRPr="00407AF6">
        <w:rPr>
          <w:sz w:val="18"/>
          <w:szCs w:val="18"/>
        </w:rPr>
        <w:fldChar w:fldCharType="separate"/>
      </w:r>
      <w:r w:rsidR="00555F38">
        <w:rPr>
          <w:noProof/>
          <w:sz w:val="18"/>
          <w:szCs w:val="18"/>
        </w:rPr>
        <w:t>1</w:t>
      </w:r>
      <w:r w:rsidRPr="00407AF6">
        <w:rPr>
          <w:sz w:val="18"/>
          <w:szCs w:val="18"/>
        </w:rPr>
        <w:fldChar w:fldCharType="end"/>
      </w:r>
      <w:r w:rsidRPr="00407AF6">
        <w:rPr>
          <w:sz w:val="18"/>
          <w:szCs w:val="18"/>
        </w:rPr>
        <w:t xml:space="preserve"> Información georreferenciada relevante entregada por el OR</w:t>
      </w:r>
    </w:p>
    <w:tbl>
      <w:tblPr>
        <w:tblW w:w="4940" w:type="dxa"/>
        <w:jc w:val="center"/>
        <w:tblCellMar>
          <w:left w:w="70" w:type="dxa"/>
          <w:right w:w="70" w:type="dxa"/>
        </w:tblCellMar>
        <w:tblLook w:val="04A0" w:firstRow="1" w:lastRow="0" w:firstColumn="1" w:lastColumn="0" w:noHBand="0" w:noVBand="1"/>
      </w:tblPr>
      <w:tblGrid>
        <w:gridCol w:w="2120"/>
        <w:gridCol w:w="2820"/>
      </w:tblGrid>
      <w:tr w:rsidR="00407AF6" w:rsidRPr="00407AF6" w14:paraId="6CEBE6D2" w14:textId="77777777" w:rsidTr="00407AF6">
        <w:trPr>
          <w:trHeight w:val="250"/>
          <w:jc w:val="center"/>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C94AC" w14:textId="77777777" w:rsidR="00407AF6" w:rsidRPr="00407AF6" w:rsidRDefault="00407AF6" w:rsidP="00407AF6">
            <w:pPr>
              <w:spacing w:before="0" w:after="0"/>
              <w:jc w:val="center"/>
              <w:rPr>
                <w:rFonts w:cs="Arial"/>
                <w:b/>
                <w:bCs/>
                <w:sz w:val="18"/>
                <w:szCs w:val="18"/>
                <w:lang w:val="es-CO" w:eastAsia="es-CO"/>
              </w:rPr>
            </w:pPr>
            <w:r w:rsidRPr="00407AF6">
              <w:rPr>
                <w:rFonts w:cs="Arial"/>
                <w:b/>
                <w:bCs/>
                <w:sz w:val="18"/>
                <w:szCs w:val="18"/>
                <w:lang w:val="es-CO" w:eastAsia="es-CO"/>
              </w:rPr>
              <w:t xml:space="preserve">Periodo información </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14:paraId="4DC07F99" w14:textId="77777777" w:rsidR="00407AF6" w:rsidRPr="00407AF6" w:rsidRDefault="00407AF6" w:rsidP="00407AF6">
            <w:pPr>
              <w:spacing w:before="0" w:after="0"/>
              <w:jc w:val="center"/>
              <w:rPr>
                <w:rFonts w:cs="Arial"/>
                <w:b/>
                <w:bCs/>
                <w:sz w:val="18"/>
                <w:szCs w:val="18"/>
                <w:lang w:val="es-CO" w:eastAsia="es-CO"/>
              </w:rPr>
            </w:pPr>
            <w:r w:rsidRPr="00407AF6">
              <w:rPr>
                <w:rFonts w:cs="Arial"/>
                <w:b/>
                <w:bCs/>
                <w:sz w:val="18"/>
                <w:szCs w:val="18"/>
                <w:lang w:val="es-CO" w:eastAsia="es-CO"/>
              </w:rPr>
              <w:t>Tipo de UC</w:t>
            </w:r>
          </w:p>
        </w:tc>
      </w:tr>
      <w:tr w:rsidR="00407AF6" w:rsidRPr="00407AF6" w14:paraId="6EA7E5B7" w14:textId="77777777" w:rsidTr="00407AF6">
        <w:trPr>
          <w:trHeight w:val="250"/>
          <w:jc w:val="center"/>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3103091D" w14:textId="77777777" w:rsidR="00407AF6" w:rsidRPr="00407AF6" w:rsidRDefault="00407AF6" w:rsidP="00407AF6">
            <w:pPr>
              <w:spacing w:before="0" w:after="0"/>
              <w:jc w:val="center"/>
              <w:rPr>
                <w:rFonts w:cs="Arial"/>
                <w:sz w:val="18"/>
                <w:szCs w:val="18"/>
                <w:lang w:val="es-CO" w:eastAsia="es-CO"/>
              </w:rPr>
            </w:pPr>
            <w:r w:rsidRPr="00407AF6">
              <w:rPr>
                <w:rFonts w:cs="Arial"/>
                <w:sz w:val="18"/>
                <w:szCs w:val="18"/>
                <w:lang w:val="es-CO" w:eastAsia="es-CO"/>
              </w:rPr>
              <w:t>2008-2018</w:t>
            </w:r>
          </w:p>
        </w:tc>
        <w:tc>
          <w:tcPr>
            <w:tcW w:w="2820" w:type="dxa"/>
            <w:tcBorders>
              <w:top w:val="nil"/>
              <w:left w:val="nil"/>
              <w:bottom w:val="single" w:sz="4" w:space="0" w:color="auto"/>
              <w:right w:val="single" w:sz="4" w:space="0" w:color="auto"/>
            </w:tcBorders>
            <w:shd w:val="clear" w:color="auto" w:fill="auto"/>
            <w:noWrap/>
            <w:vAlign w:val="bottom"/>
            <w:hideMark/>
          </w:tcPr>
          <w:p w14:paraId="5C817D11" w14:textId="77777777" w:rsidR="00407AF6" w:rsidRPr="00407AF6" w:rsidRDefault="00407AF6" w:rsidP="00407AF6">
            <w:pPr>
              <w:spacing w:before="0" w:after="0"/>
              <w:jc w:val="left"/>
              <w:rPr>
                <w:rFonts w:cs="Arial"/>
                <w:sz w:val="18"/>
                <w:szCs w:val="18"/>
                <w:lang w:val="es-CO" w:eastAsia="es-CO"/>
              </w:rPr>
            </w:pPr>
            <w:r w:rsidRPr="00407AF6">
              <w:rPr>
                <w:rFonts w:cs="Arial"/>
                <w:sz w:val="18"/>
                <w:szCs w:val="18"/>
                <w:lang w:val="es-CO" w:eastAsia="es-CO"/>
              </w:rPr>
              <w:t>Líneas nivel 2 y 3</w:t>
            </w:r>
          </w:p>
        </w:tc>
      </w:tr>
      <w:tr w:rsidR="00407AF6" w:rsidRPr="00407AF6" w14:paraId="50D133FD" w14:textId="77777777" w:rsidTr="00407AF6">
        <w:trPr>
          <w:trHeight w:val="250"/>
          <w:jc w:val="center"/>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3A2496F1" w14:textId="77777777" w:rsidR="00407AF6" w:rsidRPr="00407AF6" w:rsidRDefault="00407AF6" w:rsidP="00407AF6">
            <w:pPr>
              <w:spacing w:before="0" w:after="0"/>
              <w:jc w:val="center"/>
              <w:rPr>
                <w:rFonts w:cs="Arial"/>
                <w:sz w:val="18"/>
                <w:szCs w:val="18"/>
                <w:lang w:val="es-CO" w:eastAsia="es-CO"/>
              </w:rPr>
            </w:pPr>
            <w:r w:rsidRPr="00407AF6">
              <w:rPr>
                <w:rFonts w:cs="Arial"/>
                <w:sz w:val="18"/>
                <w:szCs w:val="18"/>
                <w:lang w:val="es-CO" w:eastAsia="es-CO"/>
              </w:rPr>
              <w:t>2008-2018</w:t>
            </w:r>
          </w:p>
        </w:tc>
        <w:tc>
          <w:tcPr>
            <w:tcW w:w="2820" w:type="dxa"/>
            <w:tcBorders>
              <w:top w:val="nil"/>
              <w:left w:val="nil"/>
              <w:bottom w:val="single" w:sz="4" w:space="0" w:color="auto"/>
              <w:right w:val="single" w:sz="4" w:space="0" w:color="auto"/>
            </w:tcBorders>
            <w:shd w:val="clear" w:color="auto" w:fill="auto"/>
            <w:noWrap/>
            <w:vAlign w:val="bottom"/>
            <w:hideMark/>
          </w:tcPr>
          <w:p w14:paraId="28BF5FF6" w14:textId="77777777" w:rsidR="00407AF6" w:rsidRPr="00407AF6" w:rsidRDefault="00407AF6" w:rsidP="00407AF6">
            <w:pPr>
              <w:spacing w:before="0" w:after="0"/>
              <w:jc w:val="left"/>
              <w:rPr>
                <w:rFonts w:cs="Arial"/>
                <w:sz w:val="18"/>
                <w:szCs w:val="18"/>
                <w:lang w:val="es-CO" w:eastAsia="es-CO"/>
              </w:rPr>
            </w:pPr>
            <w:r w:rsidRPr="00407AF6">
              <w:rPr>
                <w:rFonts w:cs="Arial"/>
                <w:sz w:val="18"/>
                <w:szCs w:val="18"/>
                <w:lang w:val="es-CO" w:eastAsia="es-CO"/>
              </w:rPr>
              <w:t>Equipos de líneas</w:t>
            </w:r>
          </w:p>
        </w:tc>
      </w:tr>
      <w:tr w:rsidR="00407AF6" w:rsidRPr="00407AF6" w14:paraId="43ADC5CE" w14:textId="77777777" w:rsidTr="00407AF6">
        <w:trPr>
          <w:trHeight w:val="250"/>
          <w:jc w:val="center"/>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04C43FAA" w14:textId="77777777" w:rsidR="00407AF6" w:rsidRPr="00407AF6" w:rsidRDefault="00407AF6" w:rsidP="00407AF6">
            <w:pPr>
              <w:spacing w:before="0" w:after="0"/>
              <w:jc w:val="center"/>
              <w:rPr>
                <w:rFonts w:cs="Arial"/>
                <w:sz w:val="18"/>
                <w:szCs w:val="18"/>
                <w:lang w:val="es-CO" w:eastAsia="es-CO"/>
              </w:rPr>
            </w:pPr>
            <w:r w:rsidRPr="00407AF6">
              <w:rPr>
                <w:rFonts w:cs="Arial"/>
                <w:sz w:val="18"/>
                <w:szCs w:val="18"/>
                <w:lang w:val="es-CO" w:eastAsia="es-CO"/>
              </w:rPr>
              <w:t>2018</w:t>
            </w:r>
          </w:p>
        </w:tc>
        <w:tc>
          <w:tcPr>
            <w:tcW w:w="2820" w:type="dxa"/>
            <w:tcBorders>
              <w:top w:val="nil"/>
              <w:left w:val="nil"/>
              <w:bottom w:val="single" w:sz="4" w:space="0" w:color="auto"/>
              <w:right w:val="single" w:sz="4" w:space="0" w:color="auto"/>
            </w:tcBorders>
            <w:shd w:val="clear" w:color="auto" w:fill="auto"/>
            <w:noWrap/>
            <w:vAlign w:val="bottom"/>
            <w:hideMark/>
          </w:tcPr>
          <w:p w14:paraId="77CB0C8F" w14:textId="77777777" w:rsidR="00407AF6" w:rsidRPr="00407AF6" w:rsidRDefault="00407AF6" w:rsidP="00407AF6">
            <w:pPr>
              <w:spacing w:before="0" w:after="0"/>
              <w:jc w:val="left"/>
              <w:rPr>
                <w:rFonts w:cs="Arial"/>
                <w:sz w:val="18"/>
                <w:szCs w:val="18"/>
                <w:lang w:val="es-CO" w:eastAsia="es-CO"/>
              </w:rPr>
            </w:pPr>
            <w:r w:rsidRPr="00407AF6">
              <w:rPr>
                <w:rFonts w:cs="Arial"/>
                <w:sz w:val="18"/>
                <w:szCs w:val="18"/>
                <w:lang w:val="es-CO" w:eastAsia="es-CO"/>
              </w:rPr>
              <w:t>Transformadores distribución</w:t>
            </w:r>
          </w:p>
        </w:tc>
      </w:tr>
      <w:tr w:rsidR="00407AF6" w:rsidRPr="00407AF6" w14:paraId="0FA1E47F" w14:textId="77777777" w:rsidTr="00407AF6">
        <w:trPr>
          <w:trHeight w:val="250"/>
          <w:jc w:val="center"/>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7C8A536A" w14:textId="77777777" w:rsidR="00407AF6" w:rsidRPr="00407AF6" w:rsidRDefault="00407AF6" w:rsidP="00407AF6">
            <w:pPr>
              <w:spacing w:before="0" w:after="0"/>
              <w:jc w:val="center"/>
              <w:rPr>
                <w:rFonts w:cs="Arial"/>
                <w:sz w:val="18"/>
                <w:szCs w:val="18"/>
                <w:lang w:val="es-CO" w:eastAsia="es-CO"/>
              </w:rPr>
            </w:pPr>
            <w:r w:rsidRPr="00407AF6">
              <w:rPr>
                <w:rFonts w:cs="Arial"/>
                <w:sz w:val="18"/>
                <w:szCs w:val="18"/>
                <w:lang w:val="es-CO" w:eastAsia="es-CO"/>
              </w:rPr>
              <w:t>2018</w:t>
            </w:r>
          </w:p>
        </w:tc>
        <w:tc>
          <w:tcPr>
            <w:tcW w:w="2820" w:type="dxa"/>
            <w:tcBorders>
              <w:top w:val="nil"/>
              <w:left w:val="nil"/>
              <w:bottom w:val="single" w:sz="4" w:space="0" w:color="auto"/>
              <w:right w:val="single" w:sz="4" w:space="0" w:color="auto"/>
            </w:tcBorders>
            <w:shd w:val="clear" w:color="auto" w:fill="auto"/>
            <w:noWrap/>
            <w:vAlign w:val="bottom"/>
            <w:hideMark/>
          </w:tcPr>
          <w:p w14:paraId="61AEF2B5" w14:textId="77777777" w:rsidR="00407AF6" w:rsidRPr="00407AF6" w:rsidRDefault="00407AF6" w:rsidP="00407AF6">
            <w:pPr>
              <w:spacing w:before="0" w:after="0"/>
              <w:jc w:val="left"/>
              <w:rPr>
                <w:rFonts w:cs="Arial"/>
                <w:sz w:val="18"/>
                <w:szCs w:val="18"/>
                <w:lang w:val="es-CO" w:eastAsia="es-CO"/>
              </w:rPr>
            </w:pPr>
            <w:r w:rsidRPr="00407AF6">
              <w:rPr>
                <w:rFonts w:cs="Arial"/>
                <w:sz w:val="18"/>
                <w:szCs w:val="18"/>
                <w:lang w:val="es-CO" w:eastAsia="es-CO"/>
              </w:rPr>
              <w:t>Líneas nivel 1</w:t>
            </w:r>
          </w:p>
        </w:tc>
      </w:tr>
    </w:tbl>
    <w:p w14:paraId="3366810F" w14:textId="1848EB91" w:rsidR="003E12BA" w:rsidRDefault="003E12BA" w:rsidP="002A5149">
      <w:pPr>
        <w:spacing w:before="360"/>
      </w:pPr>
      <w:r>
        <w:t xml:space="preserve">A partir de dicha información se realizó una </w:t>
      </w:r>
      <w:r w:rsidR="004B4AE7">
        <w:t>revisión de consistencia, donde se puede apreciar que el sistema del OR y sus activos tienen una co</w:t>
      </w:r>
      <w:r w:rsidR="00C448A9">
        <w:t xml:space="preserve">rrecta georreferenciación, y las redes </w:t>
      </w:r>
      <w:r w:rsidR="00DF299C">
        <w:t>se ubican en el mapa dentro</w:t>
      </w:r>
      <w:r w:rsidR="00C448A9">
        <w:t xml:space="preserve"> </w:t>
      </w:r>
      <w:r w:rsidR="00F778D5">
        <w:t>d</w:t>
      </w:r>
      <w:r w:rsidR="00C448A9">
        <w:t>e</w:t>
      </w:r>
      <w:r w:rsidR="00F778D5">
        <w:t xml:space="preserve"> </w:t>
      </w:r>
      <w:r w:rsidR="00C448A9">
        <w:t xml:space="preserve">su área de operación </w:t>
      </w:r>
      <w:r w:rsidR="008C31C7">
        <w:t xml:space="preserve">y cerca de las </w:t>
      </w:r>
      <w:r w:rsidR="00F778D5">
        <w:t xml:space="preserve">zonas geográficas con usuarios o de las </w:t>
      </w:r>
      <w:r w:rsidR="008C31C7">
        <w:t>vías.</w:t>
      </w:r>
      <w:r w:rsidR="00F778D5">
        <w:t xml:space="preserve"> Una vista general de la información entregada por el OR se muestra en </w:t>
      </w:r>
      <w:r w:rsidR="00F778D5" w:rsidRPr="00E479BA">
        <w:t xml:space="preserve">la </w:t>
      </w:r>
      <w:r w:rsidR="00F778D5" w:rsidRPr="00E479BA">
        <w:fldChar w:fldCharType="begin"/>
      </w:r>
      <w:r w:rsidR="00F778D5" w:rsidRPr="00E479BA">
        <w:instrText xml:space="preserve"> REF _Ref128928817 \h </w:instrText>
      </w:r>
      <w:r w:rsidR="00E479BA" w:rsidRPr="00E479BA">
        <w:instrText xml:space="preserve">\* MERGEFORMAT </w:instrText>
      </w:r>
      <w:r w:rsidR="00F778D5" w:rsidRPr="00E479BA">
        <w:fldChar w:fldCharType="separate"/>
      </w:r>
      <w:r w:rsidR="00E479BA" w:rsidRPr="00E41ECB">
        <w:t xml:space="preserve">Figura </w:t>
      </w:r>
      <w:r w:rsidR="00E479BA" w:rsidRPr="00E41ECB">
        <w:rPr>
          <w:noProof/>
        </w:rPr>
        <w:t>2</w:t>
      </w:r>
      <w:r w:rsidR="00F778D5" w:rsidRPr="00E479BA">
        <w:fldChar w:fldCharType="end"/>
      </w:r>
      <w:r w:rsidR="00F778D5">
        <w:t>.</w:t>
      </w:r>
    </w:p>
    <w:p w14:paraId="604280F9" w14:textId="77777777" w:rsidR="00253B67" w:rsidRDefault="00253B67" w:rsidP="00253B67">
      <w:r>
        <w:t>Para las unidades constructivas de líneas, se realizó una comparación por circuito y por unidad constructiva de las cantidades reportadas por el OR en los formatos de las Circulares CREG 029 y 051 de 2018 vs las cantidades medidas en las capas de líneas de la información georreferenciada.</w:t>
      </w:r>
    </w:p>
    <w:p w14:paraId="6C26FE6B" w14:textId="4E0CE9D3" w:rsidR="00253B67" w:rsidRDefault="00253B67" w:rsidP="00253B67">
      <w:r>
        <w:t>Como se muestra en la</w:t>
      </w:r>
      <w:r w:rsidRPr="00F675F6">
        <w:t xml:space="preserve"> </w:t>
      </w:r>
      <w:r w:rsidRPr="00F675F6">
        <w:fldChar w:fldCharType="begin"/>
      </w:r>
      <w:r w:rsidRPr="00F675F6">
        <w:instrText xml:space="preserve"> REF _Ref128929101 \h </w:instrText>
      </w:r>
      <w:r>
        <w:instrText xml:space="preserve"> \* MERGEFORMAT </w:instrText>
      </w:r>
      <w:r w:rsidRPr="00F675F6">
        <w:fldChar w:fldCharType="separate"/>
      </w:r>
      <w:r w:rsidR="00E479BA" w:rsidRPr="00E41ECB">
        <w:t xml:space="preserve">Tabla </w:t>
      </w:r>
      <w:r w:rsidR="00E479BA" w:rsidRPr="00E41ECB">
        <w:rPr>
          <w:noProof/>
        </w:rPr>
        <w:t>2</w:t>
      </w:r>
      <w:r w:rsidRPr="00F675F6">
        <w:fldChar w:fldCharType="end"/>
      </w:r>
      <w:r>
        <w:t>, se encontraron diferencias en tres circuitos. En los casos en que el OR reportó un mayor valor en los formatos</w:t>
      </w:r>
      <w:r w:rsidR="00EE616B">
        <w:t>,</w:t>
      </w:r>
      <w:r>
        <w:t xml:space="preserve"> se ajustaron las cantidades reconocidas y en los casos en que se observa un</w:t>
      </w:r>
      <w:r w:rsidR="00EE616B">
        <w:t>a</w:t>
      </w:r>
      <w:r>
        <w:t xml:space="preserve"> </w:t>
      </w:r>
      <w:r w:rsidR="00EE616B">
        <w:t xml:space="preserve">longitud </w:t>
      </w:r>
      <w:r>
        <w:t xml:space="preserve">mayor en la información georreferenciada que en los formatos, se entiende que la diferencia en estos tramos de circuito obedece activos de conexión, que no se remuneran mediante cargos por uso. </w:t>
      </w:r>
    </w:p>
    <w:p w14:paraId="6BB753C1" w14:textId="77777777" w:rsidR="001E7BE3" w:rsidRDefault="007B73AA" w:rsidP="001E7BE3">
      <w:pPr>
        <w:keepNext/>
        <w:jc w:val="center"/>
      </w:pPr>
      <w:r>
        <w:rPr>
          <w:noProof/>
        </w:rPr>
        <w:lastRenderedPageBreak/>
        <w:drawing>
          <wp:inline distT="0" distB="0" distL="0" distR="0" wp14:anchorId="37F67337" wp14:editId="343657F8">
            <wp:extent cx="4267200" cy="3671642"/>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69471" cy="3673596"/>
                    </a:xfrm>
                    <a:prstGeom prst="rect">
                      <a:avLst/>
                    </a:prstGeom>
                    <a:noFill/>
                    <a:ln>
                      <a:noFill/>
                    </a:ln>
                  </pic:spPr>
                </pic:pic>
              </a:graphicData>
            </a:graphic>
          </wp:inline>
        </w:drawing>
      </w:r>
    </w:p>
    <w:p w14:paraId="1C1877B6" w14:textId="7DAC3775" w:rsidR="007B73AA" w:rsidRPr="00F778D5" w:rsidRDefault="001E7BE3" w:rsidP="001E7BE3">
      <w:pPr>
        <w:pStyle w:val="Descripcin"/>
        <w:rPr>
          <w:sz w:val="18"/>
          <w:szCs w:val="18"/>
        </w:rPr>
      </w:pPr>
      <w:bookmarkStart w:id="4" w:name="_Ref128928817"/>
      <w:r w:rsidRPr="00F778D5">
        <w:rPr>
          <w:sz w:val="18"/>
          <w:szCs w:val="18"/>
        </w:rPr>
        <w:t xml:space="preserve">Figura </w:t>
      </w:r>
      <w:r w:rsidRPr="00F778D5">
        <w:rPr>
          <w:sz w:val="18"/>
          <w:szCs w:val="18"/>
        </w:rPr>
        <w:fldChar w:fldCharType="begin"/>
      </w:r>
      <w:r w:rsidRPr="00F778D5">
        <w:rPr>
          <w:sz w:val="18"/>
          <w:szCs w:val="18"/>
        </w:rPr>
        <w:instrText xml:space="preserve"> SEQ Figura \* ARABIC </w:instrText>
      </w:r>
      <w:r w:rsidRPr="00F778D5">
        <w:rPr>
          <w:sz w:val="18"/>
          <w:szCs w:val="18"/>
        </w:rPr>
        <w:fldChar w:fldCharType="separate"/>
      </w:r>
      <w:r w:rsidR="00555F38">
        <w:rPr>
          <w:noProof/>
          <w:sz w:val="18"/>
          <w:szCs w:val="18"/>
        </w:rPr>
        <w:t>2</w:t>
      </w:r>
      <w:r w:rsidRPr="00F778D5">
        <w:rPr>
          <w:sz w:val="18"/>
          <w:szCs w:val="18"/>
        </w:rPr>
        <w:fldChar w:fldCharType="end"/>
      </w:r>
      <w:bookmarkEnd w:id="4"/>
      <w:r w:rsidRPr="00F778D5">
        <w:rPr>
          <w:sz w:val="18"/>
          <w:szCs w:val="18"/>
        </w:rPr>
        <w:t xml:space="preserve"> GIS sistema operado por EMEESA.</w:t>
      </w:r>
    </w:p>
    <w:p w14:paraId="7570102B" w14:textId="63081053" w:rsidR="006F34F4" w:rsidRPr="006F34F4" w:rsidRDefault="006F34F4" w:rsidP="006F34F4">
      <w:pPr>
        <w:pStyle w:val="Descripcin"/>
        <w:rPr>
          <w:sz w:val="18"/>
          <w:szCs w:val="16"/>
        </w:rPr>
      </w:pPr>
      <w:bookmarkStart w:id="5" w:name="_Ref128929101"/>
      <w:r w:rsidRPr="006F34F4">
        <w:rPr>
          <w:sz w:val="18"/>
          <w:szCs w:val="16"/>
        </w:rPr>
        <w:t xml:space="preserve">Tabla </w:t>
      </w:r>
      <w:r w:rsidRPr="006F34F4">
        <w:rPr>
          <w:sz w:val="18"/>
          <w:szCs w:val="16"/>
        </w:rPr>
        <w:fldChar w:fldCharType="begin"/>
      </w:r>
      <w:r w:rsidRPr="006F34F4">
        <w:rPr>
          <w:sz w:val="18"/>
          <w:szCs w:val="16"/>
        </w:rPr>
        <w:instrText xml:space="preserve"> SEQ Tabla \* ARABIC </w:instrText>
      </w:r>
      <w:r w:rsidRPr="006F34F4">
        <w:rPr>
          <w:sz w:val="18"/>
          <w:szCs w:val="16"/>
        </w:rPr>
        <w:fldChar w:fldCharType="separate"/>
      </w:r>
      <w:r w:rsidR="00555F38">
        <w:rPr>
          <w:noProof/>
          <w:sz w:val="18"/>
          <w:szCs w:val="16"/>
        </w:rPr>
        <w:t>2</w:t>
      </w:r>
      <w:r w:rsidRPr="006F34F4">
        <w:rPr>
          <w:sz w:val="18"/>
          <w:szCs w:val="16"/>
        </w:rPr>
        <w:fldChar w:fldCharType="end"/>
      </w:r>
      <w:bookmarkEnd w:id="5"/>
      <w:r w:rsidRPr="006F34F4">
        <w:rPr>
          <w:sz w:val="18"/>
          <w:szCs w:val="16"/>
        </w:rPr>
        <w:t xml:space="preserve"> Comparación de longitudes por UC</w:t>
      </w:r>
      <w:r w:rsidR="00EF7F12">
        <w:rPr>
          <w:sz w:val="18"/>
          <w:szCs w:val="16"/>
        </w:rPr>
        <w:t xml:space="preserve"> de líneas reportadas en formatos de la circular 029 de 2018 y en capas de información GIS.</w:t>
      </w:r>
    </w:p>
    <w:tbl>
      <w:tblPr>
        <w:tblW w:w="8046" w:type="dxa"/>
        <w:jc w:val="center"/>
        <w:tblCellMar>
          <w:left w:w="70" w:type="dxa"/>
          <w:right w:w="70" w:type="dxa"/>
        </w:tblCellMar>
        <w:tblLook w:val="04A0" w:firstRow="1" w:lastRow="0" w:firstColumn="1" w:lastColumn="0" w:noHBand="0" w:noVBand="1"/>
      </w:tblPr>
      <w:tblGrid>
        <w:gridCol w:w="720"/>
        <w:gridCol w:w="1901"/>
        <w:gridCol w:w="825"/>
        <w:gridCol w:w="1480"/>
        <w:gridCol w:w="1560"/>
        <w:gridCol w:w="1560"/>
      </w:tblGrid>
      <w:tr w:rsidR="00EF2760" w:rsidRPr="00EF2760" w14:paraId="49E871CC" w14:textId="77777777" w:rsidTr="00C923DE">
        <w:trPr>
          <w:trHeight w:val="260"/>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1D087" w14:textId="77777777" w:rsidR="00EF2760" w:rsidRPr="00EF2760" w:rsidRDefault="00EF2760" w:rsidP="00EF2760">
            <w:pPr>
              <w:spacing w:before="0" w:after="0"/>
              <w:jc w:val="center"/>
              <w:rPr>
                <w:rFonts w:cs="Arial"/>
                <w:b/>
                <w:bCs/>
                <w:sz w:val="18"/>
                <w:szCs w:val="18"/>
                <w:lang w:val="es-CO" w:eastAsia="es-CO"/>
              </w:rPr>
            </w:pPr>
            <w:r w:rsidRPr="00EF2760">
              <w:rPr>
                <w:rFonts w:cs="Arial"/>
                <w:b/>
                <w:bCs/>
                <w:sz w:val="18"/>
                <w:szCs w:val="18"/>
                <w:lang w:val="es-CO" w:eastAsia="es-CO"/>
              </w:rPr>
              <w:t>IUL</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73698FD3" w14:textId="77777777" w:rsidR="00EF2760" w:rsidRPr="00EF2760" w:rsidRDefault="00EF2760" w:rsidP="00EF2760">
            <w:pPr>
              <w:spacing w:before="0" w:after="0"/>
              <w:jc w:val="center"/>
              <w:rPr>
                <w:rFonts w:cs="Arial"/>
                <w:b/>
                <w:bCs/>
                <w:sz w:val="18"/>
                <w:szCs w:val="18"/>
                <w:lang w:val="es-CO" w:eastAsia="es-CO"/>
              </w:rPr>
            </w:pPr>
            <w:r w:rsidRPr="00EF2760">
              <w:rPr>
                <w:rFonts w:cs="Arial"/>
                <w:b/>
                <w:bCs/>
                <w:sz w:val="18"/>
                <w:szCs w:val="18"/>
                <w:lang w:val="es-CO" w:eastAsia="es-CO"/>
              </w:rPr>
              <w:t>TIPO_INVENTARIO</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33BF881D" w14:textId="77777777" w:rsidR="00EF2760" w:rsidRPr="00EF2760" w:rsidRDefault="00EF2760" w:rsidP="00EF2760">
            <w:pPr>
              <w:spacing w:before="0" w:after="0"/>
              <w:jc w:val="center"/>
              <w:rPr>
                <w:rFonts w:cs="Arial"/>
                <w:b/>
                <w:bCs/>
                <w:sz w:val="18"/>
                <w:szCs w:val="18"/>
                <w:lang w:val="es-CO" w:eastAsia="es-CO"/>
              </w:rPr>
            </w:pPr>
            <w:r w:rsidRPr="00EF2760">
              <w:rPr>
                <w:rFonts w:cs="Arial"/>
                <w:b/>
                <w:bCs/>
                <w:sz w:val="18"/>
                <w:szCs w:val="18"/>
                <w:lang w:val="es-CO" w:eastAsia="es-CO"/>
              </w:rPr>
              <w:t>UC</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55D5A11E" w14:textId="77777777" w:rsidR="00EF2760" w:rsidRPr="00EF2760" w:rsidRDefault="00EF2760" w:rsidP="00EF2760">
            <w:pPr>
              <w:spacing w:before="0" w:after="0"/>
              <w:jc w:val="center"/>
              <w:rPr>
                <w:rFonts w:cs="Arial"/>
                <w:b/>
                <w:bCs/>
                <w:sz w:val="18"/>
                <w:szCs w:val="18"/>
                <w:lang w:val="es-CO" w:eastAsia="es-CO"/>
              </w:rPr>
            </w:pPr>
            <w:r w:rsidRPr="00EF2760">
              <w:rPr>
                <w:rFonts w:cs="Arial"/>
                <w:b/>
                <w:bCs/>
                <w:sz w:val="18"/>
                <w:szCs w:val="18"/>
                <w:lang w:val="es-CO" w:eastAsia="es-CO"/>
              </w:rPr>
              <w:t>KM Formatos</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F92DAE7" w14:textId="77777777" w:rsidR="00EF2760" w:rsidRPr="00EF2760" w:rsidRDefault="00EF2760" w:rsidP="00EF2760">
            <w:pPr>
              <w:spacing w:before="0" w:after="0"/>
              <w:jc w:val="center"/>
              <w:rPr>
                <w:rFonts w:cs="Arial"/>
                <w:b/>
                <w:bCs/>
                <w:sz w:val="18"/>
                <w:szCs w:val="18"/>
                <w:lang w:val="es-CO" w:eastAsia="es-CO"/>
              </w:rPr>
            </w:pPr>
            <w:r w:rsidRPr="00EF2760">
              <w:rPr>
                <w:rFonts w:cs="Arial"/>
                <w:b/>
                <w:bCs/>
                <w:sz w:val="18"/>
                <w:szCs w:val="18"/>
                <w:lang w:val="es-CO" w:eastAsia="es-CO"/>
              </w:rPr>
              <w:t>KM GIS</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FE4DC69" w14:textId="77777777" w:rsidR="00EF2760" w:rsidRPr="00EF2760" w:rsidRDefault="00EF2760" w:rsidP="00EF2760">
            <w:pPr>
              <w:spacing w:before="0" w:after="0"/>
              <w:jc w:val="center"/>
              <w:rPr>
                <w:rFonts w:cs="Arial"/>
                <w:b/>
                <w:bCs/>
                <w:sz w:val="18"/>
                <w:szCs w:val="18"/>
                <w:lang w:val="es-CO" w:eastAsia="es-CO"/>
              </w:rPr>
            </w:pPr>
            <w:r w:rsidRPr="00EF2760">
              <w:rPr>
                <w:rFonts w:cs="Arial"/>
                <w:b/>
                <w:bCs/>
                <w:sz w:val="18"/>
                <w:szCs w:val="18"/>
                <w:lang w:val="es-CO" w:eastAsia="es-CO"/>
              </w:rPr>
              <w:t>Diferencia</w:t>
            </w:r>
          </w:p>
        </w:tc>
      </w:tr>
      <w:tr w:rsidR="00EF2760" w:rsidRPr="00EF2760" w14:paraId="35868B0F" w14:textId="77777777" w:rsidTr="00EF2760">
        <w:trPr>
          <w:trHeight w:val="25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5628E26"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0001</w:t>
            </w:r>
          </w:p>
        </w:tc>
        <w:tc>
          <w:tcPr>
            <w:tcW w:w="1901" w:type="dxa"/>
            <w:tcBorders>
              <w:top w:val="nil"/>
              <w:left w:val="nil"/>
              <w:bottom w:val="single" w:sz="4" w:space="0" w:color="auto"/>
              <w:right w:val="single" w:sz="4" w:space="0" w:color="auto"/>
            </w:tcBorders>
            <w:shd w:val="clear" w:color="auto" w:fill="auto"/>
            <w:noWrap/>
            <w:vAlign w:val="bottom"/>
            <w:hideMark/>
          </w:tcPr>
          <w:p w14:paraId="60F44F59"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CRIN</w:t>
            </w:r>
          </w:p>
        </w:tc>
        <w:tc>
          <w:tcPr>
            <w:tcW w:w="825" w:type="dxa"/>
            <w:tcBorders>
              <w:top w:val="nil"/>
              <w:left w:val="nil"/>
              <w:bottom w:val="single" w:sz="4" w:space="0" w:color="auto"/>
              <w:right w:val="single" w:sz="4" w:space="0" w:color="auto"/>
            </w:tcBorders>
            <w:shd w:val="clear" w:color="auto" w:fill="auto"/>
            <w:noWrap/>
            <w:vAlign w:val="bottom"/>
            <w:hideMark/>
          </w:tcPr>
          <w:p w14:paraId="1794F9CD"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N3L1</w:t>
            </w:r>
          </w:p>
        </w:tc>
        <w:tc>
          <w:tcPr>
            <w:tcW w:w="1480" w:type="dxa"/>
            <w:tcBorders>
              <w:top w:val="nil"/>
              <w:left w:val="nil"/>
              <w:bottom w:val="single" w:sz="4" w:space="0" w:color="auto"/>
              <w:right w:val="single" w:sz="4" w:space="0" w:color="auto"/>
            </w:tcBorders>
            <w:shd w:val="clear" w:color="auto" w:fill="auto"/>
            <w:noWrap/>
            <w:vAlign w:val="bottom"/>
            <w:hideMark/>
          </w:tcPr>
          <w:p w14:paraId="493FF999"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1,27371</w:t>
            </w:r>
          </w:p>
        </w:tc>
        <w:tc>
          <w:tcPr>
            <w:tcW w:w="1560" w:type="dxa"/>
            <w:tcBorders>
              <w:top w:val="nil"/>
              <w:left w:val="nil"/>
              <w:bottom w:val="single" w:sz="4" w:space="0" w:color="auto"/>
              <w:right w:val="single" w:sz="4" w:space="0" w:color="auto"/>
            </w:tcBorders>
            <w:shd w:val="clear" w:color="auto" w:fill="auto"/>
            <w:noWrap/>
            <w:vAlign w:val="bottom"/>
            <w:hideMark/>
          </w:tcPr>
          <w:p w14:paraId="36575167"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1,2364</w:t>
            </w:r>
          </w:p>
        </w:tc>
        <w:tc>
          <w:tcPr>
            <w:tcW w:w="1560" w:type="dxa"/>
            <w:tcBorders>
              <w:top w:val="nil"/>
              <w:left w:val="nil"/>
              <w:bottom w:val="single" w:sz="4" w:space="0" w:color="auto"/>
              <w:right w:val="single" w:sz="4" w:space="0" w:color="auto"/>
            </w:tcBorders>
            <w:shd w:val="clear" w:color="auto" w:fill="auto"/>
            <w:noWrap/>
            <w:vAlign w:val="bottom"/>
            <w:hideMark/>
          </w:tcPr>
          <w:p w14:paraId="4EDAA8B2"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-0,0373</w:t>
            </w:r>
          </w:p>
        </w:tc>
      </w:tr>
      <w:tr w:rsidR="00EF2760" w:rsidRPr="00EF2760" w14:paraId="30A29A87" w14:textId="77777777" w:rsidTr="00EF2760">
        <w:trPr>
          <w:trHeight w:val="25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591827D"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0001</w:t>
            </w:r>
          </w:p>
        </w:tc>
        <w:tc>
          <w:tcPr>
            <w:tcW w:w="1901" w:type="dxa"/>
            <w:tcBorders>
              <w:top w:val="nil"/>
              <w:left w:val="nil"/>
              <w:bottom w:val="single" w:sz="4" w:space="0" w:color="auto"/>
              <w:right w:val="single" w:sz="4" w:space="0" w:color="auto"/>
            </w:tcBorders>
            <w:shd w:val="clear" w:color="auto" w:fill="auto"/>
            <w:noWrap/>
            <w:vAlign w:val="bottom"/>
            <w:hideMark/>
          </w:tcPr>
          <w:p w14:paraId="3A47A630"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CRIN</w:t>
            </w:r>
          </w:p>
        </w:tc>
        <w:tc>
          <w:tcPr>
            <w:tcW w:w="825" w:type="dxa"/>
            <w:tcBorders>
              <w:top w:val="nil"/>
              <w:left w:val="nil"/>
              <w:bottom w:val="single" w:sz="4" w:space="0" w:color="auto"/>
              <w:right w:val="single" w:sz="4" w:space="0" w:color="auto"/>
            </w:tcBorders>
            <w:shd w:val="clear" w:color="auto" w:fill="auto"/>
            <w:noWrap/>
            <w:vAlign w:val="bottom"/>
            <w:hideMark/>
          </w:tcPr>
          <w:p w14:paraId="69BF62CA"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N3L13</w:t>
            </w:r>
          </w:p>
        </w:tc>
        <w:tc>
          <w:tcPr>
            <w:tcW w:w="1480" w:type="dxa"/>
            <w:tcBorders>
              <w:top w:val="nil"/>
              <w:left w:val="nil"/>
              <w:bottom w:val="single" w:sz="4" w:space="0" w:color="auto"/>
              <w:right w:val="single" w:sz="4" w:space="0" w:color="auto"/>
            </w:tcBorders>
            <w:shd w:val="clear" w:color="auto" w:fill="auto"/>
            <w:noWrap/>
            <w:vAlign w:val="bottom"/>
            <w:hideMark/>
          </w:tcPr>
          <w:p w14:paraId="6E3DDA0A"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15,23752</w:t>
            </w:r>
          </w:p>
        </w:tc>
        <w:tc>
          <w:tcPr>
            <w:tcW w:w="1560" w:type="dxa"/>
            <w:tcBorders>
              <w:top w:val="nil"/>
              <w:left w:val="nil"/>
              <w:bottom w:val="single" w:sz="4" w:space="0" w:color="auto"/>
              <w:right w:val="single" w:sz="4" w:space="0" w:color="auto"/>
            </w:tcBorders>
            <w:shd w:val="clear" w:color="auto" w:fill="auto"/>
            <w:noWrap/>
            <w:vAlign w:val="bottom"/>
            <w:hideMark/>
          </w:tcPr>
          <w:p w14:paraId="55E298BC"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15,6838</w:t>
            </w:r>
          </w:p>
        </w:tc>
        <w:tc>
          <w:tcPr>
            <w:tcW w:w="1560" w:type="dxa"/>
            <w:tcBorders>
              <w:top w:val="nil"/>
              <w:left w:val="nil"/>
              <w:bottom w:val="single" w:sz="4" w:space="0" w:color="auto"/>
              <w:right w:val="single" w:sz="4" w:space="0" w:color="auto"/>
            </w:tcBorders>
            <w:shd w:val="clear" w:color="auto" w:fill="auto"/>
            <w:noWrap/>
            <w:vAlign w:val="bottom"/>
            <w:hideMark/>
          </w:tcPr>
          <w:p w14:paraId="710A3BBC"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0,4462</w:t>
            </w:r>
          </w:p>
        </w:tc>
      </w:tr>
      <w:tr w:rsidR="00EF2760" w:rsidRPr="00EF2760" w14:paraId="6EED776A" w14:textId="77777777" w:rsidTr="00EF2760">
        <w:trPr>
          <w:trHeight w:val="25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90EF100"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0003</w:t>
            </w:r>
          </w:p>
        </w:tc>
        <w:tc>
          <w:tcPr>
            <w:tcW w:w="1901" w:type="dxa"/>
            <w:tcBorders>
              <w:top w:val="nil"/>
              <w:left w:val="nil"/>
              <w:bottom w:val="single" w:sz="4" w:space="0" w:color="auto"/>
              <w:right w:val="single" w:sz="4" w:space="0" w:color="auto"/>
            </w:tcBorders>
            <w:shd w:val="clear" w:color="auto" w:fill="auto"/>
            <w:noWrap/>
            <w:vAlign w:val="bottom"/>
            <w:hideMark/>
          </w:tcPr>
          <w:p w14:paraId="7D408388"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CRIN</w:t>
            </w:r>
          </w:p>
        </w:tc>
        <w:tc>
          <w:tcPr>
            <w:tcW w:w="825" w:type="dxa"/>
            <w:tcBorders>
              <w:top w:val="nil"/>
              <w:left w:val="nil"/>
              <w:bottom w:val="single" w:sz="4" w:space="0" w:color="auto"/>
              <w:right w:val="single" w:sz="4" w:space="0" w:color="auto"/>
            </w:tcBorders>
            <w:shd w:val="clear" w:color="auto" w:fill="auto"/>
            <w:noWrap/>
            <w:vAlign w:val="bottom"/>
            <w:hideMark/>
          </w:tcPr>
          <w:p w14:paraId="2F03063F"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N2L27</w:t>
            </w:r>
          </w:p>
        </w:tc>
        <w:tc>
          <w:tcPr>
            <w:tcW w:w="1480" w:type="dxa"/>
            <w:tcBorders>
              <w:top w:val="nil"/>
              <w:left w:val="nil"/>
              <w:bottom w:val="single" w:sz="4" w:space="0" w:color="auto"/>
              <w:right w:val="single" w:sz="4" w:space="0" w:color="auto"/>
            </w:tcBorders>
            <w:shd w:val="clear" w:color="auto" w:fill="auto"/>
            <w:noWrap/>
            <w:vAlign w:val="bottom"/>
            <w:hideMark/>
          </w:tcPr>
          <w:p w14:paraId="221372E2"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0,54573</w:t>
            </w:r>
          </w:p>
        </w:tc>
        <w:tc>
          <w:tcPr>
            <w:tcW w:w="1560" w:type="dxa"/>
            <w:tcBorders>
              <w:top w:val="nil"/>
              <w:left w:val="nil"/>
              <w:bottom w:val="single" w:sz="4" w:space="0" w:color="auto"/>
              <w:right w:val="single" w:sz="4" w:space="0" w:color="auto"/>
            </w:tcBorders>
            <w:shd w:val="clear" w:color="auto" w:fill="auto"/>
            <w:noWrap/>
            <w:vAlign w:val="bottom"/>
            <w:hideMark/>
          </w:tcPr>
          <w:p w14:paraId="5F2B1354"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0,5461</w:t>
            </w:r>
          </w:p>
        </w:tc>
        <w:tc>
          <w:tcPr>
            <w:tcW w:w="1560" w:type="dxa"/>
            <w:tcBorders>
              <w:top w:val="nil"/>
              <w:left w:val="nil"/>
              <w:bottom w:val="single" w:sz="4" w:space="0" w:color="auto"/>
              <w:right w:val="single" w:sz="4" w:space="0" w:color="auto"/>
            </w:tcBorders>
            <w:shd w:val="clear" w:color="auto" w:fill="auto"/>
            <w:noWrap/>
            <w:vAlign w:val="bottom"/>
            <w:hideMark/>
          </w:tcPr>
          <w:p w14:paraId="12916572"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0,0004</w:t>
            </w:r>
          </w:p>
        </w:tc>
      </w:tr>
      <w:tr w:rsidR="00EF2760" w:rsidRPr="00EF2760" w14:paraId="4D69818D" w14:textId="77777777" w:rsidTr="00EF2760">
        <w:trPr>
          <w:trHeight w:val="25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70B15C5"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0003</w:t>
            </w:r>
          </w:p>
        </w:tc>
        <w:tc>
          <w:tcPr>
            <w:tcW w:w="1901" w:type="dxa"/>
            <w:tcBorders>
              <w:top w:val="nil"/>
              <w:left w:val="nil"/>
              <w:bottom w:val="single" w:sz="4" w:space="0" w:color="auto"/>
              <w:right w:val="single" w:sz="4" w:space="0" w:color="auto"/>
            </w:tcBorders>
            <w:shd w:val="clear" w:color="auto" w:fill="auto"/>
            <w:noWrap/>
            <w:vAlign w:val="bottom"/>
            <w:hideMark/>
          </w:tcPr>
          <w:p w14:paraId="6F4EEE92"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CRIN</w:t>
            </w:r>
          </w:p>
        </w:tc>
        <w:tc>
          <w:tcPr>
            <w:tcW w:w="825" w:type="dxa"/>
            <w:tcBorders>
              <w:top w:val="nil"/>
              <w:left w:val="nil"/>
              <w:bottom w:val="single" w:sz="4" w:space="0" w:color="auto"/>
              <w:right w:val="single" w:sz="4" w:space="0" w:color="auto"/>
            </w:tcBorders>
            <w:shd w:val="clear" w:color="auto" w:fill="auto"/>
            <w:noWrap/>
            <w:vAlign w:val="bottom"/>
            <w:hideMark/>
          </w:tcPr>
          <w:p w14:paraId="4223463C"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N2L47</w:t>
            </w:r>
          </w:p>
        </w:tc>
        <w:tc>
          <w:tcPr>
            <w:tcW w:w="1480" w:type="dxa"/>
            <w:tcBorders>
              <w:top w:val="nil"/>
              <w:left w:val="nil"/>
              <w:bottom w:val="single" w:sz="4" w:space="0" w:color="auto"/>
              <w:right w:val="single" w:sz="4" w:space="0" w:color="auto"/>
            </w:tcBorders>
            <w:shd w:val="clear" w:color="auto" w:fill="auto"/>
            <w:noWrap/>
            <w:vAlign w:val="bottom"/>
            <w:hideMark/>
          </w:tcPr>
          <w:p w14:paraId="5E4A348D"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1,23675</w:t>
            </w:r>
          </w:p>
        </w:tc>
        <w:tc>
          <w:tcPr>
            <w:tcW w:w="1560" w:type="dxa"/>
            <w:tcBorders>
              <w:top w:val="nil"/>
              <w:left w:val="nil"/>
              <w:bottom w:val="single" w:sz="4" w:space="0" w:color="auto"/>
              <w:right w:val="single" w:sz="4" w:space="0" w:color="auto"/>
            </w:tcBorders>
            <w:shd w:val="clear" w:color="auto" w:fill="auto"/>
            <w:noWrap/>
            <w:vAlign w:val="bottom"/>
            <w:hideMark/>
          </w:tcPr>
          <w:p w14:paraId="5FCEED5F"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1,2391</w:t>
            </w:r>
          </w:p>
        </w:tc>
        <w:tc>
          <w:tcPr>
            <w:tcW w:w="1560" w:type="dxa"/>
            <w:tcBorders>
              <w:top w:val="nil"/>
              <w:left w:val="nil"/>
              <w:bottom w:val="single" w:sz="4" w:space="0" w:color="auto"/>
              <w:right w:val="single" w:sz="4" w:space="0" w:color="auto"/>
            </w:tcBorders>
            <w:shd w:val="clear" w:color="auto" w:fill="auto"/>
            <w:noWrap/>
            <w:vAlign w:val="bottom"/>
            <w:hideMark/>
          </w:tcPr>
          <w:p w14:paraId="207541C9"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0,0024</w:t>
            </w:r>
          </w:p>
        </w:tc>
      </w:tr>
      <w:tr w:rsidR="00EF2760" w:rsidRPr="00EF2760" w14:paraId="008C9E80" w14:textId="77777777" w:rsidTr="00EF2760">
        <w:trPr>
          <w:trHeight w:val="25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39BEDA4"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0003</w:t>
            </w:r>
          </w:p>
        </w:tc>
        <w:tc>
          <w:tcPr>
            <w:tcW w:w="1901" w:type="dxa"/>
            <w:tcBorders>
              <w:top w:val="nil"/>
              <w:left w:val="nil"/>
              <w:bottom w:val="single" w:sz="4" w:space="0" w:color="auto"/>
              <w:right w:val="single" w:sz="4" w:space="0" w:color="auto"/>
            </w:tcBorders>
            <w:shd w:val="clear" w:color="auto" w:fill="auto"/>
            <w:noWrap/>
            <w:vAlign w:val="bottom"/>
            <w:hideMark/>
          </w:tcPr>
          <w:p w14:paraId="6FF88A3C" w14:textId="4393F56A"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INVA</w:t>
            </w:r>
            <w:r w:rsidR="00B83F1E">
              <w:rPr>
                <w:rFonts w:cs="Arial"/>
                <w:sz w:val="18"/>
                <w:szCs w:val="18"/>
                <w:lang w:val="es-CO" w:eastAsia="es-CO"/>
              </w:rPr>
              <w:t>_2018</w:t>
            </w:r>
          </w:p>
        </w:tc>
        <w:tc>
          <w:tcPr>
            <w:tcW w:w="825" w:type="dxa"/>
            <w:tcBorders>
              <w:top w:val="nil"/>
              <w:left w:val="nil"/>
              <w:bottom w:val="single" w:sz="4" w:space="0" w:color="auto"/>
              <w:right w:val="single" w:sz="4" w:space="0" w:color="auto"/>
            </w:tcBorders>
            <w:shd w:val="clear" w:color="auto" w:fill="auto"/>
            <w:noWrap/>
            <w:vAlign w:val="bottom"/>
            <w:hideMark/>
          </w:tcPr>
          <w:p w14:paraId="2CDC21F3"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N2L81</w:t>
            </w:r>
          </w:p>
        </w:tc>
        <w:tc>
          <w:tcPr>
            <w:tcW w:w="1480" w:type="dxa"/>
            <w:tcBorders>
              <w:top w:val="nil"/>
              <w:left w:val="nil"/>
              <w:bottom w:val="single" w:sz="4" w:space="0" w:color="auto"/>
              <w:right w:val="single" w:sz="4" w:space="0" w:color="auto"/>
            </w:tcBorders>
            <w:shd w:val="clear" w:color="auto" w:fill="auto"/>
            <w:noWrap/>
            <w:vAlign w:val="bottom"/>
            <w:hideMark/>
          </w:tcPr>
          <w:p w14:paraId="140F2E63"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1,33623</w:t>
            </w:r>
          </w:p>
        </w:tc>
        <w:tc>
          <w:tcPr>
            <w:tcW w:w="1560" w:type="dxa"/>
            <w:tcBorders>
              <w:top w:val="nil"/>
              <w:left w:val="nil"/>
              <w:bottom w:val="single" w:sz="4" w:space="0" w:color="auto"/>
              <w:right w:val="single" w:sz="4" w:space="0" w:color="auto"/>
            </w:tcBorders>
            <w:shd w:val="clear" w:color="auto" w:fill="auto"/>
            <w:noWrap/>
            <w:vAlign w:val="bottom"/>
            <w:hideMark/>
          </w:tcPr>
          <w:p w14:paraId="25734DE7"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1,0698</w:t>
            </w:r>
          </w:p>
        </w:tc>
        <w:tc>
          <w:tcPr>
            <w:tcW w:w="1560" w:type="dxa"/>
            <w:tcBorders>
              <w:top w:val="nil"/>
              <w:left w:val="nil"/>
              <w:bottom w:val="single" w:sz="4" w:space="0" w:color="auto"/>
              <w:right w:val="single" w:sz="4" w:space="0" w:color="auto"/>
            </w:tcBorders>
            <w:shd w:val="clear" w:color="auto" w:fill="auto"/>
            <w:noWrap/>
            <w:vAlign w:val="bottom"/>
            <w:hideMark/>
          </w:tcPr>
          <w:p w14:paraId="53806AC3"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-0,2664</w:t>
            </w:r>
          </w:p>
        </w:tc>
      </w:tr>
      <w:tr w:rsidR="00EF2760" w:rsidRPr="00EF2760" w14:paraId="2076D9DA" w14:textId="77777777" w:rsidTr="00EF2760">
        <w:trPr>
          <w:trHeight w:val="25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DA937F1"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0003</w:t>
            </w:r>
          </w:p>
        </w:tc>
        <w:tc>
          <w:tcPr>
            <w:tcW w:w="1901" w:type="dxa"/>
            <w:tcBorders>
              <w:top w:val="nil"/>
              <w:left w:val="nil"/>
              <w:bottom w:val="single" w:sz="4" w:space="0" w:color="auto"/>
              <w:right w:val="single" w:sz="4" w:space="0" w:color="auto"/>
            </w:tcBorders>
            <w:shd w:val="clear" w:color="auto" w:fill="auto"/>
            <w:noWrap/>
            <w:vAlign w:val="bottom"/>
            <w:hideMark/>
          </w:tcPr>
          <w:p w14:paraId="4FD3EF2B" w14:textId="341A019F" w:rsidR="00EF2760" w:rsidRPr="00EF2760" w:rsidRDefault="00B83F1E" w:rsidP="00EF2760">
            <w:pPr>
              <w:spacing w:before="0" w:after="0"/>
              <w:jc w:val="left"/>
              <w:rPr>
                <w:rFonts w:cs="Arial"/>
                <w:sz w:val="18"/>
                <w:szCs w:val="18"/>
                <w:lang w:val="es-CO" w:eastAsia="es-CO"/>
              </w:rPr>
            </w:pPr>
            <w:r w:rsidRPr="00EF2760">
              <w:rPr>
                <w:rFonts w:cs="Arial"/>
                <w:sz w:val="18"/>
                <w:szCs w:val="18"/>
                <w:lang w:val="es-CO" w:eastAsia="es-CO"/>
              </w:rPr>
              <w:t>INVA</w:t>
            </w:r>
            <w:r>
              <w:rPr>
                <w:rFonts w:cs="Arial"/>
                <w:sz w:val="18"/>
                <w:szCs w:val="18"/>
                <w:lang w:val="es-CO" w:eastAsia="es-CO"/>
              </w:rPr>
              <w:t>_2018</w:t>
            </w:r>
          </w:p>
        </w:tc>
        <w:tc>
          <w:tcPr>
            <w:tcW w:w="825" w:type="dxa"/>
            <w:tcBorders>
              <w:top w:val="nil"/>
              <w:left w:val="nil"/>
              <w:bottom w:val="single" w:sz="4" w:space="0" w:color="auto"/>
              <w:right w:val="single" w:sz="4" w:space="0" w:color="auto"/>
            </w:tcBorders>
            <w:shd w:val="clear" w:color="auto" w:fill="auto"/>
            <w:noWrap/>
            <w:vAlign w:val="bottom"/>
            <w:hideMark/>
          </w:tcPr>
          <w:p w14:paraId="108B2911"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N2L83</w:t>
            </w:r>
          </w:p>
        </w:tc>
        <w:tc>
          <w:tcPr>
            <w:tcW w:w="1480" w:type="dxa"/>
            <w:tcBorders>
              <w:top w:val="nil"/>
              <w:left w:val="nil"/>
              <w:bottom w:val="single" w:sz="4" w:space="0" w:color="auto"/>
              <w:right w:val="single" w:sz="4" w:space="0" w:color="auto"/>
            </w:tcBorders>
            <w:shd w:val="clear" w:color="auto" w:fill="auto"/>
            <w:noWrap/>
            <w:vAlign w:val="bottom"/>
            <w:hideMark/>
          </w:tcPr>
          <w:p w14:paraId="45B32447"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3,07252</w:t>
            </w:r>
          </w:p>
        </w:tc>
        <w:tc>
          <w:tcPr>
            <w:tcW w:w="1560" w:type="dxa"/>
            <w:tcBorders>
              <w:top w:val="nil"/>
              <w:left w:val="nil"/>
              <w:bottom w:val="single" w:sz="4" w:space="0" w:color="auto"/>
              <w:right w:val="single" w:sz="4" w:space="0" w:color="auto"/>
            </w:tcBorders>
            <w:shd w:val="clear" w:color="auto" w:fill="auto"/>
            <w:noWrap/>
            <w:vAlign w:val="bottom"/>
            <w:hideMark/>
          </w:tcPr>
          <w:p w14:paraId="04838CFE"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3,1429</w:t>
            </w:r>
          </w:p>
        </w:tc>
        <w:tc>
          <w:tcPr>
            <w:tcW w:w="1560" w:type="dxa"/>
            <w:tcBorders>
              <w:top w:val="nil"/>
              <w:left w:val="nil"/>
              <w:bottom w:val="single" w:sz="4" w:space="0" w:color="auto"/>
              <w:right w:val="single" w:sz="4" w:space="0" w:color="auto"/>
            </w:tcBorders>
            <w:shd w:val="clear" w:color="auto" w:fill="auto"/>
            <w:noWrap/>
            <w:vAlign w:val="bottom"/>
            <w:hideMark/>
          </w:tcPr>
          <w:p w14:paraId="45C48D8B"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0,0703</w:t>
            </w:r>
          </w:p>
        </w:tc>
      </w:tr>
      <w:tr w:rsidR="00EF2760" w:rsidRPr="00EF2760" w14:paraId="5F14DB0B" w14:textId="77777777" w:rsidTr="00EF2760">
        <w:trPr>
          <w:trHeight w:val="25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A903732"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0004</w:t>
            </w:r>
          </w:p>
        </w:tc>
        <w:tc>
          <w:tcPr>
            <w:tcW w:w="1901" w:type="dxa"/>
            <w:tcBorders>
              <w:top w:val="nil"/>
              <w:left w:val="nil"/>
              <w:bottom w:val="single" w:sz="4" w:space="0" w:color="auto"/>
              <w:right w:val="single" w:sz="4" w:space="0" w:color="auto"/>
            </w:tcBorders>
            <w:shd w:val="clear" w:color="auto" w:fill="auto"/>
            <w:noWrap/>
            <w:vAlign w:val="bottom"/>
            <w:hideMark/>
          </w:tcPr>
          <w:p w14:paraId="59A23914"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CRIN</w:t>
            </w:r>
          </w:p>
        </w:tc>
        <w:tc>
          <w:tcPr>
            <w:tcW w:w="825" w:type="dxa"/>
            <w:tcBorders>
              <w:top w:val="nil"/>
              <w:left w:val="nil"/>
              <w:bottom w:val="single" w:sz="4" w:space="0" w:color="auto"/>
              <w:right w:val="single" w:sz="4" w:space="0" w:color="auto"/>
            </w:tcBorders>
            <w:shd w:val="clear" w:color="auto" w:fill="auto"/>
            <w:noWrap/>
            <w:vAlign w:val="bottom"/>
            <w:hideMark/>
          </w:tcPr>
          <w:p w14:paraId="3F748BC8"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N2L2</w:t>
            </w:r>
          </w:p>
        </w:tc>
        <w:tc>
          <w:tcPr>
            <w:tcW w:w="1480" w:type="dxa"/>
            <w:tcBorders>
              <w:top w:val="nil"/>
              <w:left w:val="nil"/>
              <w:bottom w:val="single" w:sz="4" w:space="0" w:color="auto"/>
              <w:right w:val="single" w:sz="4" w:space="0" w:color="auto"/>
            </w:tcBorders>
            <w:shd w:val="clear" w:color="auto" w:fill="auto"/>
            <w:noWrap/>
            <w:vAlign w:val="bottom"/>
            <w:hideMark/>
          </w:tcPr>
          <w:p w14:paraId="7523577D"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3,21382</w:t>
            </w:r>
          </w:p>
        </w:tc>
        <w:tc>
          <w:tcPr>
            <w:tcW w:w="1560" w:type="dxa"/>
            <w:tcBorders>
              <w:top w:val="nil"/>
              <w:left w:val="nil"/>
              <w:bottom w:val="single" w:sz="4" w:space="0" w:color="auto"/>
              <w:right w:val="single" w:sz="4" w:space="0" w:color="auto"/>
            </w:tcBorders>
            <w:shd w:val="clear" w:color="auto" w:fill="auto"/>
            <w:noWrap/>
            <w:vAlign w:val="bottom"/>
            <w:hideMark/>
          </w:tcPr>
          <w:p w14:paraId="67E03C76"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4,0404</w:t>
            </w:r>
          </w:p>
        </w:tc>
        <w:tc>
          <w:tcPr>
            <w:tcW w:w="1560" w:type="dxa"/>
            <w:tcBorders>
              <w:top w:val="nil"/>
              <w:left w:val="nil"/>
              <w:bottom w:val="single" w:sz="4" w:space="0" w:color="auto"/>
              <w:right w:val="single" w:sz="4" w:space="0" w:color="auto"/>
            </w:tcBorders>
            <w:shd w:val="clear" w:color="auto" w:fill="auto"/>
            <w:noWrap/>
            <w:vAlign w:val="bottom"/>
            <w:hideMark/>
          </w:tcPr>
          <w:p w14:paraId="207C63FE"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0,8265</w:t>
            </w:r>
          </w:p>
        </w:tc>
      </w:tr>
      <w:tr w:rsidR="00EF2760" w:rsidRPr="00EF2760" w14:paraId="0BABC0E3" w14:textId="77777777" w:rsidTr="00EF2760">
        <w:trPr>
          <w:trHeight w:val="25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E2411AF"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0004</w:t>
            </w:r>
          </w:p>
        </w:tc>
        <w:tc>
          <w:tcPr>
            <w:tcW w:w="1901" w:type="dxa"/>
            <w:tcBorders>
              <w:top w:val="nil"/>
              <w:left w:val="nil"/>
              <w:bottom w:val="single" w:sz="4" w:space="0" w:color="auto"/>
              <w:right w:val="single" w:sz="4" w:space="0" w:color="auto"/>
            </w:tcBorders>
            <w:shd w:val="clear" w:color="auto" w:fill="auto"/>
            <w:noWrap/>
            <w:vAlign w:val="bottom"/>
            <w:hideMark/>
          </w:tcPr>
          <w:p w14:paraId="08C73481" w14:textId="4E7FEA96" w:rsidR="00EF2760" w:rsidRPr="00EF2760" w:rsidRDefault="00B83F1E" w:rsidP="00EF2760">
            <w:pPr>
              <w:spacing w:before="0" w:after="0"/>
              <w:jc w:val="left"/>
              <w:rPr>
                <w:rFonts w:cs="Arial"/>
                <w:sz w:val="18"/>
                <w:szCs w:val="18"/>
                <w:lang w:val="es-CO" w:eastAsia="es-CO"/>
              </w:rPr>
            </w:pPr>
            <w:r w:rsidRPr="00EF2760">
              <w:rPr>
                <w:rFonts w:cs="Arial"/>
                <w:sz w:val="18"/>
                <w:szCs w:val="18"/>
                <w:lang w:val="es-CO" w:eastAsia="es-CO"/>
              </w:rPr>
              <w:t>INVA</w:t>
            </w:r>
            <w:r>
              <w:rPr>
                <w:rFonts w:cs="Arial"/>
                <w:sz w:val="18"/>
                <w:szCs w:val="18"/>
                <w:lang w:val="es-CO" w:eastAsia="es-CO"/>
              </w:rPr>
              <w:t>_2018</w:t>
            </w:r>
          </w:p>
        </w:tc>
        <w:tc>
          <w:tcPr>
            <w:tcW w:w="825" w:type="dxa"/>
            <w:tcBorders>
              <w:top w:val="nil"/>
              <w:left w:val="nil"/>
              <w:bottom w:val="single" w:sz="4" w:space="0" w:color="auto"/>
              <w:right w:val="single" w:sz="4" w:space="0" w:color="auto"/>
            </w:tcBorders>
            <w:shd w:val="clear" w:color="auto" w:fill="auto"/>
            <w:noWrap/>
            <w:vAlign w:val="bottom"/>
            <w:hideMark/>
          </w:tcPr>
          <w:p w14:paraId="5D35E8BE"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N2L83</w:t>
            </w:r>
          </w:p>
        </w:tc>
        <w:tc>
          <w:tcPr>
            <w:tcW w:w="1480" w:type="dxa"/>
            <w:tcBorders>
              <w:top w:val="nil"/>
              <w:left w:val="nil"/>
              <w:bottom w:val="single" w:sz="4" w:space="0" w:color="auto"/>
              <w:right w:val="single" w:sz="4" w:space="0" w:color="auto"/>
            </w:tcBorders>
            <w:shd w:val="clear" w:color="auto" w:fill="auto"/>
            <w:noWrap/>
            <w:vAlign w:val="bottom"/>
            <w:hideMark/>
          </w:tcPr>
          <w:p w14:paraId="782E9D7B"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0,651</w:t>
            </w:r>
          </w:p>
        </w:tc>
        <w:tc>
          <w:tcPr>
            <w:tcW w:w="1560" w:type="dxa"/>
            <w:tcBorders>
              <w:top w:val="nil"/>
              <w:left w:val="nil"/>
              <w:bottom w:val="single" w:sz="4" w:space="0" w:color="auto"/>
              <w:right w:val="single" w:sz="4" w:space="0" w:color="auto"/>
            </w:tcBorders>
            <w:shd w:val="clear" w:color="auto" w:fill="auto"/>
            <w:noWrap/>
            <w:vAlign w:val="bottom"/>
            <w:hideMark/>
          </w:tcPr>
          <w:p w14:paraId="2F5C7D6F"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0,7122</w:t>
            </w:r>
          </w:p>
        </w:tc>
        <w:tc>
          <w:tcPr>
            <w:tcW w:w="1560" w:type="dxa"/>
            <w:tcBorders>
              <w:top w:val="nil"/>
              <w:left w:val="nil"/>
              <w:bottom w:val="single" w:sz="4" w:space="0" w:color="auto"/>
              <w:right w:val="single" w:sz="4" w:space="0" w:color="auto"/>
            </w:tcBorders>
            <w:shd w:val="clear" w:color="auto" w:fill="auto"/>
            <w:noWrap/>
            <w:vAlign w:val="bottom"/>
            <w:hideMark/>
          </w:tcPr>
          <w:p w14:paraId="0A44C7A5"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0,0612</w:t>
            </w:r>
          </w:p>
        </w:tc>
      </w:tr>
      <w:tr w:rsidR="00EF2760" w:rsidRPr="00EF2760" w14:paraId="475D875D" w14:textId="77777777" w:rsidTr="00EF2760">
        <w:trPr>
          <w:trHeight w:val="25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71383EE"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0004</w:t>
            </w:r>
          </w:p>
        </w:tc>
        <w:tc>
          <w:tcPr>
            <w:tcW w:w="1901" w:type="dxa"/>
            <w:tcBorders>
              <w:top w:val="nil"/>
              <w:left w:val="nil"/>
              <w:bottom w:val="single" w:sz="4" w:space="0" w:color="auto"/>
              <w:right w:val="single" w:sz="4" w:space="0" w:color="auto"/>
            </w:tcBorders>
            <w:shd w:val="clear" w:color="auto" w:fill="auto"/>
            <w:noWrap/>
            <w:vAlign w:val="bottom"/>
            <w:hideMark/>
          </w:tcPr>
          <w:p w14:paraId="22B91588" w14:textId="2F3B4417" w:rsidR="00EF2760" w:rsidRPr="00EF2760" w:rsidRDefault="00B83F1E" w:rsidP="00EF2760">
            <w:pPr>
              <w:spacing w:before="0" w:after="0"/>
              <w:jc w:val="left"/>
              <w:rPr>
                <w:rFonts w:cs="Arial"/>
                <w:sz w:val="18"/>
                <w:szCs w:val="18"/>
                <w:lang w:val="es-CO" w:eastAsia="es-CO"/>
              </w:rPr>
            </w:pPr>
            <w:r w:rsidRPr="00EF2760">
              <w:rPr>
                <w:rFonts w:cs="Arial"/>
                <w:sz w:val="18"/>
                <w:szCs w:val="18"/>
                <w:lang w:val="es-CO" w:eastAsia="es-CO"/>
              </w:rPr>
              <w:t>INVA</w:t>
            </w:r>
            <w:r>
              <w:rPr>
                <w:rFonts w:cs="Arial"/>
                <w:sz w:val="18"/>
                <w:szCs w:val="18"/>
                <w:lang w:val="es-CO" w:eastAsia="es-CO"/>
              </w:rPr>
              <w:t>_2018</w:t>
            </w:r>
          </w:p>
        </w:tc>
        <w:tc>
          <w:tcPr>
            <w:tcW w:w="825" w:type="dxa"/>
            <w:tcBorders>
              <w:top w:val="nil"/>
              <w:left w:val="nil"/>
              <w:bottom w:val="single" w:sz="4" w:space="0" w:color="auto"/>
              <w:right w:val="single" w:sz="4" w:space="0" w:color="auto"/>
            </w:tcBorders>
            <w:shd w:val="clear" w:color="auto" w:fill="auto"/>
            <w:noWrap/>
            <w:vAlign w:val="bottom"/>
            <w:hideMark/>
          </w:tcPr>
          <w:p w14:paraId="317BD49B" w14:textId="77777777" w:rsidR="00EF2760" w:rsidRPr="00EF2760" w:rsidRDefault="00EF2760" w:rsidP="00EF2760">
            <w:pPr>
              <w:spacing w:before="0" w:after="0"/>
              <w:jc w:val="left"/>
              <w:rPr>
                <w:rFonts w:cs="Arial"/>
                <w:sz w:val="18"/>
                <w:szCs w:val="18"/>
                <w:lang w:val="es-CO" w:eastAsia="es-CO"/>
              </w:rPr>
            </w:pPr>
            <w:r w:rsidRPr="00EF2760">
              <w:rPr>
                <w:rFonts w:cs="Arial"/>
                <w:sz w:val="18"/>
                <w:szCs w:val="18"/>
                <w:lang w:val="es-CO" w:eastAsia="es-CO"/>
              </w:rPr>
              <w:t>N2L96</w:t>
            </w:r>
          </w:p>
        </w:tc>
        <w:tc>
          <w:tcPr>
            <w:tcW w:w="1480" w:type="dxa"/>
            <w:tcBorders>
              <w:top w:val="nil"/>
              <w:left w:val="nil"/>
              <w:bottom w:val="single" w:sz="4" w:space="0" w:color="auto"/>
              <w:right w:val="single" w:sz="4" w:space="0" w:color="auto"/>
            </w:tcBorders>
            <w:shd w:val="clear" w:color="auto" w:fill="auto"/>
            <w:noWrap/>
            <w:vAlign w:val="bottom"/>
            <w:hideMark/>
          </w:tcPr>
          <w:p w14:paraId="7697FBBF"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0,08811</w:t>
            </w:r>
          </w:p>
        </w:tc>
        <w:tc>
          <w:tcPr>
            <w:tcW w:w="1560" w:type="dxa"/>
            <w:tcBorders>
              <w:top w:val="nil"/>
              <w:left w:val="nil"/>
              <w:bottom w:val="single" w:sz="4" w:space="0" w:color="auto"/>
              <w:right w:val="single" w:sz="4" w:space="0" w:color="auto"/>
            </w:tcBorders>
            <w:shd w:val="clear" w:color="auto" w:fill="auto"/>
            <w:noWrap/>
            <w:vAlign w:val="bottom"/>
            <w:hideMark/>
          </w:tcPr>
          <w:p w14:paraId="3FA1CC7E"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0,0000</w:t>
            </w:r>
          </w:p>
        </w:tc>
        <w:tc>
          <w:tcPr>
            <w:tcW w:w="1560" w:type="dxa"/>
            <w:tcBorders>
              <w:top w:val="nil"/>
              <w:left w:val="nil"/>
              <w:bottom w:val="single" w:sz="4" w:space="0" w:color="auto"/>
              <w:right w:val="single" w:sz="4" w:space="0" w:color="auto"/>
            </w:tcBorders>
            <w:shd w:val="clear" w:color="auto" w:fill="auto"/>
            <w:noWrap/>
            <w:vAlign w:val="bottom"/>
            <w:hideMark/>
          </w:tcPr>
          <w:p w14:paraId="3D2ECC39" w14:textId="77777777" w:rsidR="00EF2760" w:rsidRPr="00EF2760" w:rsidRDefault="00EF2760" w:rsidP="00EF2760">
            <w:pPr>
              <w:spacing w:before="0" w:after="0"/>
              <w:jc w:val="right"/>
              <w:rPr>
                <w:rFonts w:cs="Arial"/>
                <w:sz w:val="18"/>
                <w:szCs w:val="18"/>
                <w:lang w:val="es-CO" w:eastAsia="es-CO"/>
              </w:rPr>
            </w:pPr>
            <w:r w:rsidRPr="00EF2760">
              <w:rPr>
                <w:rFonts w:cs="Arial"/>
                <w:sz w:val="18"/>
                <w:szCs w:val="18"/>
                <w:lang w:val="es-CO" w:eastAsia="es-CO"/>
              </w:rPr>
              <w:t>-0,0881</w:t>
            </w:r>
          </w:p>
        </w:tc>
      </w:tr>
    </w:tbl>
    <w:p w14:paraId="59E4A2FA" w14:textId="77777777" w:rsidR="00253B67" w:rsidRDefault="00253B67" w:rsidP="00253B67">
      <w:r>
        <w:t xml:space="preserve">El inventario revisado fue valorado con base en los listados de unidades constructivas de los capítulos 15 (para base regulatoria inicial de activos) y 14 (para activos 2018) del Anexo General de la Resolución CREG 015 de 2018 y se anexa a la presente resolución en dos archivos denominados </w:t>
      </w:r>
      <w:r w:rsidRPr="00D91896">
        <w:rPr>
          <w:i/>
          <w:iCs/>
        </w:rPr>
        <w:t xml:space="preserve">Inventario reconocido </w:t>
      </w:r>
      <w:r>
        <w:rPr>
          <w:i/>
          <w:iCs/>
        </w:rPr>
        <w:t>BRA0</w:t>
      </w:r>
      <w:r w:rsidRPr="00D91896">
        <w:rPr>
          <w:i/>
          <w:iCs/>
        </w:rPr>
        <w:t xml:space="preserve"> </w:t>
      </w:r>
      <w:r>
        <w:rPr>
          <w:i/>
          <w:iCs/>
        </w:rPr>
        <w:t xml:space="preserve">OR - </w:t>
      </w:r>
      <w:r w:rsidRPr="00D91896">
        <w:rPr>
          <w:i/>
          <w:iCs/>
        </w:rPr>
        <w:t>EMEESA_126.xlsx</w:t>
      </w:r>
      <w:r>
        <w:t xml:space="preserve"> e </w:t>
      </w:r>
      <w:r w:rsidRPr="00D91896">
        <w:rPr>
          <w:i/>
          <w:iCs/>
        </w:rPr>
        <w:t xml:space="preserve">Inventario reconocido INVA_2018 </w:t>
      </w:r>
      <w:r>
        <w:rPr>
          <w:i/>
          <w:iCs/>
        </w:rPr>
        <w:t xml:space="preserve">OR - </w:t>
      </w:r>
      <w:r w:rsidRPr="00D91896">
        <w:rPr>
          <w:i/>
          <w:iCs/>
        </w:rPr>
        <w:t>EMEESA_126.xlsx</w:t>
      </w:r>
      <w:r>
        <w:t>.</w:t>
      </w:r>
    </w:p>
    <w:p w14:paraId="394AD4A4" w14:textId="7B5ED796" w:rsidR="006D78E9" w:rsidRDefault="00A50621" w:rsidP="00253B67">
      <w:r>
        <w:t>A partir de esta valoración, se propone aprobar un aumento en la base regulatoria inicial de activos de EMEESA de la siguiente manera:</w:t>
      </w:r>
    </w:p>
    <w:p w14:paraId="04FE8459" w14:textId="489555EC" w:rsidR="00481112" w:rsidRPr="00481112" w:rsidRDefault="00481112" w:rsidP="00481112">
      <w:pPr>
        <w:pStyle w:val="Descripcin"/>
        <w:rPr>
          <w:sz w:val="18"/>
          <w:szCs w:val="18"/>
        </w:rPr>
      </w:pPr>
      <w:r w:rsidRPr="00481112">
        <w:rPr>
          <w:sz w:val="18"/>
          <w:szCs w:val="18"/>
        </w:rPr>
        <w:lastRenderedPageBreak/>
        <w:t xml:space="preserve">Tabla </w:t>
      </w:r>
      <w:r w:rsidRPr="00481112">
        <w:rPr>
          <w:sz w:val="18"/>
          <w:szCs w:val="18"/>
        </w:rPr>
        <w:fldChar w:fldCharType="begin"/>
      </w:r>
      <w:r w:rsidRPr="00481112">
        <w:rPr>
          <w:sz w:val="18"/>
          <w:szCs w:val="18"/>
        </w:rPr>
        <w:instrText xml:space="preserve"> SEQ Tabla \* ARABIC </w:instrText>
      </w:r>
      <w:r w:rsidRPr="00481112">
        <w:rPr>
          <w:sz w:val="18"/>
          <w:szCs w:val="18"/>
        </w:rPr>
        <w:fldChar w:fldCharType="separate"/>
      </w:r>
      <w:r w:rsidR="00555F38">
        <w:rPr>
          <w:noProof/>
          <w:sz w:val="18"/>
          <w:szCs w:val="18"/>
        </w:rPr>
        <w:t>3</w:t>
      </w:r>
      <w:r w:rsidRPr="00481112">
        <w:rPr>
          <w:sz w:val="18"/>
          <w:szCs w:val="18"/>
        </w:rPr>
        <w:fldChar w:fldCharType="end"/>
      </w:r>
      <w:r w:rsidRPr="00481112">
        <w:rPr>
          <w:sz w:val="18"/>
          <w:szCs w:val="18"/>
        </w:rPr>
        <w:t xml:space="preserve"> Variación propuesta en la base regulatoria inicial de activos para EMEESA</w:t>
      </w:r>
      <w:r w:rsidR="0036498A">
        <w:rPr>
          <w:sz w:val="18"/>
          <w:szCs w:val="18"/>
        </w:rPr>
        <w:t xml:space="preserve"> ($ de dic. de 2017)</w:t>
      </w:r>
    </w:p>
    <w:tbl>
      <w:tblPr>
        <w:tblW w:w="5464" w:type="dxa"/>
        <w:jc w:val="center"/>
        <w:tblCellMar>
          <w:left w:w="70" w:type="dxa"/>
          <w:right w:w="70" w:type="dxa"/>
        </w:tblCellMar>
        <w:tblLook w:val="04A0" w:firstRow="1" w:lastRow="0" w:firstColumn="1" w:lastColumn="0" w:noHBand="0" w:noVBand="1"/>
      </w:tblPr>
      <w:tblGrid>
        <w:gridCol w:w="960"/>
        <w:gridCol w:w="1512"/>
        <w:gridCol w:w="1512"/>
        <w:gridCol w:w="1480"/>
      </w:tblGrid>
      <w:tr w:rsidR="00481112" w:rsidRPr="00481112" w14:paraId="13E31D19" w14:textId="77777777" w:rsidTr="00481112">
        <w:trPr>
          <w:trHeight w:val="48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B843B4" w14:textId="77777777" w:rsidR="00481112" w:rsidRPr="00481112" w:rsidRDefault="00481112" w:rsidP="00481112">
            <w:pPr>
              <w:spacing w:before="0" w:after="0"/>
              <w:jc w:val="center"/>
              <w:rPr>
                <w:rFonts w:cs="Calibri"/>
                <w:b/>
                <w:bCs/>
                <w:sz w:val="18"/>
                <w:szCs w:val="18"/>
                <w:lang w:val="es-CO" w:eastAsia="es-CO"/>
              </w:rPr>
            </w:pPr>
            <w:r w:rsidRPr="00481112">
              <w:rPr>
                <w:rFonts w:cs="Calibri"/>
                <w:b/>
                <w:bCs/>
                <w:sz w:val="18"/>
                <w:szCs w:val="18"/>
                <w:lang w:val="es-CO" w:eastAsia="es-CO"/>
              </w:rPr>
              <w:t>Nivel</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14:paraId="0E0A3E50" w14:textId="77777777" w:rsidR="00481112" w:rsidRPr="00481112" w:rsidRDefault="00481112" w:rsidP="00481112">
            <w:pPr>
              <w:spacing w:before="0" w:after="0"/>
              <w:jc w:val="center"/>
              <w:rPr>
                <w:rFonts w:cs="Calibri"/>
                <w:b/>
                <w:bCs/>
                <w:sz w:val="18"/>
                <w:szCs w:val="18"/>
                <w:lang w:val="es-CO" w:eastAsia="es-CO"/>
              </w:rPr>
            </w:pPr>
            <w:r w:rsidRPr="00481112">
              <w:rPr>
                <w:rFonts w:cs="Calibri"/>
                <w:b/>
                <w:bCs/>
                <w:sz w:val="18"/>
                <w:szCs w:val="18"/>
                <w:lang w:val="es-CO" w:eastAsia="es-CO"/>
              </w:rPr>
              <w:t>Valor actual</w:t>
            </w:r>
          </w:p>
        </w:tc>
        <w:tc>
          <w:tcPr>
            <w:tcW w:w="1512" w:type="dxa"/>
            <w:tcBorders>
              <w:top w:val="single" w:sz="4" w:space="0" w:color="auto"/>
              <w:left w:val="nil"/>
              <w:bottom w:val="single" w:sz="4" w:space="0" w:color="auto"/>
              <w:right w:val="single" w:sz="4" w:space="0" w:color="auto"/>
            </w:tcBorders>
            <w:shd w:val="clear" w:color="000000" w:fill="FFFFFF"/>
            <w:vAlign w:val="bottom"/>
            <w:hideMark/>
          </w:tcPr>
          <w:p w14:paraId="3A054872" w14:textId="77777777" w:rsidR="00481112" w:rsidRPr="00481112" w:rsidRDefault="00481112" w:rsidP="00481112">
            <w:pPr>
              <w:spacing w:before="0" w:after="0"/>
              <w:jc w:val="center"/>
              <w:rPr>
                <w:rFonts w:cs="Calibri"/>
                <w:b/>
                <w:bCs/>
                <w:sz w:val="18"/>
                <w:szCs w:val="18"/>
                <w:lang w:val="es-CO" w:eastAsia="es-CO"/>
              </w:rPr>
            </w:pPr>
            <w:r w:rsidRPr="00481112">
              <w:rPr>
                <w:rFonts w:cs="Calibri"/>
                <w:b/>
                <w:bCs/>
                <w:sz w:val="18"/>
                <w:szCs w:val="18"/>
                <w:lang w:val="es-CO" w:eastAsia="es-CO"/>
              </w:rPr>
              <w:t>Ajuste propuesto</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77B91EE5" w14:textId="77777777" w:rsidR="00481112" w:rsidRPr="00481112" w:rsidRDefault="00481112" w:rsidP="00481112">
            <w:pPr>
              <w:spacing w:before="0" w:after="0"/>
              <w:jc w:val="center"/>
              <w:rPr>
                <w:rFonts w:cs="Calibri"/>
                <w:b/>
                <w:bCs/>
                <w:sz w:val="18"/>
                <w:szCs w:val="18"/>
                <w:lang w:val="es-CO" w:eastAsia="es-CO"/>
              </w:rPr>
            </w:pPr>
            <w:r w:rsidRPr="00481112">
              <w:rPr>
                <w:rFonts w:cs="Calibri"/>
                <w:b/>
                <w:bCs/>
                <w:sz w:val="18"/>
                <w:szCs w:val="18"/>
                <w:lang w:val="es-CO" w:eastAsia="es-CO"/>
              </w:rPr>
              <w:t>Variación</w:t>
            </w:r>
          </w:p>
        </w:tc>
      </w:tr>
      <w:tr w:rsidR="00481112" w:rsidRPr="00481112" w14:paraId="2AD4AD59" w14:textId="77777777" w:rsidTr="0048111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DFFCC3" w14:textId="77777777" w:rsidR="00481112" w:rsidRPr="00481112" w:rsidRDefault="00481112" w:rsidP="00481112">
            <w:pPr>
              <w:spacing w:before="0" w:after="0"/>
              <w:jc w:val="center"/>
              <w:rPr>
                <w:rFonts w:cs="Calibri"/>
                <w:i/>
                <w:iCs/>
                <w:sz w:val="18"/>
                <w:szCs w:val="18"/>
                <w:lang w:val="es-CO" w:eastAsia="es-CO"/>
              </w:rPr>
            </w:pPr>
            <w:r w:rsidRPr="00481112">
              <w:rPr>
                <w:rFonts w:cs="Calibri"/>
                <w:i/>
                <w:iCs/>
                <w:sz w:val="18"/>
                <w:szCs w:val="18"/>
                <w:lang w:val="es-CO" w:eastAsia="es-CO"/>
              </w:rPr>
              <w:t>BRAE</w:t>
            </w:r>
            <w:r w:rsidRPr="00481112">
              <w:rPr>
                <w:rFonts w:cs="Calibri"/>
                <w:i/>
                <w:iCs/>
                <w:sz w:val="18"/>
                <w:szCs w:val="18"/>
                <w:vertAlign w:val="subscript"/>
                <w:lang w:val="es-CO" w:eastAsia="es-CO"/>
              </w:rPr>
              <w:t>j,4,0</w:t>
            </w:r>
          </w:p>
        </w:tc>
        <w:tc>
          <w:tcPr>
            <w:tcW w:w="1512" w:type="dxa"/>
            <w:tcBorders>
              <w:top w:val="nil"/>
              <w:left w:val="nil"/>
              <w:bottom w:val="single" w:sz="4" w:space="0" w:color="auto"/>
              <w:right w:val="single" w:sz="4" w:space="0" w:color="auto"/>
            </w:tcBorders>
            <w:shd w:val="clear" w:color="auto" w:fill="auto"/>
            <w:noWrap/>
            <w:vAlign w:val="center"/>
            <w:hideMark/>
          </w:tcPr>
          <w:p w14:paraId="4DF06C8D" w14:textId="77777777" w:rsidR="00481112" w:rsidRPr="00481112" w:rsidRDefault="00481112" w:rsidP="00481112">
            <w:pPr>
              <w:spacing w:before="0" w:after="0"/>
              <w:jc w:val="right"/>
              <w:rPr>
                <w:rFonts w:cs="Calibri"/>
                <w:sz w:val="18"/>
                <w:szCs w:val="18"/>
                <w:lang w:val="es-CO" w:eastAsia="es-CO"/>
              </w:rPr>
            </w:pPr>
            <w:r w:rsidRPr="00481112">
              <w:rPr>
                <w:rFonts w:cs="Calibri"/>
                <w:sz w:val="18"/>
                <w:szCs w:val="18"/>
                <w:lang w:val="es-CO" w:eastAsia="es-CO"/>
              </w:rPr>
              <w:t>0</w:t>
            </w:r>
          </w:p>
        </w:tc>
        <w:tc>
          <w:tcPr>
            <w:tcW w:w="1512" w:type="dxa"/>
            <w:tcBorders>
              <w:top w:val="nil"/>
              <w:left w:val="nil"/>
              <w:bottom w:val="single" w:sz="4" w:space="0" w:color="auto"/>
              <w:right w:val="single" w:sz="4" w:space="0" w:color="auto"/>
            </w:tcBorders>
            <w:shd w:val="clear" w:color="auto" w:fill="auto"/>
            <w:noWrap/>
            <w:vAlign w:val="center"/>
            <w:hideMark/>
          </w:tcPr>
          <w:p w14:paraId="1B814168" w14:textId="77777777" w:rsidR="00481112" w:rsidRPr="00481112" w:rsidRDefault="00481112" w:rsidP="00481112">
            <w:pPr>
              <w:spacing w:before="0" w:after="0"/>
              <w:jc w:val="right"/>
              <w:rPr>
                <w:rFonts w:cs="Calibri"/>
                <w:sz w:val="18"/>
                <w:szCs w:val="18"/>
                <w:lang w:val="es-CO" w:eastAsia="es-CO"/>
              </w:rPr>
            </w:pPr>
            <w:r w:rsidRPr="00481112">
              <w:rPr>
                <w:rFonts w:cs="Calibri"/>
                <w:sz w:val="18"/>
                <w:szCs w:val="18"/>
                <w:lang w:val="es-CO" w:eastAsia="es-CO"/>
              </w:rPr>
              <w:t>0</w:t>
            </w:r>
          </w:p>
        </w:tc>
        <w:tc>
          <w:tcPr>
            <w:tcW w:w="1480" w:type="dxa"/>
            <w:tcBorders>
              <w:top w:val="nil"/>
              <w:left w:val="nil"/>
              <w:bottom w:val="single" w:sz="4" w:space="0" w:color="auto"/>
              <w:right w:val="single" w:sz="4" w:space="0" w:color="auto"/>
            </w:tcBorders>
            <w:shd w:val="clear" w:color="auto" w:fill="auto"/>
            <w:noWrap/>
            <w:vAlign w:val="center"/>
            <w:hideMark/>
          </w:tcPr>
          <w:p w14:paraId="48B6E0A3" w14:textId="77777777" w:rsidR="00481112" w:rsidRPr="00481112" w:rsidRDefault="00481112" w:rsidP="00481112">
            <w:pPr>
              <w:spacing w:before="0" w:after="0"/>
              <w:jc w:val="right"/>
              <w:rPr>
                <w:rFonts w:cs="Calibri"/>
                <w:sz w:val="18"/>
                <w:szCs w:val="18"/>
                <w:lang w:val="es-CO" w:eastAsia="es-CO"/>
              </w:rPr>
            </w:pPr>
            <w:r w:rsidRPr="00481112">
              <w:rPr>
                <w:rFonts w:cs="Calibri"/>
                <w:sz w:val="18"/>
                <w:szCs w:val="18"/>
                <w:lang w:val="es-CO" w:eastAsia="es-CO"/>
              </w:rPr>
              <w:t>0%</w:t>
            </w:r>
          </w:p>
        </w:tc>
      </w:tr>
      <w:tr w:rsidR="00481112" w:rsidRPr="00481112" w14:paraId="09FAD91C" w14:textId="77777777" w:rsidTr="0048111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0B0AE5" w14:textId="77777777" w:rsidR="00481112" w:rsidRPr="00481112" w:rsidRDefault="00481112" w:rsidP="00481112">
            <w:pPr>
              <w:spacing w:before="0" w:after="0"/>
              <w:jc w:val="center"/>
              <w:rPr>
                <w:rFonts w:cs="Calibri"/>
                <w:i/>
                <w:iCs/>
                <w:sz w:val="18"/>
                <w:szCs w:val="18"/>
                <w:lang w:val="es-CO" w:eastAsia="es-CO"/>
              </w:rPr>
            </w:pPr>
            <w:r w:rsidRPr="00481112">
              <w:rPr>
                <w:rFonts w:cs="Calibri"/>
                <w:i/>
                <w:iCs/>
                <w:sz w:val="18"/>
                <w:szCs w:val="18"/>
                <w:lang w:val="es-CO" w:eastAsia="es-CO"/>
              </w:rPr>
              <w:t>BRAE</w:t>
            </w:r>
            <w:r w:rsidRPr="00481112">
              <w:rPr>
                <w:rFonts w:cs="Calibri"/>
                <w:i/>
                <w:iCs/>
                <w:sz w:val="18"/>
                <w:szCs w:val="18"/>
                <w:vertAlign w:val="subscript"/>
                <w:lang w:val="es-CO" w:eastAsia="es-CO"/>
              </w:rPr>
              <w:t>j,3,0</w:t>
            </w:r>
          </w:p>
        </w:tc>
        <w:tc>
          <w:tcPr>
            <w:tcW w:w="1512" w:type="dxa"/>
            <w:tcBorders>
              <w:top w:val="nil"/>
              <w:left w:val="nil"/>
              <w:bottom w:val="single" w:sz="4" w:space="0" w:color="auto"/>
              <w:right w:val="single" w:sz="4" w:space="0" w:color="auto"/>
            </w:tcBorders>
            <w:shd w:val="clear" w:color="auto" w:fill="auto"/>
            <w:noWrap/>
            <w:vAlign w:val="center"/>
            <w:hideMark/>
          </w:tcPr>
          <w:p w14:paraId="0EADCBAF" w14:textId="77777777" w:rsidR="00481112" w:rsidRPr="00481112" w:rsidRDefault="00481112" w:rsidP="00481112">
            <w:pPr>
              <w:spacing w:before="0" w:after="0"/>
              <w:jc w:val="right"/>
              <w:rPr>
                <w:rFonts w:cs="Calibri"/>
                <w:sz w:val="18"/>
                <w:szCs w:val="18"/>
                <w:lang w:val="es-CO" w:eastAsia="es-CO"/>
              </w:rPr>
            </w:pPr>
            <w:r w:rsidRPr="00481112">
              <w:rPr>
                <w:rFonts w:cs="Calibri"/>
                <w:sz w:val="18"/>
                <w:szCs w:val="18"/>
                <w:lang w:val="es-CO" w:eastAsia="es-CO"/>
              </w:rPr>
              <w:t>370.533.786</w:t>
            </w:r>
          </w:p>
        </w:tc>
        <w:tc>
          <w:tcPr>
            <w:tcW w:w="1512" w:type="dxa"/>
            <w:tcBorders>
              <w:top w:val="nil"/>
              <w:left w:val="nil"/>
              <w:bottom w:val="single" w:sz="4" w:space="0" w:color="auto"/>
              <w:right w:val="single" w:sz="4" w:space="0" w:color="auto"/>
            </w:tcBorders>
            <w:shd w:val="clear" w:color="auto" w:fill="auto"/>
            <w:noWrap/>
            <w:vAlign w:val="center"/>
            <w:hideMark/>
          </w:tcPr>
          <w:p w14:paraId="3C6BBFE8" w14:textId="77777777" w:rsidR="00481112" w:rsidRPr="00481112" w:rsidRDefault="00481112" w:rsidP="00481112">
            <w:pPr>
              <w:spacing w:before="0" w:after="0"/>
              <w:jc w:val="right"/>
              <w:rPr>
                <w:rFonts w:cs="Calibri"/>
                <w:sz w:val="18"/>
                <w:szCs w:val="18"/>
                <w:lang w:val="es-CO" w:eastAsia="es-CO"/>
              </w:rPr>
            </w:pPr>
            <w:r w:rsidRPr="00481112">
              <w:rPr>
                <w:rFonts w:cs="Calibri"/>
                <w:sz w:val="18"/>
                <w:szCs w:val="18"/>
                <w:lang w:val="es-CO" w:eastAsia="es-CO"/>
              </w:rPr>
              <w:t>3.208.951.158</w:t>
            </w:r>
          </w:p>
        </w:tc>
        <w:tc>
          <w:tcPr>
            <w:tcW w:w="1480" w:type="dxa"/>
            <w:tcBorders>
              <w:top w:val="nil"/>
              <w:left w:val="nil"/>
              <w:bottom w:val="single" w:sz="4" w:space="0" w:color="auto"/>
              <w:right w:val="single" w:sz="4" w:space="0" w:color="auto"/>
            </w:tcBorders>
            <w:shd w:val="clear" w:color="auto" w:fill="auto"/>
            <w:noWrap/>
            <w:vAlign w:val="center"/>
            <w:hideMark/>
          </w:tcPr>
          <w:p w14:paraId="0CADFE20" w14:textId="77777777" w:rsidR="00481112" w:rsidRPr="00481112" w:rsidRDefault="00481112" w:rsidP="00481112">
            <w:pPr>
              <w:spacing w:before="0" w:after="0"/>
              <w:jc w:val="right"/>
              <w:rPr>
                <w:rFonts w:cs="Calibri"/>
                <w:sz w:val="18"/>
                <w:szCs w:val="18"/>
                <w:lang w:val="es-CO" w:eastAsia="es-CO"/>
              </w:rPr>
            </w:pPr>
            <w:r w:rsidRPr="00481112">
              <w:rPr>
                <w:rFonts w:cs="Calibri"/>
                <w:sz w:val="18"/>
                <w:szCs w:val="18"/>
                <w:lang w:val="es-CO" w:eastAsia="es-CO"/>
              </w:rPr>
              <w:t>766%</w:t>
            </w:r>
          </w:p>
        </w:tc>
      </w:tr>
      <w:tr w:rsidR="00481112" w:rsidRPr="00481112" w14:paraId="57974E18" w14:textId="77777777" w:rsidTr="0048111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67C596" w14:textId="77777777" w:rsidR="00481112" w:rsidRPr="00481112" w:rsidRDefault="00481112" w:rsidP="00481112">
            <w:pPr>
              <w:spacing w:before="0" w:after="0"/>
              <w:jc w:val="center"/>
              <w:rPr>
                <w:rFonts w:cs="Calibri"/>
                <w:i/>
                <w:iCs/>
                <w:sz w:val="18"/>
                <w:szCs w:val="18"/>
                <w:lang w:val="es-CO" w:eastAsia="es-CO"/>
              </w:rPr>
            </w:pPr>
            <w:r w:rsidRPr="00481112">
              <w:rPr>
                <w:rFonts w:cs="Calibri"/>
                <w:i/>
                <w:iCs/>
                <w:sz w:val="18"/>
                <w:szCs w:val="18"/>
                <w:lang w:val="es-CO" w:eastAsia="es-CO"/>
              </w:rPr>
              <w:t>BRAE</w:t>
            </w:r>
            <w:r w:rsidRPr="00481112">
              <w:rPr>
                <w:rFonts w:cs="Calibri"/>
                <w:i/>
                <w:iCs/>
                <w:sz w:val="18"/>
                <w:szCs w:val="18"/>
                <w:vertAlign w:val="subscript"/>
                <w:lang w:val="es-CO" w:eastAsia="es-CO"/>
              </w:rPr>
              <w:t>j,2,0</w:t>
            </w:r>
          </w:p>
        </w:tc>
        <w:tc>
          <w:tcPr>
            <w:tcW w:w="1512" w:type="dxa"/>
            <w:tcBorders>
              <w:top w:val="nil"/>
              <w:left w:val="nil"/>
              <w:bottom w:val="single" w:sz="4" w:space="0" w:color="auto"/>
              <w:right w:val="single" w:sz="4" w:space="0" w:color="auto"/>
            </w:tcBorders>
            <w:shd w:val="clear" w:color="auto" w:fill="auto"/>
            <w:noWrap/>
            <w:vAlign w:val="center"/>
            <w:hideMark/>
          </w:tcPr>
          <w:p w14:paraId="6313F118" w14:textId="77777777" w:rsidR="00481112" w:rsidRPr="00481112" w:rsidRDefault="00481112" w:rsidP="00481112">
            <w:pPr>
              <w:spacing w:before="0" w:after="0"/>
              <w:jc w:val="right"/>
              <w:rPr>
                <w:rFonts w:cs="Calibri"/>
                <w:sz w:val="18"/>
                <w:szCs w:val="18"/>
                <w:lang w:val="es-CO" w:eastAsia="es-CO"/>
              </w:rPr>
            </w:pPr>
            <w:r w:rsidRPr="00481112">
              <w:rPr>
                <w:rFonts w:cs="Calibri"/>
                <w:sz w:val="18"/>
                <w:szCs w:val="18"/>
                <w:lang w:val="es-CO" w:eastAsia="es-CO"/>
              </w:rPr>
              <w:t>1.185.500.108</w:t>
            </w:r>
          </w:p>
        </w:tc>
        <w:tc>
          <w:tcPr>
            <w:tcW w:w="1512" w:type="dxa"/>
            <w:tcBorders>
              <w:top w:val="nil"/>
              <w:left w:val="nil"/>
              <w:bottom w:val="single" w:sz="4" w:space="0" w:color="auto"/>
              <w:right w:val="single" w:sz="4" w:space="0" w:color="auto"/>
            </w:tcBorders>
            <w:shd w:val="clear" w:color="auto" w:fill="auto"/>
            <w:noWrap/>
            <w:vAlign w:val="center"/>
            <w:hideMark/>
          </w:tcPr>
          <w:p w14:paraId="0F150B40" w14:textId="77777777" w:rsidR="00481112" w:rsidRPr="00481112" w:rsidRDefault="00481112" w:rsidP="00481112">
            <w:pPr>
              <w:spacing w:before="0" w:after="0"/>
              <w:jc w:val="right"/>
              <w:rPr>
                <w:rFonts w:cs="Calibri"/>
                <w:sz w:val="18"/>
                <w:szCs w:val="18"/>
                <w:lang w:val="es-CO" w:eastAsia="es-CO"/>
              </w:rPr>
            </w:pPr>
            <w:r w:rsidRPr="00481112">
              <w:rPr>
                <w:rFonts w:cs="Calibri"/>
                <w:sz w:val="18"/>
                <w:szCs w:val="18"/>
                <w:lang w:val="es-CO" w:eastAsia="es-CO"/>
              </w:rPr>
              <w:t>2.273.551.221</w:t>
            </w:r>
          </w:p>
        </w:tc>
        <w:tc>
          <w:tcPr>
            <w:tcW w:w="1480" w:type="dxa"/>
            <w:tcBorders>
              <w:top w:val="nil"/>
              <w:left w:val="nil"/>
              <w:bottom w:val="single" w:sz="4" w:space="0" w:color="auto"/>
              <w:right w:val="single" w:sz="4" w:space="0" w:color="auto"/>
            </w:tcBorders>
            <w:shd w:val="clear" w:color="auto" w:fill="auto"/>
            <w:noWrap/>
            <w:vAlign w:val="center"/>
            <w:hideMark/>
          </w:tcPr>
          <w:p w14:paraId="355D4E72" w14:textId="77777777" w:rsidR="00481112" w:rsidRPr="00481112" w:rsidRDefault="00481112" w:rsidP="00481112">
            <w:pPr>
              <w:spacing w:before="0" w:after="0"/>
              <w:jc w:val="right"/>
              <w:rPr>
                <w:rFonts w:cs="Calibri"/>
                <w:sz w:val="18"/>
                <w:szCs w:val="18"/>
                <w:lang w:val="es-CO" w:eastAsia="es-CO"/>
              </w:rPr>
            </w:pPr>
            <w:r w:rsidRPr="00481112">
              <w:rPr>
                <w:rFonts w:cs="Calibri"/>
                <w:sz w:val="18"/>
                <w:szCs w:val="18"/>
                <w:lang w:val="es-CO" w:eastAsia="es-CO"/>
              </w:rPr>
              <w:t>92%</w:t>
            </w:r>
          </w:p>
        </w:tc>
      </w:tr>
      <w:tr w:rsidR="00481112" w:rsidRPr="00481112" w14:paraId="7D93A523" w14:textId="77777777" w:rsidTr="0048111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9BD106" w14:textId="77777777" w:rsidR="00481112" w:rsidRPr="00481112" w:rsidRDefault="00481112" w:rsidP="00481112">
            <w:pPr>
              <w:spacing w:before="0" w:after="0"/>
              <w:jc w:val="center"/>
              <w:rPr>
                <w:rFonts w:cs="Calibri"/>
                <w:i/>
                <w:iCs/>
                <w:sz w:val="18"/>
                <w:szCs w:val="18"/>
                <w:lang w:val="es-CO" w:eastAsia="es-CO"/>
              </w:rPr>
            </w:pPr>
            <w:r w:rsidRPr="00481112">
              <w:rPr>
                <w:rFonts w:cs="Calibri"/>
                <w:i/>
                <w:iCs/>
                <w:sz w:val="18"/>
                <w:szCs w:val="18"/>
                <w:lang w:val="es-CO" w:eastAsia="es-CO"/>
              </w:rPr>
              <w:t>BRAE</w:t>
            </w:r>
            <w:r w:rsidRPr="00481112">
              <w:rPr>
                <w:rFonts w:cs="Calibri"/>
                <w:i/>
                <w:iCs/>
                <w:sz w:val="18"/>
                <w:szCs w:val="18"/>
                <w:vertAlign w:val="subscript"/>
                <w:lang w:val="es-CO" w:eastAsia="es-CO"/>
              </w:rPr>
              <w:t>j,1,0</w:t>
            </w:r>
          </w:p>
        </w:tc>
        <w:tc>
          <w:tcPr>
            <w:tcW w:w="1512" w:type="dxa"/>
            <w:tcBorders>
              <w:top w:val="nil"/>
              <w:left w:val="nil"/>
              <w:bottom w:val="single" w:sz="4" w:space="0" w:color="auto"/>
              <w:right w:val="single" w:sz="4" w:space="0" w:color="auto"/>
            </w:tcBorders>
            <w:shd w:val="clear" w:color="auto" w:fill="auto"/>
            <w:noWrap/>
            <w:vAlign w:val="center"/>
            <w:hideMark/>
          </w:tcPr>
          <w:p w14:paraId="0EAEB903" w14:textId="77777777" w:rsidR="00481112" w:rsidRPr="00481112" w:rsidRDefault="00481112" w:rsidP="00481112">
            <w:pPr>
              <w:spacing w:before="0" w:after="0"/>
              <w:jc w:val="right"/>
              <w:rPr>
                <w:rFonts w:cs="Calibri"/>
                <w:sz w:val="18"/>
                <w:szCs w:val="18"/>
                <w:lang w:val="es-CO" w:eastAsia="es-CO"/>
              </w:rPr>
            </w:pPr>
            <w:r w:rsidRPr="00481112">
              <w:rPr>
                <w:rFonts w:cs="Calibri"/>
                <w:sz w:val="18"/>
                <w:szCs w:val="18"/>
                <w:lang w:val="es-CO" w:eastAsia="es-CO"/>
              </w:rPr>
              <w:t>247.555.011</w:t>
            </w:r>
          </w:p>
        </w:tc>
        <w:tc>
          <w:tcPr>
            <w:tcW w:w="1512" w:type="dxa"/>
            <w:tcBorders>
              <w:top w:val="nil"/>
              <w:left w:val="nil"/>
              <w:bottom w:val="single" w:sz="4" w:space="0" w:color="auto"/>
              <w:right w:val="single" w:sz="4" w:space="0" w:color="auto"/>
            </w:tcBorders>
            <w:shd w:val="clear" w:color="auto" w:fill="auto"/>
            <w:noWrap/>
            <w:vAlign w:val="center"/>
            <w:hideMark/>
          </w:tcPr>
          <w:p w14:paraId="5FFC55CB" w14:textId="77777777" w:rsidR="00481112" w:rsidRPr="00481112" w:rsidRDefault="00481112" w:rsidP="00481112">
            <w:pPr>
              <w:spacing w:before="0" w:after="0"/>
              <w:jc w:val="right"/>
              <w:rPr>
                <w:rFonts w:cs="Calibri"/>
                <w:sz w:val="18"/>
                <w:szCs w:val="18"/>
                <w:lang w:val="es-CO" w:eastAsia="es-CO"/>
              </w:rPr>
            </w:pPr>
            <w:r w:rsidRPr="00481112">
              <w:rPr>
                <w:rFonts w:cs="Calibri"/>
                <w:sz w:val="18"/>
                <w:szCs w:val="18"/>
                <w:lang w:val="es-CO" w:eastAsia="es-CO"/>
              </w:rPr>
              <w:t>270.939.675</w:t>
            </w:r>
          </w:p>
        </w:tc>
        <w:tc>
          <w:tcPr>
            <w:tcW w:w="1480" w:type="dxa"/>
            <w:tcBorders>
              <w:top w:val="nil"/>
              <w:left w:val="nil"/>
              <w:bottom w:val="single" w:sz="4" w:space="0" w:color="auto"/>
              <w:right w:val="single" w:sz="4" w:space="0" w:color="auto"/>
            </w:tcBorders>
            <w:shd w:val="clear" w:color="auto" w:fill="auto"/>
            <w:noWrap/>
            <w:vAlign w:val="center"/>
            <w:hideMark/>
          </w:tcPr>
          <w:p w14:paraId="6E74454E" w14:textId="77777777" w:rsidR="00481112" w:rsidRPr="00481112" w:rsidRDefault="00481112" w:rsidP="00481112">
            <w:pPr>
              <w:spacing w:before="0" w:after="0"/>
              <w:jc w:val="right"/>
              <w:rPr>
                <w:rFonts w:cs="Calibri"/>
                <w:sz w:val="18"/>
                <w:szCs w:val="18"/>
                <w:lang w:val="es-CO" w:eastAsia="es-CO"/>
              </w:rPr>
            </w:pPr>
            <w:r w:rsidRPr="00481112">
              <w:rPr>
                <w:rFonts w:cs="Calibri"/>
                <w:sz w:val="18"/>
                <w:szCs w:val="18"/>
                <w:lang w:val="es-CO" w:eastAsia="es-CO"/>
              </w:rPr>
              <w:t>9%</w:t>
            </w:r>
          </w:p>
        </w:tc>
      </w:tr>
      <w:tr w:rsidR="00481112" w:rsidRPr="00481112" w14:paraId="0AFABC6E" w14:textId="77777777" w:rsidTr="00481112">
        <w:trPr>
          <w:trHeight w:val="290"/>
          <w:jc w:val="center"/>
        </w:trPr>
        <w:tc>
          <w:tcPr>
            <w:tcW w:w="960" w:type="dxa"/>
            <w:tcBorders>
              <w:top w:val="nil"/>
              <w:left w:val="single" w:sz="4" w:space="0" w:color="auto"/>
              <w:bottom w:val="single" w:sz="4" w:space="0" w:color="auto"/>
              <w:right w:val="single" w:sz="4" w:space="0" w:color="auto"/>
            </w:tcBorders>
            <w:shd w:val="clear" w:color="000000" w:fill="DDEBF7"/>
            <w:noWrap/>
            <w:vAlign w:val="center"/>
            <w:hideMark/>
          </w:tcPr>
          <w:p w14:paraId="24332DD2" w14:textId="77777777" w:rsidR="00481112" w:rsidRPr="00481112" w:rsidRDefault="00481112" w:rsidP="00481112">
            <w:pPr>
              <w:spacing w:before="0" w:after="0"/>
              <w:jc w:val="left"/>
              <w:rPr>
                <w:rFonts w:cs="Calibri"/>
                <w:b/>
                <w:bCs/>
                <w:i/>
                <w:iCs/>
                <w:sz w:val="18"/>
                <w:szCs w:val="18"/>
                <w:lang w:val="es-CO" w:eastAsia="es-CO"/>
              </w:rPr>
            </w:pPr>
            <w:r w:rsidRPr="00481112">
              <w:rPr>
                <w:rFonts w:cs="Calibri"/>
                <w:b/>
                <w:bCs/>
                <w:i/>
                <w:iCs/>
                <w:sz w:val="18"/>
                <w:szCs w:val="18"/>
                <w:lang w:val="es-CO" w:eastAsia="es-CO"/>
              </w:rPr>
              <w:t>Total</w:t>
            </w:r>
          </w:p>
        </w:tc>
        <w:tc>
          <w:tcPr>
            <w:tcW w:w="1512" w:type="dxa"/>
            <w:tcBorders>
              <w:top w:val="nil"/>
              <w:left w:val="nil"/>
              <w:bottom w:val="single" w:sz="4" w:space="0" w:color="auto"/>
              <w:right w:val="single" w:sz="4" w:space="0" w:color="auto"/>
            </w:tcBorders>
            <w:shd w:val="clear" w:color="000000" w:fill="DDEBF7"/>
            <w:noWrap/>
            <w:vAlign w:val="center"/>
            <w:hideMark/>
          </w:tcPr>
          <w:p w14:paraId="5A719FBD" w14:textId="77777777" w:rsidR="00481112" w:rsidRPr="00481112" w:rsidRDefault="00481112" w:rsidP="00481112">
            <w:pPr>
              <w:spacing w:before="0" w:after="0"/>
              <w:jc w:val="right"/>
              <w:rPr>
                <w:rFonts w:cs="Calibri"/>
                <w:b/>
                <w:bCs/>
                <w:sz w:val="18"/>
                <w:szCs w:val="18"/>
                <w:lang w:val="es-CO" w:eastAsia="es-CO"/>
              </w:rPr>
            </w:pPr>
            <w:r w:rsidRPr="00481112">
              <w:rPr>
                <w:rFonts w:cs="Calibri"/>
                <w:b/>
                <w:bCs/>
                <w:sz w:val="18"/>
                <w:szCs w:val="18"/>
                <w:lang w:val="es-CO" w:eastAsia="es-CO"/>
              </w:rPr>
              <w:t>1.803.588.905</w:t>
            </w:r>
          </w:p>
        </w:tc>
        <w:tc>
          <w:tcPr>
            <w:tcW w:w="1512" w:type="dxa"/>
            <w:tcBorders>
              <w:top w:val="nil"/>
              <w:left w:val="nil"/>
              <w:bottom w:val="single" w:sz="4" w:space="0" w:color="auto"/>
              <w:right w:val="single" w:sz="4" w:space="0" w:color="auto"/>
            </w:tcBorders>
            <w:shd w:val="clear" w:color="000000" w:fill="DDEBF7"/>
            <w:noWrap/>
            <w:vAlign w:val="center"/>
            <w:hideMark/>
          </w:tcPr>
          <w:p w14:paraId="5409F651" w14:textId="77777777" w:rsidR="00481112" w:rsidRPr="00481112" w:rsidRDefault="00481112" w:rsidP="00481112">
            <w:pPr>
              <w:spacing w:before="0" w:after="0"/>
              <w:jc w:val="right"/>
              <w:rPr>
                <w:rFonts w:cs="Calibri"/>
                <w:b/>
                <w:bCs/>
                <w:sz w:val="18"/>
                <w:szCs w:val="18"/>
                <w:lang w:val="es-CO" w:eastAsia="es-CO"/>
              </w:rPr>
            </w:pPr>
            <w:r w:rsidRPr="00481112">
              <w:rPr>
                <w:rFonts w:cs="Calibri"/>
                <w:b/>
                <w:bCs/>
                <w:sz w:val="18"/>
                <w:szCs w:val="18"/>
                <w:lang w:val="es-CO" w:eastAsia="es-CO"/>
              </w:rPr>
              <w:t>5.753.442.054</w:t>
            </w:r>
          </w:p>
        </w:tc>
        <w:tc>
          <w:tcPr>
            <w:tcW w:w="1480" w:type="dxa"/>
            <w:tcBorders>
              <w:top w:val="nil"/>
              <w:left w:val="nil"/>
              <w:bottom w:val="single" w:sz="4" w:space="0" w:color="auto"/>
              <w:right w:val="single" w:sz="4" w:space="0" w:color="auto"/>
            </w:tcBorders>
            <w:shd w:val="clear" w:color="000000" w:fill="DDEBF7"/>
            <w:noWrap/>
            <w:vAlign w:val="center"/>
            <w:hideMark/>
          </w:tcPr>
          <w:p w14:paraId="1D3B6768" w14:textId="77777777" w:rsidR="00481112" w:rsidRPr="00481112" w:rsidRDefault="00481112" w:rsidP="00481112">
            <w:pPr>
              <w:spacing w:before="0" w:after="0"/>
              <w:jc w:val="right"/>
              <w:rPr>
                <w:rFonts w:cs="Calibri"/>
                <w:b/>
                <w:bCs/>
                <w:sz w:val="18"/>
                <w:szCs w:val="18"/>
                <w:lang w:val="es-CO" w:eastAsia="es-CO"/>
              </w:rPr>
            </w:pPr>
            <w:r w:rsidRPr="00481112">
              <w:rPr>
                <w:rFonts w:cs="Calibri"/>
                <w:b/>
                <w:bCs/>
                <w:sz w:val="18"/>
                <w:szCs w:val="18"/>
                <w:lang w:val="es-CO" w:eastAsia="es-CO"/>
              </w:rPr>
              <w:t>219%</w:t>
            </w:r>
          </w:p>
        </w:tc>
      </w:tr>
    </w:tbl>
    <w:p w14:paraId="27378209" w14:textId="69105C89" w:rsidR="00421BF1" w:rsidRDefault="00481112" w:rsidP="00421BF1">
      <w:r>
        <w:t xml:space="preserve">Y </w:t>
      </w:r>
      <w:r w:rsidR="0036498A">
        <w:t>los siguientes valores para los activos puestos en operación durante 2018:</w:t>
      </w:r>
    </w:p>
    <w:p w14:paraId="17612BE9" w14:textId="505327A2" w:rsidR="004155C1" w:rsidRPr="003C05B1" w:rsidRDefault="004155C1" w:rsidP="004155C1">
      <w:pPr>
        <w:pStyle w:val="Descripcin"/>
        <w:rPr>
          <w:sz w:val="18"/>
          <w:szCs w:val="18"/>
        </w:rPr>
      </w:pPr>
      <w:r w:rsidRPr="003C05B1">
        <w:rPr>
          <w:sz w:val="18"/>
          <w:szCs w:val="18"/>
        </w:rPr>
        <w:t xml:space="preserve">Tabla </w:t>
      </w:r>
      <w:r w:rsidRPr="003C05B1">
        <w:rPr>
          <w:sz w:val="18"/>
          <w:szCs w:val="18"/>
        </w:rPr>
        <w:fldChar w:fldCharType="begin"/>
      </w:r>
      <w:r w:rsidRPr="003C05B1">
        <w:rPr>
          <w:sz w:val="18"/>
          <w:szCs w:val="18"/>
        </w:rPr>
        <w:instrText xml:space="preserve"> SEQ Tabla \* ARABIC </w:instrText>
      </w:r>
      <w:r w:rsidRPr="003C05B1">
        <w:rPr>
          <w:sz w:val="18"/>
          <w:szCs w:val="18"/>
        </w:rPr>
        <w:fldChar w:fldCharType="separate"/>
      </w:r>
      <w:r w:rsidR="00555F38">
        <w:rPr>
          <w:noProof/>
          <w:sz w:val="18"/>
          <w:szCs w:val="18"/>
        </w:rPr>
        <w:t>4</w:t>
      </w:r>
      <w:r w:rsidRPr="003C05B1">
        <w:rPr>
          <w:sz w:val="18"/>
          <w:szCs w:val="18"/>
        </w:rPr>
        <w:fldChar w:fldCharType="end"/>
      </w:r>
      <w:r w:rsidRPr="003C05B1">
        <w:rPr>
          <w:sz w:val="18"/>
          <w:szCs w:val="18"/>
        </w:rPr>
        <w:t xml:space="preserve"> Valoración </w:t>
      </w:r>
      <w:r w:rsidR="003C05B1" w:rsidRPr="003C05B1">
        <w:rPr>
          <w:sz w:val="18"/>
          <w:szCs w:val="18"/>
        </w:rPr>
        <w:t>p</w:t>
      </w:r>
      <w:r w:rsidRPr="003C05B1">
        <w:rPr>
          <w:sz w:val="18"/>
          <w:szCs w:val="18"/>
        </w:rPr>
        <w:t>ropuesta de activos puestos en operación durante 2018</w:t>
      </w:r>
      <w:r w:rsidR="003C05B1">
        <w:rPr>
          <w:sz w:val="18"/>
          <w:szCs w:val="18"/>
        </w:rPr>
        <w:t xml:space="preserve"> ($ de dic. de 2017)</w:t>
      </w:r>
    </w:p>
    <w:tbl>
      <w:tblPr>
        <w:tblW w:w="6000" w:type="dxa"/>
        <w:jc w:val="center"/>
        <w:tblCellMar>
          <w:left w:w="70" w:type="dxa"/>
          <w:right w:w="70" w:type="dxa"/>
        </w:tblCellMar>
        <w:tblLook w:val="04A0" w:firstRow="1" w:lastRow="0" w:firstColumn="1" w:lastColumn="0" w:noHBand="0" w:noVBand="1"/>
      </w:tblPr>
      <w:tblGrid>
        <w:gridCol w:w="1560"/>
        <w:gridCol w:w="1480"/>
        <w:gridCol w:w="1480"/>
        <w:gridCol w:w="1480"/>
      </w:tblGrid>
      <w:tr w:rsidR="004155C1" w:rsidRPr="004155C1" w14:paraId="61397BA2" w14:textId="77777777" w:rsidTr="004155C1">
        <w:trPr>
          <w:trHeight w:val="460"/>
          <w:jc w:val="center"/>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B1013" w14:textId="77777777" w:rsidR="004155C1" w:rsidRPr="004155C1" w:rsidRDefault="004155C1" w:rsidP="004155C1">
            <w:pPr>
              <w:spacing w:before="0" w:after="0"/>
              <w:jc w:val="center"/>
              <w:rPr>
                <w:rFonts w:cs="Calibri"/>
                <w:b/>
                <w:bCs/>
                <w:color w:val="000000"/>
                <w:sz w:val="18"/>
                <w:szCs w:val="18"/>
                <w:lang w:val="es-CO" w:eastAsia="es-CO"/>
              </w:rPr>
            </w:pPr>
            <w:r w:rsidRPr="004155C1">
              <w:rPr>
                <w:rFonts w:cs="Calibri"/>
                <w:b/>
                <w:bCs/>
                <w:color w:val="000000"/>
                <w:sz w:val="18"/>
                <w:szCs w:val="18"/>
                <w:lang w:val="es-CO" w:eastAsia="es-CO"/>
              </w:rPr>
              <w:t xml:space="preserve">Categoría de activos </w:t>
            </w:r>
            <w:r w:rsidRPr="004155C1">
              <w:rPr>
                <w:rFonts w:cs="Calibri"/>
                <w:b/>
                <w:bCs/>
                <w:i/>
                <w:iCs/>
                <w:color w:val="000000"/>
                <w:sz w:val="18"/>
                <w:szCs w:val="18"/>
                <w:lang w:val="es-CO" w:eastAsia="es-CO"/>
              </w:rPr>
              <w:t>l</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14:paraId="29346020" w14:textId="77777777" w:rsidR="004155C1" w:rsidRPr="004155C1" w:rsidRDefault="004155C1" w:rsidP="004155C1">
            <w:pPr>
              <w:spacing w:before="0" w:after="0"/>
              <w:jc w:val="center"/>
              <w:rPr>
                <w:rFonts w:cs="Calibri"/>
                <w:b/>
                <w:bCs/>
                <w:i/>
                <w:iCs/>
                <w:sz w:val="18"/>
                <w:szCs w:val="18"/>
                <w:lang w:val="es-CO" w:eastAsia="es-CO"/>
              </w:rPr>
            </w:pPr>
            <w:r w:rsidRPr="004155C1">
              <w:rPr>
                <w:rFonts w:cs="Calibri"/>
                <w:b/>
                <w:bCs/>
                <w:i/>
                <w:iCs/>
                <w:sz w:val="18"/>
                <w:szCs w:val="18"/>
                <w:lang w:val="es-CO" w:eastAsia="es-CO"/>
              </w:rPr>
              <w:t>Nivel 3</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14:paraId="59588071" w14:textId="77777777" w:rsidR="004155C1" w:rsidRPr="004155C1" w:rsidRDefault="004155C1" w:rsidP="004155C1">
            <w:pPr>
              <w:spacing w:before="0" w:after="0"/>
              <w:jc w:val="center"/>
              <w:rPr>
                <w:rFonts w:cs="Calibri"/>
                <w:b/>
                <w:bCs/>
                <w:i/>
                <w:iCs/>
                <w:sz w:val="18"/>
                <w:szCs w:val="18"/>
                <w:lang w:val="es-CO" w:eastAsia="es-CO"/>
              </w:rPr>
            </w:pPr>
            <w:r w:rsidRPr="004155C1">
              <w:rPr>
                <w:rFonts w:cs="Calibri"/>
                <w:b/>
                <w:bCs/>
                <w:i/>
                <w:iCs/>
                <w:sz w:val="18"/>
                <w:szCs w:val="18"/>
                <w:lang w:val="es-CO" w:eastAsia="es-CO"/>
              </w:rPr>
              <w:t>Nivel 2</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14:paraId="33446091" w14:textId="77777777" w:rsidR="004155C1" w:rsidRPr="004155C1" w:rsidRDefault="004155C1" w:rsidP="004155C1">
            <w:pPr>
              <w:spacing w:before="0" w:after="0"/>
              <w:jc w:val="center"/>
              <w:rPr>
                <w:rFonts w:cs="Calibri"/>
                <w:b/>
                <w:bCs/>
                <w:i/>
                <w:iCs/>
                <w:sz w:val="18"/>
                <w:szCs w:val="18"/>
                <w:lang w:val="es-CO" w:eastAsia="es-CO"/>
              </w:rPr>
            </w:pPr>
            <w:r w:rsidRPr="004155C1">
              <w:rPr>
                <w:rFonts w:cs="Calibri"/>
                <w:b/>
                <w:bCs/>
                <w:i/>
                <w:iCs/>
                <w:sz w:val="18"/>
                <w:szCs w:val="18"/>
                <w:lang w:val="es-CO" w:eastAsia="es-CO"/>
              </w:rPr>
              <w:t>Nivel 1</w:t>
            </w:r>
          </w:p>
        </w:tc>
      </w:tr>
      <w:tr w:rsidR="004155C1" w:rsidRPr="004155C1" w14:paraId="24C89752" w14:textId="77777777" w:rsidTr="004155C1">
        <w:trPr>
          <w:trHeight w:val="29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14:paraId="7548D156" w14:textId="77777777" w:rsidR="004155C1" w:rsidRPr="004155C1" w:rsidRDefault="004155C1" w:rsidP="004155C1">
            <w:pPr>
              <w:spacing w:before="0" w:after="0"/>
              <w:jc w:val="center"/>
              <w:rPr>
                <w:rFonts w:cs="Calibri"/>
                <w:i/>
                <w:iCs/>
                <w:color w:val="000000"/>
                <w:sz w:val="18"/>
                <w:szCs w:val="18"/>
                <w:lang w:val="es-CO" w:eastAsia="es-CO"/>
              </w:rPr>
            </w:pPr>
            <w:r w:rsidRPr="004155C1">
              <w:rPr>
                <w:rFonts w:cs="Calibri"/>
                <w:i/>
                <w:iCs/>
                <w:color w:val="000000"/>
                <w:sz w:val="18"/>
                <w:szCs w:val="18"/>
                <w:lang w:val="es-CO" w:eastAsia="es-CO"/>
              </w:rPr>
              <w:t>l = 7</w:t>
            </w:r>
          </w:p>
        </w:tc>
        <w:tc>
          <w:tcPr>
            <w:tcW w:w="1480" w:type="dxa"/>
            <w:tcBorders>
              <w:top w:val="nil"/>
              <w:left w:val="nil"/>
              <w:bottom w:val="single" w:sz="4" w:space="0" w:color="auto"/>
              <w:right w:val="single" w:sz="4" w:space="0" w:color="auto"/>
            </w:tcBorders>
            <w:shd w:val="clear" w:color="auto" w:fill="auto"/>
            <w:noWrap/>
            <w:vAlign w:val="center"/>
            <w:hideMark/>
          </w:tcPr>
          <w:p w14:paraId="0593C822" w14:textId="77777777" w:rsidR="004155C1" w:rsidRPr="004155C1" w:rsidRDefault="004155C1" w:rsidP="004155C1">
            <w:pPr>
              <w:spacing w:before="0" w:after="0"/>
              <w:jc w:val="right"/>
              <w:rPr>
                <w:rFonts w:cs="Calibri"/>
                <w:sz w:val="18"/>
                <w:szCs w:val="18"/>
                <w:lang w:val="es-CO" w:eastAsia="es-CO"/>
              </w:rPr>
            </w:pPr>
            <w:r w:rsidRPr="004155C1">
              <w:rPr>
                <w:rFonts w:cs="Calibri"/>
                <w:sz w:val="18"/>
                <w:szCs w:val="18"/>
                <w:lang w:val="es-CO" w:eastAsia="es-CO"/>
              </w:rPr>
              <w:t>0</w:t>
            </w:r>
          </w:p>
        </w:tc>
        <w:tc>
          <w:tcPr>
            <w:tcW w:w="1480" w:type="dxa"/>
            <w:tcBorders>
              <w:top w:val="nil"/>
              <w:left w:val="nil"/>
              <w:bottom w:val="single" w:sz="4" w:space="0" w:color="auto"/>
              <w:right w:val="single" w:sz="4" w:space="0" w:color="auto"/>
            </w:tcBorders>
            <w:shd w:val="clear" w:color="auto" w:fill="auto"/>
            <w:noWrap/>
            <w:vAlign w:val="center"/>
            <w:hideMark/>
          </w:tcPr>
          <w:p w14:paraId="11716572" w14:textId="77777777" w:rsidR="004155C1" w:rsidRPr="004155C1" w:rsidRDefault="004155C1" w:rsidP="004155C1">
            <w:pPr>
              <w:spacing w:before="0" w:after="0"/>
              <w:jc w:val="right"/>
              <w:rPr>
                <w:rFonts w:cs="Calibri"/>
                <w:sz w:val="18"/>
                <w:szCs w:val="18"/>
                <w:lang w:val="es-CO" w:eastAsia="es-CO"/>
              </w:rPr>
            </w:pPr>
            <w:r w:rsidRPr="004155C1">
              <w:rPr>
                <w:rFonts w:cs="Calibri"/>
                <w:sz w:val="18"/>
                <w:szCs w:val="18"/>
                <w:lang w:val="es-CO" w:eastAsia="es-CO"/>
              </w:rPr>
              <w:t>306.218.877</w:t>
            </w:r>
          </w:p>
        </w:tc>
        <w:tc>
          <w:tcPr>
            <w:tcW w:w="1480" w:type="dxa"/>
            <w:tcBorders>
              <w:top w:val="nil"/>
              <w:left w:val="nil"/>
              <w:bottom w:val="single" w:sz="4" w:space="0" w:color="auto"/>
              <w:right w:val="single" w:sz="4" w:space="0" w:color="auto"/>
            </w:tcBorders>
            <w:shd w:val="clear" w:color="auto" w:fill="auto"/>
            <w:noWrap/>
            <w:vAlign w:val="center"/>
            <w:hideMark/>
          </w:tcPr>
          <w:p w14:paraId="464D7685" w14:textId="77777777" w:rsidR="004155C1" w:rsidRPr="004155C1" w:rsidRDefault="004155C1" w:rsidP="004155C1">
            <w:pPr>
              <w:spacing w:before="0" w:after="0"/>
              <w:jc w:val="right"/>
              <w:rPr>
                <w:rFonts w:cs="Calibri"/>
                <w:sz w:val="18"/>
                <w:szCs w:val="18"/>
                <w:lang w:val="es-CO" w:eastAsia="es-CO"/>
              </w:rPr>
            </w:pPr>
            <w:r w:rsidRPr="004155C1">
              <w:rPr>
                <w:rFonts w:cs="Calibri"/>
                <w:sz w:val="18"/>
                <w:szCs w:val="18"/>
                <w:lang w:val="es-CO" w:eastAsia="es-CO"/>
              </w:rPr>
              <w:t>0</w:t>
            </w:r>
          </w:p>
        </w:tc>
      </w:tr>
      <w:tr w:rsidR="004155C1" w:rsidRPr="004155C1" w14:paraId="5D3B688F" w14:textId="77777777" w:rsidTr="004155C1">
        <w:trPr>
          <w:trHeight w:val="29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14:paraId="3E61F7CF" w14:textId="77777777" w:rsidR="004155C1" w:rsidRPr="004155C1" w:rsidRDefault="004155C1" w:rsidP="004155C1">
            <w:pPr>
              <w:spacing w:before="0" w:after="0"/>
              <w:jc w:val="center"/>
              <w:rPr>
                <w:rFonts w:cs="Calibri"/>
                <w:i/>
                <w:iCs/>
                <w:color w:val="000000"/>
                <w:sz w:val="18"/>
                <w:szCs w:val="18"/>
                <w:lang w:val="es-CO" w:eastAsia="es-CO"/>
              </w:rPr>
            </w:pPr>
            <w:r w:rsidRPr="004155C1">
              <w:rPr>
                <w:rFonts w:cs="Calibri"/>
                <w:i/>
                <w:iCs/>
                <w:color w:val="000000"/>
                <w:sz w:val="18"/>
                <w:szCs w:val="18"/>
                <w:lang w:val="es-CO" w:eastAsia="es-CO"/>
              </w:rPr>
              <w:t>l = 8</w:t>
            </w:r>
          </w:p>
        </w:tc>
        <w:tc>
          <w:tcPr>
            <w:tcW w:w="1480" w:type="dxa"/>
            <w:tcBorders>
              <w:top w:val="nil"/>
              <w:left w:val="nil"/>
              <w:bottom w:val="single" w:sz="4" w:space="0" w:color="auto"/>
              <w:right w:val="single" w:sz="4" w:space="0" w:color="auto"/>
            </w:tcBorders>
            <w:shd w:val="clear" w:color="auto" w:fill="auto"/>
            <w:noWrap/>
            <w:vAlign w:val="center"/>
            <w:hideMark/>
          </w:tcPr>
          <w:p w14:paraId="4F6CA3EE" w14:textId="77777777" w:rsidR="004155C1" w:rsidRPr="004155C1" w:rsidRDefault="004155C1" w:rsidP="004155C1">
            <w:pPr>
              <w:spacing w:before="0" w:after="0"/>
              <w:jc w:val="right"/>
              <w:rPr>
                <w:rFonts w:cs="Calibri"/>
                <w:sz w:val="18"/>
                <w:szCs w:val="18"/>
                <w:lang w:val="es-CO" w:eastAsia="es-CO"/>
              </w:rPr>
            </w:pPr>
            <w:r w:rsidRPr="004155C1">
              <w:rPr>
                <w:rFonts w:cs="Calibri"/>
                <w:sz w:val="18"/>
                <w:szCs w:val="18"/>
                <w:lang w:val="es-CO" w:eastAsia="es-CO"/>
              </w:rPr>
              <w:t>0</w:t>
            </w:r>
          </w:p>
        </w:tc>
        <w:tc>
          <w:tcPr>
            <w:tcW w:w="1480" w:type="dxa"/>
            <w:tcBorders>
              <w:top w:val="nil"/>
              <w:left w:val="nil"/>
              <w:bottom w:val="single" w:sz="4" w:space="0" w:color="auto"/>
              <w:right w:val="single" w:sz="4" w:space="0" w:color="auto"/>
            </w:tcBorders>
            <w:shd w:val="clear" w:color="auto" w:fill="auto"/>
            <w:noWrap/>
            <w:vAlign w:val="center"/>
            <w:hideMark/>
          </w:tcPr>
          <w:p w14:paraId="15D9B23D" w14:textId="77777777" w:rsidR="004155C1" w:rsidRPr="004155C1" w:rsidRDefault="004155C1" w:rsidP="004155C1">
            <w:pPr>
              <w:spacing w:before="0" w:after="0"/>
              <w:jc w:val="right"/>
              <w:rPr>
                <w:rFonts w:cs="Calibri"/>
                <w:sz w:val="18"/>
                <w:szCs w:val="18"/>
                <w:lang w:val="es-CO" w:eastAsia="es-CO"/>
              </w:rPr>
            </w:pPr>
            <w:r w:rsidRPr="004155C1">
              <w:rPr>
                <w:rFonts w:cs="Calibri"/>
                <w:sz w:val="18"/>
                <w:szCs w:val="18"/>
                <w:lang w:val="es-CO" w:eastAsia="es-CO"/>
              </w:rPr>
              <w:t>0</w:t>
            </w:r>
          </w:p>
        </w:tc>
        <w:tc>
          <w:tcPr>
            <w:tcW w:w="1480" w:type="dxa"/>
            <w:tcBorders>
              <w:top w:val="nil"/>
              <w:left w:val="nil"/>
              <w:bottom w:val="single" w:sz="4" w:space="0" w:color="auto"/>
              <w:right w:val="single" w:sz="4" w:space="0" w:color="auto"/>
            </w:tcBorders>
            <w:shd w:val="clear" w:color="auto" w:fill="auto"/>
            <w:noWrap/>
            <w:vAlign w:val="center"/>
            <w:hideMark/>
          </w:tcPr>
          <w:p w14:paraId="5B977A4B" w14:textId="77777777" w:rsidR="004155C1" w:rsidRPr="004155C1" w:rsidRDefault="004155C1" w:rsidP="004155C1">
            <w:pPr>
              <w:spacing w:before="0" w:after="0"/>
              <w:jc w:val="right"/>
              <w:rPr>
                <w:rFonts w:cs="Calibri"/>
                <w:sz w:val="18"/>
                <w:szCs w:val="18"/>
                <w:lang w:val="es-CO" w:eastAsia="es-CO"/>
              </w:rPr>
            </w:pPr>
            <w:r w:rsidRPr="004155C1">
              <w:rPr>
                <w:rFonts w:cs="Calibri"/>
                <w:sz w:val="18"/>
                <w:szCs w:val="18"/>
                <w:lang w:val="es-CO" w:eastAsia="es-CO"/>
              </w:rPr>
              <w:t>0</w:t>
            </w:r>
          </w:p>
        </w:tc>
      </w:tr>
      <w:tr w:rsidR="004155C1" w:rsidRPr="004155C1" w14:paraId="56B09207" w14:textId="77777777" w:rsidTr="004155C1">
        <w:trPr>
          <w:trHeight w:val="29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14:paraId="4B272392" w14:textId="77777777" w:rsidR="004155C1" w:rsidRPr="004155C1" w:rsidRDefault="004155C1" w:rsidP="004155C1">
            <w:pPr>
              <w:spacing w:before="0" w:after="0"/>
              <w:jc w:val="center"/>
              <w:rPr>
                <w:rFonts w:cs="Calibri"/>
                <w:i/>
                <w:iCs/>
                <w:color w:val="000000"/>
                <w:sz w:val="18"/>
                <w:szCs w:val="18"/>
                <w:lang w:val="es-CO" w:eastAsia="es-CO"/>
              </w:rPr>
            </w:pPr>
            <w:r w:rsidRPr="004155C1">
              <w:rPr>
                <w:rFonts w:cs="Calibri"/>
                <w:i/>
                <w:iCs/>
                <w:color w:val="000000"/>
                <w:sz w:val="18"/>
                <w:szCs w:val="18"/>
                <w:lang w:val="es-CO" w:eastAsia="es-CO"/>
              </w:rPr>
              <w:t>l = 9</w:t>
            </w:r>
          </w:p>
        </w:tc>
        <w:tc>
          <w:tcPr>
            <w:tcW w:w="1480" w:type="dxa"/>
            <w:tcBorders>
              <w:top w:val="nil"/>
              <w:left w:val="nil"/>
              <w:bottom w:val="single" w:sz="4" w:space="0" w:color="auto"/>
              <w:right w:val="single" w:sz="4" w:space="0" w:color="auto"/>
            </w:tcBorders>
            <w:shd w:val="clear" w:color="auto" w:fill="auto"/>
            <w:noWrap/>
            <w:vAlign w:val="center"/>
            <w:hideMark/>
          </w:tcPr>
          <w:p w14:paraId="378C67EA" w14:textId="77777777" w:rsidR="004155C1" w:rsidRPr="004155C1" w:rsidRDefault="004155C1" w:rsidP="004155C1">
            <w:pPr>
              <w:spacing w:before="0" w:after="0"/>
              <w:jc w:val="right"/>
              <w:rPr>
                <w:rFonts w:cs="Calibri"/>
                <w:sz w:val="18"/>
                <w:szCs w:val="18"/>
                <w:lang w:val="es-CO" w:eastAsia="es-CO"/>
              </w:rPr>
            </w:pPr>
            <w:r w:rsidRPr="004155C1">
              <w:rPr>
                <w:rFonts w:cs="Calibri"/>
                <w:sz w:val="18"/>
                <w:szCs w:val="18"/>
                <w:lang w:val="es-CO" w:eastAsia="es-CO"/>
              </w:rPr>
              <w:t>9.509.000</w:t>
            </w:r>
          </w:p>
        </w:tc>
        <w:tc>
          <w:tcPr>
            <w:tcW w:w="1480" w:type="dxa"/>
            <w:tcBorders>
              <w:top w:val="nil"/>
              <w:left w:val="nil"/>
              <w:bottom w:val="single" w:sz="4" w:space="0" w:color="auto"/>
              <w:right w:val="single" w:sz="4" w:space="0" w:color="auto"/>
            </w:tcBorders>
            <w:shd w:val="clear" w:color="auto" w:fill="auto"/>
            <w:noWrap/>
            <w:vAlign w:val="center"/>
            <w:hideMark/>
          </w:tcPr>
          <w:p w14:paraId="207B479D" w14:textId="77777777" w:rsidR="004155C1" w:rsidRPr="004155C1" w:rsidRDefault="004155C1" w:rsidP="004155C1">
            <w:pPr>
              <w:spacing w:before="0" w:after="0"/>
              <w:jc w:val="right"/>
              <w:rPr>
                <w:rFonts w:cs="Calibri"/>
                <w:sz w:val="18"/>
                <w:szCs w:val="18"/>
                <w:lang w:val="es-CO" w:eastAsia="es-CO"/>
              </w:rPr>
            </w:pPr>
            <w:r w:rsidRPr="004155C1">
              <w:rPr>
                <w:rFonts w:cs="Calibri"/>
                <w:sz w:val="18"/>
                <w:szCs w:val="18"/>
                <w:lang w:val="es-CO" w:eastAsia="es-CO"/>
              </w:rPr>
              <w:t>1.924.000</w:t>
            </w:r>
          </w:p>
        </w:tc>
        <w:tc>
          <w:tcPr>
            <w:tcW w:w="1480" w:type="dxa"/>
            <w:tcBorders>
              <w:top w:val="nil"/>
              <w:left w:val="nil"/>
              <w:bottom w:val="single" w:sz="4" w:space="0" w:color="auto"/>
              <w:right w:val="single" w:sz="4" w:space="0" w:color="auto"/>
            </w:tcBorders>
            <w:shd w:val="clear" w:color="auto" w:fill="auto"/>
            <w:noWrap/>
            <w:vAlign w:val="center"/>
            <w:hideMark/>
          </w:tcPr>
          <w:p w14:paraId="34771014" w14:textId="77777777" w:rsidR="004155C1" w:rsidRPr="004155C1" w:rsidRDefault="004155C1" w:rsidP="004155C1">
            <w:pPr>
              <w:spacing w:before="0" w:after="0"/>
              <w:jc w:val="right"/>
              <w:rPr>
                <w:rFonts w:cs="Calibri"/>
                <w:sz w:val="18"/>
                <w:szCs w:val="18"/>
                <w:lang w:val="es-CO" w:eastAsia="es-CO"/>
              </w:rPr>
            </w:pPr>
            <w:r w:rsidRPr="004155C1">
              <w:rPr>
                <w:rFonts w:cs="Calibri"/>
                <w:sz w:val="18"/>
                <w:szCs w:val="18"/>
                <w:lang w:val="es-CO" w:eastAsia="es-CO"/>
              </w:rPr>
              <w:t>0</w:t>
            </w:r>
          </w:p>
        </w:tc>
      </w:tr>
      <w:tr w:rsidR="004155C1" w:rsidRPr="004155C1" w14:paraId="0B69D7D2" w14:textId="77777777" w:rsidTr="004155C1">
        <w:trPr>
          <w:trHeight w:val="29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14:paraId="4EDEEA50" w14:textId="77777777" w:rsidR="004155C1" w:rsidRPr="004155C1" w:rsidRDefault="004155C1" w:rsidP="004155C1">
            <w:pPr>
              <w:spacing w:before="0" w:after="0"/>
              <w:jc w:val="center"/>
              <w:rPr>
                <w:rFonts w:cs="Calibri"/>
                <w:i/>
                <w:iCs/>
                <w:color w:val="000000"/>
                <w:sz w:val="18"/>
                <w:szCs w:val="18"/>
                <w:lang w:val="es-CO" w:eastAsia="es-CO"/>
              </w:rPr>
            </w:pPr>
            <w:r w:rsidRPr="004155C1">
              <w:rPr>
                <w:rFonts w:cs="Calibri"/>
                <w:i/>
                <w:iCs/>
                <w:color w:val="000000"/>
                <w:sz w:val="18"/>
                <w:szCs w:val="18"/>
                <w:lang w:val="es-CO" w:eastAsia="es-CO"/>
              </w:rPr>
              <w:t>l = 11</w:t>
            </w:r>
          </w:p>
        </w:tc>
        <w:tc>
          <w:tcPr>
            <w:tcW w:w="1480" w:type="dxa"/>
            <w:tcBorders>
              <w:top w:val="nil"/>
              <w:left w:val="nil"/>
              <w:bottom w:val="single" w:sz="4" w:space="0" w:color="auto"/>
              <w:right w:val="single" w:sz="4" w:space="0" w:color="auto"/>
            </w:tcBorders>
            <w:shd w:val="clear" w:color="auto" w:fill="auto"/>
            <w:noWrap/>
            <w:vAlign w:val="center"/>
            <w:hideMark/>
          </w:tcPr>
          <w:p w14:paraId="58CFDBBF" w14:textId="77777777" w:rsidR="004155C1" w:rsidRPr="004155C1" w:rsidRDefault="004155C1" w:rsidP="004155C1">
            <w:pPr>
              <w:spacing w:before="0" w:after="0"/>
              <w:jc w:val="right"/>
              <w:rPr>
                <w:rFonts w:cs="Calibri"/>
                <w:sz w:val="18"/>
                <w:szCs w:val="18"/>
                <w:lang w:val="es-CO" w:eastAsia="es-CO"/>
              </w:rPr>
            </w:pPr>
            <w:r w:rsidRPr="004155C1">
              <w:rPr>
                <w:rFonts w:cs="Calibri"/>
                <w:sz w:val="18"/>
                <w:szCs w:val="18"/>
                <w:lang w:val="es-CO" w:eastAsia="es-CO"/>
              </w:rPr>
              <w:t>0</w:t>
            </w:r>
          </w:p>
        </w:tc>
        <w:tc>
          <w:tcPr>
            <w:tcW w:w="1480" w:type="dxa"/>
            <w:tcBorders>
              <w:top w:val="nil"/>
              <w:left w:val="nil"/>
              <w:bottom w:val="single" w:sz="4" w:space="0" w:color="auto"/>
              <w:right w:val="single" w:sz="4" w:space="0" w:color="auto"/>
            </w:tcBorders>
            <w:shd w:val="clear" w:color="auto" w:fill="auto"/>
            <w:noWrap/>
            <w:vAlign w:val="center"/>
            <w:hideMark/>
          </w:tcPr>
          <w:p w14:paraId="392E22AD" w14:textId="77777777" w:rsidR="004155C1" w:rsidRPr="004155C1" w:rsidRDefault="004155C1" w:rsidP="004155C1">
            <w:pPr>
              <w:spacing w:before="0" w:after="0"/>
              <w:jc w:val="right"/>
              <w:rPr>
                <w:rFonts w:cs="Calibri"/>
                <w:sz w:val="18"/>
                <w:szCs w:val="18"/>
                <w:lang w:val="es-CO" w:eastAsia="es-CO"/>
              </w:rPr>
            </w:pPr>
            <w:r w:rsidRPr="004155C1">
              <w:rPr>
                <w:rFonts w:cs="Calibri"/>
                <w:sz w:val="18"/>
                <w:szCs w:val="18"/>
                <w:lang w:val="es-CO" w:eastAsia="es-CO"/>
              </w:rPr>
              <w:t>0</w:t>
            </w:r>
          </w:p>
        </w:tc>
        <w:tc>
          <w:tcPr>
            <w:tcW w:w="1480" w:type="dxa"/>
            <w:tcBorders>
              <w:top w:val="nil"/>
              <w:left w:val="nil"/>
              <w:bottom w:val="single" w:sz="4" w:space="0" w:color="auto"/>
              <w:right w:val="single" w:sz="4" w:space="0" w:color="auto"/>
            </w:tcBorders>
            <w:shd w:val="clear" w:color="auto" w:fill="auto"/>
            <w:noWrap/>
            <w:vAlign w:val="center"/>
            <w:hideMark/>
          </w:tcPr>
          <w:p w14:paraId="39F51D17" w14:textId="77777777" w:rsidR="004155C1" w:rsidRPr="004155C1" w:rsidRDefault="004155C1" w:rsidP="004155C1">
            <w:pPr>
              <w:spacing w:before="0" w:after="0"/>
              <w:jc w:val="right"/>
              <w:rPr>
                <w:rFonts w:cs="Calibri"/>
                <w:sz w:val="18"/>
                <w:szCs w:val="18"/>
                <w:lang w:val="es-CO" w:eastAsia="es-CO"/>
              </w:rPr>
            </w:pPr>
            <w:r w:rsidRPr="004155C1">
              <w:rPr>
                <w:rFonts w:cs="Calibri"/>
                <w:sz w:val="18"/>
                <w:szCs w:val="18"/>
                <w:lang w:val="es-CO" w:eastAsia="es-CO"/>
              </w:rPr>
              <w:t>103.700.000</w:t>
            </w:r>
          </w:p>
        </w:tc>
      </w:tr>
      <w:tr w:rsidR="004155C1" w:rsidRPr="004155C1" w14:paraId="26DE3205" w14:textId="77777777" w:rsidTr="004155C1">
        <w:trPr>
          <w:trHeight w:val="290"/>
          <w:jc w:val="center"/>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14:paraId="76894C4E" w14:textId="77777777" w:rsidR="004155C1" w:rsidRPr="004155C1" w:rsidRDefault="004155C1" w:rsidP="004155C1">
            <w:pPr>
              <w:spacing w:before="0" w:after="0"/>
              <w:jc w:val="center"/>
              <w:rPr>
                <w:rFonts w:cs="Calibri"/>
                <w:i/>
                <w:iCs/>
                <w:color w:val="000000"/>
                <w:sz w:val="18"/>
                <w:szCs w:val="18"/>
                <w:lang w:val="es-CO" w:eastAsia="es-CO"/>
              </w:rPr>
            </w:pPr>
            <w:r w:rsidRPr="004155C1">
              <w:rPr>
                <w:rFonts w:cs="Calibri"/>
                <w:i/>
                <w:iCs/>
                <w:color w:val="000000"/>
                <w:sz w:val="18"/>
                <w:szCs w:val="18"/>
                <w:lang w:val="es-CO" w:eastAsia="es-CO"/>
              </w:rPr>
              <w:t>l = 12</w:t>
            </w:r>
          </w:p>
        </w:tc>
        <w:tc>
          <w:tcPr>
            <w:tcW w:w="1480" w:type="dxa"/>
            <w:tcBorders>
              <w:top w:val="nil"/>
              <w:left w:val="nil"/>
              <w:bottom w:val="single" w:sz="4" w:space="0" w:color="auto"/>
              <w:right w:val="single" w:sz="4" w:space="0" w:color="auto"/>
            </w:tcBorders>
            <w:shd w:val="clear" w:color="auto" w:fill="auto"/>
            <w:noWrap/>
            <w:vAlign w:val="center"/>
            <w:hideMark/>
          </w:tcPr>
          <w:p w14:paraId="0C41554F" w14:textId="77777777" w:rsidR="004155C1" w:rsidRPr="004155C1" w:rsidRDefault="004155C1" w:rsidP="004155C1">
            <w:pPr>
              <w:spacing w:before="0" w:after="0"/>
              <w:jc w:val="right"/>
              <w:rPr>
                <w:rFonts w:cs="Calibri"/>
                <w:sz w:val="18"/>
                <w:szCs w:val="18"/>
                <w:lang w:val="es-CO" w:eastAsia="es-CO"/>
              </w:rPr>
            </w:pPr>
            <w:r w:rsidRPr="004155C1">
              <w:rPr>
                <w:rFonts w:cs="Calibri"/>
                <w:sz w:val="18"/>
                <w:szCs w:val="18"/>
                <w:lang w:val="es-CO" w:eastAsia="es-CO"/>
              </w:rPr>
              <w:t>0</w:t>
            </w:r>
          </w:p>
        </w:tc>
        <w:tc>
          <w:tcPr>
            <w:tcW w:w="1480" w:type="dxa"/>
            <w:tcBorders>
              <w:top w:val="nil"/>
              <w:left w:val="nil"/>
              <w:bottom w:val="single" w:sz="4" w:space="0" w:color="auto"/>
              <w:right w:val="single" w:sz="4" w:space="0" w:color="auto"/>
            </w:tcBorders>
            <w:shd w:val="clear" w:color="auto" w:fill="auto"/>
            <w:noWrap/>
            <w:vAlign w:val="center"/>
            <w:hideMark/>
          </w:tcPr>
          <w:p w14:paraId="41726CAC" w14:textId="77777777" w:rsidR="004155C1" w:rsidRPr="004155C1" w:rsidRDefault="004155C1" w:rsidP="004155C1">
            <w:pPr>
              <w:spacing w:before="0" w:after="0"/>
              <w:jc w:val="right"/>
              <w:rPr>
                <w:rFonts w:cs="Calibri"/>
                <w:sz w:val="18"/>
                <w:szCs w:val="18"/>
                <w:lang w:val="es-CO" w:eastAsia="es-CO"/>
              </w:rPr>
            </w:pPr>
            <w:r w:rsidRPr="004155C1">
              <w:rPr>
                <w:rFonts w:cs="Calibri"/>
                <w:sz w:val="18"/>
                <w:szCs w:val="18"/>
                <w:lang w:val="es-CO" w:eastAsia="es-CO"/>
              </w:rPr>
              <w:t>0</w:t>
            </w:r>
          </w:p>
        </w:tc>
        <w:tc>
          <w:tcPr>
            <w:tcW w:w="1480" w:type="dxa"/>
            <w:tcBorders>
              <w:top w:val="nil"/>
              <w:left w:val="nil"/>
              <w:bottom w:val="single" w:sz="4" w:space="0" w:color="auto"/>
              <w:right w:val="single" w:sz="4" w:space="0" w:color="auto"/>
            </w:tcBorders>
            <w:shd w:val="clear" w:color="auto" w:fill="auto"/>
            <w:noWrap/>
            <w:vAlign w:val="center"/>
            <w:hideMark/>
          </w:tcPr>
          <w:p w14:paraId="5DBFEC6E" w14:textId="77777777" w:rsidR="004155C1" w:rsidRPr="004155C1" w:rsidRDefault="004155C1" w:rsidP="004155C1">
            <w:pPr>
              <w:spacing w:before="0" w:after="0"/>
              <w:jc w:val="right"/>
              <w:rPr>
                <w:rFonts w:cs="Calibri"/>
                <w:sz w:val="18"/>
                <w:szCs w:val="18"/>
                <w:lang w:val="es-CO" w:eastAsia="es-CO"/>
              </w:rPr>
            </w:pPr>
            <w:r w:rsidRPr="004155C1">
              <w:rPr>
                <w:rFonts w:cs="Calibri"/>
                <w:sz w:val="18"/>
                <w:szCs w:val="18"/>
                <w:lang w:val="es-CO" w:eastAsia="es-CO"/>
              </w:rPr>
              <w:t>35.052.498</w:t>
            </w:r>
          </w:p>
        </w:tc>
      </w:tr>
      <w:tr w:rsidR="004155C1" w:rsidRPr="004155C1" w14:paraId="301F5D90" w14:textId="77777777" w:rsidTr="004155C1">
        <w:trPr>
          <w:trHeight w:val="290"/>
          <w:jc w:val="center"/>
        </w:trPr>
        <w:tc>
          <w:tcPr>
            <w:tcW w:w="1560" w:type="dxa"/>
            <w:tcBorders>
              <w:top w:val="nil"/>
              <w:left w:val="single" w:sz="4" w:space="0" w:color="auto"/>
              <w:bottom w:val="single" w:sz="4" w:space="0" w:color="auto"/>
              <w:right w:val="single" w:sz="4" w:space="0" w:color="auto"/>
            </w:tcBorders>
            <w:shd w:val="clear" w:color="000000" w:fill="DDEBF7"/>
            <w:noWrap/>
            <w:vAlign w:val="center"/>
            <w:hideMark/>
          </w:tcPr>
          <w:p w14:paraId="3531BF89" w14:textId="77777777" w:rsidR="004155C1" w:rsidRPr="004155C1" w:rsidRDefault="004155C1" w:rsidP="004155C1">
            <w:pPr>
              <w:spacing w:before="0" w:after="0"/>
              <w:jc w:val="center"/>
              <w:rPr>
                <w:rFonts w:cs="Calibri"/>
                <w:b/>
                <w:bCs/>
                <w:i/>
                <w:iCs/>
                <w:sz w:val="18"/>
                <w:szCs w:val="18"/>
                <w:lang w:val="es-CO" w:eastAsia="es-CO"/>
              </w:rPr>
            </w:pPr>
            <w:r w:rsidRPr="004155C1">
              <w:rPr>
                <w:rFonts w:cs="Calibri"/>
                <w:b/>
                <w:bCs/>
                <w:i/>
                <w:iCs/>
                <w:sz w:val="18"/>
                <w:szCs w:val="18"/>
                <w:lang w:val="es-CO" w:eastAsia="es-CO"/>
              </w:rPr>
              <w:t>Total</w:t>
            </w:r>
          </w:p>
        </w:tc>
        <w:tc>
          <w:tcPr>
            <w:tcW w:w="1480" w:type="dxa"/>
            <w:tcBorders>
              <w:top w:val="nil"/>
              <w:left w:val="nil"/>
              <w:bottom w:val="single" w:sz="4" w:space="0" w:color="auto"/>
              <w:right w:val="single" w:sz="4" w:space="0" w:color="auto"/>
            </w:tcBorders>
            <w:shd w:val="clear" w:color="000000" w:fill="DDEBF7"/>
            <w:noWrap/>
            <w:vAlign w:val="center"/>
            <w:hideMark/>
          </w:tcPr>
          <w:p w14:paraId="508DBCD1" w14:textId="77777777" w:rsidR="004155C1" w:rsidRPr="004155C1" w:rsidRDefault="004155C1" w:rsidP="004155C1">
            <w:pPr>
              <w:spacing w:before="0" w:after="0"/>
              <w:jc w:val="right"/>
              <w:rPr>
                <w:rFonts w:cs="Calibri"/>
                <w:b/>
                <w:bCs/>
                <w:sz w:val="18"/>
                <w:szCs w:val="18"/>
                <w:lang w:val="es-CO" w:eastAsia="es-CO"/>
              </w:rPr>
            </w:pPr>
            <w:r w:rsidRPr="004155C1">
              <w:rPr>
                <w:rFonts w:cs="Calibri"/>
                <w:b/>
                <w:bCs/>
                <w:sz w:val="18"/>
                <w:szCs w:val="18"/>
                <w:lang w:val="es-CO" w:eastAsia="es-CO"/>
              </w:rPr>
              <w:t>9.509.000</w:t>
            </w:r>
          </w:p>
        </w:tc>
        <w:tc>
          <w:tcPr>
            <w:tcW w:w="1480" w:type="dxa"/>
            <w:tcBorders>
              <w:top w:val="nil"/>
              <w:left w:val="nil"/>
              <w:bottom w:val="single" w:sz="4" w:space="0" w:color="auto"/>
              <w:right w:val="single" w:sz="4" w:space="0" w:color="auto"/>
            </w:tcBorders>
            <w:shd w:val="clear" w:color="000000" w:fill="DDEBF7"/>
            <w:noWrap/>
            <w:vAlign w:val="center"/>
            <w:hideMark/>
          </w:tcPr>
          <w:p w14:paraId="689173CB" w14:textId="77777777" w:rsidR="004155C1" w:rsidRPr="004155C1" w:rsidRDefault="004155C1" w:rsidP="004155C1">
            <w:pPr>
              <w:spacing w:before="0" w:after="0"/>
              <w:jc w:val="right"/>
              <w:rPr>
                <w:rFonts w:cs="Calibri"/>
                <w:b/>
                <w:bCs/>
                <w:sz w:val="18"/>
                <w:szCs w:val="18"/>
                <w:lang w:val="es-CO" w:eastAsia="es-CO"/>
              </w:rPr>
            </w:pPr>
            <w:r w:rsidRPr="004155C1">
              <w:rPr>
                <w:rFonts w:cs="Calibri"/>
                <w:b/>
                <w:bCs/>
                <w:sz w:val="18"/>
                <w:szCs w:val="18"/>
                <w:lang w:val="es-CO" w:eastAsia="es-CO"/>
              </w:rPr>
              <w:t>308.142.877</w:t>
            </w:r>
          </w:p>
        </w:tc>
        <w:tc>
          <w:tcPr>
            <w:tcW w:w="1480" w:type="dxa"/>
            <w:tcBorders>
              <w:top w:val="nil"/>
              <w:left w:val="nil"/>
              <w:bottom w:val="single" w:sz="4" w:space="0" w:color="auto"/>
              <w:right w:val="single" w:sz="4" w:space="0" w:color="auto"/>
            </w:tcBorders>
            <w:shd w:val="clear" w:color="000000" w:fill="DDEBF7"/>
            <w:noWrap/>
            <w:vAlign w:val="center"/>
            <w:hideMark/>
          </w:tcPr>
          <w:p w14:paraId="2F1412BB" w14:textId="77777777" w:rsidR="004155C1" w:rsidRPr="004155C1" w:rsidRDefault="004155C1" w:rsidP="004155C1">
            <w:pPr>
              <w:spacing w:before="0" w:after="0"/>
              <w:jc w:val="right"/>
              <w:rPr>
                <w:rFonts w:cs="Calibri"/>
                <w:b/>
                <w:bCs/>
                <w:sz w:val="18"/>
                <w:szCs w:val="18"/>
                <w:lang w:val="es-CO" w:eastAsia="es-CO"/>
              </w:rPr>
            </w:pPr>
            <w:r w:rsidRPr="004155C1">
              <w:rPr>
                <w:rFonts w:cs="Calibri"/>
                <w:b/>
                <w:bCs/>
                <w:sz w:val="18"/>
                <w:szCs w:val="18"/>
                <w:lang w:val="es-CO" w:eastAsia="es-CO"/>
              </w:rPr>
              <w:t>138.752.498</w:t>
            </w:r>
          </w:p>
        </w:tc>
      </w:tr>
    </w:tbl>
    <w:p w14:paraId="660AEC27" w14:textId="1B47A952" w:rsidR="008C4BDB" w:rsidRDefault="008C4BDB" w:rsidP="004B4540">
      <w:pPr>
        <w:pStyle w:val="Prrafodelista"/>
        <w:numPr>
          <w:ilvl w:val="1"/>
          <w:numId w:val="11"/>
        </w:numPr>
        <w:spacing w:before="360"/>
        <w:ind w:left="851" w:hanging="425"/>
        <w:rPr>
          <w:b/>
          <w:bCs/>
          <w:lang w:val="pt-PT"/>
        </w:rPr>
      </w:pPr>
      <w:r w:rsidRPr="008C4BDB">
        <w:rPr>
          <w:b/>
          <w:bCs/>
          <w:lang w:val="pt-PT"/>
        </w:rPr>
        <w:t>Ingreso por gastos de AO</w:t>
      </w:r>
      <w:r>
        <w:rPr>
          <w:b/>
          <w:bCs/>
          <w:lang w:val="pt-PT"/>
        </w:rPr>
        <w:t>M</w:t>
      </w:r>
    </w:p>
    <w:p w14:paraId="60DF2B79" w14:textId="77777777" w:rsidR="002F2537" w:rsidRDefault="008B1831" w:rsidP="003D3318">
      <w:pPr>
        <w:rPr>
          <w:lang w:val="es-CO"/>
        </w:rPr>
      </w:pPr>
      <w:r>
        <w:rPr>
          <w:lang w:val="es-CO"/>
        </w:rPr>
        <w:t xml:space="preserve">Para calcular el AOM base a reconocer, </w:t>
      </w:r>
      <w:r w:rsidR="00646D78">
        <w:rPr>
          <w:lang w:val="es-CO"/>
        </w:rPr>
        <w:t xml:space="preserve">de acuerdo con la metodología de la Resolución CREG 015 de 2018 </w:t>
      </w:r>
      <w:r>
        <w:rPr>
          <w:lang w:val="es-CO"/>
        </w:rPr>
        <w:t xml:space="preserve">se utilizan </w:t>
      </w:r>
      <w:r w:rsidR="00646D78">
        <w:rPr>
          <w:lang w:val="es-CO"/>
        </w:rPr>
        <w:t xml:space="preserve">dos componentes principales: </w:t>
      </w:r>
      <w:r w:rsidR="002F2537">
        <w:rPr>
          <w:lang w:val="es-CO"/>
        </w:rPr>
        <w:t xml:space="preserve">el AOM inicial y el AOM objetivo. </w:t>
      </w:r>
    </w:p>
    <w:p w14:paraId="504854F6" w14:textId="7D220411" w:rsidR="003D3318" w:rsidRDefault="002F2537" w:rsidP="003D3318">
      <w:pPr>
        <w:rPr>
          <w:lang w:val="es-CO"/>
        </w:rPr>
      </w:pPr>
      <w:r>
        <w:rPr>
          <w:lang w:val="es-CO"/>
        </w:rPr>
        <w:t xml:space="preserve">El AOM inicial </w:t>
      </w:r>
      <w:r w:rsidR="00942CDA">
        <w:rPr>
          <w:lang w:val="es-CO"/>
        </w:rPr>
        <w:t xml:space="preserve">depende </w:t>
      </w:r>
      <w:r w:rsidR="00737836">
        <w:rPr>
          <w:lang w:val="es-CO"/>
        </w:rPr>
        <w:t>de la base de activos de la empresa</w:t>
      </w:r>
      <w:r w:rsidR="00470A8D">
        <w:rPr>
          <w:lang w:val="es-CO"/>
        </w:rPr>
        <w:t xml:space="preserve"> </w:t>
      </w:r>
      <w:r w:rsidR="00737836">
        <w:rPr>
          <w:lang w:val="es-CO"/>
        </w:rPr>
        <w:t xml:space="preserve">y </w:t>
      </w:r>
      <w:r w:rsidR="000B100D">
        <w:rPr>
          <w:lang w:val="es-CO"/>
        </w:rPr>
        <w:t>d</w:t>
      </w:r>
      <w:r w:rsidR="00737836">
        <w:rPr>
          <w:lang w:val="es-CO"/>
        </w:rPr>
        <w:t>el AOM demostrado y remunerado para una ser</w:t>
      </w:r>
      <w:r w:rsidR="00A54B46">
        <w:rPr>
          <w:lang w:val="es-CO"/>
        </w:rPr>
        <w:t>ie de 5 años.</w:t>
      </w:r>
    </w:p>
    <w:p w14:paraId="04CBF43F" w14:textId="48B77921" w:rsidR="00AA1389" w:rsidRDefault="00AA1389" w:rsidP="003D3318">
      <w:pPr>
        <w:rPr>
          <w:lang w:val="es-CO"/>
        </w:rPr>
      </w:pPr>
      <w:r>
        <w:rPr>
          <w:lang w:val="es-CO"/>
        </w:rPr>
        <w:t xml:space="preserve">El AOM objetivo </w:t>
      </w:r>
      <w:r w:rsidR="00B36F4C">
        <w:rPr>
          <w:lang w:val="es-CO"/>
        </w:rPr>
        <w:t>depende del AOM demostrado por la empresa para una serie de 5 años, que se pondera por un factor de eficiencia producto de un modelo de frontera estocástica</w:t>
      </w:r>
      <w:r w:rsidR="00B007C6">
        <w:rPr>
          <w:lang w:val="es-CO"/>
        </w:rPr>
        <w:t>.</w:t>
      </w:r>
    </w:p>
    <w:p w14:paraId="68FD0D1D" w14:textId="128ACDCB" w:rsidR="00B007C6" w:rsidRDefault="00B007C6" w:rsidP="003D3318">
      <w:pPr>
        <w:rPr>
          <w:lang w:val="es-CO"/>
        </w:rPr>
      </w:pPr>
      <w:r>
        <w:rPr>
          <w:lang w:val="es-CO"/>
        </w:rPr>
        <w:t xml:space="preserve">Para el cálculo del AOM base </w:t>
      </w:r>
      <w:r w:rsidR="007D1B4D">
        <w:rPr>
          <w:lang w:val="es-CO"/>
        </w:rPr>
        <w:t xml:space="preserve">aprobado en la Resolución CREG 219 de 2021, se utilizó solamente el valor de AOM inicial, dado que no se contaba con la información de todos los parámetros requeridos para </w:t>
      </w:r>
      <w:r w:rsidR="004206C3">
        <w:rPr>
          <w:lang w:val="es-CO"/>
        </w:rPr>
        <w:t>la estimación</w:t>
      </w:r>
      <w:r w:rsidR="00387D59">
        <w:rPr>
          <w:lang w:val="es-CO"/>
        </w:rPr>
        <w:t xml:space="preserve"> del factor de eficiencia de la empresa, que si fueron entregados como parte de la presente solicitud.</w:t>
      </w:r>
    </w:p>
    <w:p w14:paraId="402E511A" w14:textId="3F6EA3DE" w:rsidR="00F74BAD" w:rsidRDefault="006F6069" w:rsidP="003D3318">
      <w:pPr>
        <w:rPr>
          <w:szCs w:val="22"/>
        </w:rPr>
      </w:pPr>
      <w:r w:rsidRPr="007807E0">
        <w:rPr>
          <w:szCs w:val="22"/>
        </w:rPr>
        <w:t>Para estimar el factor de eficiencia,</w:t>
      </w:r>
      <w:r>
        <w:rPr>
          <w:szCs w:val="22"/>
        </w:rPr>
        <w:t xml:space="preserve"> se partió de la información entregada por la empresa </w:t>
      </w:r>
      <w:r w:rsidR="00036FA6">
        <w:rPr>
          <w:szCs w:val="22"/>
        </w:rPr>
        <w:t xml:space="preserve">en el archivo </w:t>
      </w:r>
      <w:r w:rsidR="00036FA6" w:rsidRPr="000032E0">
        <w:rPr>
          <w:i/>
          <w:iCs/>
          <w:szCs w:val="22"/>
        </w:rPr>
        <w:t>“Anexo 1. Circular029-2018 Formato solicitud ingresos Inversiones Ejecutadas a 2022.xlsx”</w:t>
      </w:r>
      <w:r w:rsidR="00036FA6">
        <w:rPr>
          <w:szCs w:val="22"/>
        </w:rPr>
        <w:t xml:space="preserve"> </w:t>
      </w:r>
      <w:r>
        <w:rPr>
          <w:szCs w:val="22"/>
        </w:rPr>
        <w:t>y se ajustaron</w:t>
      </w:r>
      <w:r w:rsidRPr="007807E0">
        <w:rPr>
          <w:szCs w:val="22"/>
        </w:rPr>
        <w:t xml:space="preserve"> los datos de ventas por nivel de tensión</w:t>
      </w:r>
      <w:r w:rsidR="00937DAF">
        <w:rPr>
          <w:szCs w:val="22"/>
        </w:rPr>
        <w:t>,</w:t>
      </w:r>
      <w:r w:rsidRPr="007807E0">
        <w:rPr>
          <w:szCs w:val="22"/>
        </w:rPr>
        <w:t xml:space="preserve"> el total de usuarios para el periodo 2012-2016 así como la composición de costos y gastos. La </w:t>
      </w:r>
      <w:r w:rsidR="00530F32">
        <w:rPr>
          <w:szCs w:val="22"/>
        </w:rPr>
        <w:t xml:space="preserve">información </w:t>
      </w:r>
      <w:r w:rsidRPr="007807E0">
        <w:rPr>
          <w:szCs w:val="22"/>
        </w:rPr>
        <w:t xml:space="preserve">de ventas y </w:t>
      </w:r>
      <w:r w:rsidR="000032E0" w:rsidRPr="007807E0">
        <w:rPr>
          <w:szCs w:val="22"/>
        </w:rPr>
        <w:t>usuarios</w:t>
      </w:r>
      <w:r w:rsidRPr="007807E0">
        <w:rPr>
          <w:szCs w:val="22"/>
        </w:rPr>
        <w:t xml:space="preserve"> se tom</w:t>
      </w:r>
      <w:r w:rsidR="00F9410C">
        <w:rPr>
          <w:szCs w:val="22"/>
        </w:rPr>
        <w:t>ó</w:t>
      </w:r>
      <w:r w:rsidRPr="007807E0">
        <w:rPr>
          <w:szCs w:val="22"/>
        </w:rPr>
        <w:t xml:space="preserve"> de una consulta realizada</w:t>
      </w:r>
      <w:r w:rsidR="00F9410C">
        <w:rPr>
          <w:szCs w:val="22"/>
        </w:rPr>
        <w:t xml:space="preserve"> al SUI</w:t>
      </w:r>
      <w:r w:rsidRPr="007807E0">
        <w:rPr>
          <w:szCs w:val="22"/>
        </w:rPr>
        <w:t xml:space="preserve"> el 20 de mayo de 2019</w:t>
      </w:r>
      <w:r w:rsidR="00F9410C">
        <w:rPr>
          <w:szCs w:val="22"/>
        </w:rPr>
        <w:t xml:space="preserve"> para todos los OR,</w:t>
      </w:r>
      <w:r w:rsidRPr="007807E0">
        <w:rPr>
          <w:szCs w:val="22"/>
        </w:rPr>
        <w:t xml:space="preserve"> y la de costos y gastos, de una consulta hecha al Sistema Unificado de Costos y Gastos, SUCG, el 16 de mayo de 2019.</w:t>
      </w:r>
    </w:p>
    <w:p w14:paraId="62F8A1B7" w14:textId="2DD7B5A7" w:rsidR="00B22A6F" w:rsidRDefault="00B22A6F" w:rsidP="003D3318">
      <w:pPr>
        <w:rPr>
          <w:lang w:val="es-CO"/>
        </w:rPr>
      </w:pPr>
      <w:r>
        <w:rPr>
          <w:szCs w:val="22"/>
        </w:rPr>
        <w:lastRenderedPageBreak/>
        <w:t>Los parámetros utilizados se muestran a continuación</w:t>
      </w:r>
      <w:r w:rsidR="00145E1E">
        <w:rPr>
          <w:szCs w:val="22"/>
        </w:rPr>
        <w:t>:</w:t>
      </w:r>
    </w:p>
    <w:p w14:paraId="59DC52F9" w14:textId="23A31AE5" w:rsidR="00FD6000" w:rsidRDefault="00FD6000" w:rsidP="003D3318">
      <w:pPr>
        <w:rPr>
          <w:lang w:val="es-CO"/>
        </w:rPr>
      </w:pPr>
      <w:r w:rsidRPr="00FD6000">
        <w:rPr>
          <w:noProof/>
        </w:rPr>
        <w:drawing>
          <wp:inline distT="0" distB="0" distL="0" distR="0" wp14:anchorId="632434D6" wp14:editId="740960CC">
            <wp:extent cx="5941060" cy="27520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1060" cy="2752090"/>
                    </a:xfrm>
                    <a:prstGeom prst="rect">
                      <a:avLst/>
                    </a:prstGeom>
                    <a:noFill/>
                    <a:ln>
                      <a:noFill/>
                    </a:ln>
                  </pic:spPr>
                </pic:pic>
              </a:graphicData>
            </a:graphic>
          </wp:inline>
        </w:drawing>
      </w:r>
    </w:p>
    <w:p w14:paraId="19A14FB4" w14:textId="50DA288A" w:rsidR="00FD6000" w:rsidRDefault="00DA596F" w:rsidP="003D3318">
      <w:pPr>
        <w:rPr>
          <w:lang w:val="es-CO"/>
        </w:rPr>
      </w:pPr>
      <w:r w:rsidRPr="00DA596F">
        <w:rPr>
          <w:noProof/>
        </w:rPr>
        <w:drawing>
          <wp:inline distT="0" distB="0" distL="0" distR="0" wp14:anchorId="2E74C0DD" wp14:editId="4B4F3105">
            <wp:extent cx="5941060" cy="290385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1060" cy="2903855"/>
                    </a:xfrm>
                    <a:prstGeom prst="rect">
                      <a:avLst/>
                    </a:prstGeom>
                    <a:noFill/>
                    <a:ln>
                      <a:noFill/>
                    </a:ln>
                  </pic:spPr>
                </pic:pic>
              </a:graphicData>
            </a:graphic>
          </wp:inline>
        </w:drawing>
      </w:r>
    </w:p>
    <w:p w14:paraId="24479E98" w14:textId="50C86DDB" w:rsidR="009070D9" w:rsidRDefault="00145E1E" w:rsidP="009070D9">
      <w:pPr>
        <w:spacing w:before="0" w:after="0"/>
        <w:rPr>
          <w:rFonts w:cs="Arial"/>
          <w:color w:val="000000"/>
          <w:lang w:val="es-CO" w:eastAsia="es-CO"/>
        </w:rPr>
      </w:pPr>
      <w:r>
        <w:rPr>
          <w:lang w:val="es-CO"/>
        </w:rPr>
        <w:t xml:space="preserve">Con esta información, se obtiene un factor de </w:t>
      </w:r>
      <w:r w:rsidRPr="009070D9">
        <w:rPr>
          <w:lang w:val="es-CO"/>
        </w:rPr>
        <w:t xml:space="preserve">eficiencia </w:t>
      </w:r>
      <w:proofErr w:type="spellStart"/>
      <w:r w:rsidR="001643A6" w:rsidRPr="009070D9">
        <w:rPr>
          <w:rFonts w:cs="Arial"/>
          <w:i/>
          <w:iCs/>
          <w:lang w:val="es-CO" w:eastAsia="es-CO"/>
        </w:rPr>
        <w:t>fe</w:t>
      </w:r>
      <w:r w:rsidR="001643A6" w:rsidRPr="009070D9">
        <w:rPr>
          <w:rFonts w:cs="Arial"/>
          <w:i/>
          <w:iCs/>
          <w:vertAlign w:val="subscript"/>
          <w:lang w:val="es-CO" w:eastAsia="es-CO"/>
        </w:rPr>
        <w:t>j</w:t>
      </w:r>
      <w:proofErr w:type="spellEnd"/>
      <w:r w:rsidR="001643A6" w:rsidRPr="009070D9">
        <w:rPr>
          <w:rFonts w:cs="Arial"/>
          <w:i/>
          <w:iCs/>
          <w:vertAlign w:val="subscript"/>
          <w:lang w:val="es-CO" w:eastAsia="es-CO"/>
        </w:rPr>
        <w:t xml:space="preserve"> </w:t>
      </w:r>
      <w:r w:rsidR="001643A6" w:rsidRPr="009070D9">
        <w:rPr>
          <w:lang w:val="es-CO"/>
        </w:rPr>
        <w:t xml:space="preserve"> de 1,0</w:t>
      </w:r>
      <w:r w:rsidR="00311DF0" w:rsidRPr="009070D9">
        <w:rPr>
          <w:lang w:val="es-CO"/>
        </w:rPr>
        <w:t xml:space="preserve"> con el cuál se propone aprobar un valor</w:t>
      </w:r>
      <w:r w:rsidR="00DE500F" w:rsidRPr="009070D9">
        <w:rPr>
          <w:lang w:val="es-CO"/>
        </w:rPr>
        <w:t xml:space="preserve"> </w:t>
      </w:r>
      <w:r w:rsidR="00B30A47">
        <w:rPr>
          <w:lang w:val="es-CO"/>
        </w:rPr>
        <w:t xml:space="preserve">total </w:t>
      </w:r>
      <w:r w:rsidR="00DE500F" w:rsidRPr="009070D9">
        <w:rPr>
          <w:lang w:val="es-CO"/>
        </w:rPr>
        <w:t>para la variable</w:t>
      </w:r>
      <w:r w:rsidR="00311DF0" w:rsidRPr="009070D9">
        <w:rPr>
          <w:lang w:val="es-CO"/>
        </w:rPr>
        <w:t xml:space="preserve"> </w:t>
      </w:r>
      <w:proofErr w:type="spellStart"/>
      <w:r w:rsidR="00DE500F" w:rsidRPr="009070D9">
        <w:rPr>
          <w:rFonts w:cs="Arial"/>
          <w:i/>
          <w:iCs/>
          <w:lang w:val="es-CO" w:eastAsia="es-CO"/>
        </w:rPr>
        <w:t>AOMbase</w:t>
      </w:r>
      <w:r w:rsidR="00DE500F" w:rsidRPr="009070D9">
        <w:rPr>
          <w:rFonts w:cs="Arial"/>
          <w:i/>
          <w:iCs/>
          <w:vertAlign w:val="subscript"/>
          <w:lang w:val="es-CO" w:eastAsia="es-CO"/>
        </w:rPr>
        <w:t>j</w:t>
      </w:r>
      <w:proofErr w:type="spellEnd"/>
      <w:r w:rsidR="00DE500F" w:rsidRPr="009070D9">
        <w:rPr>
          <w:rFonts w:cs="Arial"/>
          <w:i/>
          <w:iCs/>
          <w:lang w:val="es-CO" w:eastAsia="es-CO"/>
        </w:rPr>
        <w:t xml:space="preserve"> </w:t>
      </w:r>
      <w:r w:rsidR="00DE500F" w:rsidRPr="009070D9">
        <w:rPr>
          <w:lang w:val="es-CO"/>
        </w:rPr>
        <w:t xml:space="preserve">de </w:t>
      </w:r>
      <w:r w:rsidR="009070D9" w:rsidRPr="009070D9">
        <w:rPr>
          <w:lang w:val="es-CO"/>
        </w:rPr>
        <w:t xml:space="preserve">$ </w:t>
      </w:r>
      <w:r w:rsidR="009070D9" w:rsidRPr="009070D9">
        <w:rPr>
          <w:rFonts w:cs="Arial"/>
          <w:color w:val="000000"/>
          <w:lang w:val="es-CO" w:eastAsia="es-CO"/>
        </w:rPr>
        <w:t>622.723.694 pesos</w:t>
      </w:r>
      <w:r w:rsidR="009D578A">
        <w:rPr>
          <w:rFonts w:cs="Arial"/>
          <w:color w:val="000000"/>
          <w:lang w:val="es-CO" w:eastAsia="es-CO"/>
        </w:rPr>
        <w:t xml:space="preserve"> de 2017</w:t>
      </w:r>
      <w:r w:rsidR="009070D9">
        <w:rPr>
          <w:rFonts w:cs="Arial"/>
          <w:color w:val="000000"/>
          <w:lang w:val="es-CO" w:eastAsia="es-CO"/>
        </w:rPr>
        <w:t>.</w:t>
      </w:r>
      <w:r w:rsidR="0043651E">
        <w:rPr>
          <w:rFonts w:cs="Arial"/>
          <w:color w:val="000000"/>
          <w:lang w:val="es-CO" w:eastAsia="es-CO"/>
        </w:rPr>
        <w:t xml:space="preserve"> De esta manera, la propuesta queda como se muestra a continuación:</w:t>
      </w:r>
    </w:p>
    <w:p w14:paraId="29A053B1" w14:textId="386953BA" w:rsidR="009D578A" w:rsidRPr="00481112" w:rsidRDefault="009D578A" w:rsidP="009D578A">
      <w:pPr>
        <w:pStyle w:val="Descripcin"/>
        <w:rPr>
          <w:sz w:val="18"/>
          <w:szCs w:val="18"/>
        </w:rPr>
      </w:pPr>
      <w:r w:rsidRPr="00481112">
        <w:rPr>
          <w:sz w:val="18"/>
          <w:szCs w:val="18"/>
        </w:rPr>
        <w:t xml:space="preserve">Tabla </w:t>
      </w:r>
      <w:r w:rsidRPr="00481112">
        <w:rPr>
          <w:sz w:val="18"/>
          <w:szCs w:val="18"/>
        </w:rPr>
        <w:fldChar w:fldCharType="begin"/>
      </w:r>
      <w:r w:rsidRPr="00481112">
        <w:rPr>
          <w:sz w:val="18"/>
          <w:szCs w:val="18"/>
        </w:rPr>
        <w:instrText xml:space="preserve"> SEQ Tabla \* ARABIC </w:instrText>
      </w:r>
      <w:r w:rsidRPr="00481112">
        <w:rPr>
          <w:sz w:val="18"/>
          <w:szCs w:val="18"/>
        </w:rPr>
        <w:fldChar w:fldCharType="separate"/>
      </w:r>
      <w:r>
        <w:rPr>
          <w:noProof/>
          <w:sz w:val="18"/>
          <w:szCs w:val="18"/>
        </w:rPr>
        <w:t>3</w:t>
      </w:r>
      <w:r w:rsidRPr="00481112">
        <w:rPr>
          <w:sz w:val="18"/>
          <w:szCs w:val="18"/>
        </w:rPr>
        <w:fldChar w:fldCharType="end"/>
      </w:r>
      <w:r w:rsidRPr="00481112">
        <w:rPr>
          <w:sz w:val="18"/>
          <w:szCs w:val="18"/>
        </w:rPr>
        <w:t xml:space="preserve"> Variación propuesta en </w:t>
      </w:r>
      <w:r w:rsidR="0043651E">
        <w:rPr>
          <w:sz w:val="18"/>
          <w:szCs w:val="18"/>
        </w:rPr>
        <w:t>el AOM base reconocido</w:t>
      </w:r>
      <w:r w:rsidRPr="00481112">
        <w:rPr>
          <w:sz w:val="18"/>
          <w:szCs w:val="18"/>
        </w:rPr>
        <w:t xml:space="preserve"> para EMEESA</w:t>
      </w:r>
      <w:r>
        <w:rPr>
          <w:sz w:val="18"/>
          <w:szCs w:val="18"/>
        </w:rPr>
        <w:t xml:space="preserve"> ($ de dic. de 2017)</w:t>
      </w:r>
    </w:p>
    <w:tbl>
      <w:tblPr>
        <w:tblW w:w="5739" w:type="dxa"/>
        <w:jc w:val="center"/>
        <w:tblCellMar>
          <w:left w:w="70" w:type="dxa"/>
          <w:right w:w="70" w:type="dxa"/>
        </w:tblCellMar>
        <w:tblLook w:val="04A0" w:firstRow="1" w:lastRow="0" w:firstColumn="1" w:lastColumn="0" w:noHBand="0" w:noVBand="1"/>
      </w:tblPr>
      <w:tblGrid>
        <w:gridCol w:w="1235"/>
        <w:gridCol w:w="1512"/>
        <w:gridCol w:w="1512"/>
        <w:gridCol w:w="1480"/>
      </w:tblGrid>
      <w:tr w:rsidR="009D578A" w:rsidRPr="00481112" w14:paraId="64D952F2" w14:textId="77777777" w:rsidTr="00E41ECB">
        <w:trPr>
          <w:trHeight w:val="480"/>
          <w:jc w:val="center"/>
        </w:trPr>
        <w:tc>
          <w:tcPr>
            <w:tcW w:w="12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774A3" w14:textId="77777777" w:rsidR="009D578A" w:rsidRPr="00481112" w:rsidRDefault="009D578A" w:rsidP="004C3CEA">
            <w:pPr>
              <w:spacing w:before="0" w:after="0"/>
              <w:jc w:val="center"/>
              <w:rPr>
                <w:rFonts w:cs="Calibri"/>
                <w:b/>
                <w:bCs/>
                <w:sz w:val="18"/>
                <w:szCs w:val="18"/>
                <w:lang w:val="es-CO" w:eastAsia="es-CO"/>
              </w:rPr>
            </w:pPr>
            <w:r w:rsidRPr="00481112">
              <w:rPr>
                <w:rFonts w:cs="Calibri"/>
                <w:b/>
                <w:bCs/>
                <w:sz w:val="18"/>
                <w:szCs w:val="18"/>
                <w:lang w:val="es-CO" w:eastAsia="es-CO"/>
              </w:rPr>
              <w:t>Nivel</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14:paraId="470241B1" w14:textId="77777777" w:rsidR="009D578A" w:rsidRPr="00481112" w:rsidRDefault="009D578A" w:rsidP="004C3CEA">
            <w:pPr>
              <w:spacing w:before="0" w:after="0"/>
              <w:jc w:val="center"/>
              <w:rPr>
                <w:rFonts w:cs="Calibri"/>
                <w:b/>
                <w:bCs/>
                <w:sz w:val="18"/>
                <w:szCs w:val="18"/>
                <w:lang w:val="es-CO" w:eastAsia="es-CO"/>
              </w:rPr>
            </w:pPr>
            <w:r w:rsidRPr="00481112">
              <w:rPr>
                <w:rFonts w:cs="Calibri"/>
                <w:b/>
                <w:bCs/>
                <w:sz w:val="18"/>
                <w:szCs w:val="18"/>
                <w:lang w:val="es-CO" w:eastAsia="es-CO"/>
              </w:rPr>
              <w:t>Valor actual</w:t>
            </w:r>
          </w:p>
        </w:tc>
        <w:tc>
          <w:tcPr>
            <w:tcW w:w="1512" w:type="dxa"/>
            <w:tcBorders>
              <w:top w:val="single" w:sz="4" w:space="0" w:color="auto"/>
              <w:left w:val="nil"/>
              <w:bottom w:val="single" w:sz="4" w:space="0" w:color="auto"/>
              <w:right w:val="single" w:sz="4" w:space="0" w:color="auto"/>
            </w:tcBorders>
            <w:shd w:val="clear" w:color="000000" w:fill="FFFFFF"/>
            <w:vAlign w:val="bottom"/>
            <w:hideMark/>
          </w:tcPr>
          <w:p w14:paraId="3C9F1125" w14:textId="77777777" w:rsidR="009D578A" w:rsidRPr="00481112" w:rsidRDefault="009D578A" w:rsidP="004C3CEA">
            <w:pPr>
              <w:spacing w:before="0" w:after="0"/>
              <w:jc w:val="center"/>
              <w:rPr>
                <w:rFonts w:cs="Calibri"/>
                <w:b/>
                <w:bCs/>
                <w:sz w:val="18"/>
                <w:szCs w:val="18"/>
                <w:lang w:val="es-CO" w:eastAsia="es-CO"/>
              </w:rPr>
            </w:pPr>
            <w:r w:rsidRPr="00481112">
              <w:rPr>
                <w:rFonts w:cs="Calibri"/>
                <w:b/>
                <w:bCs/>
                <w:sz w:val="18"/>
                <w:szCs w:val="18"/>
                <w:lang w:val="es-CO" w:eastAsia="es-CO"/>
              </w:rPr>
              <w:t>Ajuste propuesto</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3D619D38" w14:textId="77777777" w:rsidR="009D578A" w:rsidRPr="00481112" w:rsidRDefault="009D578A" w:rsidP="004C3CEA">
            <w:pPr>
              <w:spacing w:before="0" w:after="0"/>
              <w:jc w:val="center"/>
              <w:rPr>
                <w:rFonts w:cs="Calibri"/>
                <w:b/>
                <w:bCs/>
                <w:sz w:val="18"/>
                <w:szCs w:val="18"/>
                <w:lang w:val="es-CO" w:eastAsia="es-CO"/>
              </w:rPr>
            </w:pPr>
            <w:r w:rsidRPr="00481112">
              <w:rPr>
                <w:rFonts w:cs="Calibri"/>
                <w:b/>
                <w:bCs/>
                <w:sz w:val="18"/>
                <w:szCs w:val="18"/>
                <w:lang w:val="es-CO" w:eastAsia="es-CO"/>
              </w:rPr>
              <w:t>Variación</w:t>
            </w:r>
          </w:p>
        </w:tc>
      </w:tr>
      <w:tr w:rsidR="005F3B3B" w:rsidRPr="00481112" w14:paraId="04999720" w14:textId="77777777" w:rsidTr="00E41ECB">
        <w:trPr>
          <w:trHeight w:val="290"/>
          <w:jc w:val="center"/>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004FF372" w14:textId="70F7B52D" w:rsidR="005F3B3B" w:rsidRPr="00481112" w:rsidRDefault="005F3B3B" w:rsidP="005F3B3B">
            <w:pPr>
              <w:spacing w:before="0" w:after="0"/>
              <w:jc w:val="center"/>
              <w:rPr>
                <w:rFonts w:cs="Calibri"/>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w:t>
            </w:r>
            <w:r w:rsidRPr="00481112">
              <w:rPr>
                <w:rFonts w:cs="Calibri"/>
                <w:i/>
                <w:iCs/>
                <w:sz w:val="18"/>
                <w:szCs w:val="18"/>
                <w:vertAlign w:val="subscript"/>
                <w:lang w:val="es-CO" w:eastAsia="es-CO"/>
              </w:rPr>
              <w:t>,4</w:t>
            </w:r>
          </w:p>
        </w:tc>
        <w:tc>
          <w:tcPr>
            <w:tcW w:w="1512" w:type="dxa"/>
            <w:tcBorders>
              <w:top w:val="nil"/>
              <w:left w:val="nil"/>
              <w:bottom w:val="single" w:sz="4" w:space="0" w:color="auto"/>
              <w:right w:val="single" w:sz="4" w:space="0" w:color="auto"/>
            </w:tcBorders>
            <w:shd w:val="clear" w:color="auto" w:fill="auto"/>
            <w:noWrap/>
            <w:vAlign w:val="center"/>
          </w:tcPr>
          <w:p w14:paraId="163B149D" w14:textId="4994466C" w:rsidR="005F3B3B" w:rsidRPr="00481112" w:rsidRDefault="005F3B3B" w:rsidP="005F3B3B">
            <w:pPr>
              <w:spacing w:before="0" w:after="0"/>
              <w:jc w:val="right"/>
              <w:rPr>
                <w:rFonts w:cs="Calibri"/>
                <w:sz w:val="18"/>
                <w:szCs w:val="18"/>
                <w:lang w:val="es-CO" w:eastAsia="es-CO"/>
              </w:rPr>
            </w:pPr>
            <w:r>
              <w:rPr>
                <w:rFonts w:cs="Calibri"/>
                <w:sz w:val="18"/>
                <w:szCs w:val="18"/>
              </w:rPr>
              <w:t>0</w:t>
            </w:r>
          </w:p>
        </w:tc>
        <w:tc>
          <w:tcPr>
            <w:tcW w:w="1512" w:type="dxa"/>
            <w:tcBorders>
              <w:top w:val="nil"/>
              <w:left w:val="nil"/>
              <w:bottom w:val="single" w:sz="4" w:space="0" w:color="auto"/>
              <w:right w:val="single" w:sz="4" w:space="0" w:color="auto"/>
            </w:tcBorders>
            <w:shd w:val="clear" w:color="auto" w:fill="auto"/>
            <w:noWrap/>
            <w:vAlign w:val="center"/>
            <w:hideMark/>
          </w:tcPr>
          <w:p w14:paraId="7392875A" w14:textId="3C91D3FD" w:rsidR="005F3B3B" w:rsidRPr="00481112" w:rsidRDefault="005F3B3B" w:rsidP="005F3B3B">
            <w:pPr>
              <w:spacing w:before="0" w:after="0"/>
              <w:jc w:val="right"/>
              <w:rPr>
                <w:rFonts w:cs="Calibri"/>
                <w:sz w:val="18"/>
                <w:szCs w:val="18"/>
                <w:lang w:val="es-CO" w:eastAsia="es-CO"/>
              </w:rPr>
            </w:pPr>
            <w:r>
              <w:rPr>
                <w:rFonts w:cs="Calibri"/>
                <w:sz w:val="18"/>
                <w:szCs w:val="18"/>
              </w:rPr>
              <w:t>0</w:t>
            </w:r>
          </w:p>
        </w:tc>
        <w:tc>
          <w:tcPr>
            <w:tcW w:w="1480" w:type="dxa"/>
            <w:tcBorders>
              <w:top w:val="nil"/>
              <w:left w:val="nil"/>
              <w:bottom w:val="single" w:sz="4" w:space="0" w:color="auto"/>
              <w:right w:val="single" w:sz="4" w:space="0" w:color="auto"/>
            </w:tcBorders>
            <w:shd w:val="clear" w:color="auto" w:fill="auto"/>
            <w:noWrap/>
            <w:vAlign w:val="center"/>
            <w:hideMark/>
          </w:tcPr>
          <w:p w14:paraId="575F785E" w14:textId="2640028D" w:rsidR="005F3B3B" w:rsidRPr="00481112" w:rsidRDefault="005F3B3B" w:rsidP="005F3B3B">
            <w:pPr>
              <w:spacing w:before="0" w:after="0"/>
              <w:jc w:val="right"/>
              <w:rPr>
                <w:rFonts w:cs="Calibri"/>
                <w:sz w:val="18"/>
                <w:szCs w:val="18"/>
                <w:lang w:val="es-CO" w:eastAsia="es-CO"/>
              </w:rPr>
            </w:pPr>
            <w:r>
              <w:rPr>
                <w:rFonts w:cs="Calibri"/>
                <w:sz w:val="18"/>
                <w:szCs w:val="18"/>
              </w:rPr>
              <w:t>0%</w:t>
            </w:r>
          </w:p>
        </w:tc>
      </w:tr>
      <w:tr w:rsidR="005F3B3B" w:rsidRPr="00481112" w14:paraId="2B037168" w14:textId="77777777" w:rsidTr="00E41ECB">
        <w:trPr>
          <w:trHeight w:val="290"/>
          <w:jc w:val="center"/>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13476C76" w14:textId="5C50EDF8" w:rsidR="005F3B3B" w:rsidRPr="00481112" w:rsidRDefault="005F3B3B" w:rsidP="005F3B3B">
            <w:pPr>
              <w:spacing w:before="0" w:after="0"/>
              <w:jc w:val="center"/>
              <w:rPr>
                <w:rFonts w:cs="Calibri"/>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w:t>
            </w:r>
            <w:r w:rsidRPr="00481112">
              <w:rPr>
                <w:rFonts w:cs="Calibri"/>
                <w:i/>
                <w:iCs/>
                <w:sz w:val="18"/>
                <w:szCs w:val="18"/>
                <w:vertAlign w:val="subscript"/>
                <w:lang w:val="es-CO" w:eastAsia="es-CO"/>
              </w:rPr>
              <w:t>,3</w:t>
            </w:r>
          </w:p>
        </w:tc>
        <w:tc>
          <w:tcPr>
            <w:tcW w:w="1512" w:type="dxa"/>
            <w:tcBorders>
              <w:top w:val="nil"/>
              <w:left w:val="nil"/>
              <w:bottom w:val="single" w:sz="4" w:space="0" w:color="auto"/>
              <w:right w:val="single" w:sz="4" w:space="0" w:color="auto"/>
            </w:tcBorders>
            <w:shd w:val="clear" w:color="auto" w:fill="auto"/>
            <w:noWrap/>
            <w:vAlign w:val="center"/>
          </w:tcPr>
          <w:p w14:paraId="3618A96F" w14:textId="447FB0DF" w:rsidR="005F3B3B" w:rsidRPr="00481112" w:rsidRDefault="005F3B3B" w:rsidP="005F3B3B">
            <w:pPr>
              <w:spacing w:before="0" w:after="0"/>
              <w:jc w:val="right"/>
              <w:rPr>
                <w:rFonts w:cs="Calibri"/>
                <w:sz w:val="18"/>
                <w:szCs w:val="18"/>
                <w:lang w:val="es-CO" w:eastAsia="es-CO"/>
              </w:rPr>
            </w:pPr>
            <w:r>
              <w:rPr>
                <w:rFonts w:cs="Calibri"/>
                <w:sz w:val="18"/>
                <w:szCs w:val="18"/>
              </w:rPr>
              <w:t>29.221.161</w:t>
            </w:r>
          </w:p>
        </w:tc>
        <w:tc>
          <w:tcPr>
            <w:tcW w:w="1512" w:type="dxa"/>
            <w:tcBorders>
              <w:top w:val="nil"/>
              <w:left w:val="nil"/>
              <w:bottom w:val="single" w:sz="4" w:space="0" w:color="auto"/>
              <w:right w:val="single" w:sz="4" w:space="0" w:color="auto"/>
            </w:tcBorders>
            <w:shd w:val="clear" w:color="auto" w:fill="auto"/>
            <w:noWrap/>
            <w:vAlign w:val="center"/>
            <w:hideMark/>
          </w:tcPr>
          <w:p w14:paraId="6B28D480" w14:textId="3542B7F9" w:rsidR="005F3B3B" w:rsidRPr="00481112" w:rsidRDefault="005F3B3B" w:rsidP="005F3B3B">
            <w:pPr>
              <w:spacing w:before="0" w:after="0"/>
              <w:jc w:val="right"/>
              <w:rPr>
                <w:rFonts w:cs="Calibri"/>
                <w:sz w:val="18"/>
                <w:szCs w:val="18"/>
                <w:lang w:val="es-CO" w:eastAsia="es-CO"/>
              </w:rPr>
            </w:pPr>
            <w:r>
              <w:rPr>
                <w:rFonts w:cs="Calibri"/>
                <w:sz w:val="18"/>
                <w:szCs w:val="18"/>
              </w:rPr>
              <w:t>347.320.769</w:t>
            </w:r>
          </w:p>
        </w:tc>
        <w:tc>
          <w:tcPr>
            <w:tcW w:w="1480" w:type="dxa"/>
            <w:tcBorders>
              <w:top w:val="nil"/>
              <w:left w:val="nil"/>
              <w:bottom w:val="single" w:sz="4" w:space="0" w:color="auto"/>
              <w:right w:val="single" w:sz="4" w:space="0" w:color="auto"/>
            </w:tcBorders>
            <w:shd w:val="clear" w:color="auto" w:fill="auto"/>
            <w:noWrap/>
            <w:vAlign w:val="center"/>
            <w:hideMark/>
          </w:tcPr>
          <w:p w14:paraId="186D0FCA" w14:textId="06DF8AC1" w:rsidR="005F3B3B" w:rsidRPr="00481112" w:rsidRDefault="005F3B3B" w:rsidP="005F3B3B">
            <w:pPr>
              <w:spacing w:before="0" w:after="0"/>
              <w:jc w:val="right"/>
              <w:rPr>
                <w:rFonts w:cs="Calibri"/>
                <w:sz w:val="18"/>
                <w:szCs w:val="18"/>
                <w:lang w:val="es-CO" w:eastAsia="es-CO"/>
              </w:rPr>
            </w:pPr>
            <w:r>
              <w:rPr>
                <w:rFonts w:cs="Calibri"/>
                <w:sz w:val="18"/>
                <w:szCs w:val="18"/>
              </w:rPr>
              <w:t>1089%</w:t>
            </w:r>
          </w:p>
        </w:tc>
      </w:tr>
      <w:tr w:rsidR="005F3B3B" w:rsidRPr="00481112" w14:paraId="4BD3B6C1" w14:textId="77777777" w:rsidTr="00E41ECB">
        <w:trPr>
          <w:trHeight w:val="290"/>
          <w:jc w:val="center"/>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3E225F06" w14:textId="02F85E75" w:rsidR="005F3B3B" w:rsidRPr="00481112" w:rsidRDefault="005F3B3B" w:rsidP="005F3B3B">
            <w:pPr>
              <w:spacing w:before="0" w:after="0"/>
              <w:jc w:val="center"/>
              <w:rPr>
                <w:rFonts w:cs="Calibri"/>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w:t>
            </w:r>
            <w:r w:rsidRPr="00481112">
              <w:rPr>
                <w:rFonts w:cs="Calibri"/>
                <w:i/>
                <w:iCs/>
                <w:sz w:val="18"/>
                <w:szCs w:val="18"/>
                <w:vertAlign w:val="subscript"/>
                <w:lang w:val="es-CO" w:eastAsia="es-CO"/>
              </w:rPr>
              <w:t>,2</w:t>
            </w:r>
          </w:p>
        </w:tc>
        <w:tc>
          <w:tcPr>
            <w:tcW w:w="1512" w:type="dxa"/>
            <w:tcBorders>
              <w:top w:val="nil"/>
              <w:left w:val="nil"/>
              <w:bottom w:val="single" w:sz="4" w:space="0" w:color="auto"/>
              <w:right w:val="single" w:sz="4" w:space="0" w:color="auto"/>
            </w:tcBorders>
            <w:shd w:val="clear" w:color="auto" w:fill="auto"/>
            <w:noWrap/>
            <w:vAlign w:val="center"/>
          </w:tcPr>
          <w:p w14:paraId="47A44484" w14:textId="0CDF7CE8" w:rsidR="005F3B3B" w:rsidRPr="00481112" w:rsidRDefault="005F3B3B" w:rsidP="005F3B3B">
            <w:pPr>
              <w:spacing w:before="0" w:after="0"/>
              <w:jc w:val="right"/>
              <w:rPr>
                <w:rFonts w:cs="Calibri"/>
                <w:sz w:val="18"/>
                <w:szCs w:val="18"/>
                <w:lang w:val="es-CO" w:eastAsia="es-CO"/>
              </w:rPr>
            </w:pPr>
            <w:r>
              <w:rPr>
                <w:rFonts w:cs="Calibri"/>
                <w:sz w:val="18"/>
                <w:szCs w:val="18"/>
              </w:rPr>
              <w:t>93.491.312</w:t>
            </w:r>
          </w:p>
        </w:tc>
        <w:tc>
          <w:tcPr>
            <w:tcW w:w="1512" w:type="dxa"/>
            <w:tcBorders>
              <w:top w:val="nil"/>
              <w:left w:val="nil"/>
              <w:bottom w:val="single" w:sz="4" w:space="0" w:color="auto"/>
              <w:right w:val="single" w:sz="4" w:space="0" w:color="auto"/>
            </w:tcBorders>
            <w:shd w:val="clear" w:color="auto" w:fill="auto"/>
            <w:noWrap/>
            <w:vAlign w:val="center"/>
            <w:hideMark/>
          </w:tcPr>
          <w:p w14:paraId="03E565E8" w14:textId="281318C0" w:rsidR="005F3B3B" w:rsidRPr="00481112" w:rsidRDefault="005F3B3B" w:rsidP="005F3B3B">
            <w:pPr>
              <w:spacing w:before="0" w:after="0"/>
              <w:jc w:val="right"/>
              <w:rPr>
                <w:rFonts w:cs="Calibri"/>
                <w:sz w:val="18"/>
                <w:szCs w:val="18"/>
                <w:lang w:val="es-CO" w:eastAsia="es-CO"/>
              </w:rPr>
            </w:pPr>
            <w:r>
              <w:rPr>
                <w:rFonts w:cs="Calibri"/>
                <w:sz w:val="18"/>
                <w:szCs w:val="18"/>
              </w:rPr>
              <w:t>246.077.774</w:t>
            </w:r>
          </w:p>
        </w:tc>
        <w:tc>
          <w:tcPr>
            <w:tcW w:w="1480" w:type="dxa"/>
            <w:tcBorders>
              <w:top w:val="nil"/>
              <w:left w:val="nil"/>
              <w:bottom w:val="single" w:sz="4" w:space="0" w:color="auto"/>
              <w:right w:val="single" w:sz="4" w:space="0" w:color="auto"/>
            </w:tcBorders>
            <w:shd w:val="clear" w:color="auto" w:fill="auto"/>
            <w:noWrap/>
            <w:vAlign w:val="center"/>
            <w:hideMark/>
          </w:tcPr>
          <w:p w14:paraId="1283229E" w14:textId="1B33B454" w:rsidR="005F3B3B" w:rsidRPr="00481112" w:rsidRDefault="005F3B3B" w:rsidP="005F3B3B">
            <w:pPr>
              <w:spacing w:before="0" w:after="0"/>
              <w:jc w:val="right"/>
              <w:rPr>
                <w:rFonts w:cs="Calibri"/>
                <w:sz w:val="18"/>
                <w:szCs w:val="18"/>
                <w:lang w:val="es-CO" w:eastAsia="es-CO"/>
              </w:rPr>
            </w:pPr>
            <w:r>
              <w:rPr>
                <w:rFonts w:cs="Calibri"/>
                <w:sz w:val="18"/>
                <w:szCs w:val="18"/>
              </w:rPr>
              <w:t>163%</w:t>
            </w:r>
          </w:p>
        </w:tc>
      </w:tr>
      <w:tr w:rsidR="005F3B3B" w:rsidRPr="00481112" w14:paraId="63E41686" w14:textId="77777777" w:rsidTr="00E41ECB">
        <w:trPr>
          <w:trHeight w:val="290"/>
          <w:jc w:val="center"/>
        </w:trPr>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1416DC2A" w14:textId="06304AC7" w:rsidR="005F3B3B" w:rsidRPr="00481112" w:rsidRDefault="005F3B3B" w:rsidP="005F3B3B">
            <w:pPr>
              <w:spacing w:before="0" w:after="0"/>
              <w:jc w:val="center"/>
              <w:rPr>
                <w:rFonts w:cs="Calibri"/>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w:t>
            </w:r>
            <w:r w:rsidRPr="00481112">
              <w:rPr>
                <w:rFonts w:cs="Calibri"/>
                <w:i/>
                <w:iCs/>
                <w:sz w:val="18"/>
                <w:szCs w:val="18"/>
                <w:vertAlign w:val="subscript"/>
                <w:lang w:val="es-CO" w:eastAsia="es-CO"/>
              </w:rPr>
              <w:t>,1</w:t>
            </w:r>
          </w:p>
        </w:tc>
        <w:tc>
          <w:tcPr>
            <w:tcW w:w="1512" w:type="dxa"/>
            <w:tcBorders>
              <w:top w:val="nil"/>
              <w:left w:val="nil"/>
              <w:bottom w:val="single" w:sz="4" w:space="0" w:color="auto"/>
              <w:right w:val="single" w:sz="4" w:space="0" w:color="auto"/>
            </w:tcBorders>
            <w:shd w:val="clear" w:color="auto" w:fill="auto"/>
            <w:noWrap/>
            <w:vAlign w:val="center"/>
          </w:tcPr>
          <w:p w14:paraId="4C08E6C3" w14:textId="08F6AC77" w:rsidR="005F3B3B" w:rsidRPr="00481112" w:rsidRDefault="005F3B3B" w:rsidP="005F3B3B">
            <w:pPr>
              <w:spacing w:before="0" w:after="0"/>
              <w:jc w:val="right"/>
              <w:rPr>
                <w:rFonts w:cs="Calibri"/>
                <w:sz w:val="18"/>
                <w:szCs w:val="18"/>
                <w:lang w:val="es-CO" w:eastAsia="es-CO"/>
              </w:rPr>
            </w:pPr>
            <w:r>
              <w:rPr>
                <w:rFonts w:cs="Calibri"/>
                <w:sz w:val="18"/>
                <w:szCs w:val="18"/>
              </w:rPr>
              <w:t>19.522.767</w:t>
            </w:r>
          </w:p>
        </w:tc>
        <w:tc>
          <w:tcPr>
            <w:tcW w:w="1512" w:type="dxa"/>
            <w:tcBorders>
              <w:top w:val="nil"/>
              <w:left w:val="nil"/>
              <w:bottom w:val="single" w:sz="4" w:space="0" w:color="auto"/>
              <w:right w:val="single" w:sz="4" w:space="0" w:color="auto"/>
            </w:tcBorders>
            <w:shd w:val="clear" w:color="auto" w:fill="auto"/>
            <w:noWrap/>
            <w:vAlign w:val="center"/>
            <w:hideMark/>
          </w:tcPr>
          <w:p w14:paraId="0C89A6D4" w14:textId="77D92845" w:rsidR="005F3B3B" w:rsidRPr="00481112" w:rsidRDefault="005F3B3B" w:rsidP="005F3B3B">
            <w:pPr>
              <w:spacing w:before="0" w:after="0"/>
              <w:jc w:val="right"/>
              <w:rPr>
                <w:rFonts w:cs="Calibri"/>
                <w:sz w:val="18"/>
                <w:szCs w:val="18"/>
                <w:lang w:val="es-CO" w:eastAsia="es-CO"/>
              </w:rPr>
            </w:pPr>
            <w:r>
              <w:rPr>
                <w:rFonts w:cs="Calibri"/>
                <w:sz w:val="18"/>
                <w:szCs w:val="18"/>
              </w:rPr>
              <w:t>29.325.151</w:t>
            </w:r>
          </w:p>
        </w:tc>
        <w:tc>
          <w:tcPr>
            <w:tcW w:w="1480" w:type="dxa"/>
            <w:tcBorders>
              <w:top w:val="nil"/>
              <w:left w:val="nil"/>
              <w:bottom w:val="single" w:sz="4" w:space="0" w:color="auto"/>
              <w:right w:val="single" w:sz="4" w:space="0" w:color="auto"/>
            </w:tcBorders>
            <w:shd w:val="clear" w:color="auto" w:fill="auto"/>
            <w:noWrap/>
            <w:vAlign w:val="center"/>
            <w:hideMark/>
          </w:tcPr>
          <w:p w14:paraId="17D1BA48" w14:textId="29C9D6C0" w:rsidR="005F3B3B" w:rsidRPr="00481112" w:rsidRDefault="005F3B3B" w:rsidP="005F3B3B">
            <w:pPr>
              <w:spacing w:before="0" w:after="0"/>
              <w:jc w:val="right"/>
              <w:rPr>
                <w:rFonts w:cs="Calibri"/>
                <w:sz w:val="18"/>
                <w:szCs w:val="18"/>
                <w:lang w:val="es-CO" w:eastAsia="es-CO"/>
              </w:rPr>
            </w:pPr>
            <w:r>
              <w:rPr>
                <w:rFonts w:cs="Calibri"/>
                <w:sz w:val="18"/>
                <w:szCs w:val="18"/>
              </w:rPr>
              <w:t>50%</w:t>
            </w:r>
          </w:p>
        </w:tc>
      </w:tr>
      <w:tr w:rsidR="005F3B3B" w:rsidRPr="00481112" w14:paraId="19D57160" w14:textId="77777777" w:rsidTr="00E41ECB">
        <w:trPr>
          <w:trHeight w:val="290"/>
          <w:jc w:val="center"/>
        </w:trPr>
        <w:tc>
          <w:tcPr>
            <w:tcW w:w="1235" w:type="dxa"/>
            <w:tcBorders>
              <w:top w:val="nil"/>
              <w:left w:val="single" w:sz="4" w:space="0" w:color="auto"/>
              <w:bottom w:val="single" w:sz="4" w:space="0" w:color="auto"/>
              <w:right w:val="single" w:sz="4" w:space="0" w:color="auto"/>
            </w:tcBorders>
            <w:shd w:val="clear" w:color="000000" w:fill="DDEBF7"/>
            <w:noWrap/>
            <w:vAlign w:val="center"/>
            <w:hideMark/>
          </w:tcPr>
          <w:p w14:paraId="4040FFA0" w14:textId="77777777" w:rsidR="005F3B3B" w:rsidRPr="00481112" w:rsidRDefault="005F3B3B" w:rsidP="005F3B3B">
            <w:pPr>
              <w:spacing w:before="0" w:after="0"/>
              <w:jc w:val="left"/>
              <w:rPr>
                <w:rFonts w:cs="Calibri"/>
                <w:b/>
                <w:bCs/>
                <w:i/>
                <w:iCs/>
                <w:sz w:val="18"/>
                <w:szCs w:val="18"/>
                <w:lang w:val="es-CO" w:eastAsia="es-CO"/>
              </w:rPr>
            </w:pPr>
            <w:r w:rsidRPr="00481112">
              <w:rPr>
                <w:rFonts w:cs="Calibri"/>
                <w:b/>
                <w:bCs/>
                <w:i/>
                <w:iCs/>
                <w:sz w:val="18"/>
                <w:szCs w:val="18"/>
                <w:lang w:val="es-CO" w:eastAsia="es-CO"/>
              </w:rPr>
              <w:t>Total</w:t>
            </w:r>
          </w:p>
        </w:tc>
        <w:tc>
          <w:tcPr>
            <w:tcW w:w="1512" w:type="dxa"/>
            <w:tcBorders>
              <w:top w:val="nil"/>
              <w:left w:val="nil"/>
              <w:bottom w:val="single" w:sz="4" w:space="0" w:color="auto"/>
              <w:right w:val="single" w:sz="4" w:space="0" w:color="auto"/>
            </w:tcBorders>
            <w:shd w:val="clear" w:color="000000" w:fill="DDEBF7"/>
            <w:noWrap/>
            <w:vAlign w:val="center"/>
            <w:hideMark/>
          </w:tcPr>
          <w:p w14:paraId="189B7B03" w14:textId="225EE686" w:rsidR="005F3B3B" w:rsidRPr="00481112" w:rsidRDefault="005F3B3B" w:rsidP="005F3B3B">
            <w:pPr>
              <w:spacing w:before="0" w:after="0"/>
              <w:jc w:val="right"/>
              <w:rPr>
                <w:rFonts w:cs="Calibri"/>
                <w:b/>
                <w:bCs/>
                <w:sz w:val="18"/>
                <w:szCs w:val="18"/>
                <w:lang w:val="es-CO" w:eastAsia="es-CO"/>
              </w:rPr>
            </w:pPr>
            <w:r>
              <w:rPr>
                <w:rFonts w:cs="Calibri"/>
                <w:b/>
                <w:bCs/>
                <w:sz w:val="18"/>
                <w:szCs w:val="18"/>
              </w:rPr>
              <w:t>142.235.241</w:t>
            </w:r>
          </w:p>
        </w:tc>
        <w:tc>
          <w:tcPr>
            <w:tcW w:w="1512" w:type="dxa"/>
            <w:tcBorders>
              <w:top w:val="nil"/>
              <w:left w:val="nil"/>
              <w:bottom w:val="single" w:sz="4" w:space="0" w:color="auto"/>
              <w:right w:val="single" w:sz="4" w:space="0" w:color="auto"/>
            </w:tcBorders>
            <w:shd w:val="clear" w:color="000000" w:fill="DDEBF7"/>
            <w:noWrap/>
            <w:vAlign w:val="center"/>
            <w:hideMark/>
          </w:tcPr>
          <w:p w14:paraId="1FCAEC6C" w14:textId="7AAB6650" w:rsidR="005F3B3B" w:rsidRPr="00481112" w:rsidRDefault="005F3B3B" w:rsidP="005F3B3B">
            <w:pPr>
              <w:spacing w:before="0" w:after="0"/>
              <w:jc w:val="right"/>
              <w:rPr>
                <w:rFonts w:cs="Calibri"/>
                <w:b/>
                <w:bCs/>
                <w:sz w:val="18"/>
                <w:szCs w:val="18"/>
                <w:lang w:val="es-CO" w:eastAsia="es-CO"/>
              </w:rPr>
            </w:pPr>
            <w:r>
              <w:rPr>
                <w:rFonts w:cs="Calibri"/>
                <w:b/>
                <w:bCs/>
                <w:sz w:val="18"/>
                <w:szCs w:val="18"/>
              </w:rPr>
              <w:t>622.723.694</w:t>
            </w:r>
          </w:p>
        </w:tc>
        <w:tc>
          <w:tcPr>
            <w:tcW w:w="1480" w:type="dxa"/>
            <w:tcBorders>
              <w:top w:val="nil"/>
              <w:left w:val="nil"/>
              <w:bottom w:val="single" w:sz="4" w:space="0" w:color="auto"/>
              <w:right w:val="single" w:sz="4" w:space="0" w:color="auto"/>
            </w:tcBorders>
            <w:shd w:val="clear" w:color="000000" w:fill="DDEBF7"/>
            <w:noWrap/>
            <w:vAlign w:val="center"/>
            <w:hideMark/>
          </w:tcPr>
          <w:p w14:paraId="46DCA5E7" w14:textId="1A5B46E7" w:rsidR="005F3B3B" w:rsidRPr="00481112" w:rsidRDefault="005F3B3B" w:rsidP="005F3B3B">
            <w:pPr>
              <w:spacing w:before="0" w:after="0"/>
              <w:jc w:val="right"/>
              <w:rPr>
                <w:rFonts w:cs="Calibri"/>
                <w:b/>
                <w:bCs/>
                <w:sz w:val="18"/>
                <w:szCs w:val="18"/>
                <w:lang w:val="es-CO" w:eastAsia="es-CO"/>
              </w:rPr>
            </w:pPr>
            <w:r>
              <w:rPr>
                <w:rFonts w:cs="Calibri"/>
                <w:b/>
                <w:bCs/>
                <w:sz w:val="18"/>
                <w:szCs w:val="18"/>
              </w:rPr>
              <w:t>338%</w:t>
            </w:r>
          </w:p>
        </w:tc>
      </w:tr>
    </w:tbl>
    <w:p w14:paraId="3E3385C4" w14:textId="34862800" w:rsidR="00FF6E10" w:rsidRPr="00FF6E10" w:rsidRDefault="00FF6E10" w:rsidP="00FF6E10">
      <w:r w:rsidRPr="00FF6E10">
        <w:lastRenderedPageBreak/>
        <w:t xml:space="preserve">En el archivo </w:t>
      </w:r>
      <w:r w:rsidRPr="00FF6E10">
        <w:rPr>
          <w:i/>
        </w:rPr>
        <w:t>Calculo ingresos D</w:t>
      </w:r>
      <w:r w:rsidR="0038753A">
        <w:rPr>
          <w:i/>
        </w:rPr>
        <w:t xml:space="preserve"> –</w:t>
      </w:r>
      <w:r w:rsidRPr="00FF6E10">
        <w:rPr>
          <w:i/>
        </w:rPr>
        <w:t xml:space="preserve"> </w:t>
      </w:r>
      <w:r>
        <w:rPr>
          <w:i/>
        </w:rPr>
        <w:t>EMEESA</w:t>
      </w:r>
      <w:r w:rsidR="0038753A">
        <w:rPr>
          <w:i/>
        </w:rPr>
        <w:t xml:space="preserve"> </w:t>
      </w:r>
      <w:r>
        <w:rPr>
          <w:i/>
        </w:rPr>
        <w:t>126</w:t>
      </w:r>
      <w:r w:rsidRPr="00FF6E10">
        <w:rPr>
          <w:i/>
        </w:rPr>
        <w:t>.xlsx</w:t>
      </w:r>
      <w:r w:rsidRPr="00FF6E10">
        <w:t xml:space="preserve"> </w:t>
      </w:r>
      <w:r w:rsidR="00E12620">
        <w:t>anexo</w:t>
      </w:r>
      <w:r w:rsidRPr="00FF6E10">
        <w:t xml:space="preserve"> a </w:t>
      </w:r>
      <w:r w:rsidR="00E12620">
        <w:t>la presente resolución</w:t>
      </w:r>
      <w:r w:rsidRPr="00FF6E10">
        <w:t xml:space="preserve">, se presenta la información, el modelo de cálculo y los parámetros empleados para calcular las variables a aprobar al OR en aplicación de la metodología definida en la Resolución CREG 015 de 2018. </w:t>
      </w:r>
    </w:p>
    <w:p w14:paraId="599F8BEA" w14:textId="77777777" w:rsidR="00FF6E10" w:rsidRPr="00FF6E10" w:rsidRDefault="00FF6E10" w:rsidP="00FF6E10">
      <w:r w:rsidRPr="00FF6E10">
        <w:t xml:space="preserve">El archivo contiene algunas estimaciones de cargos y otras variables que son de carácter informativo, ya que estas deben ser calculadas por el LAC según lo establece la metodología. </w:t>
      </w:r>
    </w:p>
    <w:p w14:paraId="3A709C04" w14:textId="38CCBCE3" w:rsidR="004269F5" w:rsidRDefault="00D2136B" w:rsidP="004B4540">
      <w:pPr>
        <w:pStyle w:val="Prrafodelista"/>
        <w:numPr>
          <w:ilvl w:val="0"/>
          <w:numId w:val="11"/>
        </w:numPr>
        <w:ind w:left="426" w:hanging="426"/>
        <w:rPr>
          <w:b/>
          <w:bCs/>
        </w:rPr>
      </w:pPr>
      <w:r>
        <w:rPr>
          <w:b/>
          <w:bCs/>
        </w:rPr>
        <w:t>AUMENTO DE PLAZO DE APLICACIÓN DE LA VARIABLE AIM A 60 MESES</w:t>
      </w:r>
    </w:p>
    <w:p w14:paraId="725712C0" w14:textId="77777777" w:rsidR="00BE32DD" w:rsidRPr="00465383" w:rsidRDefault="00BE32DD" w:rsidP="00BE32DD">
      <w:pPr>
        <w:rPr>
          <w:spacing w:val="-3"/>
        </w:rPr>
      </w:pPr>
      <w:r w:rsidRPr="00465383">
        <w:rPr>
          <w:spacing w:val="-3"/>
        </w:rPr>
        <w:t>Con base en lo presentado, se observan dos elementos a ser analizados así:</w:t>
      </w:r>
    </w:p>
    <w:p w14:paraId="11773295" w14:textId="77777777" w:rsidR="00BE32DD" w:rsidRPr="00465383" w:rsidRDefault="00BE32DD" w:rsidP="004B4540">
      <w:pPr>
        <w:numPr>
          <w:ilvl w:val="0"/>
          <w:numId w:val="12"/>
        </w:numPr>
        <w:tabs>
          <w:tab w:val="left" w:pos="270"/>
        </w:tabs>
        <w:ind w:left="0" w:firstLine="0"/>
        <w:rPr>
          <w:spacing w:val="-3"/>
          <w:lang w:val="es-CO"/>
        </w:rPr>
      </w:pPr>
      <w:r>
        <w:rPr>
          <w:spacing w:val="-3"/>
          <w:lang w:val="es-CO"/>
        </w:rPr>
        <w:t>Reducción del ingreso d</w:t>
      </w:r>
      <w:r w:rsidRPr="00465383">
        <w:rPr>
          <w:spacing w:val="-3"/>
          <w:lang w:val="es-CO"/>
        </w:rPr>
        <w:t xml:space="preserve">el OR </w:t>
      </w:r>
      <w:r>
        <w:rPr>
          <w:spacing w:val="-3"/>
          <w:lang w:val="es-CO"/>
        </w:rPr>
        <w:t xml:space="preserve">con la nueva metodología </w:t>
      </w:r>
      <w:r w:rsidRPr="00465383">
        <w:rPr>
          <w:spacing w:val="-3"/>
          <w:lang w:val="es-CO"/>
        </w:rPr>
        <w:t>y,</w:t>
      </w:r>
    </w:p>
    <w:p w14:paraId="24DC4816" w14:textId="77777777" w:rsidR="00BE32DD" w:rsidRPr="00465383" w:rsidRDefault="00BE32DD" w:rsidP="004B4540">
      <w:pPr>
        <w:numPr>
          <w:ilvl w:val="0"/>
          <w:numId w:val="12"/>
        </w:numPr>
        <w:tabs>
          <w:tab w:val="left" w:pos="270"/>
        </w:tabs>
        <w:ind w:left="0" w:firstLine="0"/>
        <w:rPr>
          <w:spacing w:val="-3"/>
          <w:lang w:val="es-CO"/>
        </w:rPr>
      </w:pPr>
      <w:r w:rsidRPr="00465383">
        <w:rPr>
          <w:spacing w:val="-3"/>
          <w:lang w:val="es-CO"/>
        </w:rPr>
        <w:t>El cálculo del monto a devolver por parte del OR y su relevancia respecto de las consideraciones de los egresos requeridos (inversión, gastos AOM, intereses, impuestos, recuperación de la inversión y rentabilidad)</w:t>
      </w:r>
      <w:r>
        <w:rPr>
          <w:spacing w:val="-3"/>
          <w:lang w:val="es-CO"/>
        </w:rPr>
        <w:t>.</w:t>
      </w:r>
    </w:p>
    <w:p w14:paraId="31C6322F" w14:textId="77777777" w:rsidR="00BE32DD" w:rsidRDefault="00BE32DD" w:rsidP="00BE32DD">
      <w:pPr>
        <w:rPr>
          <w:spacing w:val="-3"/>
          <w:lang w:val="es-CO"/>
        </w:rPr>
      </w:pPr>
      <w:r w:rsidRPr="00465383">
        <w:rPr>
          <w:spacing w:val="-3"/>
          <w:lang w:val="es-CO"/>
        </w:rPr>
        <w:t xml:space="preserve">Respecto del primer aspecto, </w:t>
      </w:r>
      <w:r>
        <w:rPr>
          <w:spacing w:val="-3"/>
          <w:lang w:val="es-CO"/>
        </w:rPr>
        <w:t xml:space="preserve">para analizar este fenómeno es importante conocer la naturaleza de la variación del ingreso, en este caso disminución, causada por la variable </w:t>
      </w:r>
      <w:proofErr w:type="spellStart"/>
      <w:proofErr w:type="gramStart"/>
      <w:r w:rsidRPr="009F0393">
        <w:rPr>
          <w:i/>
          <w:iCs/>
          <w:spacing w:val="-3"/>
          <w:lang w:val="es-CO"/>
        </w:rPr>
        <w:t>AIM</w:t>
      </w:r>
      <w:r w:rsidRPr="009F0393">
        <w:rPr>
          <w:i/>
          <w:iCs/>
          <w:spacing w:val="-3"/>
          <w:vertAlign w:val="subscript"/>
          <w:lang w:val="es-CO"/>
        </w:rPr>
        <w:t>j,n</w:t>
      </w:r>
      <w:proofErr w:type="gramEnd"/>
      <w:r w:rsidRPr="009F0393">
        <w:rPr>
          <w:i/>
          <w:iCs/>
          <w:spacing w:val="-3"/>
          <w:vertAlign w:val="subscript"/>
          <w:lang w:val="es-CO"/>
        </w:rPr>
        <w:t>,m</w:t>
      </w:r>
      <w:proofErr w:type="spellEnd"/>
      <w:r>
        <w:rPr>
          <w:spacing w:val="-3"/>
          <w:lang w:val="es-CO"/>
        </w:rPr>
        <w:t>.</w:t>
      </w:r>
    </w:p>
    <w:p w14:paraId="1B8005C6" w14:textId="3B6ADC85" w:rsidR="00BE32DD" w:rsidRDefault="00BE32DD" w:rsidP="00BE32DD">
      <w:pPr>
        <w:rPr>
          <w:spacing w:val="-3"/>
          <w:lang w:val="es-CO"/>
        </w:rPr>
      </w:pPr>
      <w:r>
        <w:rPr>
          <w:spacing w:val="-3"/>
          <w:lang w:val="es-CO"/>
        </w:rPr>
        <w:t>La Resolución CREG 015 de 2018 estableció que las obligaciones de inversión presentadas para aprobación por los OR iniciaban en el 2019, independientemente de que su solicitud de aprobación de ingresos ya hubiese sido resuelta o no. La misma metodología también previó que el cambio en los ingresos aprobados con la nueva aplicación, incluyendo los ingresos relacionados con las inversiones, empezaban a causarse a partir de 2019 y para ello se introdujo una variable de ajuste, (</w:t>
      </w:r>
      <w:proofErr w:type="spellStart"/>
      <w:r w:rsidRPr="009F0393">
        <w:rPr>
          <w:i/>
          <w:iCs/>
          <w:spacing w:val="-3"/>
          <w:lang w:val="es-CO"/>
        </w:rPr>
        <w:t>AIM</w:t>
      </w:r>
      <w:r w:rsidRPr="009F0393">
        <w:rPr>
          <w:i/>
          <w:iCs/>
          <w:spacing w:val="-3"/>
          <w:vertAlign w:val="subscript"/>
          <w:lang w:val="es-CO"/>
        </w:rPr>
        <w:t>j,n,m</w:t>
      </w:r>
      <w:proofErr w:type="spellEnd"/>
      <w:r>
        <w:rPr>
          <w:spacing w:val="-3"/>
          <w:lang w:val="es-CO"/>
        </w:rPr>
        <w:t xml:space="preserve">), mediante la cual, una vez que se hubiera aprobado la resolución </w:t>
      </w:r>
      <w:r w:rsidR="003344DE" w:rsidRPr="003344DE">
        <w:rPr>
          <w:spacing w:val="-3"/>
          <w:lang w:val="es-CO"/>
        </w:rPr>
        <w:t xml:space="preserve">particular </w:t>
      </w:r>
      <w:r>
        <w:rPr>
          <w:spacing w:val="-3"/>
          <w:lang w:val="es-CO"/>
        </w:rPr>
        <w:t xml:space="preserve">de ingresos a un OR, se compararan los ingresos cobrados por un OR hasta ese momento con los que debía cobrar según la nueva metodología, con el fin de que la diferencia de recursos fueran distribuidos durante el primer año de aplicación de la metodología. </w:t>
      </w:r>
    </w:p>
    <w:p w14:paraId="196A4876" w14:textId="77777777" w:rsidR="00BE32DD" w:rsidRDefault="00BE32DD" w:rsidP="00BE32DD">
      <w:pPr>
        <w:rPr>
          <w:spacing w:val="-3"/>
          <w:lang w:val="es-CO"/>
        </w:rPr>
      </w:pPr>
      <w:r>
        <w:rPr>
          <w:spacing w:val="-3"/>
          <w:lang w:val="es-CO"/>
        </w:rPr>
        <w:t>En los casos en los que los ingresos resultantes de la nueva metodología resultaran más altos que los recibidos con la anterior, el factor de ajuste es positivo indicando que el OR recibiría la diferencia de ingresos a partir de las tarifas del primer año y, de la misma forma, en caso de que los nuevos ingresos fueran inferiores a los cobrados, el factor de ajuste es negativo, indicando que el OR debería devolver a los usuarios el mayor valor cobrado.</w:t>
      </w:r>
    </w:p>
    <w:p w14:paraId="1D6A8DF1" w14:textId="56090CA0" w:rsidR="00BE32DD" w:rsidRDefault="00BE32DD" w:rsidP="00BE32DD">
      <w:pPr>
        <w:rPr>
          <w:spacing w:val="-3"/>
          <w:lang w:val="es-CO"/>
        </w:rPr>
      </w:pPr>
      <w:r>
        <w:rPr>
          <w:spacing w:val="-3"/>
          <w:lang w:val="es-CO"/>
        </w:rPr>
        <w:t xml:space="preserve">Esta última situación es la que presenta </w:t>
      </w:r>
      <w:r w:rsidR="00116B69">
        <w:rPr>
          <w:spacing w:val="-3"/>
          <w:lang w:val="es-CO"/>
        </w:rPr>
        <w:t>EMEESA</w:t>
      </w:r>
      <w:r>
        <w:rPr>
          <w:spacing w:val="-3"/>
          <w:lang w:val="es-CO"/>
        </w:rPr>
        <w:t xml:space="preserve"> donde es pertinente mencionar que este factor de ajuste es calculable por parte de un OR desde el momento de</w:t>
      </w:r>
      <w:r w:rsidR="00A50651">
        <w:rPr>
          <w:spacing w:val="-3"/>
          <w:lang w:val="es-CO"/>
        </w:rPr>
        <w:t xml:space="preserve"> la</w:t>
      </w:r>
      <w:r>
        <w:rPr>
          <w:spacing w:val="-3"/>
          <w:lang w:val="es-CO"/>
        </w:rPr>
        <w:t xml:space="preserve"> solicitud de ingresos en aplicación de la Resolución CREG 015 de 2018, por lo que, desde </w:t>
      </w:r>
      <w:r w:rsidR="00A74DFA">
        <w:rPr>
          <w:spacing w:val="-3"/>
          <w:lang w:val="es-CO"/>
        </w:rPr>
        <w:t>el momento en que la Comisión notificó del inicio de la actuación administrativa para calcular los nuevos</w:t>
      </w:r>
      <w:r>
        <w:rPr>
          <w:spacing w:val="-3"/>
          <w:lang w:val="es-CO"/>
        </w:rPr>
        <w:t xml:space="preserve"> ingresos, dicho agente pudo prever si su factor de ajuste sería positivo o negativo y anticiparse a las situaciones de ajuste de ingreso anunciadas. </w:t>
      </w:r>
    </w:p>
    <w:p w14:paraId="7E53AF29" w14:textId="09103640" w:rsidR="00850AA8" w:rsidRDefault="00BE32DD" w:rsidP="00BE32DD">
      <w:pPr>
        <w:rPr>
          <w:spacing w:val="-3"/>
          <w:lang w:val="es-CO"/>
        </w:rPr>
      </w:pPr>
      <w:r>
        <w:rPr>
          <w:spacing w:val="-3"/>
          <w:lang w:val="es-CO"/>
        </w:rPr>
        <w:lastRenderedPageBreak/>
        <w:t xml:space="preserve">Por su parte, respecto del </w:t>
      </w:r>
      <w:r w:rsidRPr="001004F6">
        <w:rPr>
          <w:spacing w:val="-3"/>
          <w:lang w:val="es-CO"/>
        </w:rPr>
        <w:t>cálculo del monto a devolver por parte del OR y su relevancia respecto de las consideraciones de los egresos requeridos</w:t>
      </w:r>
      <w:r>
        <w:rPr>
          <w:spacing w:val="-3"/>
          <w:lang w:val="es-CO"/>
        </w:rPr>
        <w:t xml:space="preserve">, </w:t>
      </w:r>
      <w:r w:rsidR="000D2516">
        <w:rPr>
          <w:spacing w:val="-3"/>
          <w:lang w:val="es-CO"/>
        </w:rPr>
        <w:t xml:space="preserve">se dispone </w:t>
      </w:r>
      <w:r w:rsidR="000F537C">
        <w:rPr>
          <w:spacing w:val="-3"/>
          <w:lang w:val="es-CO"/>
        </w:rPr>
        <w:t xml:space="preserve">de </w:t>
      </w:r>
      <w:r w:rsidR="003145CE">
        <w:rPr>
          <w:spacing w:val="-3"/>
        </w:rPr>
        <w:t xml:space="preserve">los valores de los ingresos obtenidos con la metodología de la Resolución CREG 097 de 2008 (valores IMA), </w:t>
      </w:r>
      <w:r w:rsidR="00FE0438">
        <w:rPr>
          <w:spacing w:val="-3"/>
        </w:rPr>
        <w:t xml:space="preserve">de los </w:t>
      </w:r>
      <w:r w:rsidR="003145CE">
        <w:rPr>
          <w:spacing w:val="-3"/>
        </w:rPr>
        <w:t>valores resultantes de la aplicación de la nueva resolución (valores IMN) y</w:t>
      </w:r>
      <w:r w:rsidR="00FE0438">
        <w:rPr>
          <w:spacing w:val="-3"/>
        </w:rPr>
        <w:t xml:space="preserve"> de</w:t>
      </w:r>
      <w:r w:rsidR="003145CE">
        <w:rPr>
          <w:spacing w:val="-3"/>
        </w:rPr>
        <w:t xml:space="preserve"> los respectivos valores de ajuste (valores AIM)</w:t>
      </w:r>
      <w:r w:rsidR="00EE37C6">
        <w:rPr>
          <w:spacing w:val="-3"/>
        </w:rPr>
        <w:t xml:space="preserve"> para</w:t>
      </w:r>
      <w:r w:rsidR="000D2516">
        <w:rPr>
          <w:spacing w:val="-3"/>
        </w:rPr>
        <w:t xml:space="preserve"> del periodo </w:t>
      </w:r>
      <w:r w:rsidR="00DE03C8">
        <w:rPr>
          <w:spacing w:val="-3"/>
        </w:rPr>
        <w:t>abril</w:t>
      </w:r>
      <w:r w:rsidR="000D2516">
        <w:rPr>
          <w:spacing w:val="-3"/>
        </w:rPr>
        <w:t xml:space="preserve"> 2019 – </w:t>
      </w:r>
      <w:r w:rsidR="00EE37C6">
        <w:rPr>
          <w:spacing w:val="-3"/>
        </w:rPr>
        <w:t>junio</w:t>
      </w:r>
      <w:r w:rsidR="000D2516">
        <w:rPr>
          <w:spacing w:val="-3"/>
        </w:rPr>
        <w:t xml:space="preserve"> 202</w:t>
      </w:r>
      <w:r w:rsidR="00EE37C6">
        <w:rPr>
          <w:spacing w:val="-3"/>
        </w:rPr>
        <w:t>2</w:t>
      </w:r>
      <w:r w:rsidR="000D2516">
        <w:rPr>
          <w:spacing w:val="-3"/>
        </w:rPr>
        <w:t xml:space="preserve"> </w:t>
      </w:r>
      <w:r w:rsidR="006B047A">
        <w:rPr>
          <w:spacing w:val="-3"/>
          <w:lang w:val="es-CO"/>
        </w:rPr>
        <w:t>calculados</w:t>
      </w:r>
      <w:r w:rsidR="00AB1042">
        <w:rPr>
          <w:spacing w:val="-3"/>
          <w:lang w:val="es-CO"/>
        </w:rPr>
        <w:t xml:space="preserve"> por el LAC y consultad</w:t>
      </w:r>
      <w:r w:rsidR="000D2516">
        <w:rPr>
          <w:spacing w:val="-3"/>
          <w:lang w:val="es-CO"/>
        </w:rPr>
        <w:t>o</w:t>
      </w:r>
      <w:r w:rsidR="006B047A">
        <w:rPr>
          <w:spacing w:val="-3"/>
          <w:lang w:val="es-CO"/>
        </w:rPr>
        <w:t>s</w:t>
      </w:r>
      <w:r w:rsidR="00AB1042">
        <w:rPr>
          <w:spacing w:val="-3"/>
          <w:lang w:val="es-CO"/>
        </w:rPr>
        <w:t xml:space="preserve"> por la Comisión </w:t>
      </w:r>
      <w:r w:rsidR="00712A0D">
        <w:rPr>
          <w:spacing w:val="-3"/>
          <w:lang w:val="es-CO"/>
        </w:rPr>
        <w:t>en la liquidación</w:t>
      </w:r>
      <w:r w:rsidR="006B047A">
        <w:rPr>
          <w:spacing w:val="-3"/>
          <w:lang w:val="es-CO"/>
        </w:rPr>
        <w:t xml:space="preserve"> y cálculo de cargos</w:t>
      </w:r>
      <w:r w:rsidR="00712A0D">
        <w:rPr>
          <w:spacing w:val="-3"/>
          <w:lang w:val="es-CO"/>
        </w:rPr>
        <w:t xml:space="preserve"> del mes de febrero de 202</w:t>
      </w:r>
      <w:r w:rsidR="00117D14">
        <w:rPr>
          <w:spacing w:val="-3"/>
          <w:lang w:val="es-CO"/>
        </w:rPr>
        <w:t>3</w:t>
      </w:r>
      <w:r w:rsidR="00663911">
        <w:rPr>
          <w:spacing w:val="-3"/>
          <w:lang w:val="es-CO"/>
        </w:rPr>
        <w:t xml:space="preserve"> (archivo </w:t>
      </w:r>
      <w:r w:rsidR="00663911" w:rsidRPr="00663911">
        <w:rPr>
          <w:spacing w:val="-3"/>
          <w:lang w:val="es-CO"/>
        </w:rPr>
        <w:t>PPNM_CargosSDLDefinitivos_202302</w:t>
      </w:r>
      <w:r w:rsidR="00DD0237">
        <w:rPr>
          <w:spacing w:val="-3"/>
          <w:lang w:val="es-CO"/>
        </w:rPr>
        <w:t>.xlsx</w:t>
      </w:r>
      <w:r w:rsidR="00663911">
        <w:rPr>
          <w:spacing w:val="-3"/>
          <w:lang w:val="es-CO"/>
        </w:rPr>
        <w:t>)</w:t>
      </w:r>
      <w:r w:rsidR="00712A0D">
        <w:rPr>
          <w:spacing w:val="-3"/>
          <w:lang w:val="es-CO"/>
        </w:rPr>
        <w:t xml:space="preserve">, tal como se muestra en la tabla </w:t>
      </w:r>
      <w:r w:rsidR="003145CE">
        <w:rPr>
          <w:spacing w:val="-3"/>
          <w:lang w:val="es-CO"/>
        </w:rPr>
        <w:t>siguiente:</w:t>
      </w:r>
    </w:p>
    <w:p w14:paraId="1CBB1B38" w14:textId="029BADDC" w:rsidR="006F34F4" w:rsidRPr="006F34F4" w:rsidRDefault="006F34F4" w:rsidP="006F34F4">
      <w:pPr>
        <w:pStyle w:val="Descripcin"/>
        <w:rPr>
          <w:sz w:val="18"/>
          <w:szCs w:val="18"/>
        </w:rPr>
      </w:pPr>
      <w:r w:rsidRPr="006F34F4">
        <w:rPr>
          <w:sz w:val="18"/>
          <w:szCs w:val="18"/>
        </w:rPr>
        <w:t xml:space="preserve">Tabla </w:t>
      </w:r>
      <w:r w:rsidRPr="006F34F4">
        <w:rPr>
          <w:sz w:val="18"/>
          <w:szCs w:val="18"/>
        </w:rPr>
        <w:fldChar w:fldCharType="begin"/>
      </w:r>
      <w:r w:rsidRPr="006F34F4">
        <w:rPr>
          <w:sz w:val="18"/>
          <w:szCs w:val="18"/>
        </w:rPr>
        <w:instrText xml:space="preserve"> SEQ Tabla \* ARABIC </w:instrText>
      </w:r>
      <w:r w:rsidRPr="006F34F4">
        <w:rPr>
          <w:sz w:val="18"/>
          <w:szCs w:val="18"/>
        </w:rPr>
        <w:fldChar w:fldCharType="separate"/>
      </w:r>
      <w:r w:rsidR="00555F38">
        <w:rPr>
          <w:noProof/>
          <w:sz w:val="18"/>
          <w:szCs w:val="18"/>
        </w:rPr>
        <w:t>5</w:t>
      </w:r>
      <w:r w:rsidRPr="006F34F4">
        <w:rPr>
          <w:sz w:val="18"/>
          <w:szCs w:val="18"/>
        </w:rPr>
        <w:fldChar w:fldCharType="end"/>
      </w:r>
      <w:r w:rsidRPr="006F34F4">
        <w:rPr>
          <w:sz w:val="18"/>
          <w:szCs w:val="18"/>
        </w:rPr>
        <w:t xml:space="preserve"> Ingresos a devolver abril 2019 - junio 2022</w:t>
      </w:r>
    </w:p>
    <w:tbl>
      <w:tblPr>
        <w:tblW w:w="6660" w:type="dxa"/>
        <w:jc w:val="center"/>
        <w:tblCellMar>
          <w:left w:w="70" w:type="dxa"/>
          <w:right w:w="70" w:type="dxa"/>
        </w:tblCellMar>
        <w:tblLook w:val="04A0" w:firstRow="1" w:lastRow="0" w:firstColumn="1" w:lastColumn="0" w:noHBand="0" w:noVBand="1"/>
      </w:tblPr>
      <w:tblGrid>
        <w:gridCol w:w="880"/>
        <w:gridCol w:w="1960"/>
        <w:gridCol w:w="2120"/>
        <w:gridCol w:w="1700"/>
      </w:tblGrid>
      <w:tr w:rsidR="00EE4F6E" w:rsidRPr="00EE4F6E" w14:paraId="5F4D534B" w14:textId="77777777" w:rsidTr="006F34F4">
        <w:trPr>
          <w:trHeight w:val="260"/>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BBC83" w14:textId="39205327" w:rsidR="00EE4F6E" w:rsidRPr="00EE4F6E" w:rsidRDefault="00EE4F6E" w:rsidP="00E444DA">
            <w:pPr>
              <w:spacing w:before="0" w:after="0"/>
              <w:jc w:val="center"/>
              <w:rPr>
                <w:rFonts w:cs="Calibri"/>
                <w:b/>
                <w:bCs/>
                <w:color w:val="000000"/>
                <w:sz w:val="18"/>
                <w:szCs w:val="18"/>
                <w:lang w:val="es-CO" w:eastAsia="es-CO"/>
              </w:rPr>
            </w:pPr>
            <w:r w:rsidRPr="00EE4F6E">
              <w:rPr>
                <w:rFonts w:cs="Calibri"/>
                <w:b/>
                <w:bCs/>
                <w:color w:val="000000"/>
                <w:sz w:val="18"/>
                <w:szCs w:val="18"/>
                <w:lang w:val="es-CO" w:eastAsia="es-CO"/>
              </w:rPr>
              <w:t>Año</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05CBD42C" w14:textId="77777777" w:rsidR="00EE4F6E" w:rsidRPr="00EE4F6E" w:rsidRDefault="00EE4F6E" w:rsidP="00E444DA">
            <w:pPr>
              <w:spacing w:before="0" w:after="0"/>
              <w:jc w:val="center"/>
              <w:rPr>
                <w:rFonts w:cs="Calibri"/>
                <w:b/>
                <w:bCs/>
                <w:sz w:val="18"/>
                <w:szCs w:val="18"/>
                <w:lang w:val="es-CO" w:eastAsia="es-CO"/>
              </w:rPr>
            </w:pPr>
            <w:r w:rsidRPr="00EE4F6E">
              <w:rPr>
                <w:rFonts w:cs="Calibri"/>
                <w:b/>
                <w:bCs/>
                <w:sz w:val="18"/>
                <w:szCs w:val="18"/>
                <w:lang w:val="es-CO" w:eastAsia="es-CO"/>
              </w:rPr>
              <w:t>Ingreso nuevo (IMN)</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14:paraId="779742A5" w14:textId="77777777" w:rsidR="00EE4F6E" w:rsidRPr="00EE4F6E" w:rsidRDefault="00EE4F6E" w:rsidP="00E444DA">
            <w:pPr>
              <w:spacing w:before="0" w:after="0"/>
              <w:jc w:val="center"/>
              <w:rPr>
                <w:rFonts w:cs="Calibri"/>
                <w:b/>
                <w:bCs/>
                <w:sz w:val="18"/>
                <w:szCs w:val="18"/>
                <w:lang w:val="es-CO" w:eastAsia="es-CO"/>
              </w:rPr>
            </w:pPr>
            <w:r w:rsidRPr="00EE4F6E">
              <w:rPr>
                <w:rFonts w:cs="Calibri"/>
                <w:b/>
                <w:bCs/>
                <w:sz w:val="18"/>
                <w:szCs w:val="18"/>
                <w:lang w:val="es-CO" w:eastAsia="es-CO"/>
              </w:rPr>
              <w:t>Ingreso anterior (IMA)</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00E4A9A8" w14:textId="61F42891" w:rsidR="00EE4F6E" w:rsidRPr="00EE4F6E" w:rsidRDefault="00EE4F6E" w:rsidP="00E444DA">
            <w:pPr>
              <w:spacing w:before="0" w:after="0"/>
              <w:jc w:val="center"/>
              <w:rPr>
                <w:rFonts w:cs="Calibri"/>
                <w:b/>
                <w:bCs/>
                <w:color w:val="000000"/>
                <w:sz w:val="18"/>
                <w:szCs w:val="18"/>
                <w:lang w:val="es-CO" w:eastAsia="es-CO"/>
              </w:rPr>
            </w:pPr>
            <w:r w:rsidRPr="00EE4F6E">
              <w:rPr>
                <w:rFonts w:cs="Calibri"/>
                <w:b/>
                <w:bCs/>
                <w:color w:val="000000"/>
                <w:sz w:val="18"/>
                <w:szCs w:val="18"/>
                <w:lang w:val="es-CO" w:eastAsia="es-CO"/>
              </w:rPr>
              <w:t>Diferencia (AIM)</w:t>
            </w:r>
          </w:p>
        </w:tc>
      </w:tr>
      <w:tr w:rsidR="00EE4F6E" w:rsidRPr="00EE4F6E" w14:paraId="1968CC2B" w14:textId="77777777" w:rsidTr="00E444DA">
        <w:trPr>
          <w:trHeight w:val="26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481461B" w14:textId="77777777" w:rsidR="00EE4F6E" w:rsidRPr="00EE4F6E" w:rsidRDefault="00EE4F6E" w:rsidP="00E444DA">
            <w:pPr>
              <w:spacing w:before="0" w:after="0"/>
              <w:jc w:val="right"/>
              <w:rPr>
                <w:rFonts w:cs="Calibri"/>
                <w:color w:val="000000"/>
                <w:sz w:val="18"/>
                <w:szCs w:val="18"/>
                <w:lang w:val="es-CO" w:eastAsia="es-CO"/>
              </w:rPr>
            </w:pPr>
            <w:r w:rsidRPr="00EE4F6E">
              <w:rPr>
                <w:rFonts w:cs="Calibri"/>
                <w:color w:val="000000"/>
                <w:sz w:val="18"/>
                <w:szCs w:val="18"/>
                <w:lang w:val="es-CO" w:eastAsia="es-CO"/>
              </w:rPr>
              <w:t xml:space="preserve"> 2.019 </w:t>
            </w:r>
          </w:p>
        </w:tc>
        <w:tc>
          <w:tcPr>
            <w:tcW w:w="1960" w:type="dxa"/>
            <w:tcBorders>
              <w:top w:val="nil"/>
              <w:left w:val="nil"/>
              <w:bottom w:val="single" w:sz="4" w:space="0" w:color="auto"/>
              <w:right w:val="single" w:sz="4" w:space="0" w:color="auto"/>
            </w:tcBorders>
            <w:shd w:val="clear" w:color="auto" w:fill="auto"/>
            <w:noWrap/>
            <w:vAlign w:val="center"/>
            <w:hideMark/>
          </w:tcPr>
          <w:p w14:paraId="5E6B414A" w14:textId="77777777" w:rsidR="00EE4F6E" w:rsidRPr="00EE4F6E" w:rsidRDefault="00EE4F6E" w:rsidP="00E444DA">
            <w:pPr>
              <w:spacing w:before="0" w:after="0"/>
              <w:jc w:val="right"/>
              <w:rPr>
                <w:rFonts w:cs="Calibri"/>
                <w:sz w:val="18"/>
                <w:szCs w:val="18"/>
                <w:lang w:val="es-CO" w:eastAsia="es-CO"/>
              </w:rPr>
            </w:pPr>
            <w:r w:rsidRPr="00EE4F6E">
              <w:rPr>
                <w:rFonts w:cs="Calibri"/>
                <w:sz w:val="18"/>
                <w:szCs w:val="18"/>
                <w:lang w:val="es-CO" w:eastAsia="es-CO"/>
              </w:rPr>
              <w:t xml:space="preserve">           320.575.290 </w:t>
            </w:r>
          </w:p>
        </w:tc>
        <w:tc>
          <w:tcPr>
            <w:tcW w:w="2120" w:type="dxa"/>
            <w:tcBorders>
              <w:top w:val="nil"/>
              <w:left w:val="nil"/>
              <w:bottom w:val="single" w:sz="4" w:space="0" w:color="auto"/>
              <w:right w:val="single" w:sz="4" w:space="0" w:color="auto"/>
            </w:tcBorders>
            <w:shd w:val="clear" w:color="auto" w:fill="auto"/>
            <w:noWrap/>
            <w:vAlign w:val="center"/>
            <w:hideMark/>
          </w:tcPr>
          <w:p w14:paraId="53B498A9" w14:textId="77777777" w:rsidR="00EE4F6E" w:rsidRPr="00EE4F6E" w:rsidRDefault="00EE4F6E" w:rsidP="00E444DA">
            <w:pPr>
              <w:spacing w:before="0" w:after="0"/>
              <w:jc w:val="right"/>
              <w:rPr>
                <w:rFonts w:cs="Calibri"/>
                <w:sz w:val="18"/>
                <w:szCs w:val="18"/>
                <w:lang w:val="es-CO" w:eastAsia="es-CO"/>
              </w:rPr>
            </w:pPr>
            <w:r w:rsidRPr="00EE4F6E">
              <w:rPr>
                <w:rFonts w:cs="Calibri"/>
                <w:sz w:val="18"/>
                <w:szCs w:val="18"/>
                <w:lang w:val="es-CO" w:eastAsia="es-CO"/>
              </w:rPr>
              <w:t xml:space="preserve">              877.835.923 </w:t>
            </w:r>
          </w:p>
        </w:tc>
        <w:tc>
          <w:tcPr>
            <w:tcW w:w="1700" w:type="dxa"/>
            <w:tcBorders>
              <w:top w:val="nil"/>
              <w:left w:val="nil"/>
              <w:bottom w:val="single" w:sz="4" w:space="0" w:color="auto"/>
              <w:right w:val="single" w:sz="4" w:space="0" w:color="auto"/>
            </w:tcBorders>
            <w:shd w:val="clear" w:color="auto" w:fill="auto"/>
            <w:noWrap/>
            <w:vAlign w:val="center"/>
            <w:hideMark/>
          </w:tcPr>
          <w:p w14:paraId="525170FF" w14:textId="77777777" w:rsidR="00EE4F6E" w:rsidRPr="00EE4F6E" w:rsidRDefault="00EE4F6E" w:rsidP="00E444DA">
            <w:pPr>
              <w:spacing w:before="0" w:after="0"/>
              <w:jc w:val="right"/>
              <w:rPr>
                <w:rFonts w:cs="Calibri"/>
                <w:sz w:val="18"/>
                <w:szCs w:val="18"/>
                <w:lang w:val="es-CO" w:eastAsia="es-CO"/>
              </w:rPr>
            </w:pPr>
            <w:r w:rsidRPr="00EE4F6E">
              <w:rPr>
                <w:rFonts w:cs="Calibri"/>
                <w:sz w:val="18"/>
                <w:szCs w:val="18"/>
                <w:lang w:val="es-CO" w:eastAsia="es-CO"/>
              </w:rPr>
              <w:t xml:space="preserve">-      557.260.633 </w:t>
            </w:r>
          </w:p>
        </w:tc>
      </w:tr>
      <w:tr w:rsidR="00EE4F6E" w:rsidRPr="00EE4F6E" w14:paraId="3BEC835B" w14:textId="77777777" w:rsidTr="00E444DA">
        <w:trPr>
          <w:trHeight w:val="26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46D45D1" w14:textId="77777777" w:rsidR="00EE4F6E" w:rsidRPr="00EE4F6E" w:rsidRDefault="00EE4F6E" w:rsidP="00E444DA">
            <w:pPr>
              <w:spacing w:before="0" w:after="0"/>
              <w:jc w:val="right"/>
              <w:rPr>
                <w:rFonts w:cs="Calibri"/>
                <w:color w:val="000000"/>
                <w:sz w:val="18"/>
                <w:szCs w:val="18"/>
                <w:lang w:val="es-CO" w:eastAsia="es-CO"/>
              </w:rPr>
            </w:pPr>
            <w:r w:rsidRPr="00EE4F6E">
              <w:rPr>
                <w:rFonts w:cs="Calibri"/>
                <w:color w:val="000000"/>
                <w:sz w:val="18"/>
                <w:szCs w:val="18"/>
                <w:lang w:val="es-CO" w:eastAsia="es-CO"/>
              </w:rPr>
              <w:t xml:space="preserve"> 2.020 </w:t>
            </w:r>
          </w:p>
        </w:tc>
        <w:tc>
          <w:tcPr>
            <w:tcW w:w="1960" w:type="dxa"/>
            <w:tcBorders>
              <w:top w:val="nil"/>
              <w:left w:val="nil"/>
              <w:bottom w:val="single" w:sz="4" w:space="0" w:color="auto"/>
              <w:right w:val="single" w:sz="4" w:space="0" w:color="auto"/>
            </w:tcBorders>
            <w:shd w:val="clear" w:color="auto" w:fill="auto"/>
            <w:noWrap/>
            <w:vAlign w:val="center"/>
            <w:hideMark/>
          </w:tcPr>
          <w:p w14:paraId="4F1C459B" w14:textId="77777777" w:rsidR="00EE4F6E" w:rsidRPr="00EE4F6E" w:rsidRDefault="00EE4F6E" w:rsidP="00E444DA">
            <w:pPr>
              <w:spacing w:before="0" w:after="0"/>
              <w:jc w:val="right"/>
              <w:rPr>
                <w:rFonts w:cs="Calibri"/>
                <w:sz w:val="18"/>
                <w:szCs w:val="18"/>
                <w:lang w:val="es-CO" w:eastAsia="es-CO"/>
              </w:rPr>
            </w:pPr>
            <w:r w:rsidRPr="00EE4F6E">
              <w:rPr>
                <w:rFonts w:cs="Calibri"/>
                <w:sz w:val="18"/>
                <w:szCs w:val="18"/>
                <w:lang w:val="es-CO" w:eastAsia="es-CO"/>
              </w:rPr>
              <w:t xml:space="preserve">           452.208.213 </w:t>
            </w:r>
          </w:p>
        </w:tc>
        <w:tc>
          <w:tcPr>
            <w:tcW w:w="2120" w:type="dxa"/>
            <w:tcBorders>
              <w:top w:val="nil"/>
              <w:left w:val="nil"/>
              <w:bottom w:val="single" w:sz="4" w:space="0" w:color="auto"/>
              <w:right w:val="single" w:sz="4" w:space="0" w:color="auto"/>
            </w:tcBorders>
            <w:shd w:val="clear" w:color="auto" w:fill="auto"/>
            <w:noWrap/>
            <w:vAlign w:val="center"/>
            <w:hideMark/>
          </w:tcPr>
          <w:p w14:paraId="0AA72D9E" w14:textId="77777777" w:rsidR="00EE4F6E" w:rsidRPr="00EE4F6E" w:rsidRDefault="00EE4F6E" w:rsidP="00E444DA">
            <w:pPr>
              <w:spacing w:before="0" w:after="0"/>
              <w:jc w:val="right"/>
              <w:rPr>
                <w:rFonts w:cs="Calibri"/>
                <w:sz w:val="18"/>
                <w:szCs w:val="18"/>
                <w:lang w:val="es-CO" w:eastAsia="es-CO"/>
              </w:rPr>
            </w:pPr>
            <w:r w:rsidRPr="00EE4F6E">
              <w:rPr>
                <w:rFonts w:cs="Calibri"/>
                <w:sz w:val="18"/>
                <w:szCs w:val="18"/>
                <w:lang w:val="es-CO" w:eastAsia="es-CO"/>
              </w:rPr>
              <w:t xml:space="preserve">           1.319.363.200 </w:t>
            </w:r>
          </w:p>
        </w:tc>
        <w:tc>
          <w:tcPr>
            <w:tcW w:w="1700" w:type="dxa"/>
            <w:tcBorders>
              <w:top w:val="nil"/>
              <w:left w:val="nil"/>
              <w:bottom w:val="single" w:sz="4" w:space="0" w:color="auto"/>
              <w:right w:val="single" w:sz="4" w:space="0" w:color="auto"/>
            </w:tcBorders>
            <w:shd w:val="clear" w:color="auto" w:fill="auto"/>
            <w:noWrap/>
            <w:vAlign w:val="center"/>
            <w:hideMark/>
          </w:tcPr>
          <w:p w14:paraId="4A8DC5DD" w14:textId="77777777" w:rsidR="00EE4F6E" w:rsidRPr="00EE4F6E" w:rsidRDefault="00EE4F6E" w:rsidP="00E444DA">
            <w:pPr>
              <w:spacing w:before="0" w:after="0"/>
              <w:jc w:val="right"/>
              <w:rPr>
                <w:rFonts w:cs="Calibri"/>
                <w:sz w:val="18"/>
                <w:szCs w:val="18"/>
                <w:lang w:val="es-CO" w:eastAsia="es-CO"/>
              </w:rPr>
            </w:pPr>
            <w:r w:rsidRPr="00EE4F6E">
              <w:rPr>
                <w:rFonts w:cs="Calibri"/>
                <w:sz w:val="18"/>
                <w:szCs w:val="18"/>
                <w:lang w:val="es-CO" w:eastAsia="es-CO"/>
              </w:rPr>
              <w:t xml:space="preserve">-      867.154.987 </w:t>
            </w:r>
          </w:p>
        </w:tc>
      </w:tr>
      <w:tr w:rsidR="00EE4F6E" w:rsidRPr="00EE4F6E" w14:paraId="190847D6" w14:textId="77777777" w:rsidTr="00E444DA">
        <w:trPr>
          <w:trHeight w:val="26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B780C40" w14:textId="77777777" w:rsidR="00EE4F6E" w:rsidRPr="00EE4F6E" w:rsidRDefault="00EE4F6E" w:rsidP="00E444DA">
            <w:pPr>
              <w:spacing w:before="0" w:after="0"/>
              <w:jc w:val="right"/>
              <w:rPr>
                <w:rFonts w:cs="Calibri"/>
                <w:color w:val="000000"/>
                <w:sz w:val="18"/>
                <w:szCs w:val="18"/>
                <w:lang w:val="es-CO" w:eastAsia="es-CO"/>
              </w:rPr>
            </w:pPr>
            <w:r w:rsidRPr="00EE4F6E">
              <w:rPr>
                <w:rFonts w:cs="Calibri"/>
                <w:color w:val="000000"/>
                <w:sz w:val="18"/>
                <w:szCs w:val="18"/>
                <w:lang w:val="es-CO" w:eastAsia="es-CO"/>
              </w:rPr>
              <w:t xml:space="preserve"> 2.021 </w:t>
            </w:r>
          </w:p>
        </w:tc>
        <w:tc>
          <w:tcPr>
            <w:tcW w:w="1960" w:type="dxa"/>
            <w:tcBorders>
              <w:top w:val="nil"/>
              <w:left w:val="nil"/>
              <w:bottom w:val="single" w:sz="4" w:space="0" w:color="auto"/>
              <w:right w:val="single" w:sz="4" w:space="0" w:color="auto"/>
            </w:tcBorders>
            <w:shd w:val="clear" w:color="auto" w:fill="auto"/>
            <w:noWrap/>
            <w:vAlign w:val="center"/>
            <w:hideMark/>
          </w:tcPr>
          <w:p w14:paraId="477AFD6B" w14:textId="77777777" w:rsidR="00EE4F6E" w:rsidRPr="00EE4F6E" w:rsidRDefault="00EE4F6E" w:rsidP="00E444DA">
            <w:pPr>
              <w:spacing w:before="0" w:after="0"/>
              <w:jc w:val="right"/>
              <w:rPr>
                <w:rFonts w:cs="Calibri"/>
                <w:sz w:val="18"/>
                <w:szCs w:val="18"/>
                <w:lang w:val="es-CO" w:eastAsia="es-CO"/>
              </w:rPr>
            </w:pPr>
            <w:r w:rsidRPr="00EE4F6E">
              <w:rPr>
                <w:rFonts w:cs="Calibri"/>
                <w:sz w:val="18"/>
                <w:szCs w:val="18"/>
                <w:lang w:val="es-CO" w:eastAsia="es-CO"/>
              </w:rPr>
              <w:t xml:space="preserve">           550.418.915 </w:t>
            </w:r>
          </w:p>
        </w:tc>
        <w:tc>
          <w:tcPr>
            <w:tcW w:w="2120" w:type="dxa"/>
            <w:tcBorders>
              <w:top w:val="nil"/>
              <w:left w:val="nil"/>
              <w:bottom w:val="single" w:sz="4" w:space="0" w:color="auto"/>
              <w:right w:val="single" w:sz="4" w:space="0" w:color="auto"/>
            </w:tcBorders>
            <w:shd w:val="clear" w:color="auto" w:fill="auto"/>
            <w:noWrap/>
            <w:vAlign w:val="center"/>
            <w:hideMark/>
          </w:tcPr>
          <w:p w14:paraId="5458C99C" w14:textId="77777777" w:rsidR="00EE4F6E" w:rsidRPr="00EE4F6E" w:rsidRDefault="00EE4F6E" w:rsidP="00E444DA">
            <w:pPr>
              <w:spacing w:before="0" w:after="0"/>
              <w:jc w:val="right"/>
              <w:rPr>
                <w:rFonts w:cs="Calibri"/>
                <w:sz w:val="18"/>
                <w:szCs w:val="18"/>
                <w:lang w:val="es-CO" w:eastAsia="es-CO"/>
              </w:rPr>
            </w:pPr>
            <w:r w:rsidRPr="00EE4F6E">
              <w:rPr>
                <w:rFonts w:cs="Calibri"/>
                <w:sz w:val="18"/>
                <w:szCs w:val="18"/>
                <w:lang w:val="es-CO" w:eastAsia="es-CO"/>
              </w:rPr>
              <w:t xml:space="preserve">           1.360.105.663 </w:t>
            </w:r>
          </w:p>
        </w:tc>
        <w:tc>
          <w:tcPr>
            <w:tcW w:w="1700" w:type="dxa"/>
            <w:tcBorders>
              <w:top w:val="nil"/>
              <w:left w:val="nil"/>
              <w:bottom w:val="single" w:sz="4" w:space="0" w:color="auto"/>
              <w:right w:val="single" w:sz="4" w:space="0" w:color="auto"/>
            </w:tcBorders>
            <w:shd w:val="clear" w:color="auto" w:fill="auto"/>
            <w:noWrap/>
            <w:vAlign w:val="center"/>
            <w:hideMark/>
          </w:tcPr>
          <w:p w14:paraId="6D3B5A68" w14:textId="77777777" w:rsidR="00EE4F6E" w:rsidRPr="00EE4F6E" w:rsidRDefault="00EE4F6E" w:rsidP="00E444DA">
            <w:pPr>
              <w:spacing w:before="0" w:after="0"/>
              <w:jc w:val="right"/>
              <w:rPr>
                <w:rFonts w:cs="Calibri"/>
                <w:sz w:val="18"/>
                <w:szCs w:val="18"/>
                <w:lang w:val="es-CO" w:eastAsia="es-CO"/>
              </w:rPr>
            </w:pPr>
            <w:r w:rsidRPr="00EE4F6E">
              <w:rPr>
                <w:rFonts w:cs="Calibri"/>
                <w:sz w:val="18"/>
                <w:szCs w:val="18"/>
                <w:lang w:val="es-CO" w:eastAsia="es-CO"/>
              </w:rPr>
              <w:t xml:space="preserve">-      809.686.748 </w:t>
            </w:r>
          </w:p>
        </w:tc>
      </w:tr>
      <w:tr w:rsidR="00EE4F6E" w:rsidRPr="00EE4F6E" w14:paraId="7DFFFADB" w14:textId="77777777" w:rsidTr="00E444DA">
        <w:trPr>
          <w:trHeight w:val="26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DB8A08D" w14:textId="77777777" w:rsidR="00EE4F6E" w:rsidRPr="00EE4F6E" w:rsidRDefault="00EE4F6E" w:rsidP="00E444DA">
            <w:pPr>
              <w:spacing w:before="0" w:after="0"/>
              <w:jc w:val="right"/>
              <w:rPr>
                <w:rFonts w:cs="Calibri"/>
                <w:color w:val="000000"/>
                <w:sz w:val="18"/>
                <w:szCs w:val="18"/>
                <w:lang w:val="es-CO" w:eastAsia="es-CO"/>
              </w:rPr>
            </w:pPr>
            <w:r w:rsidRPr="00EE4F6E">
              <w:rPr>
                <w:rFonts w:cs="Calibri"/>
                <w:color w:val="000000"/>
                <w:sz w:val="18"/>
                <w:szCs w:val="18"/>
                <w:lang w:val="es-CO" w:eastAsia="es-CO"/>
              </w:rPr>
              <w:t xml:space="preserve"> 2.022 </w:t>
            </w:r>
          </w:p>
        </w:tc>
        <w:tc>
          <w:tcPr>
            <w:tcW w:w="1960" w:type="dxa"/>
            <w:tcBorders>
              <w:top w:val="nil"/>
              <w:left w:val="nil"/>
              <w:bottom w:val="single" w:sz="4" w:space="0" w:color="auto"/>
              <w:right w:val="single" w:sz="4" w:space="0" w:color="auto"/>
            </w:tcBorders>
            <w:shd w:val="clear" w:color="auto" w:fill="auto"/>
            <w:noWrap/>
            <w:vAlign w:val="center"/>
            <w:hideMark/>
          </w:tcPr>
          <w:p w14:paraId="5EF429D2" w14:textId="77777777" w:rsidR="00EE4F6E" w:rsidRPr="00EE4F6E" w:rsidRDefault="00EE4F6E" w:rsidP="00E444DA">
            <w:pPr>
              <w:spacing w:before="0" w:after="0"/>
              <w:jc w:val="right"/>
              <w:rPr>
                <w:rFonts w:cs="Calibri"/>
                <w:sz w:val="18"/>
                <w:szCs w:val="18"/>
                <w:lang w:val="es-CO" w:eastAsia="es-CO"/>
              </w:rPr>
            </w:pPr>
            <w:r w:rsidRPr="00EE4F6E">
              <w:rPr>
                <w:rFonts w:cs="Calibri"/>
                <w:sz w:val="18"/>
                <w:szCs w:val="18"/>
                <w:lang w:val="es-CO" w:eastAsia="es-CO"/>
              </w:rPr>
              <w:t xml:space="preserve">           335.974.568 </w:t>
            </w:r>
          </w:p>
        </w:tc>
        <w:tc>
          <w:tcPr>
            <w:tcW w:w="2120" w:type="dxa"/>
            <w:tcBorders>
              <w:top w:val="nil"/>
              <w:left w:val="nil"/>
              <w:bottom w:val="single" w:sz="4" w:space="0" w:color="auto"/>
              <w:right w:val="single" w:sz="4" w:space="0" w:color="auto"/>
            </w:tcBorders>
            <w:shd w:val="clear" w:color="auto" w:fill="auto"/>
            <w:noWrap/>
            <w:vAlign w:val="center"/>
            <w:hideMark/>
          </w:tcPr>
          <w:p w14:paraId="57F54D02" w14:textId="77777777" w:rsidR="00EE4F6E" w:rsidRPr="00EE4F6E" w:rsidRDefault="00EE4F6E" w:rsidP="00E444DA">
            <w:pPr>
              <w:spacing w:before="0" w:after="0"/>
              <w:jc w:val="right"/>
              <w:rPr>
                <w:rFonts w:cs="Calibri"/>
                <w:sz w:val="18"/>
                <w:szCs w:val="18"/>
                <w:lang w:val="es-CO" w:eastAsia="es-CO"/>
              </w:rPr>
            </w:pPr>
            <w:r w:rsidRPr="00EE4F6E">
              <w:rPr>
                <w:rFonts w:cs="Calibri"/>
                <w:sz w:val="18"/>
                <w:szCs w:val="18"/>
                <w:lang w:val="es-CO" w:eastAsia="es-CO"/>
              </w:rPr>
              <w:t xml:space="preserve">              909.400.320 </w:t>
            </w:r>
          </w:p>
        </w:tc>
        <w:tc>
          <w:tcPr>
            <w:tcW w:w="1700" w:type="dxa"/>
            <w:tcBorders>
              <w:top w:val="nil"/>
              <w:left w:val="nil"/>
              <w:bottom w:val="single" w:sz="4" w:space="0" w:color="auto"/>
              <w:right w:val="single" w:sz="4" w:space="0" w:color="auto"/>
            </w:tcBorders>
            <w:shd w:val="clear" w:color="auto" w:fill="auto"/>
            <w:noWrap/>
            <w:vAlign w:val="center"/>
            <w:hideMark/>
          </w:tcPr>
          <w:p w14:paraId="789818E5" w14:textId="77777777" w:rsidR="00EE4F6E" w:rsidRPr="00EE4F6E" w:rsidRDefault="00EE4F6E" w:rsidP="00E444DA">
            <w:pPr>
              <w:spacing w:before="0" w:after="0"/>
              <w:jc w:val="right"/>
              <w:rPr>
                <w:rFonts w:cs="Calibri"/>
                <w:sz w:val="18"/>
                <w:szCs w:val="18"/>
                <w:lang w:val="es-CO" w:eastAsia="es-CO"/>
              </w:rPr>
            </w:pPr>
            <w:r w:rsidRPr="00EE4F6E">
              <w:rPr>
                <w:rFonts w:cs="Calibri"/>
                <w:sz w:val="18"/>
                <w:szCs w:val="18"/>
                <w:lang w:val="es-CO" w:eastAsia="es-CO"/>
              </w:rPr>
              <w:t xml:space="preserve">-      573.425.752 </w:t>
            </w:r>
          </w:p>
        </w:tc>
      </w:tr>
      <w:tr w:rsidR="00EE4F6E" w:rsidRPr="00EE4F6E" w14:paraId="3E5F473B" w14:textId="77777777" w:rsidTr="00E444DA">
        <w:trPr>
          <w:trHeight w:val="26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0479287" w14:textId="184F669D" w:rsidR="00EE4F6E" w:rsidRPr="00EE4F6E" w:rsidRDefault="00EE4F6E" w:rsidP="00E444DA">
            <w:pPr>
              <w:spacing w:before="0" w:after="0"/>
              <w:jc w:val="right"/>
              <w:rPr>
                <w:rFonts w:cs="Calibri"/>
                <w:color w:val="000000"/>
                <w:sz w:val="18"/>
                <w:szCs w:val="18"/>
                <w:lang w:val="es-CO" w:eastAsia="es-CO"/>
              </w:rPr>
            </w:pPr>
            <w:r w:rsidRPr="00EE4F6E">
              <w:rPr>
                <w:rFonts w:cs="Calibri"/>
                <w:color w:val="000000"/>
                <w:sz w:val="18"/>
                <w:szCs w:val="18"/>
                <w:lang w:val="es-CO" w:eastAsia="es-CO"/>
              </w:rPr>
              <w:t xml:space="preserve"> </w:t>
            </w:r>
            <w:r w:rsidR="00E444DA">
              <w:rPr>
                <w:rFonts w:cs="Calibri"/>
                <w:color w:val="000000"/>
                <w:sz w:val="18"/>
                <w:szCs w:val="18"/>
                <w:lang w:val="es-CO" w:eastAsia="es-CO"/>
              </w:rPr>
              <w:t>Total</w:t>
            </w:r>
            <w:r w:rsidRPr="00EE4F6E">
              <w:rPr>
                <w:rFonts w:cs="Calibri"/>
                <w:color w:val="000000"/>
                <w:sz w:val="18"/>
                <w:szCs w:val="18"/>
                <w:lang w:val="es-CO" w:eastAsia="es-CO"/>
              </w:rPr>
              <w:t xml:space="preserve"> </w:t>
            </w:r>
          </w:p>
        </w:tc>
        <w:tc>
          <w:tcPr>
            <w:tcW w:w="1960" w:type="dxa"/>
            <w:tcBorders>
              <w:top w:val="nil"/>
              <w:left w:val="nil"/>
              <w:bottom w:val="single" w:sz="4" w:space="0" w:color="auto"/>
              <w:right w:val="single" w:sz="4" w:space="0" w:color="auto"/>
            </w:tcBorders>
            <w:shd w:val="clear" w:color="auto" w:fill="auto"/>
            <w:noWrap/>
            <w:vAlign w:val="center"/>
            <w:hideMark/>
          </w:tcPr>
          <w:p w14:paraId="34CD1F55" w14:textId="77777777" w:rsidR="00EE4F6E" w:rsidRPr="00EE4F6E" w:rsidRDefault="00EE4F6E" w:rsidP="00E444DA">
            <w:pPr>
              <w:spacing w:before="0" w:after="0"/>
              <w:jc w:val="right"/>
              <w:rPr>
                <w:rFonts w:cs="Calibri"/>
                <w:sz w:val="18"/>
                <w:szCs w:val="18"/>
                <w:lang w:val="es-CO" w:eastAsia="es-CO"/>
              </w:rPr>
            </w:pPr>
            <w:r w:rsidRPr="00EE4F6E">
              <w:rPr>
                <w:rFonts w:cs="Calibri"/>
                <w:sz w:val="18"/>
                <w:szCs w:val="18"/>
                <w:lang w:val="es-CO" w:eastAsia="es-CO"/>
              </w:rPr>
              <w:t xml:space="preserve">         1.659.176.986 </w:t>
            </w:r>
          </w:p>
        </w:tc>
        <w:tc>
          <w:tcPr>
            <w:tcW w:w="2120" w:type="dxa"/>
            <w:tcBorders>
              <w:top w:val="nil"/>
              <w:left w:val="nil"/>
              <w:bottom w:val="single" w:sz="4" w:space="0" w:color="auto"/>
              <w:right w:val="single" w:sz="4" w:space="0" w:color="auto"/>
            </w:tcBorders>
            <w:shd w:val="clear" w:color="auto" w:fill="auto"/>
            <w:noWrap/>
            <w:vAlign w:val="center"/>
            <w:hideMark/>
          </w:tcPr>
          <w:p w14:paraId="3C37D4FF" w14:textId="77777777" w:rsidR="00EE4F6E" w:rsidRPr="00EE4F6E" w:rsidRDefault="00EE4F6E" w:rsidP="00E444DA">
            <w:pPr>
              <w:spacing w:before="0" w:after="0"/>
              <w:jc w:val="right"/>
              <w:rPr>
                <w:rFonts w:cs="Calibri"/>
                <w:sz w:val="18"/>
                <w:szCs w:val="18"/>
                <w:lang w:val="es-CO" w:eastAsia="es-CO"/>
              </w:rPr>
            </w:pPr>
            <w:r w:rsidRPr="00EE4F6E">
              <w:rPr>
                <w:rFonts w:cs="Calibri"/>
                <w:sz w:val="18"/>
                <w:szCs w:val="18"/>
                <w:lang w:val="es-CO" w:eastAsia="es-CO"/>
              </w:rPr>
              <w:t xml:space="preserve">           4.466.705.105 </w:t>
            </w:r>
          </w:p>
        </w:tc>
        <w:tc>
          <w:tcPr>
            <w:tcW w:w="1700" w:type="dxa"/>
            <w:tcBorders>
              <w:top w:val="nil"/>
              <w:left w:val="nil"/>
              <w:bottom w:val="single" w:sz="4" w:space="0" w:color="auto"/>
              <w:right w:val="single" w:sz="4" w:space="0" w:color="auto"/>
            </w:tcBorders>
            <w:shd w:val="clear" w:color="auto" w:fill="auto"/>
            <w:noWrap/>
            <w:vAlign w:val="center"/>
            <w:hideMark/>
          </w:tcPr>
          <w:p w14:paraId="44F321AA" w14:textId="77777777" w:rsidR="00EE4F6E" w:rsidRPr="00EE4F6E" w:rsidRDefault="00EE4F6E" w:rsidP="00E444DA">
            <w:pPr>
              <w:spacing w:before="0" w:after="0"/>
              <w:jc w:val="right"/>
              <w:rPr>
                <w:rFonts w:cs="Calibri"/>
                <w:sz w:val="18"/>
                <w:szCs w:val="18"/>
                <w:lang w:val="es-CO" w:eastAsia="es-CO"/>
              </w:rPr>
            </w:pPr>
            <w:r w:rsidRPr="00EE4F6E">
              <w:rPr>
                <w:rFonts w:cs="Calibri"/>
                <w:sz w:val="18"/>
                <w:szCs w:val="18"/>
                <w:lang w:val="es-CO" w:eastAsia="es-CO"/>
              </w:rPr>
              <w:t xml:space="preserve">-   2.807.528.119 </w:t>
            </w:r>
          </w:p>
        </w:tc>
      </w:tr>
      <w:tr w:rsidR="00EE4F6E" w:rsidRPr="00EE4F6E" w14:paraId="73F115AB" w14:textId="77777777" w:rsidTr="00EE4F6E">
        <w:trPr>
          <w:trHeight w:val="260"/>
          <w:jc w:val="center"/>
        </w:trPr>
        <w:tc>
          <w:tcPr>
            <w:tcW w:w="6660" w:type="dxa"/>
            <w:gridSpan w:val="4"/>
            <w:tcBorders>
              <w:top w:val="single" w:sz="4" w:space="0" w:color="auto"/>
              <w:left w:val="nil"/>
              <w:bottom w:val="nil"/>
              <w:right w:val="nil"/>
            </w:tcBorders>
            <w:shd w:val="clear" w:color="auto" w:fill="auto"/>
            <w:noWrap/>
            <w:vAlign w:val="bottom"/>
            <w:hideMark/>
          </w:tcPr>
          <w:p w14:paraId="683C7F6B" w14:textId="1A8C4523" w:rsidR="00EE4F6E" w:rsidRPr="00EE4F6E" w:rsidRDefault="00EE4F6E" w:rsidP="00EE4F6E">
            <w:pPr>
              <w:spacing w:before="0" w:after="0"/>
              <w:jc w:val="center"/>
              <w:rPr>
                <w:rFonts w:cs="Calibri"/>
                <w:color w:val="000000"/>
                <w:sz w:val="16"/>
                <w:szCs w:val="16"/>
                <w:lang w:val="es-CO" w:eastAsia="es-CO"/>
              </w:rPr>
            </w:pPr>
            <w:r w:rsidRPr="00EE4F6E">
              <w:rPr>
                <w:rFonts w:cs="Calibri"/>
                <w:color w:val="000000"/>
                <w:sz w:val="16"/>
                <w:szCs w:val="16"/>
                <w:lang w:val="es-CO" w:eastAsia="es-CO"/>
              </w:rPr>
              <w:t xml:space="preserve"> Fuente: </w:t>
            </w:r>
            <w:r w:rsidR="00942F31">
              <w:rPr>
                <w:rFonts w:cs="Calibri"/>
                <w:color w:val="000000"/>
                <w:sz w:val="16"/>
                <w:szCs w:val="16"/>
                <w:lang w:val="es-CO" w:eastAsia="es-CO"/>
              </w:rPr>
              <w:t>CREG, a partir de la información mensual</w:t>
            </w:r>
            <w:r w:rsidRPr="00EE4F6E">
              <w:rPr>
                <w:rFonts w:cs="Calibri"/>
                <w:color w:val="000000"/>
                <w:sz w:val="16"/>
                <w:szCs w:val="16"/>
                <w:lang w:val="es-CO" w:eastAsia="es-CO"/>
              </w:rPr>
              <w:t xml:space="preserve"> del LAC, febrero 2023</w:t>
            </w:r>
          </w:p>
        </w:tc>
      </w:tr>
    </w:tbl>
    <w:p w14:paraId="3379FEB8" w14:textId="2B87E4A4" w:rsidR="00BE32DD" w:rsidRDefault="00BE32DD" w:rsidP="00BE32DD">
      <w:pPr>
        <w:rPr>
          <w:spacing w:val="-3"/>
        </w:rPr>
      </w:pPr>
      <w:r>
        <w:rPr>
          <w:spacing w:val="-3"/>
        </w:rPr>
        <w:t xml:space="preserve">De acuerdo con </w:t>
      </w:r>
      <w:r w:rsidR="00942F31">
        <w:rPr>
          <w:spacing w:val="-3"/>
        </w:rPr>
        <w:t>la información</w:t>
      </w:r>
      <w:r>
        <w:rPr>
          <w:spacing w:val="-3"/>
        </w:rPr>
        <w:t xml:space="preserve"> del </w:t>
      </w:r>
      <w:r w:rsidR="00C20F6E">
        <w:rPr>
          <w:spacing w:val="-3"/>
        </w:rPr>
        <w:t>LAC</w:t>
      </w:r>
      <w:r>
        <w:rPr>
          <w:spacing w:val="-3"/>
        </w:rPr>
        <w:t>, el acumulado de la variable de ajuste (AIM) para el periodo indicado anteriormente asciende a -$</w:t>
      </w:r>
      <w:r w:rsidR="0038039B" w:rsidRPr="0038039B">
        <w:rPr>
          <w:spacing w:val="-3"/>
        </w:rPr>
        <w:t xml:space="preserve"> 2.807.528.119 </w:t>
      </w:r>
      <w:r>
        <w:rPr>
          <w:spacing w:val="-3"/>
        </w:rPr>
        <w:t xml:space="preserve">pesos. El signo negativo significa que el OR recibió, en el periodo </w:t>
      </w:r>
      <w:r w:rsidR="00DE3EDE">
        <w:rPr>
          <w:spacing w:val="-3"/>
        </w:rPr>
        <w:t>abril</w:t>
      </w:r>
      <w:r>
        <w:rPr>
          <w:spacing w:val="-3"/>
        </w:rPr>
        <w:t xml:space="preserve"> 2019 – </w:t>
      </w:r>
      <w:r w:rsidR="0038039B">
        <w:rPr>
          <w:spacing w:val="-3"/>
        </w:rPr>
        <w:t>junio</w:t>
      </w:r>
      <w:r>
        <w:rPr>
          <w:spacing w:val="-3"/>
        </w:rPr>
        <w:t xml:space="preserve"> 202</w:t>
      </w:r>
      <w:r w:rsidR="0038039B">
        <w:rPr>
          <w:spacing w:val="-3"/>
        </w:rPr>
        <w:t>2</w:t>
      </w:r>
      <w:r>
        <w:rPr>
          <w:spacing w:val="-3"/>
        </w:rPr>
        <w:t>, dicha suma por parte de los usuarios y que la debe devolver a causa de la aprobación de menores ingresos con respecto a los obtenidos con la Resolución CREG 097 de 2008, como lo establece la metodología de la Resolución CREG 015 de 2018.</w:t>
      </w:r>
    </w:p>
    <w:p w14:paraId="67BF6DE9" w14:textId="2F06BFF6" w:rsidR="000714A8" w:rsidRPr="000714A8" w:rsidRDefault="003415C8" w:rsidP="000714A8">
      <w:pPr>
        <w:rPr>
          <w:spacing w:val="-3"/>
          <w:lang w:val="es-CO"/>
        </w:rPr>
      </w:pPr>
      <w:r>
        <w:rPr>
          <w:spacing w:val="-3"/>
        </w:rPr>
        <w:t>A febrero de 2023, el OR había realizado la devolución de 7 de las 12 cuotas</w:t>
      </w:r>
      <w:r w:rsidR="00C851E0">
        <w:rPr>
          <w:spacing w:val="-3"/>
        </w:rPr>
        <w:t xml:space="preserve"> iniciales, y tenía un saldo pendiente</w:t>
      </w:r>
      <w:r w:rsidR="004174C1">
        <w:rPr>
          <w:spacing w:val="-3"/>
        </w:rPr>
        <w:t xml:space="preserve"> por devolver</w:t>
      </w:r>
      <w:r w:rsidR="00C851E0">
        <w:rPr>
          <w:spacing w:val="-3"/>
        </w:rPr>
        <w:t xml:space="preserve"> de </w:t>
      </w:r>
      <w:r w:rsidR="004174C1">
        <w:rPr>
          <w:spacing w:val="-3"/>
        </w:rPr>
        <w:t>-$</w:t>
      </w:r>
      <w:r w:rsidR="000714A8" w:rsidRPr="000714A8">
        <w:rPr>
          <w:spacing w:val="-3"/>
        </w:rPr>
        <w:t>1.169.803.383</w:t>
      </w:r>
      <w:r w:rsidR="000714A8">
        <w:rPr>
          <w:spacing w:val="-3"/>
        </w:rPr>
        <w:t xml:space="preserve"> pesos.</w:t>
      </w:r>
    </w:p>
    <w:p w14:paraId="0155EFD9" w14:textId="5F97DE89" w:rsidR="00BE32DD" w:rsidRDefault="00BE32DD" w:rsidP="00BE32DD">
      <w:pPr>
        <w:rPr>
          <w:spacing w:val="-3"/>
        </w:rPr>
      </w:pPr>
      <w:r>
        <w:rPr>
          <w:spacing w:val="-3"/>
        </w:rPr>
        <w:t>Por otro lado, para verificar el impacto de una disminución del ingreso respecto de lo anteriormente recibido con base en la Resolución CREG 097 de 2008, se realizó un ejercicio donde se encuentra que, en promedio, un Operador de Red que reciba el 65% de los ingresos aprobados con la metodología de la Resolución CREG 015 de 2018 podrá enfrentar la suma de egresos constituidos por las inversiones a que se ha comprometido, los gastos de AOM, impuestos nacionales (considerando un nivel de 33%), los intereses de deuda (entendiendo una composición de capital de 60% recursos propios y 40% recursos externos sobre los que se aplica una tasa de deuda) y sin considerar ninguna tasa respecto de los recursos previamente recibidos por el OR y que deben ser devueltos a los usuarios. En dicho análisis tampoco se integraron los recursos adicionales posiblemente recibidos por un OR en función de los incentivos por mejoramiento de la calidad del servicio ni los obtenidos por concepto de compartición de infraestructura de energía eléctrica, así como tampoco se incluyeron los ingresos del AOM de pérdidas que ingresa de manera independiente por la variable CPROG.</w:t>
      </w:r>
    </w:p>
    <w:p w14:paraId="60081A2B" w14:textId="157F589F" w:rsidR="00735A72" w:rsidRDefault="00735A72" w:rsidP="00735A72">
      <w:pPr>
        <w:rPr>
          <w:spacing w:val="-3"/>
        </w:rPr>
      </w:pPr>
      <w:r>
        <w:rPr>
          <w:spacing w:val="-3"/>
        </w:rPr>
        <w:t>Al respecto, el peticionario solicita que el plazo de doce meses, dispuesto por la metodología para el ajuste de los ingresos, sea ampliado a 60 meses.</w:t>
      </w:r>
      <w:r w:rsidR="00EB52DC">
        <w:rPr>
          <w:spacing w:val="-3"/>
        </w:rPr>
        <w:t xml:space="preserve"> En la </w:t>
      </w:r>
      <w:r w:rsidR="00EB52DC">
        <w:rPr>
          <w:spacing w:val="-3"/>
        </w:rPr>
        <w:lastRenderedPageBreak/>
        <w:t xml:space="preserve">situación </w:t>
      </w:r>
      <w:r w:rsidR="003A58C7">
        <w:rPr>
          <w:spacing w:val="-3"/>
        </w:rPr>
        <w:t>actual del OR, se entiende que esta solicitud se realiz</w:t>
      </w:r>
      <w:r w:rsidR="001D3C50">
        <w:rPr>
          <w:spacing w:val="-3"/>
        </w:rPr>
        <w:t>ó</w:t>
      </w:r>
      <w:r w:rsidR="003A58C7">
        <w:rPr>
          <w:spacing w:val="-3"/>
        </w:rPr>
        <w:t xml:space="preserve"> teniendo en cuenta unos ingresos </w:t>
      </w:r>
      <w:r w:rsidR="001D3C50">
        <w:rPr>
          <w:spacing w:val="-3"/>
        </w:rPr>
        <w:t xml:space="preserve">mensuales de aproximadamente </w:t>
      </w:r>
      <w:r w:rsidR="006332CD">
        <w:rPr>
          <w:spacing w:val="-3"/>
        </w:rPr>
        <w:t>$</w:t>
      </w:r>
      <w:r w:rsidR="001D3C50">
        <w:rPr>
          <w:spacing w:val="-3"/>
        </w:rPr>
        <w:t>60 millones.</w:t>
      </w:r>
    </w:p>
    <w:p w14:paraId="30D93F58" w14:textId="1537BE87" w:rsidR="0060210E" w:rsidRDefault="00603D3B" w:rsidP="00334F3F">
      <w:pPr>
        <w:rPr>
          <w:spacing w:val="-3"/>
        </w:rPr>
      </w:pPr>
      <w:r>
        <w:rPr>
          <w:spacing w:val="-3"/>
        </w:rPr>
        <w:t>Para</w:t>
      </w:r>
      <w:r w:rsidR="00E46CFC">
        <w:rPr>
          <w:spacing w:val="-3"/>
        </w:rPr>
        <w:t xml:space="preserve"> analizar </w:t>
      </w:r>
      <w:r w:rsidR="00867BB0">
        <w:rPr>
          <w:spacing w:val="-3"/>
        </w:rPr>
        <w:t>la solicitud d</w:t>
      </w:r>
      <w:r w:rsidR="00021312">
        <w:rPr>
          <w:spacing w:val="-3"/>
        </w:rPr>
        <w:t xml:space="preserve">e plazo para </w:t>
      </w:r>
      <w:r>
        <w:rPr>
          <w:spacing w:val="-3"/>
        </w:rPr>
        <w:t>completar la devolución de</w:t>
      </w:r>
      <w:r w:rsidR="00334F3F">
        <w:rPr>
          <w:spacing w:val="-3"/>
        </w:rPr>
        <w:t xml:space="preserve">l valor de la variable </w:t>
      </w:r>
      <w:proofErr w:type="spellStart"/>
      <w:proofErr w:type="gramStart"/>
      <w:r w:rsidR="00392AE0" w:rsidRPr="009F0393">
        <w:rPr>
          <w:i/>
          <w:iCs/>
          <w:spacing w:val="-3"/>
          <w:lang w:val="es-CO"/>
        </w:rPr>
        <w:t>AIM</w:t>
      </w:r>
      <w:r w:rsidR="00392AE0" w:rsidRPr="009F0393">
        <w:rPr>
          <w:i/>
          <w:iCs/>
          <w:spacing w:val="-3"/>
          <w:vertAlign w:val="subscript"/>
          <w:lang w:val="es-CO"/>
        </w:rPr>
        <w:t>j,n</w:t>
      </w:r>
      <w:proofErr w:type="gramEnd"/>
      <w:r w:rsidR="00392AE0" w:rsidRPr="009F0393">
        <w:rPr>
          <w:i/>
          <w:iCs/>
          <w:spacing w:val="-3"/>
          <w:vertAlign w:val="subscript"/>
          <w:lang w:val="es-CO"/>
        </w:rPr>
        <w:t>,m</w:t>
      </w:r>
      <w:proofErr w:type="spellEnd"/>
      <w:r w:rsidR="00392AE0">
        <w:rPr>
          <w:spacing w:val="-3"/>
        </w:rPr>
        <w:t xml:space="preserve"> </w:t>
      </w:r>
      <w:r>
        <w:rPr>
          <w:spacing w:val="-3"/>
        </w:rPr>
        <w:t>pendiente</w:t>
      </w:r>
      <w:r w:rsidR="00334F3F">
        <w:rPr>
          <w:spacing w:val="-3"/>
        </w:rPr>
        <w:t xml:space="preserve"> por parte del OR</w:t>
      </w:r>
      <w:r w:rsidR="009B1E4D">
        <w:rPr>
          <w:spacing w:val="-3"/>
        </w:rPr>
        <w:t xml:space="preserve"> </w:t>
      </w:r>
      <w:r w:rsidR="00867BB0">
        <w:rPr>
          <w:spacing w:val="-3"/>
        </w:rPr>
        <w:t>debe tenerse en cuenta que c</w:t>
      </w:r>
      <w:r w:rsidR="005914A0">
        <w:rPr>
          <w:spacing w:val="-3"/>
        </w:rPr>
        <w:t>omo resultado de</w:t>
      </w:r>
      <w:r w:rsidR="0016284C">
        <w:rPr>
          <w:spacing w:val="-3"/>
        </w:rPr>
        <w:t xml:space="preserve">l análisis de la solicitud de revisión </w:t>
      </w:r>
      <w:r w:rsidR="00042C7F">
        <w:rPr>
          <w:spacing w:val="-3"/>
        </w:rPr>
        <w:t xml:space="preserve">tarifaria presentada por el OR, se propone reconocer unos mayores valores de la base regulatoria de activos </w:t>
      </w:r>
      <w:r w:rsidR="00F6139D">
        <w:rPr>
          <w:spacing w:val="-3"/>
        </w:rPr>
        <w:t xml:space="preserve">con corte a 2018 y un aumento en el AOM base reconocido, como resultado de la aplicación del modelo de frontera estocástica para </w:t>
      </w:r>
      <w:r w:rsidR="0060210E">
        <w:rPr>
          <w:spacing w:val="-3"/>
        </w:rPr>
        <w:t>el cálculo del AOM objetivo.</w:t>
      </w:r>
      <w:r w:rsidR="00D74AE6">
        <w:rPr>
          <w:spacing w:val="-3"/>
        </w:rPr>
        <w:t xml:space="preserve"> De esta manera, los ingresos mensuales del OR pasarían de</w:t>
      </w:r>
      <w:r w:rsidR="00D458EE">
        <w:rPr>
          <w:spacing w:val="-3"/>
        </w:rPr>
        <w:t xml:space="preserve"> </w:t>
      </w:r>
      <w:r w:rsidR="006332CD">
        <w:rPr>
          <w:spacing w:val="-3"/>
        </w:rPr>
        <w:t>$</w:t>
      </w:r>
      <w:r w:rsidR="00D458EE">
        <w:rPr>
          <w:spacing w:val="-3"/>
        </w:rPr>
        <w:t xml:space="preserve">60 a </w:t>
      </w:r>
      <w:r w:rsidR="006332CD">
        <w:rPr>
          <w:spacing w:val="-3"/>
        </w:rPr>
        <w:t>$</w:t>
      </w:r>
      <w:r w:rsidR="00A064EC">
        <w:rPr>
          <w:spacing w:val="-3"/>
        </w:rPr>
        <w:t xml:space="preserve">177 millones mensuales, </w:t>
      </w:r>
      <w:r w:rsidR="00D54339">
        <w:rPr>
          <w:spacing w:val="-3"/>
        </w:rPr>
        <w:t>sin contar la rentabilidad de los activos puestos en operación en 2018 (</w:t>
      </w:r>
      <w:r w:rsidR="007E5D84">
        <w:rPr>
          <w:spacing w:val="-3"/>
        </w:rPr>
        <w:t xml:space="preserve">alrededor de </w:t>
      </w:r>
      <w:r w:rsidR="006332CD">
        <w:rPr>
          <w:spacing w:val="-3"/>
        </w:rPr>
        <w:t>$</w:t>
      </w:r>
      <w:r w:rsidR="00AD4B8C">
        <w:rPr>
          <w:spacing w:val="-3"/>
        </w:rPr>
        <w:t>450</w:t>
      </w:r>
      <w:r w:rsidR="005E26FF">
        <w:rPr>
          <w:spacing w:val="-3"/>
        </w:rPr>
        <w:t xml:space="preserve"> millones</w:t>
      </w:r>
      <w:r w:rsidR="00C10BCA">
        <w:rPr>
          <w:spacing w:val="-3"/>
        </w:rPr>
        <w:t xml:space="preserve"> de pesos</w:t>
      </w:r>
      <w:r w:rsidR="00534BCC">
        <w:rPr>
          <w:spacing w:val="-3"/>
        </w:rPr>
        <w:t xml:space="preserve"> invertidos</w:t>
      </w:r>
      <w:r w:rsidR="00D54339">
        <w:rPr>
          <w:spacing w:val="-3"/>
        </w:rPr>
        <w:t>)</w:t>
      </w:r>
      <w:r w:rsidR="00CD325C">
        <w:rPr>
          <w:spacing w:val="-3"/>
        </w:rPr>
        <w:t xml:space="preserve"> y de las inversiones realizadas durante 2021 y 2022</w:t>
      </w:r>
      <w:r w:rsidR="007E5D84">
        <w:rPr>
          <w:spacing w:val="-3"/>
        </w:rPr>
        <w:t xml:space="preserve"> (aproximadamente </w:t>
      </w:r>
      <w:r w:rsidR="006332CD">
        <w:rPr>
          <w:spacing w:val="-3"/>
        </w:rPr>
        <w:t>$</w:t>
      </w:r>
      <w:r w:rsidR="007E5D84">
        <w:rPr>
          <w:spacing w:val="-3"/>
        </w:rPr>
        <w:t>1000 millones de pesos)</w:t>
      </w:r>
      <w:r w:rsidR="008C5AD7">
        <w:rPr>
          <w:spacing w:val="-3"/>
        </w:rPr>
        <w:t>.</w:t>
      </w:r>
    </w:p>
    <w:p w14:paraId="4726481F" w14:textId="77777777" w:rsidR="006B4C97" w:rsidRDefault="00BE32DD" w:rsidP="00BE32DD">
      <w:pPr>
        <w:rPr>
          <w:spacing w:val="-3"/>
        </w:rPr>
      </w:pPr>
      <w:r>
        <w:rPr>
          <w:spacing w:val="-3"/>
        </w:rPr>
        <w:t xml:space="preserve">Así, se observa que el OR </w:t>
      </w:r>
      <w:r w:rsidR="00A12AE0">
        <w:rPr>
          <w:spacing w:val="-3"/>
        </w:rPr>
        <w:t>EMEESA</w:t>
      </w:r>
      <w:r>
        <w:rPr>
          <w:spacing w:val="-3"/>
        </w:rPr>
        <w:t>, considerando su disminución del ingreso</w:t>
      </w:r>
      <w:r w:rsidR="008C5AD7">
        <w:rPr>
          <w:spacing w:val="-3"/>
        </w:rPr>
        <w:t xml:space="preserve"> por el cambio de metodología y el efecto de la presente revisión tarifaria</w:t>
      </w:r>
      <w:r>
        <w:rPr>
          <w:spacing w:val="-3"/>
        </w:rPr>
        <w:t xml:space="preserve">, facturaría alrededor del </w:t>
      </w:r>
      <w:r w:rsidR="00411F93">
        <w:rPr>
          <w:spacing w:val="-3"/>
        </w:rPr>
        <w:t>32</w:t>
      </w:r>
      <w:r>
        <w:rPr>
          <w:spacing w:val="-3"/>
        </w:rPr>
        <w:t>% de los ingresos aprobados con la metodología de la Resolución CREG 015 de 2018 una vez la resolución particular quede en firme</w:t>
      </w:r>
      <w:r w:rsidR="006332CD">
        <w:rPr>
          <w:spacing w:val="-3"/>
        </w:rPr>
        <w:t>.</w:t>
      </w:r>
      <w:r w:rsidR="007E3D24">
        <w:rPr>
          <w:spacing w:val="-3"/>
        </w:rPr>
        <w:t xml:space="preserve"> </w:t>
      </w:r>
    </w:p>
    <w:p w14:paraId="58DF18F2" w14:textId="6F5C689D" w:rsidR="00BE32DD" w:rsidRDefault="007E3D24" w:rsidP="00BE32DD">
      <w:pPr>
        <w:rPr>
          <w:spacing w:val="-3"/>
        </w:rPr>
      </w:pPr>
      <w:r>
        <w:rPr>
          <w:spacing w:val="-3"/>
        </w:rPr>
        <w:t xml:space="preserve">Entendiendo que 65% es el porcentaje de ingresos con los cuales un OR puede enfrentar los costos en un periodo determinado, se </w:t>
      </w:r>
      <w:r w:rsidR="00392AE0">
        <w:rPr>
          <w:spacing w:val="-3"/>
        </w:rPr>
        <w:t xml:space="preserve">hace necesario conceder un plazo adicional para la aplicación de la variable </w:t>
      </w:r>
      <w:proofErr w:type="spellStart"/>
      <w:proofErr w:type="gramStart"/>
      <w:r w:rsidR="00392AE0" w:rsidRPr="009F0393">
        <w:rPr>
          <w:i/>
          <w:iCs/>
          <w:spacing w:val="-3"/>
          <w:lang w:val="es-CO"/>
        </w:rPr>
        <w:t>AIM</w:t>
      </w:r>
      <w:r w:rsidR="00392AE0" w:rsidRPr="009F0393">
        <w:rPr>
          <w:i/>
          <w:iCs/>
          <w:spacing w:val="-3"/>
          <w:vertAlign w:val="subscript"/>
          <w:lang w:val="es-CO"/>
        </w:rPr>
        <w:t>j,n</w:t>
      </w:r>
      <w:proofErr w:type="gramEnd"/>
      <w:r w:rsidR="00392AE0" w:rsidRPr="009F0393">
        <w:rPr>
          <w:i/>
          <w:iCs/>
          <w:spacing w:val="-3"/>
          <w:vertAlign w:val="subscript"/>
          <w:lang w:val="es-CO"/>
        </w:rPr>
        <w:t>,m</w:t>
      </w:r>
      <w:proofErr w:type="spellEnd"/>
      <w:r w:rsidR="00B008CA">
        <w:rPr>
          <w:i/>
          <w:iCs/>
          <w:spacing w:val="-3"/>
          <w:vertAlign w:val="subscript"/>
          <w:lang w:val="es-CO"/>
        </w:rPr>
        <w:t xml:space="preserve">  </w:t>
      </w:r>
      <w:r w:rsidR="00B008CA">
        <w:rPr>
          <w:spacing w:val="-3"/>
        </w:rPr>
        <w:t xml:space="preserve">para que el OR </w:t>
      </w:r>
      <w:r w:rsidR="001C4D1E">
        <w:rPr>
          <w:spacing w:val="-3"/>
        </w:rPr>
        <w:t>reciba al menos el 65% de los ingresos aprobados mientras completa la devolución.</w:t>
      </w:r>
      <w:r w:rsidR="00B008CA">
        <w:rPr>
          <w:spacing w:val="-3"/>
        </w:rPr>
        <w:t xml:space="preserve"> </w:t>
      </w:r>
    </w:p>
    <w:p w14:paraId="294E1478" w14:textId="3A08CA6A" w:rsidR="00BE32DD" w:rsidRDefault="00BE32DD" w:rsidP="00BE32DD">
      <w:pPr>
        <w:rPr>
          <w:spacing w:val="-3"/>
        </w:rPr>
      </w:pPr>
      <w:r>
        <w:rPr>
          <w:spacing w:val="-3"/>
        </w:rPr>
        <w:t xml:space="preserve">Considerando lo expuesto anteriormente sobre la previsibilidad de cálculo de la variable </w:t>
      </w:r>
      <w:proofErr w:type="spellStart"/>
      <w:r w:rsidRPr="009F0393">
        <w:rPr>
          <w:i/>
          <w:iCs/>
          <w:spacing w:val="-3"/>
          <w:lang w:val="es-CO"/>
        </w:rPr>
        <w:t>AIM</w:t>
      </w:r>
      <w:r w:rsidRPr="009F0393">
        <w:rPr>
          <w:i/>
          <w:iCs/>
          <w:spacing w:val="-3"/>
          <w:vertAlign w:val="subscript"/>
          <w:lang w:val="es-CO"/>
        </w:rPr>
        <w:t>j,n,m</w:t>
      </w:r>
      <w:proofErr w:type="spellEnd"/>
      <w:r>
        <w:rPr>
          <w:spacing w:val="-3"/>
        </w:rPr>
        <w:t xml:space="preserve"> y su posible impacto al interior de las finanzas de un agente, la proximidad del porcentaje de ingresos recibidos actualmente y el mínimo necesario para cubrir las principales erogaciones de un OR y, de otra parte, entendiendo que el cálculo de los ingresos a devolver no considera ninguna actualización en el tiempo o intereses; es posible permitir que, en condiciones </w:t>
      </w:r>
      <w:r w:rsidR="002A3F9B">
        <w:rPr>
          <w:spacing w:val="-3"/>
        </w:rPr>
        <w:t xml:space="preserve">similares </w:t>
      </w:r>
      <w:r>
        <w:rPr>
          <w:spacing w:val="-3"/>
        </w:rPr>
        <w:t xml:space="preserve">con las modificaciones realizadas a otros OR que han efectuado solicitudes similares, se amplíe el plazo para la devolución de los ingresos aún no devueltos </w:t>
      </w:r>
      <w:r w:rsidR="00127994">
        <w:rPr>
          <w:spacing w:val="-3"/>
        </w:rPr>
        <w:t>en 12 meses adicionales</w:t>
      </w:r>
      <w:r w:rsidR="00437B2F">
        <w:rPr>
          <w:spacing w:val="-3"/>
        </w:rPr>
        <w:t xml:space="preserve"> (</w:t>
      </w:r>
      <w:r w:rsidR="003C7BA9">
        <w:rPr>
          <w:spacing w:val="-3"/>
        </w:rPr>
        <w:t xml:space="preserve">para </w:t>
      </w:r>
      <w:r w:rsidR="00437B2F">
        <w:rPr>
          <w:spacing w:val="-3"/>
        </w:rPr>
        <w:t xml:space="preserve">completar la devolución en </w:t>
      </w:r>
      <w:r w:rsidR="003C7BA9">
        <w:rPr>
          <w:spacing w:val="-3"/>
        </w:rPr>
        <w:t>1</w:t>
      </w:r>
      <w:r w:rsidR="002A3F9B">
        <w:rPr>
          <w:spacing w:val="-3"/>
        </w:rPr>
        <w:t>7</w:t>
      </w:r>
      <w:r>
        <w:rPr>
          <w:spacing w:val="-3"/>
        </w:rPr>
        <w:t xml:space="preserve"> meses</w:t>
      </w:r>
      <w:r w:rsidR="00437B2F">
        <w:rPr>
          <w:spacing w:val="-3"/>
        </w:rPr>
        <w:t xml:space="preserve">, </w:t>
      </w:r>
      <w:r w:rsidR="003C7BA9">
        <w:rPr>
          <w:spacing w:val="-3"/>
        </w:rPr>
        <w:t>considerando los 5 restantes del plazo inicial</w:t>
      </w:r>
      <w:r w:rsidR="00437B2F">
        <w:rPr>
          <w:spacing w:val="-3"/>
        </w:rPr>
        <w:t xml:space="preserve"> y los 12 meses adicionales</w:t>
      </w:r>
      <w:r w:rsidR="003C7BA9">
        <w:rPr>
          <w:spacing w:val="-3"/>
        </w:rPr>
        <w:t>)</w:t>
      </w:r>
      <w:r>
        <w:rPr>
          <w:spacing w:val="-3"/>
        </w:rPr>
        <w:t xml:space="preserve">,  permitiendo que el OR aumente su porcentaje de ingresos a </w:t>
      </w:r>
      <w:r w:rsidR="00155F3E">
        <w:rPr>
          <w:spacing w:val="-3"/>
        </w:rPr>
        <w:t>más d</w:t>
      </w:r>
      <w:r>
        <w:rPr>
          <w:spacing w:val="-3"/>
        </w:rPr>
        <w:t xml:space="preserve">el </w:t>
      </w:r>
      <w:r w:rsidR="007C5D4D">
        <w:rPr>
          <w:spacing w:val="-3"/>
        </w:rPr>
        <w:t>67</w:t>
      </w:r>
      <w:r>
        <w:rPr>
          <w:spacing w:val="-3"/>
        </w:rPr>
        <w:t>% del valor aprobado con la metodología de la Resolución CREG 015 de 2018 (sin considerar los ingresos por concepto de calidad, de AOM de pérdidas y de compartición de infraestructura).</w:t>
      </w:r>
    </w:p>
    <w:p w14:paraId="3A22BB75" w14:textId="191C93F1" w:rsidR="002311BF" w:rsidRPr="000474F4" w:rsidRDefault="00F72FDD" w:rsidP="000474F4">
      <w:pPr>
        <w:spacing w:before="240" w:after="0"/>
        <w:rPr>
          <w:rFonts w:cs="Arial"/>
          <w:lang w:val="es-CO" w:eastAsia="es-CO"/>
        </w:rPr>
      </w:pPr>
      <w:r>
        <w:rPr>
          <w:rFonts w:cs="Arial"/>
          <w:lang w:val="es-CO" w:eastAsia="es-CO"/>
        </w:rPr>
        <w:t>La información relacionada con e</w:t>
      </w:r>
      <w:r w:rsidR="002311BF">
        <w:rPr>
          <w:rFonts w:cs="Arial"/>
          <w:lang w:val="es-CO" w:eastAsia="es-CO"/>
        </w:rPr>
        <w:t xml:space="preserve">l presente acto administrativo </w:t>
      </w:r>
      <w:r w:rsidR="00A54DE4">
        <w:rPr>
          <w:rFonts w:cs="Arial"/>
          <w:lang w:val="es-CO" w:eastAsia="es-CO"/>
        </w:rPr>
        <w:t>reposa en el</w:t>
      </w:r>
      <w:r w:rsidR="002311BF">
        <w:rPr>
          <w:rFonts w:cs="Arial"/>
          <w:lang w:val="es-CO" w:eastAsia="es-CO"/>
        </w:rPr>
        <w:t xml:space="preserve"> expediente CREG</w:t>
      </w:r>
      <w:r w:rsidR="00A54DE4">
        <w:rPr>
          <w:rFonts w:cs="Arial"/>
          <w:lang w:val="es-CO" w:eastAsia="es-CO"/>
        </w:rPr>
        <w:t xml:space="preserve"> </w:t>
      </w:r>
      <w:r w:rsidR="00A54DE4" w:rsidRPr="00A54DE4">
        <w:rPr>
          <w:rFonts w:cs="Arial"/>
          <w:lang w:val="es-CO" w:eastAsia="es-CO"/>
        </w:rPr>
        <w:t>202</w:t>
      </w:r>
      <w:r w:rsidR="00F21AD5">
        <w:rPr>
          <w:rFonts w:cs="Arial"/>
          <w:lang w:val="es-CO" w:eastAsia="es-CO"/>
        </w:rPr>
        <w:t>2</w:t>
      </w:r>
      <w:r w:rsidR="00A54DE4" w:rsidRPr="00A54DE4">
        <w:rPr>
          <w:rFonts w:cs="Arial"/>
          <w:lang w:val="es-CO" w:eastAsia="es-CO"/>
        </w:rPr>
        <w:t>-009</w:t>
      </w:r>
      <w:r w:rsidR="00F21AD5">
        <w:rPr>
          <w:rFonts w:cs="Arial"/>
          <w:lang w:val="es-CO" w:eastAsia="es-CO"/>
        </w:rPr>
        <w:t>2</w:t>
      </w:r>
      <w:r w:rsidR="00A54DE4">
        <w:rPr>
          <w:rFonts w:cs="Arial"/>
          <w:lang w:val="es-CO" w:eastAsia="es-CO"/>
        </w:rPr>
        <w:t>.</w:t>
      </w:r>
    </w:p>
    <w:p w14:paraId="4D6E7BD1" w14:textId="7FD3B494" w:rsidR="00510CBD" w:rsidRDefault="00405776" w:rsidP="000474F4">
      <w:pPr>
        <w:spacing w:before="240" w:after="0"/>
      </w:pPr>
      <w:r>
        <w:t>L</w:t>
      </w:r>
      <w:r w:rsidR="00510CBD">
        <w:t xml:space="preserve">a Comisión de Regulación de Energía y Gas, en su </w:t>
      </w:r>
      <w:r w:rsidR="00510CBD" w:rsidRPr="00621A8D">
        <w:t xml:space="preserve">sesión </w:t>
      </w:r>
      <w:r w:rsidR="00B80BE8">
        <w:t>No.</w:t>
      </w:r>
      <w:r w:rsidR="00804FEF">
        <w:t xml:space="preserve"> </w:t>
      </w:r>
      <w:r w:rsidR="00527B72">
        <w:t>1248</w:t>
      </w:r>
      <w:r w:rsidR="0038402B" w:rsidRPr="00621A8D">
        <w:t xml:space="preserve"> </w:t>
      </w:r>
      <w:r w:rsidR="00510CBD" w:rsidRPr="00621A8D">
        <w:t xml:space="preserve">del </w:t>
      </w:r>
      <w:r w:rsidR="00527B72">
        <w:t>3</w:t>
      </w:r>
      <w:r w:rsidR="00510CBD" w:rsidRPr="00621A8D">
        <w:t xml:space="preserve"> de </w:t>
      </w:r>
      <w:r w:rsidR="00527B72">
        <w:t>marzo</w:t>
      </w:r>
      <w:r w:rsidR="00C93442">
        <w:t xml:space="preserve"> </w:t>
      </w:r>
      <w:r w:rsidR="00510CBD">
        <w:t>de 20</w:t>
      </w:r>
      <w:r w:rsidR="0041451E">
        <w:t>2</w:t>
      </w:r>
      <w:r w:rsidR="00563258">
        <w:t>3</w:t>
      </w:r>
      <w:r>
        <w:t>,</w:t>
      </w:r>
      <w:r w:rsidR="00510CBD">
        <w:t xml:space="preserve"> acordó expedir esta resolución</w:t>
      </w:r>
      <w:r>
        <w:t>.</w:t>
      </w:r>
    </w:p>
    <w:p w14:paraId="6E5B4B14" w14:textId="299B291F" w:rsidR="00595129" w:rsidRPr="00BF69C9" w:rsidRDefault="004B5A15" w:rsidP="00E41ECB">
      <w:pPr>
        <w:keepNext/>
        <w:tabs>
          <w:tab w:val="center" w:pos="4678"/>
        </w:tabs>
        <w:spacing w:before="480" w:after="360"/>
        <w:rPr>
          <w:b/>
        </w:rPr>
      </w:pPr>
      <w:r>
        <w:rPr>
          <w:spacing w:val="-3"/>
        </w:rPr>
        <w:tab/>
      </w:r>
      <w:r w:rsidR="00595129" w:rsidRPr="00BF69C9">
        <w:rPr>
          <w:b/>
        </w:rPr>
        <w:t>RESUELVE:</w:t>
      </w:r>
    </w:p>
    <w:p w14:paraId="0A9DF346" w14:textId="07C6E688" w:rsidR="00F65511" w:rsidRPr="00F0138E" w:rsidRDefault="00F0138E" w:rsidP="004B4540">
      <w:pPr>
        <w:numPr>
          <w:ilvl w:val="0"/>
          <w:numId w:val="7"/>
        </w:numPr>
        <w:tabs>
          <w:tab w:val="left" w:pos="1701"/>
          <w:tab w:val="num" w:pos="2150"/>
        </w:tabs>
        <w:spacing w:before="240" w:after="240"/>
        <w:rPr>
          <w:rFonts w:cs="Arial"/>
        </w:rPr>
      </w:pPr>
      <w:r w:rsidRPr="00F0138E">
        <w:rPr>
          <w:rFonts w:cs="Arial"/>
        </w:rPr>
        <w:t xml:space="preserve">Modificar el artículo </w:t>
      </w:r>
      <w:r w:rsidR="009A7337">
        <w:rPr>
          <w:rFonts w:cs="Arial"/>
        </w:rPr>
        <w:t>2</w:t>
      </w:r>
      <w:r w:rsidRPr="00F0138E">
        <w:rPr>
          <w:rFonts w:cs="Arial"/>
        </w:rPr>
        <w:t xml:space="preserve"> de la Resolución CREG </w:t>
      </w:r>
      <w:r w:rsidR="00914BCF">
        <w:rPr>
          <w:rFonts w:cs="Arial"/>
        </w:rPr>
        <w:t>219</w:t>
      </w:r>
      <w:r w:rsidRPr="00F0138E">
        <w:rPr>
          <w:rFonts w:cs="Arial"/>
        </w:rPr>
        <w:t xml:space="preserve"> de 202</w:t>
      </w:r>
      <w:r w:rsidR="00914BCF">
        <w:rPr>
          <w:rFonts w:cs="Arial"/>
        </w:rPr>
        <w:t>1</w:t>
      </w:r>
      <w:r w:rsidRPr="00F0138E">
        <w:rPr>
          <w:rFonts w:cs="Arial"/>
        </w:rPr>
        <w:t>, el cual quedará así:</w:t>
      </w:r>
    </w:p>
    <w:p w14:paraId="20F17523" w14:textId="77777777" w:rsidR="003A7385" w:rsidRPr="003A7385" w:rsidRDefault="002174A5" w:rsidP="003A7385">
      <w:pPr>
        <w:pStyle w:val="Cita"/>
        <w:ind w:left="284"/>
        <w:rPr>
          <w:bCs/>
        </w:rPr>
      </w:pPr>
      <w:r w:rsidRPr="00FA4C06">
        <w:rPr>
          <w:rFonts w:ascii="Bookman Old Style" w:hAnsi="Bookman Old Style"/>
          <w:b/>
          <w:bCs/>
          <w:sz w:val="24"/>
          <w:szCs w:val="24"/>
        </w:rPr>
        <w:lastRenderedPageBreak/>
        <w:t xml:space="preserve">Artículo </w:t>
      </w:r>
      <w:r w:rsidR="00914BCF">
        <w:rPr>
          <w:rFonts w:ascii="Bookman Old Style" w:hAnsi="Bookman Old Style"/>
          <w:b/>
          <w:bCs/>
          <w:sz w:val="24"/>
          <w:szCs w:val="24"/>
        </w:rPr>
        <w:t>2</w:t>
      </w:r>
      <w:r w:rsidRPr="00FA4C06">
        <w:rPr>
          <w:rFonts w:ascii="Bookman Old Style" w:hAnsi="Bookman Old Style"/>
          <w:b/>
          <w:bCs/>
          <w:sz w:val="24"/>
          <w:szCs w:val="24"/>
        </w:rPr>
        <w:t>.</w:t>
      </w:r>
      <w:r w:rsidR="00FA4C06">
        <w:rPr>
          <w:rFonts w:ascii="Bookman Old Style" w:hAnsi="Bookman Old Style"/>
          <w:b/>
          <w:bCs/>
          <w:sz w:val="24"/>
          <w:szCs w:val="24"/>
        </w:rPr>
        <w:t xml:space="preserve"> </w:t>
      </w:r>
      <w:r w:rsidR="00914BCF">
        <w:rPr>
          <w:rFonts w:ascii="Bookman Old Style" w:hAnsi="Bookman Old Style"/>
          <w:b/>
          <w:bCs/>
          <w:sz w:val="24"/>
          <w:szCs w:val="24"/>
        </w:rPr>
        <w:t>Base regulatoria de activos eléctricos al inicio del periodo tarifario</w:t>
      </w:r>
      <w:r w:rsidRPr="00FA4C06">
        <w:rPr>
          <w:rFonts w:ascii="Bookman Old Style" w:hAnsi="Bookman Old Style"/>
          <w:b/>
          <w:bCs/>
          <w:sz w:val="24"/>
          <w:szCs w:val="24"/>
        </w:rPr>
        <w:t xml:space="preserve">. </w:t>
      </w:r>
      <w:r w:rsidR="003A7385" w:rsidRPr="003A7385">
        <w:rPr>
          <w:rFonts w:ascii="Bookman Old Style" w:hAnsi="Bookman Old Style"/>
          <w:sz w:val="24"/>
          <w:szCs w:val="24"/>
        </w:rPr>
        <w:t xml:space="preserve">La base regulatoria de activos eléctricos al inicio del período tarifario, </w:t>
      </w:r>
      <w:proofErr w:type="gramStart"/>
      <w:r w:rsidR="003A7385" w:rsidRPr="003A7385">
        <w:rPr>
          <w:rFonts w:ascii="Bookman Old Style" w:hAnsi="Bookman Old Style"/>
          <w:sz w:val="24"/>
          <w:szCs w:val="24"/>
        </w:rPr>
        <w:t>BRAEj,n</w:t>
      </w:r>
      <w:proofErr w:type="gramEnd"/>
      <w:r w:rsidR="003A7385" w:rsidRPr="003A7385">
        <w:rPr>
          <w:rFonts w:ascii="Bookman Old Style" w:hAnsi="Bookman Old Style"/>
          <w:sz w:val="24"/>
          <w:szCs w:val="24"/>
        </w:rPr>
        <w:t>,0, es el siguiente:</w:t>
      </w:r>
    </w:p>
    <w:p w14:paraId="3C25FA82" w14:textId="6DF9B726" w:rsidR="00982092" w:rsidRPr="00777F29" w:rsidRDefault="00982092" w:rsidP="00982092">
      <w:pPr>
        <w:pStyle w:val="Descripcin"/>
        <w:spacing w:before="240" w:after="120" w:line="240" w:lineRule="auto"/>
        <w:rPr>
          <w:i/>
          <w:iCs/>
          <w:sz w:val="20"/>
          <w:szCs w:val="18"/>
        </w:rPr>
      </w:pPr>
      <w:r w:rsidRPr="00777F29">
        <w:rPr>
          <w:i/>
          <w:iCs/>
          <w:sz w:val="20"/>
          <w:szCs w:val="18"/>
        </w:rPr>
        <w:t xml:space="preserve">Tabla 1 Base regulatoria de activos eléctricos al inicio del período tarifario. </w:t>
      </w:r>
    </w:p>
    <w:tbl>
      <w:tblPr>
        <w:tblW w:w="3700" w:type="dxa"/>
        <w:jc w:val="center"/>
        <w:tblCellMar>
          <w:left w:w="70" w:type="dxa"/>
          <w:right w:w="70" w:type="dxa"/>
        </w:tblCellMar>
        <w:tblLook w:val="04A0" w:firstRow="1" w:lastRow="0" w:firstColumn="1" w:lastColumn="0" w:noHBand="0" w:noVBand="1"/>
      </w:tblPr>
      <w:tblGrid>
        <w:gridCol w:w="1660"/>
        <w:gridCol w:w="2040"/>
      </w:tblGrid>
      <w:tr w:rsidR="00982092" w:rsidRPr="00A77908" w14:paraId="78E057B3" w14:textId="77777777" w:rsidTr="004A78D5">
        <w:trPr>
          <w:trHeight w:val="480"/>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81F33" w14:textId="77777777" w:rsidR="00982092" w:rsidRPr="00A77908" w:rsidRDefault="00982092" w:rsidP="004A78D5">
            <w:pPr>
              <w:spacing w:before="0" w:after="0"/>
              <w:jc w:val="center"/>
              <w:rPr>
                <w:rFonts w:cs="Arial"/>
                <w:b/>
                <w:bCs/>
                <w:sz w:val="20"/>
                <w:szCs w:val="20"/>
                <w:lang w:val="es-CO" w:eastAsia="es-CO"/>
              </w:rPr>
            </w:pPr>
            <w:r w:rsidRPr="00A77908">
              <w:rPr>
                <w:rFonts w:cs="Arial"/>
                <w:b/>
                <w:bCs/>
                <w:sz w:val="20"/>
                <w:szCs w:val="20"/>
                <w:lang w:val="es-CO" w:eastAsia="es-CO"/>
              </w:rPr>
              <w:t>Variable</w:t>
            </w:r>
          </w:p>
        </w:tc>
        <w:tc>
          <w:tcPr>
            <w:tcW w:w="2040" w:type="dxa"/>
            <w:tcBorders>
              <w:top w:val="single" w:sz="4" w:space="0" w:color="auto"/>
              <w:left w:val="nil"/>
              <w:bottom w:val="single" w:sz="4" w:space="0" w:color="auto"/>
              <w:right w:val="single" w:sz="4" w:space="0" w:color="auto"/>
            </w:tcBorders>
            <w:shd w:val="clear" w:color="000000" w:fill="FFFFFF"/>
            <w:vAlign w:val="bottom"/>
            <w:hideMark/>
          </w:tcPr>
          <w:p w14:paraId="0AA1B66E" w14:textId="77777777" w:rsidR="00982092" w:rsidRPr="00A77908" w:rsidRDefault="00982092" w:rsidP="004A78D5">
            <w:pPr>
              <w:spacing w:before="0" w:after="0"/>
              <w:jc w:val="center"/>
              <w:rPr>
                <w:rFonts w:cs="Arial"/>
                <w:b/>
                <w:bCs/>
                <w:sz w:val="18"/>
                <w:szCs w:val="18"/>
                <w:lang w:val="es-CO" w:eastAsia="es-CO"/>
              </w:rPr>
            </w:pPr>
            <w:r w:rsidRPr="00A77908">
              <w:rPr>
                <w:rFonts w:cs="Arial"/>
                <w:b/>
                <w:bCs/>
                <w:sz w:val="18"/>
                <w:szCs w:val="18"/>
                <w:lang w:val="es-CO" w:eastAsia="es-CO"/>
              </w:rPr>
              <w:t>Pesos de diciembre de 2017</w:t>
            </w:r>
          </w:p>
        </w:tc>
      </w:tr>
      <w:tr w:rsidR="00745290" w:rsidRPr="00A77908" w14:paraId="46380A70" w14:textId="77777777" w:rsidTr="007353BA">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19161A4" w14:textId="77777777" w:rsidR="00745290" w:rsidRPr="00A77908" w:rsidRDefault="00745290" w:rsidP="00745290">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j,4,0</w:t>
            </w:r>
          </w:p>
        </w:tc>
        <w:tc>
          <w:tcPr>
            <w:tcW w:w="2040" w:type="dxa"/>
            <w:tcBorders>
              <w:top w:val="nil"/>
              <w:left w:val="nil"/>
              <w:bottom w:val="single" w:sz="4" w:space="0" w:color="auto"/>
              <w:right w:val="single" w:sz="4" w:space="0" w:color="auto"/>
            </w:tcBorders>
            <w:shd w:val="clear" w:color="auto" w:fill="auto"/>
            <w:noWrap/>
            <w:vAlign w:val="center"/>
            <w:hideMark/>
          </w:tcPr>
          <w:p w14:paraId="515BB4E8" w14:textId="0F47FC76" w:rsidR="00745290" w:rsidRPr="00745290" w:rsidRDefault="00745290" w:rsidP="007353BA">
            <w:pPr>
              <w:spacing w:before="0" w:after="0"/>
              <w:jc w:val="right"/>
              <w:rPr>
                <w:rFonts w:cs="Arial"/>
                <w:sz w:val="18"/>
                <w:szCs w:val="18"/>
                <w:lang w:val="es-CO" w:eastAsia="es-CO"/>
              </w:rPr>
            </w:pPr>
            <w:r w:rsidRPr="00745290">
              <w:rPr>
                <w:sz w:val="18"/>
                <w:szCs w:val="18"/>
              </w:rPr>
              <w:t>0</w:t>
            </w:r>
            <w:r w:rsidR="004B4540">
              <w:rPr>
                <w:sz w:val="18"/>
                <w:szCs w:val="18"/>
              </w:rPr>
              <w:t xml:space="preserve">  </w:t>
            </w:r>
          </w:p>
        </w:tc>
      </w:tr>
      <w:tr w:rsidR="00745290" w:rsidRPr="00A77908" w14:paraId="189144B7" w14:textId="77777777" w:rsidTr="007353BA">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EF54293" w14:textId="77777777" w:rsidR="00745290" w:rsidRPr="00A77908" w:rsidRDefault="00745290" w:rsidP="00745290">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j,3,0</w:t>
            </w:r>
          </w:p>
        </w:tc>
        <w:tc>
          <w:tcPr>
            <w:tcW w:w="2040" w:type="dxa"/>
            <w:tcBorders>
              <w:top w:val="nil"/>
              <w:left w:val="nil"/>
              <w:bottom w:val="single" w:sz="4" w:space="0" w:color="auto"/>
              <w:right w:val="single" w:sz="4" w:space="0" w:color="auto"/>
            </w:tcBorders>
            <w:shd w:val="clear" w:color="auto" w:fill="auto"/>
            <w:noWrap/>
            <w:vAlign w:val="center"/>
            <w:hideMark/>
          </w:tcPr>
          <w:p w14:paraId="52080414" w14:textId="7E8C5A31" w:rsidR="00745290" w:rsidRPr="00745290" w:rsidRDefault="00745290" w:rsidP="007353BA">
            <w:pPr>
              <w:spacing w:before="0" w:after="0"/>
              <w:jc w:val="right"/>
              <w:rPr>
                <w:rFonts w:cs="Arial"/>
                <w:sz w:val="18"/>
                <w:szCs w:val="18"/>
              </w:rPr>
            </w:pPr>
            <w:r w:rsidRPr="00745290">
              <w:rPr>
                <w:sz w:val="18"/>
                <w:szCs w:val="18"/>
              </w:rPr>
              <w:t>3.208.951.158</w:t>
            </w:r>
          </w:p>
        </w:tc>
      </w:tr>
      <w:tr w:rsidR="00745290" w:rsidRPr="00A77908" w14:paraId="351EBE6B" w14:textId="77777777" w:rsidTr="007353BA">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1805E4F8" w14:textId="77777777" w:rsidR="00745290" w:rsidRPr="00A77908" w:rsidRDefault="00745290" w:rsidP="00745290">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j,2,0</w:t>
            </w:r>
          </w:p>
        </w:tc>
        <w:tc>
          <w:tcPr>
            <w:tcW w:w="2040" w:type="dxa"/>
            <w:tcBorders>
              <w:top w:val="nil"/>
              <w:left w:val="nil"/>
              <w:bottom w:val="single" w:sz="4" w:space="0" w:color="auto"/>
              <w:right w:val="single" w:sz="4" w:space="0" w:color="auto"/>
            </w:tcBorders>
            <w:shd w:val="clear" w:color="auto" w:fill="auto"/>
            <w:noWrap/>
            <w:vAlign w:val="center"/>
            <w:hideMark/>
          </w:tcPr>
          <w:p w14:paraId="352DB252" w14:textId="16D23DF0" w:rsidR="00745290" w:rsidRPr="00745290" w:rsidRDefault="00745290" w:rsidP="007353BA">
            <w:pPr>
              <w:spacing w:before="0" w:after="0"/>
              <w:jc w:val="right"/>
              <w:rPr>
                <w:rFonts w:cs="Arial"/>
                <w:sz w:val="18"/>
                <w:szCs w:val="18"/>
              </w:rPr>
            </w:pPr>
            <w:r w:rsidRPr="00745290">
              <w:rPr>
                <w:sz w:val="18"/>
                <w:szCs w:val="18"/>
              </w:rPr>
              <w:t>2.273.551.221</w:t>
            </w:r>
          </w:p>
        </w:tc>
      </w:tr>
      <w:tr w:rsidR="00745290" w:rsidRPr="00A77908" w14:paraId="5A9C6EBB" w14:textId="77777777" w:rsidTr="007353BA">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77BE569" w14:textId="77777777" w:rsidR="00745290" w:rsidRPr="00A77908" w:rsidRDefault="00745290" w:rsidP="00745290">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j,1,0</w:t>
            </w:r>
          </w:p>
        </w:tc>
        <w:tc>
          <w:tcPr>
            <w:tcW w:w="2040" w:type="dxa"/>
            <w:tcBorders>
              <w:top w:val="nil"/>
              <w:left w:val="nil"/>
              <w:bottom w:val="single" w:sz="4" w:space="0" w:color="auto"/>
              <w:right w:val="single" w:sz="4" w:space="0" w:color="auto"/>
            </w:tcBorders>
            <w:shd w:val="clear" w:color="auto" w:fill="auto"/>
            <w:noWrap/>
            <w:vAlign w:val="center"/>
            <w:hideMark/>
          </w:tcPr>
          <w:p w14:paraId="671CE57A" w14:textId="5CD9F385" w:rsidR="00745290" w:rsidRPr="00745290" w:rsidRDefault="00745290" w:rsidP="007353BA">
            <w:pPr>
              <w:spacing w:before="0" w:after="0"/>
              <w:jc w:val="right"/>
              <w:rPr>
                <w:rFonts w:cs="Arial"/>
                <w:sz w:val="18"/>
                <w:szCs w:val="18"/>
              </w:rPr>
            </w:pPr>
            <w:r w:rsidRPr="00745290">
              <w:rPr>
                <w:sz w:val="18"/>
                <w:szCs w:val="18"/>
              </w:rPr>
              <w:t>270.939.675</w:t>
            </w:r>
          </w:p>
        </w:tc>
      </w:tr>
    </w:tbl>
    <w:p w14:paraId="189A631E" w14:textId="316BAEBD" w:rsidR="005E5374" w:rsidRPr="00F0138E" w:rsidRDefault="005E5374" w:rsidP="004B4540">
      <w:pPr>
        <w:numPr>
          <w:ilvl w:val="0"/>
          <w:numId w:val="7"/>
        </w:numPr>
        <w:tabs>
          <w:tab w:val="left" w:pos="1701"/>
          <w:tab w:val="num" w:pos="2150"/>
        </w:tabs>
        <w:spacing w:before="240" w:after="240"/>
        <w:rPr>
          <w:rFonts w:cs="Arial"/>
        </w:rPr>
      </w:pPr>
      <w:r w:rsidRPr="00F0138E">
        <w:rPr>
          <w:rFonts w:cs="Arial"/>
        </w:rPr>
        <w:t xml:space="preserve">Modificar el artículo </w:t>
      </w:r>
      <w:r w:rsidR="005A52F7">
        <w:rPr>
          <w:rFonts w:cs="Arial"/>
        </w:rPr>
        <w:t>3</w:t>
      </w:r>
      <w:r w:rsidRPr="00F0138E">
        <w:rPr>
          <w:rFonts w:cs="Arial"/>
        </w:rPr>
        <w:t xml:space="preserve"> de la Resolución CREG </w:t>
      </w:r>
      <w:r w:rsidR="005A52F7">
        <w:rPr>
          <w:rFonts w:cs="Arial"/>
        </w:rPr>
        <w:t>219</w:t>
      </w:r>
      <w:r w:rsidRPr="00F0138E">
        <w:rPr>
          <w:rFonts w:cs="Arial"/>
        </w:rPr>
        <w:t xml:space="preserve"> de 202</w:t>
      </w:r>
      <w:r w:rsidR="005A52F7">
        <w:rPr>
          <w:rFonts w:cs="Arial"/>
        </w:rPr>
        <w:t>1</w:t>
      </w:r>
      <w:r w:rsidRPr="00F0138E">
        <w:rPr>
          <w:rFonts w:cs="Arial"/>
        </w:rPr>
        <w:t>, el cual quedará así:</w:t>
      </w:r>
    </w:p>
    <w:p w14:paraId="641DFFA8" w14:textId="10618928" w:rsidR="00436EFA" w:rsidRDefault="005E5374" w:rsidP="00436EFA">
      <w:pPr>
        <w:pStyle w:val="Cita"/>
        <w:ind w:left="284"/>
        <w:rPr>
          <w:rFonts w:ascii="Bookman Old Style" w:hAnsi="Bookman Old Style"/>
          <w:sz w:val="24"/>
          <w:szCs w:val="24"/>
        </w:rPr>
      </w:pPr>
      <w:r w:rsidRPr="00FA4C06">
        <w:rPr>
          <w:rFonts w:ascii="Bookman Old Style" w:hAnsi="Bookman Old Style"/>
          <w:b/>
          <w:bCs/>
          <w:sz w:val="24"/>
          <w:szCs w:val="24"/>
        </w:rPr>
        <w:t xml:space="preserve">Artículo </w:t>
      </w:r>
      <w:r w:rsidR="00897D95">
        <w:rPr>
          <w:rFonts w:ascii="Bookman Old Style" w:hAnsi="Bookman Old Style"/>
          <w:b/>
          <w:bCs/>
          <w:sz w:val="24"/>
          <w:szCs w:val="24"/>
        </w:rPr>
        <w:t>3</w:t>
      </w:r>
      <w:r w:rsidRPr="00FA4C06">
        <w:rPr>
          <w:rFonts w:ascii="Bookman Old Style" w:hAnsi="Bookman Old Style"/>
          <w:b/>
          <w:bCs/>
          <w:sz w:val="24"/>
          <w:szCs w:val="24"/>
        </w:rPr>
        <w:t>.</w:t>
      </w:r>
      <w:r>
        <w:rPr>
          <w:rFonts w:ascii="Bookman Old Style" w:hAnsi="Bookman Old Style"/>
          <w:b/>
          <w:bCs/>
          <w:sz w:val="24"/>
          <w:szCs w:val="24"/>
        </w:rPr>
        <w:t xml:space="preserve"> </w:t>
      </w:r>
      <w:r w:rsidR="00897D95">
        <w:rPr>
          <w:rFonts w:ascii="Bookman Old Style" w:hAnsi="Bookman Old Style"/>
          <w:b/>
          <w:bCs/>
          <w:sz w:val="24"/>
          <w:szCs w:val="24"/>
        </w:rPr>
        <w:t>Inversión aprobada en el plan de inversiones</w:t>
      </w:r>
      <w:r w:rsidRPr="00FA4C06">
        <w:rPr>
          <w:rFonts w:ascii="Bookman Old Style" w:hAnsi="Bookman Old Style"/>
          <w:b/>
          <w:bCs/>
          <w:sz w:val="24"/>
          <w:szCs w:val="24"/>
        </w:rPr>
        <w:t xml:space="preserve">. </w:t>
      </w:r>
      <w:r w:rsidR="00A444DC" w:rsidRPr="00A444DC">
        <w:rPr>
          <w:rFonts w:ascii="Bookman Old Style" w:hAnsi="Bookman Old Style"/>
          <w:sz w:val="24"/>
          <w:szCs w:val="24"/>
          <w:lang w:val="es-ES"/>
        </w:rPr>
        <w:t xml:space="preserve">El valor de las inversiones aprobadas en el plan de inversiones, </w:t>
      </w:r>
      <w:proofErr w:type="spellStart"/>
      <w:proofErr w:type="gramStart"/>
      <w:r w:rsidR="00A444DC" w:rsidRPr="00A444DC">
        <w:rPr>
          <w:rFonts w:ascii="Bookman Old Style" w:hAnsi="Bookman Old Style"/>
          <w:sz w:val="24"/>
          <w:szCs w:val="24"/>
          <w:lang w:val="es-ES"/>
        </w:rPr>
        <w:t>INVA</w:t>
      </w:r>
      <w:r w:rsidR="00A444DC" w:rsidRPr="00A444DC">
        <w:rPr>
          <w:rFonts w:ascii="Bookman Old Style" w:hAnsi="Bookman Old Style"/>
          <w:sz w:val="24"/>
          <w:szCs w:val="24"/>
          <w:vertAlign w:val="subscript"/>
          <w:lang w:val="es-ES"/>
        </w:rPr>
        <w:t>j,n</w:t>
      </w:r>
      <w:proofErr w:type="gramEnd"/>
      <w:r w:rsidR="00A444DC" w:rsidRPr="00A444DC">
        <w:rPr>
          <w:rFonts w:ascii="Bookman Old Style" w:hAnsi="Bookman Old Style"/>
          <w:sz w:val="24"/>
          <w:szCs w:val="24"/>
          <w:vertAlign w:val="subscript"/>
          <w:lang w:val="es-ES"/>
        </w:rPr>
        <w:t>,l,t</w:t>
      </w:r>
      <w:proofErr w:type="spellEnd"/>
      <w:r w:rsidR="00A444DC" w:rsidRPr="00A444DC">
        <w:rPr>
          <w:rFonts w:ascii="Bookman Old Style" w:hAnsi="Bookman Old Style"/>
          <w:sz w:val="24"/>
          <w:szCs w:val="24"/>
          <w:lang w:val="es-ES"/>
        </w:rPr>
        <w:t>, para cada nivel de tensión, es el siguiente:</w:t>
      </w:r>
      <w:r w:rsidR="00436EFA" w:rsidRPr="000827A2">
        <w:rPr>
          <w:rFonts w:ascii="Bookman Old Style" w:hAnsi="Bookman Old Style"/>
          <w:sz w:val="24"/>
          <w:szCs w:val="24"/>
        </w:rPr>
        <w:t xml:space="preserve"> </w:t>
      </w:r>
    </w:p>
    <w:p w14:paraId="22804694" w14:textId="2A405233" w:rsidR="00BA37EF" w:rsidRPr="00777F29" w:rsidRDefault="00BA37EF" w:rsidP="00BA37EF">
      <w:pPr>
        <w:pStyle w:val="Descripcin"/>
        <w:spacing w:before="240" w:after="120" w:line="240" w:lineRule="auto"/>
        <w:rPr>
          <w:i/>
          <w:iCs/>
          <w:sz w:val="20"/>
          <w:szCs w:val="18"/>
        </w:rPr>
      </w:pPr>
      <w:r w:rsidRPr="00777F29">
        <w:rPr>
          <w:i/>
          <w:iCs/>
          <w:sz w:val="20"/>
          <w:szCs w:val="18"/>
        </w:rPr>
        <w:t xml:space="preserve">Tabla </w:t>
      </w:r>
      <w:r w:rsidR="007402C8" w:rsidRPr="00777F29">
        <w:rPr>
          <w:i/>
          <w:iCs/>
          <w:sz w:val="20"/>
          <w:szCs w:val="18"/>
        </w:rPr>
        <w:t>2</w:t>
      </w:r>
      <w:r w:rsidRPr="00777F29">
        <w:rPr>
          <w:i/>
          <w:iCs/>
          <w:sz w:val="20"/>
          <w:szCs w:val="18"/>
        </w:rPr>
        <w:t xml:space="preserve"> Plan de inversiones del nivel de tensión 4,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541"/>
        <w:gridCol w:w="1541"/>
        <w:gridCol w:w="1557"/>
        <w:gridCol w:w="1541"/>
      </w:tblGrid>
      <w:tr w:rsidR="00BA37EF" w:rsidRPr="007E09A4" w14:paraId="0FA770E3" w14:textId="77777777" w:rsidTr="004A78D5">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2054DD" w14:textId="77777777" w:rsidR="00BA37EF" w:rsidRPr="007E09A4" w:rsidRDefault="00BA37EF" w:rsidP="004A78D5">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2964657F" w14:textId="77777777" w:rsidR="00BA37EF" w:rsidRPr="007E09A4" w:rsidRDefault="00BA37EF" w:rsidP="004A78D5">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0B96905B" w14:textId="77777777" w:rsidR="00BA37EF" w:rsidRPr="007E09A4" w:rsidRDefault="00BA37EF" w:rsidP="004A78D5">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2A2CB705" w14:textId="77777777" w:rsidR="00BA37EF" w:rsidRPr="007E09A4" w:rsidRDefault="00BA37EF" w:rsidP="004A78D5">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,3</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10760AFE" w14:textId="77777777" w:rsidR="00BA37EF" w:rsidRPr="007E09A4" w:rsidRDefault="00BA37EF" w:rsidP="004A78D5">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1B907364" w14:textId="77777777" w:rsidR="00BA37EF" w:rsidRPr="007E09A4" w:rsidRDefault="00BA37EF" w:rsidP="004A78D5">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4,l</w:t>
            </w:r>
            <w:proofErr w:type="gramEnd"/>
            <w:r w:rsidRPr="007E09A4">
              <w:rPr>
                <w:rFonts w:cs="Arial"/>
                <w:b/>
                <w:bCs/>
                <w:i/>
                <w:iCs/>
                <w:sz w:val="18"/>
                <w:szCs w:val="18"/>
                <w:vertAlign w:val="subscript"/>
                <w:lang w:val="es-CO" w:eastAsia="es-CO"/>
              </w:rPr>
              <w:t>,5</w:t>
            </w:r>
          </w:p>
        </w:tc>
      </w:tr>
      <w:tr w:rsidR="00BA37EF" w:rsidRPr="0043040A" w14:paraId="0B802162"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5A278BA" w14:textId="77777777" w:rsidR="00BA37EF" w:rsidRPr="0043040A" w:rsidRDefault="00BA37EF" w:rsidP="004A78D5">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4FE3D40"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880BD9C"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DF6B8BA"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0D19941C"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953B62A" w14:textId="77777777" w:rsidR="00BA37EF" w:rsidRPr="00190D8C" w:rsidRDefault="00BA37EF" w:rsidP="004A78D5">
            <w:pPr>
              <w:spacing w:before="0" w:after="0"/>
              <w:contextualSpacing/>
              <w:jc w:val="right"/>
              <w:rPr>
                <w:sz w:val="18"/>
                <w:szCs w:val="18"/>
              </w:rPr>
            </w:pPr>
            <w:r>
              <w:rPr>
                <w:rFonts w:cs="Arial"/>
                <w:sz w:val="18"/>
                <w:szCs w:val="18"/>
              </w:rPr>
              <w:t>0</w:t>
            </w:r>
          </w:p>
        </w:tc>
      </w:tr>
      <w:tr w:rsidR="00BA37EF" w:rsidRPr="0043040A" w14:paraId="6A62D7F3"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D8D61F3" w14:textId="77777777" w:rsidR="00BA37EF" w:rsidRPr="0043040A" w:rsidRDefault="00BA37EF" w:rsidP="004A78D5">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3F38DB4"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19017D7"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FEF910F"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649CD353"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F64000D" w14:textId="77777777" w:rsidR="00BA37EF" w:rsidRPr="00190D8C" w:rsidRDefault="00BA37EF" w:rsidP="004A78D5">
            <w:pPr>
              <w:spacing w:before="0" w:after="0"/>
              <w:contextualSpacing/>
              <w:jc w:val="right"/>
              <w:rPr>
                <w:sz w:val="18"/>
                <w:szCs w:val="18"/>
              </w:rPr>
            </w:pPr>
            <w:r>
              <w:rPr>
                <w:rFonts w:cs="Arial"/>
                <w:sz w:val="18"/>
                <w:szCs w:val="18"/>
              </w:rPr>
              <w:t>0</w:t>
            </w:r>
          </w:p>
        </w:tc>
      </w:tr>
      <w:tr w:rsidR="00BA37EF" w:rsidRPr="0043040A" w14:paraId="02D0806D"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D036E66" w14:textId="77777777" w:rsidR="00BA37EF" w:rsidRPr="0043040A" w:rsidRDefault="00BA37EF" w:rsidP="004A78D5">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7AF3930"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831C346"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81D304C"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62D27B3F"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FCEFD19" w14:textId="77777777" w:rsidR="00BA37EF" w:rsidRPr="00190D8C" w:rsidRDefault="00BA37EF" w:rsidP="004A78D5">
            <w:pPr>
              <w:spacing w:before="0" w:after="0"/>
              <w:contextualSpacing/>
              <w:jc w:val="right"/>
              <w:rPr>
                <w:sz w:val="18"/>
                <w:szCs w:val="18"/>
              </w:rPr>
            </w:pPr>
            <w:r>
              <w:rPr>
                <w:rFonts w:cs="Arial"/>
                <w:sz w:val="18"/>
                <w:szCs w:val="18"/>
              </w:rPr>
              <w:t>0</w:t>
            </w:r>
          </w:p>
        </w:tc>
      </w:tr>
      <w:tr w:rsidR="00BA37EF" w:rsidRPr="0043040A" w14:paraId="44CB6D96"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3DB8EFF" w14:textId="77777777" w:rsidR="00BA37EF" w:rsidRPr="0043040A" w:rsidRDefault="00BA37EF" w:rsidP="004A78D5">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909855C"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D4DF829"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335F94A"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68A94ECB"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240A374" w14:textId="77777777" w:rsidR="00BA37EF" w:rsidRPr="00190D8C" w:rsidRDefault="00BA37EF" w:rsidP="004A78D5">
            <w:pPr>
              <w:spacing w:before="0" w:after="0"/>
              <w:contextualSpacing/>
              <w:jc w:val="right"/>
              <w:rPr>
                <w:sz w:val="18"/>
                <w:szCs w:val="18"/>
              </w:rPr>
            </w:pPr>
            <w:r>
              <w:rPr>
                <w:rFonts w:cs="Arial"/>
                <w:sz w:val="18"/>
                <w:szCs w:val="18"/>
              </w:rPr>
              <w:t>0</w:t>
            </w:r>
          </w:p>
        </w:tc>
      </w:tr>
      <w:tr w:rsidR="00BA37EF" w:rsidRPr="0043040A" w14:paraId="5B336E9B"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B37E22B" w14:textId="77777777" w:rsidR="00BA37EF" w:rsidRPr="0043040A" w:rsidRDefault="00BA37EF" w:rsidP="004A78D5">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9EC5AD2"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B6503E7"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D53980D"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7AFCEA1C"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3AE27A3" w14:textId="77777777" w:rsidR="00BA37EF" w:rsidRPr="00190D8C" w:rsidRDefault="00BA37EF" w:rsidP="004A78D5">
            <w:pPr>
              <w:spacing w:before="0" w:after="0"/>
              <w:contextualSpacing/>
              <w:jc w:val="right"/>
              <w:rPr>
                <w:sz w:val="18"/>
                <w:szCs w:val="18"/>
              </w:rPr>
            </w:pPr>
            <w:r>
              <w:rPr>
                <w:rFonts w:cs="Arial"/>
                <w:sz w:val="18"/>
                <w:szCs w:val="18"/>
              </w:rPr>
              <w:t>0</w:t>
            </w:r>
          </w:p>
        </w:tc>
      </w:tr>
      <w:tr w:rsidR="00BA37EF" w:rsidRPr="0043040A" w14:paraId="04226880"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F271AB5" w14:textId="77777777" w:rsidR="00BA37EF" w:rsidRPr="0043040A" w:rsidRDefault="00BA37EF" w:rsidP="004A78D5">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A3868E4"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11CFC8B"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0115B4E"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24E88E03"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89CD84B" w14:textId="77777777" w:rsidR="00BA37EF" w:rsidRPr="00190D8C" w:rsidRDefault="00BA37EF" w:rsidP="004A78D5">
            <w:pPr>
              <w:spacing w:before="0" w:after="0"/>
              <w:contextualSpacing/>
              <w:jc w:val="right"/>
              <w:rPr>
                <w:sz w:val="18"/>
                <w:szCs w:val="18"/>
              </w:rPr>
            </w:pPr>
            <w:r>
              <w:rPr>
                <w:rFonts w:cs="Arial"/>
                <w:sz w:val="18"/>
                <w:szCs w:val="18"/>
              </w:rPr>
              <w:t>0</w:t>
            </w:r>
          </w:p>
        </w:tc>
      </w:tr>
      <w:tr w:rsidR="00BA37EF" w:rsidRPr="0043040A" w14:paraId="6EB12503"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70FB345" w14:textId="77777777" w:rsidR="00BA37EF" w:rsidRPr="0043040A" w:rsidRDefault="00BA37EF" w:rsidP="004A78D5">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05D1D74"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F3FDE9B"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04BB6B4"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43ACDB6D"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96ABBBD" w14:textId="77777777" w:rsidR="00BA37EF" w:rsidRPr="00190D8C" w:rsidRDefault="00BA37EF" w:rsidP="004A78D5">
            <w:pPr>
              <w:spacing w:before="0" w:after="0"/>
              <w:contextualSpacing/>
              <w:jc w:val="right"/>
              <w:rPr>
                <w:sz w:val="18"/>
                <w:szCs w:val="18"/>
              </w:rPr>
            </w:pPr>
            <w:r>
              <w:rPr>
                <w:rFonts w:cs="Arial"/>
                <w:sz w:val="18"/>
                <w:szCs w:val="18"/>
              </w:rPr>
              <w:t>0</w:t>
            </w:r>
          </w:p>
        </w:tc>
      </w:tr>
      <w:tr w:rsidR="00BA37EF" w:rsidRPr="0043040A" w14:paraId="5B20FB0C"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CE5DEC0" w14:textId="77777777" w:rsidR="00BA37EF" w:rsidRPr="0043040A" w:rsidRDefault="00BA37EF" w:rsidP="004A78D5">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99F2C90"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A7D6EB9"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90D83F4"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068BEBD4"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0E2E2BB" w14:textId="77777777" w:rsidR="00BA37EF" w:rsidRPr="00190D8C" w:rsidRDefault="00BA37EF" w:rsidP="004A78D5">
            <w:pPr>
              <w:spacing w:before="0" w:after="0"/>
              <w:contextualSpacing/>
              <w:jc w:val="right"/>
              <w:rPr>
                <w:sz w:val="18"/>
                <w:szCs w:val="18"/>
              </w:rPr>
            </w:pPr>
            <w:r>
              <w:rPr>
                <w:rFonts w:cs="Arial"/>
                <w:sz w:val="18"/>
                <w:szCs w:val="18"/>
              </w:rPr>
              <w:t>0</w:t>
            </w:r>
          </w:p>
        </w:tc>
      </w:tr>
      <w:tr w:rsidR="00BA37EF" w:rsidRPr="0043040A" w14:paraId="15C34058"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B4BD068" w14:textId="77777777" w:rsidR="00BA37EF" w:rsidRPr="0043040A" w:rsidRDefault="00BA37EF" w:rsidP="004A78D5">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686DF7A"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F381FEA"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72D309E"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4BAF0AB8"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53B0F36" w14:textId="77777777" w:rsidR="00BA37EF" w:rsidRPr="00190D8C" w:rsidRDefault="00BA37EF" w:rsidP="004A78D5">
            <w:pPr>
              <w:spacing w:before="0" w:after="0"/>
              <w:contextualSpacing/>
              <w:jc w:val="right"/>
              <w:rPr>
                <w:sz w:val="18"/>
                <w:szCs w:val="18"/>
              </w:rPr>
            </w:pPr>
            <w:r>
              <w:rPr>
                <w:rFonts w:cs="Arial"/>
                <w:sz w:val="18"/>
                <w:szCs w:val="18"/>
              </w:rPr>
              <w:t>0</w:t>
            </w:r>
          </w:p>
        </w:tc>
      </w:tr>
      <w:tr w:rsidR="00BA37EF" w:rsidRPr="0043040A" w14:paraId="76219C37"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E882C82" w14:textId="77777777" w:rsidR="00BA37EF" w:rsidRPr="0043040A" w:rsidRDefault="00BA37EF" w:rsidP="004A78D5">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9206E70"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C399839"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891C53B"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1B485276" w14:textId="77777777" w:rsidR="00BA37EF" w:rsidRPr="00190D8C" w:rsidRDefault="00BA37EF" w:rsidP="004A78D5">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0902D2B" w14:textId="77777777" w:rsidR="00BA37EF" w:rsidRPr="00190D8C" w:rsidRDefault="00BA37EF" w:rsidP="004A78D5">
            <w:pPr>
              <w:spacing w:before="0" w:after="0"/>
              <w:contextualSpacing/>
              <w:jc w:val="right"/>
              <w:rPr>
                <w:sz w:val="18"/>
                <w:szCs w:val="18"/>
              </w:rPr>
            </w:pPr>
            <w:r>
              <w:rPr>
                <w:rFonts w:cs="Arial"/>
                <w:sz w:val="18"/>
                <w:szCs w:val="18"/>
              </w:rPr>
              <w:t>0</w:t>
            </w:r>
          </w:p>
        </w:tc>
      </w:tr>
    </w:tbl>
    <w:p w14:paraId="0272E2C5" w14:textId="5045935E" w:rsidR="00BA37EF" w:rsidRPr="00777F29" w:rsidRDefault="00BA37EF" w:rsidP="00BA37EF">
      <w:pPr>
        <w:pStyle w:val="Descripcin"/>
        <w:spacing w:before="240" w:after="120" w:line="240" w:lineRule="auto"/>
        <w:rPr>
          <w:b/>
          <w:i/>
          <w:iCs/>
          <w:sz w:val="20"/>
          <w:szCs w:val="18"/>
        </w:rPr>
      </w:pPr>
      <w:r w:rsidRPr="00777F29">
        <w:rPr>
          <w:i/>
          <w:iCs/>
          <w:sz w:val="20"/>
          <w:szCs w:val="18"/>
        </w:rPr>
        <w:t xml:space="preserve">Tabla 3 Plan de inversiones del nivel de tensión 3,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429"/>
        <w:gridCol w:w="1541"/>
        <w:gridCol w:w="1669"/>
        <w:gridCol w:w="1541"/>
      </w:tblGrid>
      <w:tr w:rsidR="00BA37EF" w:rsidRPr="007E09A4" w14:paraId="7D89BA38" w14:textId="77777777" w:rsidTr="004A78D5">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24B8E" w14:textId="77777777" w:rsidR="00BA37EF" w:rsidRPr="007E09A4" w:rsidRDefault="00BA37EF" w:rsidP="004A78D5">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17C92B9B" w14:textId="77777777" w:rsidR="00BA37EF" w:rsidRPr="007E09A4" w:rsidRDefault="00BA37EF" w:rsidP="004A78D5">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3,l</w:t>
            </w:r>
            <w:proofErr w:type="gramEnd"/>
            <w:r w:rsidRPr="007E09A4">
              <w:rPr>
                <w:rFonts w:cs="Arial"/>
                <w:b/>
                <w:bCs/>
                <w:i/>
                <w:iCs/>
                <w:sz w:val="18"/>
                <w:szCs w:val="18"/>
                <w:vertAlign w:val="subscript"/>
                <w:lang w:val="es-CO" w:eastAsia="es-CO"/>
              </w:rPr>
              <w:t>,1</w:t>
            </w:r>
          </w:p>
        </w:tc>
        <w:tc>
          <w:tcPr>
            <w:tcW w:w="1429" w:type="dxa"/>
            <w:tcBorders>
              <w:top w:val="single" w:sz="4" w:space="0" w:color="auto"/>
              <w:left w:val="nil"/>
              <w:bottom w:val="single" w:sz="4" w:space="0" w:color="auto"/>
              <w:right w:val="single" w:sz="4" w:space="0" w:color="auto"/>
            </w:tcBorders>
            <w:shd w:val="clear" w:color="000000" w:fill="FFFFFF"/>
            <w:noWrap/>
            <w:vAlign w:val="center"/>
            <w:hideMark/>
          </w:tcPr>
          <w:p w14:paraId="1B9A9971" w14:textId="77777777" w:rsidR="00BA37EF" w:rsidRPr="007E09A4" w:rsidRDefault="00BA37EF" w:rsidP="004A78D5">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3,l</w:t>
            </w:r>
            <w:proofErr w:type="gramEnd"/>
            <w:r w:rsidRPr="007E09A4">
              <w:rPr>
                <w:rFonts w:cs="Arial"/>
                <w:b/>
                <w:bCs/>
                <w:i/>
                <w:iCs/>
                <w:sz w:val="18"/>
                <w:szCs w:val="18"/>
                <w:vertAlign w:val="subscript"/>
                <w:lang w:val="es-CO" w:eastAsia="es-CO"/>
              </w:rPr>
              <w:t>,2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14FD3ADD" w14:textId="77777777" w:rsidR="00BA37EF" w:rsidRPr="007E09A4" w:rsidRDefault="00BA37EF" w:rsidP="004A78D5">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3,l</w:t>
            </w:r>
            <w:proofErr w:type="gramEnd"/>
            <w:r w:rsidRPr="007E09A4">
              <w:rPr>
                <w:rFonts w:cs="Arial"/>
                <w:b/>
                <w:bCs/>
                <w:i/>
                <w:iCs/>
                <w:sz w:val="18"/>
                <w:szCs w:val="18"/>
                <w:vertAlign w:val="subscript"/>
                <w:lang w:val="es-CO" w:eastAsia="es-CO"/>
              </w:rPr>
              <w:t>,3</w:t>
            </w:r>
          </w:p>
        </w:tc>
        <w:tc>
          <w:tcPr>
            <w:tcW w:w="1669" w:type="dxa"/>
            <w:tcBorders>
              <w:top w:val="single" w:sz="4" w:space="0" w:color="auto"/>
              <w:left w:val="nil"/>
              <w:bottom w:val="single" w:sz="4" w:space="0" w:color="auto"/>
              <w:right w:val="single" w:sz="4" w:space="0" w:color="auto"/>
            </w:tcBorders>
            <w:shd w:val="clear" w:color="000000" w:fill="FFFFFF"/>
            <w:noWrap/>
            <w:vAlign w:val="center"/>
            <w:hideMark/>
          </w:tcPr>
          <w:p w14:paraId="51C7F1F6" w14:textId="77777777" w:rsidR="00BA37EF" w:rsidRPr="007E09A4" w:rsidRDefault="00BA37EF" w:rsidP="004A78D5">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3,l</w:t>
            </w:r>
            <w:proofErr w:type="gramEnd"/>
            <w:r w:rsidRPr="007E09A4">
              <w:rPr>
                <w:rFonts w:cs="Arial"/>
                <w:b/>
                <w:bCs/>
                <w:i/>
                <w:iCs/>
                <w:sz w:val="18"/>
                <w:szCs w:val="18"/>
                <w:vertAlign w:val="subscript"/>
                <w:lang w:val="es-CO" w:eastAsia="es-CO"/>
              </w:rPr>
              <w:t>,4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7E9A3900" w14:textId="77777777" w:rsidR="00BA37EF" w:rsidRPr="007E09A4" w:rsidRDefault="00BA37EF" w:rsidP="004A78D5">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3,l</w:t>
            </w:r>
            <w:proofErr w:type="gramEnd"/>
            <w:r w:rsidRPr="007E09A4">
              <w:rPr>
                <w:rFonts w:cs="Arial"/>
                <w:b/>
                <w:bCs/>
                <w:i/>
                <w:iCs/>
                <w:sz w:val="18"/>
                <w:szCs w:val="18"/>
                <w:vertAlign w:val="subscript"/>
                <w:lang w:val="es-CO" w:eastAsia="es-CO"/>
              </w:rPr>
              <w:t>,5</w:t>
            </w:r>
          </w:p>
        </w:tc>
      </w:tr>
      <w:tr w:rsidR="00BA37EF" w:rsidRPr="00190D8C" w14:paraId="76D11BBB"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7B9F50D" w14:textId="77777777" w:rsidR="00BA37EF" w:rsidRPr="00190D8C" w:rsidRDefault="00BA37EF" w:rsidP="004A78D5">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3FAAD32" w14:textId="77777777" w:rsidR="00BA37EF" w:rsidRPr="00190D8C" w:rsidRDefault="00BA37EF" w:rsidP="004A78D5">
            <w:pPr>
              <w:spacing w:before="0" w:after="0"/>
              <w:jc w:val="right"/>
              <w:rPr>
                <w:rFonts w:cs="Arial"/>
                <w:sz w:val="18"/>
                <w:szCs w:val="18"/>
                <w:lang w:val="es-CO" w:eastAsia="es-CO"/>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62D316DA"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720922B" w14:textId="77777777" w:rsidR="00BA37EF" w:rsidRPr="00190D8C" w:rsidRDefault="00BA37EF" w:rsidP="004A78D5">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179467D2"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35FA1DB" w14:textId="77777777" w:rsidR="00BA37EF" w:rsidRPr="00190D8C" w:rsidRDefault="00BA37EF" w:rsidP="004A78D5">
            <w:pPr>
              <w:spacing w:before="0" w:after="0"/>
              <w:jc w:val="right"/>
              <w:rPr>
                <w:rFonts w:cs="Arial"/>
                <w:sz w:val="18"/>
                <w:szCs w:val="18"/>
              </w:rPr>
            </w:pPr>
            <w:r>
              <w:rPr>
                <w:rFonts w:cs="Arial"/>
                <w:sz w:val="18"/>
                <w:szCs w:val="18"/>
              </w:rPr>
              <w:t>0</w:t>
            </w:r>
          </w:p>
        </w:tc>
      </w:tr>
      <w:tr w:rsidR="00BA37EF" w:rsidRPr="00190D8C" w14:paraId="56E37C91"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F21D895" w14:textId="77777777" w:rsidR="00BA37EF" w:rsidRPr="00190D8C" w:rsidRDefault="00BA37EF" w:rsidP="004A78D5">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07EAB83" w14:textId="77777777" w:rsidR="00BA37EF" w:rsidRPr="00190D8C" w:rsidRDefault="00BA37EF" w:rsidP="004A78D5">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7686A331"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62F9081" w14:textId="77777777" w:rsidR="00BA37EF" w:rsidRPr="00190D8C" w:rsidRDefault="00BA37EF" w:rsidP="004A78D5">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09C76887"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201B758" w14:textId="77777777" w:rsidR="00BA37EF" w:rsidRPr="00190D8C" w:rsidRDefault="00BA37EF" w:rsidP="004A78D5">
            <w:pPr>
              <w:spacing w:before="0" w:after="0"/>
              <w:jc w:val="right"/>
              <w:rPr>
                <w:rFonts w:cs="Arial"/>
                <w:sz w:val="18"/>
                <w:szCs w:val="18"/>
              </w:rPr>
            </w:pPr>
            <w:r>
              <w:rPr>
                <w:rFonts w:cs="Arial"/>
                <w:sz w:val="18"/>
                <w:szCs w:val="18"/>
              </w:rPr>
              <w:t>0</w:t>
            </w:r>
          </w:p>
        </w:tc>
      </w:tr>
      <w:tr w:rsidR="00BA37EF" w:rsidRPr="00190D8C" w14:paraId="04FA7D38"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02E9918" w14:textId="77777777" w:rsidR="00BA37EF" w:rsidRPr="00190D8C" w:rsidRDefault="00BA37EF" w:rsidP="004A78D5">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6B4266E" w14:textId="77777777" w:rsidR="00BA37EF" w:rsidRPr="00190D8C" w:rsidRDefault="00BA37EF" w:rsidP="004A78D5">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0833156B"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AC959FA" w14:textId="77777777" w:rsidR="00BA37EF" w:rsidRPr="00190D8C" w:rsidRDefault="00BA37EF" w:rsidP="004A78D5">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098D96D4"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7DFEFAD" w14:textId="77777777" w:rsidR="00BA37EF" w:rsidRPr="00190D8C" w:rsidRDefault="00BA37EF" w:rsidP="004A78D5">
            <w:pPr>
              <w:spacing w:before="0" w:after="0"/>
              <w:jc w:val="right"/>
              <w:rPr>
                <w:rFonts w:cs="Arial"/>
                <w:sz w:val="18"/>
                <w:szCs w:val="18"/>
              </w:rPr>
            </w:pPr>
            <w:r>
              <w:rPr>
                <w:rFonts w:cs="Arial"/>
                <w:sz w:val="18"/>
                <w:szCs w:val="18"/>
              </w:rPr>
              <w:t>0</w:t>
            </w:r>
          </w:p>
        </w:tc>
      </w:tr>
      <w:tr w:rsidR="00BA37EF" w:rsidRPr="00190D8C" w14:paraId="34A76A11"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8A277C2" w14:textId="77777777" w:rsidR="00BA37EF" w:rsidRPr="00190D8C" w:rsidRDefault="00BA37EF" w:rsidP="004A78D5">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BD8F99C" w14:textId="77777777" w:rsidR="00BA37EF" w:rsidRPr="00190D8C" w:rsidRDefault="00BA37EF" w:rsidP="004A78D5">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3DECAEFD"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C01E72B" w14:textId="77777777" w:rsidR="00BA37EF" w:rsidRPr="00190D8C" w:rsidRDefault="00BA37EF" w:rsidP="004A78D5">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300E2C7F"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ACDCFBE" w14:textId="77777777" w:rsidR="00BA37EF" w:rsidRPr="00190D8C" w:rsidRDefault="00BA37EF" w:rsidP="004A78D5">
            <w:pPr>
              <w:spacing w:before="0" w:after="0"/>
              <w:jc w:val="right"/>
              <w:rPr>
                <w:rFonts w:cs="Arial"/>
                <w:sz w:val="18"/>
                <w:szCs w:val="18"/>
              </w:rPr>
            </w:pPr>
            <w:r>
              <w:rPr>
                <w:rFonts w:cs="Arial"/>
                <w:sz w:val="18"/>
                <w:szCs w:val="18"/>
              </w:rPr>
              <w:t>0</w:t>
            </w:r>
          </w:p>
        </w:tc>
      </w:tr>
      <w:tr w:rsidR="00BA37EF" w:rsidRPr="00190D8C" w14:paraId="69C5C110"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59CD0F1" w14:textId="77777777" w:rsidR="00BA37EF" w:rsidRPr="00190D8C" w:rsidRDefault="00BA37EF" w:rsidP="004A78D5">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C085AF5" w14:textId="77777777" w:rsidR="00BA37EF" w:rsidRPr="00190D8C" w:rsidRDefault="00BA37EF" w:rsidP="004A78D5">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279645B1"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AFC653A" w14:textId="77777777" w:rsidR="00BA37EF" w:rsidRPr="00190D8C" w:rsidRDefault="00BA37EF" w:rsidP="004A78D5">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4FC43850"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5B13186" w14:textId="77777777" w:rsidR="00BA37EF" w:rsidRPr="00190D8C" w:rsidRDefault="00BA37EF" w:rsidP="004A78D5">
            <w:pPr>
              <w:spacing w:before="0" w:after="0"/>
              <w:jc w:val="right"/>
              <w:rPr>
                <w:rFonts w:cs="Arial"/>
                <w:sz w:val="18"/>
                <w:szCs w:val="18"/>
              </w:rPr>
            </w:pPr>
            <w:r>
              <w:rPr>
                <w:rFonts w:cs="Arial"/>
                <w:sz w:val="18"/>
                <w:szCs w:val="18"/>
              </w:rPr>
              <w:t>0</w:t>
            </w:r>
          </w:p>
        </w:tc>
      </w:tr>
      <w:tr w:rsidR="00BA37EF" w:rsidRPr="00190D8C" w14:paraId="4E0E96A0"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28C656B" w14:textId="77777777" w:rsidR="00BA37EF" w:rsidRPr="00190D8C" w:rsidRDefault="00BA37EF" w:rsidP="004A78D5">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F1B9536" w14:textId="77777777" w:rsidR="00BA37EF" w:rsidRPr="00190D8C" w:rsidRDefault="00BA37EF" w:rsidP="004A78D5">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2037FC34"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ED32A96" w14:textId="77777777" w:rsidR="00BA37EF" w:rsidRPr="00190D8C" w:rsidRDefault="00BA37EF" w:rsidP="004A78D5">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26159236"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496F3AA" w14:textId="77777777" w:rsidR="00BA37EF" w:rsidRPr="00190D8C" w:rsidRDefault="00BA37EF" w:rsidP="004A78D5">
            <w:pPr>
              <w:spacing w:before="0" w:after="0"/>
              <w:jc w:val="right"/>
              <w:rPr>
                <w:rFonts w:cs="Arial"/>
                <w:sz w:val="18"/>
                <w:szCs w:val="18"/>
              </w:rPr>
            </w:pPr>
            <w:r>
              <w:rPr>
                <w:rFonts w:cs="Arial"/>
                <w:sz w:val="18"/>
                <w:szCs w:val="18"/>
              </w:rPr>
              <w:t>0</w:t>
            </w:r>
          </w:p>
        </w:tc>
      </w:tr>
      <w:tr w:rsidR="00BA37EF" w:rsidRPr="00190D8C" w14:paraId="06194609"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0B5581C" w14:textId="77777777" w:rsidR="00BA37EF" w:rsidRPr="00190D8C" w:rsidRDefault="00BA37EF" w:rsidP="004A78D5">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801F7CC" w14:textId="77777777" w:rsidR="00BA37EF" w:rsidRPr="00190D8C" w:rsidRDefault="00BA37EF" w:rsidP="004A78D5">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2E8C2DD8"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2C77E0D" w14:textId="77777777" w:rsidR="00BA37EF" w:rsidRPr="00190D8C" w:rsidRDefault="00BA37EF" w:rsidP="004A78D5">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4A3B969C"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B0DA900" w14:textId="77777777" w:rsidR="00BA37EF" w:rsidRPr="00190D8C" w:rsidRDefault="00BA37EF" w:rsidP="004A78D5">
            <w:pPr>
              <w:spacing w:before="0" w:after="0"/>
              <w:jc w:val="right"/>
              <w:rPr>
                <w:rFonts w:cs="Arial"/>
                <w:sz w:val="18"/>
                <w:szCs w:val="18"/>
              </w:rPr>
            </w:pPr>
            <w:r>
              <w:rPr>
                <w:rFonts w:cs="Arial"/>
                <w:sz w:val="18"/>
                <w:szCs w:val="18"/>
              </w:rPr>
              <w:t>0</w:t>
            </w:r>
          </w:p>
        </w:tc>
      </w:tr>
      <w:tr w:rsidR="00BA37EF" w:rsidRPr="00190D8C" w14:paraId="1FDC46D1"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2A08371" w14:textId="77777777" w:rsidR="00BA37EF" w:rsidRPr="00190D8C" w:rsidRDefault="00BA37EF" w:rsidP="004A78D5">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2DF340F" w14:textId="77777777" w:rsidR="00BA37EF" w:rsidRPr="00190D8C" w:rsidRDefault="00BA37EF" w:rsidP="004A78D5">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37DCEB28"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13630DA" w14:textId="77777777" w:rsidR="00BA37EF" w:rsidRPr="00190D8C" w:rsidRDefault="00BA37EF" w:rsidP="004A78D5">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06FCF470"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13A2CFA" w14:textId="77777777" w:rsidR="00BA37EF" w:rsidRPr="00190D8C" w:rsidRDefault="00BA37EF" w:rsidP="004A78D5">
            <w:pPr>
              <w:spacing w:before="0" w:after="0"/>
              <w:jc w:val="right"/>
              <w:rPr>
                <w:rFonts w:cs="Arial"/>
                <w:sz w:val="18"/>
                <w:szCs w:val="18"/>
              </w:rPr>
            </w:pPr>
            <w:r>
              <w:rPr>
                <w:rFonts w:cs="Arial"/>
                <w:sz w:val="18"/>
                <w:szCs w:val="18"/>
              </w:rPr>
              <w:t>0</w:t>
            </w:r>
          </w:p>
        </w:tc>
      </w:tr>
      <w:tr w:rsidR="00BA37EF" w:rsidRPr="00190D8C" w14:paraId="79640544"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0958B27" w14:textId="77777777" w:rsidR="00BA37EF" w:rsidRPr="00190D8C" w:rsidRDefault="00BA37EF" w:rsidP="004A78D5">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4083F17" w14:textId="77777777" w:rsidR="00BA37EF" w:rsidRPr="00190D8C" w:rsidRDefault="00BA37EF" w:rsidP="004A78D5">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2B695316"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2A544E5" w14:textId="77777777" w:rsidR="00BA37EF" w:rsidRPr="00190D8C" w:rsidRDefault="00BA37EF" w:rsidP="004A78D5">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1950A6C3"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61A48B4" w14:textId="77777777" w:rsidR="00BA37EF" w:rsidRPr="00190D8C" w:rsidRDefault="00BA37EF" w:rsidP="004A78D5">
            <w:pPr>
              <w:spacing w:before="0" w:after="0"/>
              <w:jc w:val="right"/>
              <w:rPr>
                <w:rFonts w:cs="Arial"/>
                <w:sz w:val="18"/>
                <w:szCs w:val="18"/>
              </w:rPr>
            </w:pPr>
            <w:r>
              <w:rPr>
                <w:rFonts w:cs="Arial"/>
                <w:sz w:val="18"/>
                <w:szCs w:val="18"/>
              </w:rPr>
              <w:t>0</w:t>
            </w:r>
          </w:p>
        </w:tc>
      </w:tr>
      <w:tr w:rsidR="00BA37EF" w:rsidRPr="00190D8C" w14:paraId="045F81F2" w14:textId="77777777" w:rsidTr="004A78D5">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D2B06C7" w14:textId="77777777" w:rsidR="00BA37EF" w:rsidRPr="00190D8C" w:rsidRDefault="00BA37EF" w:rsidP="004A78D5">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6AFCA8C" w14:textId="77777777" w:rsidR="00BA37EF" w:rsidRPr="00190D8C" w:rsidRDefault="00BA37EF" w:rsidP="004A78D5">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60FA36EC"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A19E24F" w14:textId="77777777" w:rsidR="00BA37EF" w:rsidRPr="00190D8C" w:rsidRDefault="00BA37EF" w:rsidP="004A78D5">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4E0BE417" w14:textId="77777777" w:rsidR="00BA37EF" w:rsidRPr="00190D8C" w:rsidRDefault="00BA37EF" w:rsidP="004A78D5">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93A15B5" w14:textId="77777777" w:rsidR="00BA37EF" w:rsidRPr="00190D8C" w:rsidRDefault="00BA37EF" w:rsidP="004A78D5">
            <w:pPr>
              <w:spacing w:before="0" w:after="0"/>
              <w:jc w:val="right"/>
              <w:rPr>
                <w:rFonts w:cs="Arial"/>
                <w:sz w:val="18"/>
                <w:szCs w:val="18"/>
              </w:rPr>
            </w:pPr>
            <w:r>
              <w:rPr>
                <w:rFonts w:cs="Arial"/>
                <w:sz w:val="18"/>
                <w:szCs w:val="18"/>
              </w:rPr>
              <w:t>0</w:t>
            </w:r>
          </w:p>
        </w:tc>
      </w:tr>
    </w:tbl>
    <w:p w14:paraId="5F08D570" w14:textId="5605943E" w:rsidR="00BA37EF" w:rsidRPr="00777F29" w:rsidRDefault="00BA37EF" w:rsidP="00BA37EF">
      <w:pPr>
        <w:pStyle w:val="Descripcin"/>
        <w:spacing w:before="240" w:after="120" w:line="240" w:lineRule="auto"/>
        <w:rPr>
          <w:b/>
          <w:i/>
          <w:iCs/>
          <w:sz w:val="20"/>
        </w:rPr>
      </w:pPr>
      <w:r w:rsidRPr="00777F29">
        <w:rPr>
          <w:i/>
          <w:iCs/>
          <w:sz w:val="20"/>
        </w:rPr>
        <w:lastRenderedPageBreak/>
        <w:t xml:space="preserve">Tabla 4 Plan de inversiones del nivel de tensión 2, pesos de diciembre de 2017 </w:t>
      </w:r>
    </w:p>
    <w:tbl>
      <w:tblPr>
        <w:tblW w:w="9402" w:type="dxa"/>
        <w:tblLayout w:type="fixed"/>
        <w:tblCellMar>
          <w:left w:w="70" w:type="dxa"/>
          <w:right w:w="70" w:type="dxa"/>
        </w:tblCellMar>
        <w:tblLook w:val="04A0" w:firstRow="1" w:lastRow="0" w:firstColumn="1" w:lastColumn="0" w:noHBand="0" w:noVBand="1"/>
      </w:tblPr>
      <w:tblGrid>
        <w:gridCol w:w="1696"/>
        <w:gridCol w:w="1542"/>
        <w:gridCol w:w="1541"/>
        <w:gridCol w:w="1541"/>
        <w:gridCol w:w="1541"/>
        <w:gridCol w:w="1541"/>
      </w:tblGrid>
      <w:tr w:rsidR="00BA37EF" w:rsidRPr="007E09A4" w14:paraId="39FD122E" w14:textId="77777777" w:rsidTr="004A78D5">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11030" w14:textId="77777777" w:rsidR="00BA37EF" w:rsidRPr="007E09A4" w:rsidRDefault="00BA37EF" w:rsidP="004A78D5">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6B06EDDB" w14:textId="77777777" w:rsidR="00BA37EF" w:rsidRPr="007E09A4" w:rsidRDefault="00BA37EF" w:rsidP="004A78D5">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2,l</w:t>
            </w:r>
            <w:proofErr w:type="gramEnd"/>
            <w:r w:rsidRPr="007E09A4">
              <w:rPr>
                <w:rFonts w:cs="Arial"/>
                <w:b/>
                <w:bCs/>
                <w:i/>
                <w:iCs/>
                <w:sz w:val="18"/>
                <w:szCs w:val="18"/>
                <w:vertAlign w:val="subscript"/>
                <w:lang w:val="es-CO" w:eastAsia="es-CO"/>
              </w:rPr>
              <w:t>,1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03DFE479" w14:textId="77777777" w:rsidR="00BA37EF" w:rsidRPr="007E09A4" w:rsidRDefault="00BA37EF" w:rsidP="004A78D5">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2,l</w:t>
            </w:r>
            <w:proofErr w:type="gramEnd"/>
            <w:r w:rsidRPr="007E09A4">
              <w:rPr>
                <w:rFonts w:cs="Arial"/>
                <w:b/>
                <w:bCs/>
                <w:i/>
                <w:iCs/>
                <w:sz w:val="18"/>
                <w:szCs w:val="18"/>
                <w:vertAlign w:val="subscript"/>
                <w:lang w:val="es-CO" w:eastAsia="es-CO"/>
              </w:rPr>
              <w:t>,2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3F4C9773" w14:textId="77777777" w:rsidR="00BA37EF" w:rsidRPr="007E09A4" w:rsidRDefault="00BA37EF" w:rsidP="004A78D5">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2,l</w:t>
            </w:r>
            <w:proofErr w:type="gramEnd"/>
            <w:r w:rsidRPr="007E09A4">
              <w:rPr>
                <w:rFonts w:cs="Arial"/>
                <w:b/>
                <w:bCs/>
                <w:i/>
                <w:iCs/>
                <w:sz w:val="18"/>
                <w:szCs w:val="18"/>
                <w:vertAlign w:val="subscript"/>
                <w:lang w:val="es-CO" w:eastAsia="es-CO"/>
              </w:rPr>
              <w:t>,3</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785AF808" w14:textId="77777777" w:rsidR="00BA37EF" w:rsidRPr="007E09A4" w:rsidRDefault="00BA37EF" w:rsidP="004A78D5">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2,l</w:t>
            </w:r>
            <w:proofErr w:type="gramEnd"/>
            <w:r w:rsidRPr="007E09A4">
              <w:rPr>
                <w:rFonts w:cs="Arial"/>
                <w:b/>
                <w:bCs/>
                <w:i/>
                <w:iCs/>
                <w:sz w:val="18"/>
                <w:szCs w:val="18"/>
                <w:vertAlign w:val="subscript"/>
                <w:lang w:val="es-CO" w:eastAsia="es-CO"/>
              </w:rPr>
              <w:t>,4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54EA4244" w14:textId="77777777" w:rsidR="00BA37EF" w:rsidRPr="007E09A4" w:rsidRDefault="00BA37EF" w:rsidP="004A78D5">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w:t>
            </w:r>
            <w:proofErr w:type="gramStart"/>
            <w:r w:rsidRPr="007E09A4">
              <w:rPr>
                <w:rFonts w:cs="Arial"/>
                <w:b/>
                <w:bCs/>
                <w:i/>
                <w:iCs/>
                <w:sz w:val="18"/>
                <w:szCs w:val="18"/>
                <w:vertAlign w:val="subscript"/>
                <w:lang w:val="es-CO" w:eastAsia="es-CO"/>
              </w:rPr>
              <w:t>2,l</w:t>
            </w:r>
            <w:proofErr w:type="gramEnd"/>
            <w:r w:rsidRPr="007E09A4">
              <w:rPr>
                <w:rFonts w:cs="Arial"/>
                <w:b/>
                <w:bCs/>
                <w:i/>
                <w:iCs/>
                <w:sz w:val="18"/>
                <w:szCs w:val="18"/>
                <w:vertAlign w:val="subscript"/>
                <w:lang w:val="es-CO" w:eastAsia="es-CO"/>
              </w:rPr>
              <w:t>,5</w:t>
            </w:r>
          </w:p>
        </w:tc>
      </w:tr>
      <w:tr w:rsidR="0010681F" w:rsidRPr="0043040A" w14:paraId="15BD61D1" w14:textId="77777777" w:rsidTr="00DA717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CAF42A2" w14:textId="77777777" w:rsidR="0010681F" w:rsidRPr="007E09A4" w:rsidRDefault="0010681F" w:rsidP="0010681F">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2A9C051D" w14:textId="77777777" w:rsidR="0010681F" w:rsidRPr="008F2CEF" w:rsidRDefault="0010681F" w:rsidP="0010681F">
            <w:pPr>
              <w:spacing w:before="0" w:after="0"/>
              <w:jc w:val="right"/>
              <w:rPr>
                <w:rFonts w:cs="Arial"/>
                <w:sz w:val="18"/>
                <w:szCs w:val="18"/>
                <w:lang w:val="es-CO" w:eastAsia="es-CO"/>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3E7CEF38"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59F20E56"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361CCEA9"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tcPr>
          <w:p w14:paraId="0A3105EF" w14:textId="5286DE51" w:rsidR="0010681F" w:rsidRPr="0010681F" w:rsidRDefault="0010681F" w:rsidP="0010681F">
            <w:pPr>
              <w:spacing w:before="0" w:after="0"/>
              <w:jc w:val="right"/>
              <w:rPr>
                <w:rFonts w:cs="Arial"/>
                <w:sz w:val="18"/>
                <w:szCs w:val="18"/>
              </w:rPr>
            </w:pPr>
            <w:r w:rsidRPr="0010681F">
              <w:rPr>
                <w:sz w:val="18"/>
                <w:szCs w:val="18"/>
              </w:rPr>
              <w:t>6.210.205</w:t>
            </w:r>
          </w:p>
        </w:tc>
      </w:tr>
      <w:tr w:rsidR="0010681F" w:rsidRPr="0043040A" w14:paraId="0284BDE2" w14:textId="77777777" w:rsidTr="00DA717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D5E470D" w14:textId="77777777" w:rsidR="0010681F" w:rsidRPr="007E09A4" w:rsidRDefault="0010681F" w:rsidP="0010681F">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2</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44D87312"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3EC35FF7"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8456C2E"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A541EAA"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tcPr>
          <w:p w14:paraId="18294690" w14:textId="29243222" w:rsidR="0010681F" w:rsidRPr="0010681F" w:rsidRDefault="0010681F" w:rsidP="0010681F">
            <w:pPr>
              <w:spacing w:before="0" w:after="0"/>
              <w:jc w:val="right"/>
              <w:rPr>
                <w:rFonts w:cs="Arial"/>
                <w:sz w:val="18"/>
                <w:szCs w:val="18"/>
              </w:rPr>
            </w:pPr>
            <w:r w:rsidRPr="0010681F">
              <w:rPr>
                <w:sz w:val="18"/>
                <w:szCs w:val="18"/>
              </w:rPr>
              <w:t>0</w:t>
            </w:r>
          </w:p>
        </w:tc>
      </w:tr>
      <w:tr w:rsidR="0010681F" w:rsidRPr="0043040A" w14:paraId="5F6E86D2" w14:textId="77777777" w:rsidTr="00DA717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9754A17" w14:textId="77777777" w:rsidR="0010681F" w:rsidRPr="007E09A4" w:rsidRDefault="0010681F" w:rsidP="0010681F">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3</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63A816AB"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27A8573"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15E52C2"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A99CF57"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tcPr>
          <w:p w14:paraId="09B427FB" w14:textId="6EB21748" w:rsidR="0010681F" w:rsidRPr="0010681F" w:rsidRDefault="0010681F" w:rsidP="0010681F">
            <w:pPr>
              <w:spacing w:before="0" w:after="0"/>
              <w:jc w:val="right"/>
              <w:rPr>
                <w:rFonts w:cs="Arial"/>
                <w:sz w:val="18"/>
                <w:szCs w:val="18"/>
              </w:rPr>
            </w:pPr>
            <w:r w:rsidRPr="0010681F">
              <w:rPr>
                <w:sz w:val="18"/>
                <w:szCs w:val="18"/>
              </w:rPr>
              <w:t>1.005.855</w:t>
            </w:r>
          </w:p>
        </w:tc>
      </w:tr>
      <w:tr w:rsidR="0010681F" w:rsidRPr="0043040A" w14:paraId="5BCBFEC1" w14:textId="77777777" w:rsidTr="00DA717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E3720CC" w14:textId="77777777" w:rsidR="0010681F" w:rsidRPr="007E09A4" w:rsidRDefault="0010681F" w:rsidP="0010681F">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4</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13F20B47"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7A75C1D"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A859CA6"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2D77D85"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tcPr>
          <w:p w14:paraId="4FF742D6" w14:textId="059EADCC" w:rsidR="0010681F" w:rsidRPr="0010681F" w:rsidRDefault="0010681F" w:rsidP="0010681F">
            <w:pPr>
              <w:spacing w:before="0" w:after="0"/>
              <w:jc w:val="right"/>
              <w:rPr>
                <w:rFonts w:cs="Arial"/>
                <w:sz w:val="18"/>
                <w:szCs w:val="18"/>
              </w:rPr>
            </w:pPr>
            <w:r w:rsidRPr="0010681F">
              <w:rPr>
                <w:sz w:val="18"/>
                <w:szCs w:val="18"/>
              </w:rPr>
              <w:t>7.766</w:t>
            </w:r>
          </w:p>
        </w:tc>
      </w:tr>
      <w:tr w:rsidR="0010681F" w:rsidRPr="0043040A" w14:paraId="67DC5DD4" w14:textId="77777777" w:rsidTr="00DA717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BF92B59" w14:textId="77777777" w:rsidR="0010681F" w:rsidRPr="007E09A4" w:rsidRDefault="0010681F" w:rsidP="0010681F">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5</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6100CB20"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67D63A3"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3645C53"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C36BC95"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tcPr>
          <w:p w14:paraId="5AED9790" w14:textId="08FACB92" w:rsidR="0010681F" w:rsidRPr="0010681F" w:rsidRDefault="0010681F" w:rsidP="0010681F">
            <w:pPr>
              <w:spacing w:before="0" w:after="0"/>
              <w:jc w:val="right"/>
              <w:rPr>
                <w:rFonts w:cs="Arial"/>
                <w:sz w:val="18"/>
                <w:szCs w:val="18"/>
              </w:rPr>
            </w:pPr>
            <w:r w:rsidRPr="0010681F">
              <w:rPr>
                <w:sz w:val="18"/>
                <w:szCs w:val="18"/>
              </w:rPr>
              <w:t>640.125</w:t>
            </w:r>
          </w:p>
        </w:tc>
      </w:tr>
      <w:tr w:rsidR="0010681F" w:rsidRPr="0043040A" w14:paraId="18FBA576" w14:textId="77777777" w:rsidTr="00DA717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C088B26" w14:textId="77777777" w:rsidR="0010681F" w:rsidRPr="007E09A4" w:rsidRDefault="0010681F" w:rsidP="0010681F">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6</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ECEF151"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240C9954"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262EA62"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7C67449"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tcPr>
          <w:p w14:paraId="136807B0" w14:textId="455EFEDF" w:rsidR="0010681F" w:rsidRPr="0010681F" w:rsidRDefault="0010681F" w:rsidP="0010681F">
            <w:pPr>
              <w:spacing w:before="0" w:after="0"/>
              <w:jc w:val="right"/>
              <w:rPr>
                <w:rFonts w:cs="Arial"/>
                <w:sz w:val="18"/>
                <w:szCs w:val="18"/>
              </w:rPr>
            </w:pPr>
            <w:r w:rsidRPr="0010681F">
              <w:rPr>
                <w:sz w:val="18"/>
                <w:szCs w:val="18"/>
              </w:rPr>
              <w:t>430.138</w:t>
            </w:r>
          </w:p>
        </w:tc>
      </w:tr>
      <w:tr w:rsidR="0010681F" w:rsidRPr="0043040A" w14:paraId="51D1015A" w14:textId="77777777" w:rsidTr="00DA717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9074E07" w14:textId="77777777" w:rsidR="0010681F" w:rsidRPr="007E09A4" w:rsidRDefault="0010681F" w:rsidP="0010681F">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7</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784911D2"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263D96BB"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23CC5E13"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241C615"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tcPr>
          <w:p w14:paraId="605902E5" w14:textId="73E7C219" w:rsidR="0010681F" w:rsidRPr="0010681F" w:rsidRDefault="0010681F" w:rsidP="0010681F">
            <w:pPr>
              <w:spacing w:before="0" w:after="0"/>
              <w:jc w:val="right"/>
              <w:rPr>
                <w:rFonts w:cs="Arial"/>
                <w:sz w:val="18"/>
                <w:szCs w:val="18"/>
              </w:rPr>
            </w:pPr>
            <w:r w:rsidRPr="0010681F">
              <w:rPr>
                <w:sz w:val="18"/>
                <w:szCs w:val="18"/>
              </w:rPr>
              <w:t>12.544.507</w:t>
            </w:r>
          </w:p>
        </w:tc>
      </w:tr>
      <w:tr w:rsidR="0010681F" w:rsidRPr="0043040A" w14:paraId="27E5C3FF" w14:textId="77777777" w:rsidTr="00DA717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A2DC4B1" w14:textId="77777777" w:rsidR="0010681F" w:rsidRPr="007E09A4" w:rsidRDefault="0010681F" w:rsidP="0010681F">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8</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28DFA2D4"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26766167"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268383B6"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E60A80C"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tcPr>
          <w:p w14:paraId="7D1BA068" w14:textId="43D86CCA" w:rsidR="0010681F" w:rsidRPr="0010681F" w:rsidRDefault="0010681F" w:rsidP="0010681F">
            <w:pPr>
              <w:spacing w:before="0" w:after="0"/>
              <w:jc w:val="right"/>
              <w:rPr>
                <w:rFonts w:cs="Arial"/>
                <w:sz w:val="18"/>
                <w:szCs w:val="18"/>
              </w:rPr>
            </w:pPr>
            <w:r w:rsidRPr="0010681F">
              <w:rPr>
                <w:sz w:val="18"/>
                <w:szCs w:val="18"/>
              </w:rPr>
              <w:t>0</w:t>
            </w:r>
          </w:p>
        </w:tc>
      </w:tr>
      <w:tr w:rsidR="0010681F" w:rsidRPr="0043040A" w14:paraId="46C79E29" w14:textId="77777777" w:rsidTr="00DA717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49CDE30" w14:textId="77777777" w:rsidR="0010681F" w:rsidRPr="007E09A4" w:rsidRDefault="0010681F" w:rsidP="0010681F">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9</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01049508"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27D61339"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5AAC37D7"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BE7190C"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tcPr>
          <w:p w14:paraId="0BB8ACBE" w14:textId="0098102B" w:rsidR="0010681F" w:rsidRPr="0010681F" w:rsidRDefault="0010681F" w:rsidP="0010681F">
            <w:pPr>
              <w:spacing w:before="0" w:after="0"/>
              <w:jc w:val="right"/>
              <w:rPr>
                <w:rFonts w:cs="Arial"/>
                <w:sz w:val="18"/>
                <w:szCs w:val="18"/>
              </w:rPr>
            </w:pPr>
            <w:r w:rsidRPr="0010681F">
              <w:rPr>
                <w:sz w:val="18"/>
                <w:szCs w:val="18"/>
              </w:rPr>
              <w:t>675.481</w:t>
            </w:r>
          </w:p>
        </w:tc>
      </w:tr>
      <w:tr w:rsidR="0010681F" w:rsidRPr="0043040A" w14:paraId="1580FFD6" w14:textId="77777777" w:rsidTr="00DA717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30B5A04" w14:textId="77777777" w:rsidR="0010681F" w:rsidRPr="007E09A4" w:rsidRDefault="0010681F" w:rsidP="0010681F">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10</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15894477"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E144A31"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B6F2625"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2174C4E" w14:textId="77777777" w:rsidR="0010681F" w:rsidRPr="008F2CEF" w:rsidRDefault="0010681F" w:rsidP="0010681F">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tcPr>
          <w:p w14:paraId="02D737B6" w14:textId="7380F436" w:rsidR="0010681F" w:rsidRPr="0010681F" w:rsidRDefault="0010681F" w:rsidP="0010681F">
            <w:pPr>
              <w:spacing w:before="0" w:after="0"/>
              <w:jc w:val="right"/>
              <w:rPr>
                <w:rFonts w:cs="Arial"/>
                <w:sz w:val="18"/>
                <w:szCs w:val="18"/>
              </w:rPr>
            </w:pPr>
            <w:r w:rsidRPr="0010681F">
              <w:rPr>
                <w:sz w:val="18"/>
                <w:szCs w:val="18"/>
              </w:rPr>
              <w:t>1.221.436</w:t>
            </w:r>
          </w:p>
        </w:tc>
      </w:tr>
    </w:tbl>
    <w:p w14:paraId="10E3697F" w14:textId="38741158" w:rsidR="00BA37EF" w:rsidRPr="00777F29" w:rsidRDefault="00BA37EF" w:rsidP="00BA37EF">
      <w:pPr>
        <w:pStyle w:val="Descripcin"/>
        <w:spacing w:before="240" w:after="120" w:line="240" w:lineRule="auto"/>
        <w:rPr>
          <w:b/>
          <w:i/>
          <w:iCs/>
          <w:sz w:val="20"/>
          <w:szCs w:val="18"/>
        </w:rPr>
      </w:pPr>
      <w:r w:rsidRPr="00777F29">
        <w:rPr>
          <w:i/>
          <w:iCs/>
          <w:sz w:val="20"/>
          <w:szCs w:val="18"/>
        </w:rPr>
        <w:t xml:space="preserve">Tabla 5 Plan de inversiones del nivel de tensión 1, pesos de diciembre de 2017 </w:t>
      </w:r>
    </w:p>
    <w:tbl>
      <w:tblPr>
        <w:tblW w:w="9405" w:type="dxa"/>
        <w:tblCellMar>
          <w:left w:w="70" w:type="dxa"/>
          <w:right w:w="70" w:type="dxa"/>
        </w:tblCellMar>
        <w:tblLook w:val="04A0" w:firstRow="1" w:lastRow="0" w:firstColumn="1" w:lastColumn="0" w:noHBand="0" w:noVBand="1"/>
      </w:tblPr>
      <w:tblGrid>
        <w:gridCol w:w="1695"/>
        <w:gridCol w:w="1542"/>
        <w:gridCol w:w="1542"/>
        <w:gridCol w:w="1542"/>
        <w:gridCol w:w="1542"/>
        <w:gridCol w:w="1542"/>
      </w:tblGrid>
      <w:tr w:rsidR="00BA37EF" w:rsidRPr="00585EEC" w14:paraId="1A4EC47B" w14:textId="77777777" w:rsidTr="004A78D5">
        <w:trPr>
          <w:trHeight w:val="480"/>
          <w:tblHeader/>
        </w:trPr>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52F2D1" w14:textId="77777777" w:rsidR="00BA37EF" w:rsidRPr="00585EEC" w:rsidRDefault="00BA37EF" w:rsidP="004A78D5">
            <w:pPr>
              <w:spacing w:before="0" w:after="0"/>
              <w:jc w:val="center"/>
              <w:rPr>
                <w:rFonts w:cs="Arial"/>
                <w:b/>
                <w:bCs/>
                <w:color w:val="000000"/>
                <w:sz w:val="18"/>
                <w:szCs w:val="18"/>
                <w:lang w:val="es-CO" w:eastAsia="es-CO"/>
              </w:rPr>
            </w:pPr>
            <w:r w:rsidRPr="00585EEC">
              <w:rPr>
                <w:rFonts w:cs="Arial"/>
                <w:b/>
                <w:bCs/>
                <w:color w:val="000000"/>
                <w:sz w:val="18"/>
                <w:szCs w:val="18"/>
                <w:lang w:val="es-CO" w:eastAsia="es-CO"/>
              </w:rPr>
              <w:t xml:space="preserve">Categoría de activos </w:t>
            </w:r>
            <w:r w:rsidRPr="00585EEC">
              <w:rPr>
                <w:rFonts w:cs="Arial"/>
                <w:b/>
                <w:bCs/>
                <w:i/>
                <w:iCs/>
                <w:color w:val="000000"/>
                <w:sz w:val="18"/>
                <w:szCs w:val="18"/>
                <w:lang w:val="es-CO" w:eastAsia="es-CO"/>
              </w:rPr>
              <w:t>l</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2C3A3948" w14:textId="77777777" w:rsidR="00BA37EF" w:rsidRPr="00585EEC" w:rsidRDefault="00BA37EF" w:rsidP="004A78D5">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w:t>
            </w:r>
            <w:proofErr w:type="gramStart"/>
            <w:r w:rsidRPr="00585EEC">
              <w:rPr>
                <w:rFonts w:cs="Arial"/>
                <w:b/>
                <w:bCs/>
                <w:i/>
                <w:iCs/>
                <w:sz w:val="18"/>
                <w:szCs w:val="18"/>
                <w:vertAlign w:val="subscript"/>
                <w:lang w:val="es-CO" w:eastAsia="es-CO"/>
              </w:rPr>
              <w:t>1,l</w:t>
            </w:r>
            <w:proofErr w:type="gramEnd"/>
            <w:r w:rsidRPr="00585EEC">
              <w:rPr>
                <w:rFonts w:cs="Arial"/>
                <w:b/>
                <w:bCs/>
                <w:i/>
                <w:iCs/>
                <w:sz w:val="18"/>
                <w:szCs w:val="18"/>
                <w:vertAlign w:val="subscript"/>
                <w:lang w:val="es-CO" w:eastAsia="es-CO"/>
              </w:rPr>
              <w:t>,1</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50B454A6" w14:textId="77777777" w:rsidR="00BA37EF" w:rsidRPr="00585EEC" w:rsidRDefault="00BA37EF" w:rsidP="004A78D5">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w:t>
            </w:r>
            <w:proofErr w:type="gramStart"/>
            <w:r w:rsidRPr="00585EEC">
              <w:rPr>
                <w:rFonts w:cs="Arial"/>
                <w:b/>
                <w:bCs/>
                <w:i/>
                <w:iCs/>
                <w:sz w:val="18"/>
                <w:szCs w:val="18"/>
                <w:vertAlign w:val="subscript"/>
                <w:lang w:val="es-CO" w:eastAsia="es-CO"/>
              </w:rPr>
              <w:t>1,l</w:t>
            </w:r>
            <w:proofErr w:type="gramEnd"/>
            <w:r w:rsidRPr="00585EEC">
              <w:rPr>
                <w:rFonts w:cs="Arial"/>
                <w:b/>
                <w:bCs/>
                <w:i/>
                <w:iCs/>
                <w:sz w:val="18"/>
                <w:szCs w:val="18"/>
                <w:vertAlign w:val="subscript"/>
                <w:lang w:val="es-CO" w:eastAsia="es-CO"/>
              </w:rPr>
              <w:t>,2</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312047D0" w14:textId="77777777" w:rsidR="00BA37EF" w:rsidRPr="00585EEC" w:rsidRDefault="00BA37EF" w:rsidP="004A78D5">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w:t>
            </w:r>
            <w:proofErr w:type="gramStart"/>
            <w:r w:rsidRPr="00585EEC">
              <w:rPr>
                <w:rFonts w:cs="Arial"/>
                <w:b/>
                <w:bCs/>
                <w:i/>
                <w:iCs/>
                <w:sz w:val="18"/>
                <w:szCs w:val="18"/>
                <w:vertAlign w:val="subscript"/>
                <w:lang w:val="es-CO" w:eastAsia="es-CO"/>
              </w:rPr>
              <w:t>1,l</w:t>
            </w:r>
            <w:proofErr w:type="gramEnd"/>
            <w:r w:rsidRPr="00585EEC">
              <w:rPr>
                <w:rFonts w:cs="Arial"/>
                <w:b/>
                <w:bCs/>
                <w:i/>
                <w:iCs/>
                <w:sz w:val="18"/>
                <w:szCs w:val="18"/>
                <w:vertAlign w:val="subscript"/>
                <w:lang w:val="es-CO" w:eastAsia="es-CO"/>
              </w:rPr>
              <w:t>,3</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3E6FB26E" w14:textId="77777777" w:rsidR="00BA37EF" w:rsidRPr="00585EEC" w:rsidRDefault="00BA37EF" w:rsidP="004A78D5">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w:t>
            </w:r>
            <w:proofErr w:type="gramStart"/>
            <w:r w:rsidRPr="00585EEC">
              <w:rPr>
                <w:rFonts w:cs="Arial"/>
                <w:b/>
                <w:bCs/>
                <w:i/>
                <w:iCs/>
                <w:sz w:val="18"/>
                <w:szCs w:val="18"/>
                <w:vertAlign w:val="subscript"/>
                <w:lang w:val="es-CO" w:eastAsia="es-CO"/>
              </w:rPr>
              <w:t>1,l</w:t>
            </w:r>
            <w:proofErr w:type="gramEnd"/>
            <w:r w:rsidRPr="00585EEC">
              <w:rPr>
                <w:rFonts w:cs="Arial"/>
                <w:b/>
                <w:bCs/>
                <w:i/>
                <w:iCs/>
                <w:sz w:val="18"/>
                <w:szCs w:val="18"/>
                <w:vertAlign w:val="subscript"/>
                <w:lang w:val="es-CO" w:eastAsia="es-CO"/>
              </w:rPr>
              <w:t>,4</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5E1D04D2" w14:textId="77777777" w:rsidR="00BA37EF" w:rsidRPr="00585EEC" w:rsidRDefault="00BA37EF" w:rsidP="004A78D5">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w:t>
            </w:r>
            <w:proofErr w:type="gramStart"/>
            <w:r w:rsidRPr="00585EEC">
              <w:rPr>
                <w:rFonts w:cs="Arial"/>
                <w:b/>
                <w:bCs/>
                <w:i/>
                <w:iCs/>
                <w:sz w:val="18"/>
                <w:szCs w:val="18"/>
                <w:vertAlign w:val="subscript"/>
                <w:lang w:val="es-CO" w:eastAsia="es-CO"/>
              </w:rPr>
              <w:t>1,l</w:t>
            </w:r>
            <w:proofErr w:type="gramEnd"/>
            <w:r w:rsidRPr="00585EEC">
              <w:rPr>
                <w:rFonts w:cs="Arial"/>
                <w:b/>
                <w:bCs/>
                <w:i/>
                <w:iCs/>
                <w:sz w:val="18"/>
                <w:szCs w:val="18"/>
                <w:vertAlign w:val="subscript"/>
                <w:lang w:val="es-CO" w:eastAsia="es-CO"/>
              </w:rPr>
              <w:t>,5</w:t>
            </w:r>
          </w:p>
        </w:tc>
      </w:tr>
      <w:tr w:rsidR="006E7EBD" w:rsidRPr="0043040A" w14:paraId="25F82AB2" w14:textId="77777777" w:rsidTr="00F16EBE">
        <w:trPr>
          <w:trHeight w:val="270"/>
        </w:trPr>
        <w:tc>
          <w:tcPr>
            <w:tcW w:w="1695" w:type="dxa"/>
            <w:tcBorders>
              <w:top w:val="nil"/>
              <w:left w:val="single" w:sz="4" w:space="0" w:color="auto"/>
              <w:bottom w:val="single" w:sz="4" w:space="0" w:color="auto"/>
              <w:right w:val="nil"/>
            </w:tcBorders>
            <w:shd w:val="clear" w:color="000000" w:fill="FFFFFF"/>
            <w:vAlign w:val="center"/>
            <w:hideMark/>
          </w:tcPr>
          <w:p w14:paraId="5AD47481" w14:textId="77777777" w:rsidR="006E7EBD" w:rsidRPr="00585EEC" w:rsidRDefault="006E7EBD" w:rsidP="006E7EBD">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11</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23866031" w14:textId="77777777" w:rsidR="006E7EBD" w:rsidRPr="008F2CEF" w:rsidRDefault="006E7EBD" w:rsidP="006E7EBD">
            <w:pPr>
              <w:spacing w:before="0" w:after="0"/>
              <w:jc w:val="right"/>
              <w:rPr>
                <w:rFonts w:cs="Arial"/>
                <w:sz w:val="18"/>
                <w:szCs w:val="18"/>
                <w:lang w:val="es-CO" w:eastAsia="es-CO"/>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tcPr>
          <w:p w14:paraId="7524FDC8" w14:textId="77777777" w:rsidR="006E7EBD" w:rsidRPr="008F2CEF" w:rsidRDefault="006E7EBD" w:rsidP="006E7EBD">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2728D486" w14:textId="77777777" w:rsidR="006E7EBD" w:rsidRPr="008F2CEF" w:rsidRDefault="006E7EBD" w:rsidP="006E7EBD">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646DDDB0" w14:textId="77777777" w:rsidR="006E7EBD" w:rsidRPr="008F2CEF" w:rsidRDefault="006E7EBD" w:rsidP="006E7EBD">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hideMark/>
          </w:tcPr>
          <w:p w14:paraId="65DE8DF0" w14:textId="0CD7D0E8" w:rsidR="006E7EBD" w:rsidRPr="006E7EBD" w:rsidRDefault="006E7EBD" w:rsidP="006E7EBD">
            <w:pPr>
              <w:spacing w:before="0" w:after="0"/>
              <w:jc w:val="right"/>
              <w:rPr>
                <w:rFonts w:cs="Arial"/>
                <w:sz w:val="18"/>
                <w:szCs w:val="18"/>
              </w:rPr>
            </w:pPr>
            <w:r w:rsidRPr="006E7EBD">
              <w:rPr>
                <w:sz w:val="18"/>
                <w:szCs w:val="18"/>
              </w:rPr>
              <w:t>1.192.765</w:t>
            </w:r>
          </w:p>
        </w:tc>
      </w:tr>
      <w:tr w:rsidR="006E7EBD" w:rsidRPr="0043040A" w14:paraId="7B93AB73" w14:textId="77777777" w:rsidTr="00F16EBE">
        <w:trPr>
          <w:trHeight w:val="270"/>
        </w:trPr>
        <w:tc>
          <w:tcPr>
            <w:tcW w:w="1695" w:type="dxa"/>
            <w:tcBorders>
              <w:top w:val="nil"/>
              <w:left w:val="single" w:sz="4" w:space="0" w:color="auto"/>
              <w:bottom w:val="single" w:sz="4" w:space="0" w:color="auto"/>
              <w:right w:val="nil"/>
            </w:tcBorders>
            <w:shd w:val="clear" w:color="000000" w:fill="FFFFFF"/>
            <w:vAlign w:val="center"/>
            <w:hideMark/>
          </w:tcPr>
          <w:p w14:paraId="3C8AC7D4" w14:textId="77777777" w:rsidR="006E7EBD" w:rsidRPr="00585EEC" w:rsidRDefault="006E7EBD" w:rsidP="006E7EBD">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12</w:t>
            </w:r>
          </w:p>
        </w:tc>
        <w:tc>
          <w:tcPr>
            <w:tcW w:w="1542" w:type="dxa"/>
            <w:tcBorders>
              <w:top w:val="nil"/>
              <w:left w:val="single" w:sz="4" w:space="0" w:color="auto"/>
              <w:bottom w:val="single" w:sz="4" w:space="0" w:color="auto"/>
              <w:right w:val="single" w:sz="4" w:space="0" w:color="auto"/>
            </w:tcBorders>
            <w:shd w:val="clear" w:color="auto" w:fill="auto"/>
            <w:noWrap/>
            <w:vAlign w:val="center"/>
            <w:hideMark/>
          </w:tcPr>
          <w:p w14:paraId="3320EFB3" w14:textId="77777777" w:rsidR="006E7EBD" w:rsidRPr="008F2CEF" w:rsidRDefault="006E7EBD" w:rsidP="006E7EBD">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11987E25" w14:textId="77777777" w:rsidR="006E7EBD" w:rsidRPr="008F2CEF" w:rsidRDefault="006E7EBD" w:rsidP="006E7EBD">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222C1C4C" w14:textId="77777777" w:rsidR="006E7EBD" w:rsidRPr="008F2CEF" w:rsidRDefault="006E7EBD" w:rsidP="006E7EBD">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114654B2" w14:textId="77777777" w:rsidR="006E7EBD" w:rsidRPr="008F2CEF" w:rsidRDefault="006E7EBD" w:rsidP="006E7EBD">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hideMark/>
          </w:tcPr>
          <w:p w14:paraId="522BF646" w14:textId="2344F5EF" w:rsidR="006E7EBD" w:rsidRPr="006E7EBD" w:rsidRDefault="006E7EBD" w:rsidP="006E7EBD">
            <w:pPr>
              <w:spacing w:before="0" w:after="0"/>
              <w:jc w:val="right"/>
              <w:rPr>
                <w:rFonts w:cs="Arial"/>
                <w:sz w:val="18"/>
                <w:szCs w:val="18"/>
              </w:rPr>
            </w:pPr>
            <w:r w:rsidRPr="006E7EBD">
              <w:rPr>
                <w:sz w:val="18"/>
                <w:szCs w:val="18"/>
              </w:rPr>
              <w:t>1.004.580</w:t>
            </w:r>
          </w:p>
        </w:tc>
      </w:tr>
    </w:tbl>
    <w:p w14:paraId="11B687B1" w14:textId="77777777" w:rsidR="00BA37EF" w:rsidRPr="00BA37EF" w:rsidRDefault="00BA37EF" w:rsidP="00BA37EF">
      <w:pPr>
        <w:rPr>
          <w:lang w:val="es-CO" w:eastAsia="en-US"/>
        </w:rPr>
      </w:pPr>
    </w:p>
    <w:p w14:paraId="7416417F" w14:textId="3B20317B" w:rsidR="002176B6" w:rsidRDefault="002176B6" w:rsidP="0001043C">
      <w:pPr>
        <w:pStyle w:val="Cita"/>
        <w:ind w:left="284"/>
        <w:rPr>
          <w:rFonts w:ascii="Bookman Old Style" w:hAnsi="Bookman Old Style"/>
          <w:sz w:val="24"/>
          <w:szCs w:val="24"/>
          <w:lang w:val="es-ES"/>
        </w:rPr>
      </w:pPr>
      <w:r w:rsidRPr="005330B0">
        <w:rPr>
          <w:rFonts w:ascii="Bookman Old Style" w:hAnsi="Bookman Old Style"/>
          <w:b/>
          <w:bCs/>
          <w:sz w:val="24"/>
          <w:szCs w:val="24"/>
        </w:rPr>
        <w:t>Parágrafo:</w:t>
      </w:r>
      <w:r w:rsidRPr="005330B0">
        <w:rPr>
          <w:rFonts w:ascii="Bookman Old Style" w:hAnsi="Bookman Old Style"/>
          <w:sz w:val="24"/>
          <w:szCs w:val="24"/>
        </w:rPr>
        <w:t xml:space="preserve"> En la aplicación de lo dispuesto en el artículo 6 de la Resolución CREG 015 de 2018, y el artículo 50 de la Resolución CREG 036 de 2019, el valor de los activos puestos en operación en el </w:t>
      </w:r>
      <w:proofErr w:type="gramStart"/>
      <w:r w:rsidRPr="005330B0">
        <w:rPr>
          <w:rFonts w:ascii="Bookman Old Style" w:hAnsi="Bookman Old Style"/>
          <w:sz w:val="24"/>
          <w:szCs w:val="24"/>
        </w:rPr>
        <w:t>2018,</w:t>
      </w:r>
      <w:proofErr w:type="gramEnd"/>
      <w:r w:rsidRPr="005330B0">
        <w:rPr>
          <w:rFonts w:ascii="Bookman Old Style" w:hAnsi="Bookman Old Style"/>
          <w:sz w:val="24"/>
          <w:szCs w:val="24"/>
        </w:rPr>
        <w:t xml:space="preserve"> es el siguiente:</w:t>
      </w:r>
      <w:r w:rsidRPr="005330B0">
        <w:rPr>
          <w:rFonts w:ascii="Bookman Old Style" w:hAnsi="Bookman Old Style"/>
          <w:sz w:val="24"/>
          <w:szCs w:val="24"/>
          <w:lang w:val="es-ES"/>
        </w:rPr>
        <w:t> </w:t>
      </w:r>
    </w:p>
    <w:p w14:paraId="58963361" w14:textId="765825AB" w:rsidR="00CD66C6" w:rsidRPr="001A1D97" w:rsidRDefault="00CD66C6" w:rsidP="00CD66C6">
      <w:pPr>
        <w:pStyle w:val="Descripcin"/>
        <w:spacing w:before="120" w:after="120"/>
        <w:rPr>
          <w:i/>
          <w:iCs/>
          <w:sz w:val="20"/>
          <w:szCs w:val="18"/>
        </w:rPr>
      </w:pPr>
      <w:r w:rsidRPr="001A1D97">
        <w:rPr>
          <w:i/>
          <w:iCs/>
          <w:sz w:val="20"/>
          <w:szCs w:val="18"/>
        </w:rPr>
        <w:t xml:space="preserve">Tabla </w:t>
      </w:r>
      <w:r w:rsidR="007F286A">
        <w:rPr>
          <w:i/>
          <w:iCs/>
          <w:sz w:val="20"/>
          <w:szCs w:val="18"/>
        </w:rPr>
        <w:t>23</w:t>
      </w:r>
      <w:r w:rsidRPr="001A1D97">
        <w:rPr>
          <w:i/>
          <w:iCs/>
          <w:sz w:val="20"/>
          <w:szCs w:val="18"/>
        </w:rPr>
        <w:t xml:space="preserve"> Valor de los activos del nivel de tensión 4, 3 y 2 puestos en operación en 2018</w:t>
      </w:r>
    </w:p>
    <w:tbl>
      <w:tblPr>
        <w:tblW w:w="0" w:type="auto"/>
        <w:jc w:val="center"/>
        <w:tblCellMar>
          <w:left w:w="70" w:type="dxa"/>
          <w:right w:w="70" w:type="dxa"/>
        </w:tblCellMar>
        <w:tblLook w:val="04A0" w:firstRow="1" w:lastRow="0" w:firstColumn="1" w:lastColumn="0" w:noHBand="0" w:noVBand="1"/>
      </w:tblPr>
      <w:tblGrid>
        <w:gridCol w:w="1470"/>
        <w:gridCol w:w="792"/>
        <w:gridCol w:w="1037"/>
        <w:gridCol w:w="1260"/>
      </w:tblGrid>
      <w:tr w:rsidR="00CD66C6" w:rsidRPr="001A1D97" w14:paraId="44A54AF6" w14:textId="77777777" w:rsidTr="004A78D5">
        <w:trPr>
          <w:trHeight w:val="480"/>
          <w:jc w:val="center"/>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DE942" w14:textId="77777777" w:rsidR="00CD66C6" w:rsidRPr="00777F29" w:rsidRDefault="00CD66C6" w:rsidP="004A78D5">
            <w:pPr>
              <w:spacing w:before="0" w:after="0"/>
              <w:jc w:val="center"/>
              <w:rPr>
                <w:rFonts w:cs="Arial"/>
                <w:b/>
                <w:bCs/>
                <w:color w:val="000000"/>
                <w:sz w:val="18"/>
                <w:szCs w:val="18"/>
                <w:lang w:val="es-CO" w:eastAsia="es-CO"/>
              </w:rPr>
            </w:pPr>
            <w:r w:rsidRPr="00777F29">
              <w:rPr>
                <w:rFonts w:cs="Arial"/>
                <w:b/>
                <w:bCs/>
                <w:color w:val="000000"/>
                <w:sz w:val="18"/>
                <w:szCs w:val="18"/>
                <w:lang w:val="es-CO" w:eastAsia="es-CO"/>
              </w:rPr>
              <w:t xml:space="preserve">Categoría de activos </w:t>
            </w:r>
            <w:r w:rsidRPr="00777F29">
              <w:rPr>
                <w:rFonts w:cs="Arial"/>
                <w:b/>
                <w:bCs/>
                <w:i/>
                <w:iCs/>
                <w:color w:val="000000"/>
                <w:sz w:val="18"/>
                <w:szCs w:val="18"/>
                <w:lang w:val="es-CO"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32A345D" w14:textId="77777777" w:rsidR="00CD66C6" w:rsidRPr="00777F29" w:rsidRDefault="00CD66C6" w:rsidP="004A78D5">
            <w:pPr>
              <w:spacing w:before="0" w:after="0"/>
              <w:jc w:val="center"/>
              <w:rPr>
                <w:rFonts w:cs="Arial"/>
                <w:b/>
                <w:bCs/>
                <w:i/>
                <w:iCs/>
                <w:sz w:val="18"/>
                <w:szCs w:val="18"/>
                <w:lang w:val="es-CO" w:eastAsia="es-CO"/>
              </w:rPr>
            </w:pPr>
            <w:r w:rsidRPr="00777F29">
              <w:rPr>
                <w:rFonts w:cs="Arial"/>
                <w:b/>
                <w:bCs/>
                <w:i/>
                <w:iCs/>
                <w:sz w:val="18"/>
                <w:szCs w:val="18"/>
                <w:lang w:val="es-CO" w:eastAsia="es-CO"/>
              </w:rPr>
              <w:t>Nivel 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5278DC9" w14:textId="77777777" w:rsidR="00CD66C6" w:rsidRPr="00777F29" w:rsidRDefault="00CD66C6" w:rsidP="004A78D5">
            <w:pPr>
              <w:spacing w:before="0" w:after="0"/>
              <w:jc w:val="center"/>
              <w:rPr>
                <w:rFonts w:cs="Arial"/>
                <w:b/>
                <w:bCs/>
                <w:i/>
                <w:iCs/>
                <w:sz w:val="18"/>
                <w:szCs w:val="18"/>
                <w:lang w:val="es-CO" w:eastAsia="es-CO"/>
              </w:rPr>
            </w:pPr>
            <w:r w:rsidRPr="00777F29">
              <w:rPr>
                <w:rFonts w:cs="Arial"/>
                <w:b/>
                <w:bCs/>
                <w:i/>
                <w:iCs/>
                <w:sz w:val="18"/>
                <w:szCs w:val="18"/>
                <w:lang w:val="es-CO" w:eastAsia="es-CO"/>
              </w:rPr>
              <w:t>Nivel 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76FBC3" w14:textId="77777777" w:rsidR="00CD66C6" w:rsidRPr="00777F29" w:rsidRDefault="00CD66C6" w:rsidP="004A78D5">
            <w:pPr>
              <w:spacing w:before="0" w:after="0"/>
              <w:jc w:val="center"/>
              <w:rPr>
                <w:rFonts w:cs="Arial"/>
                <w:b/>
                <w:bCs/>
                <w:i/>
                <w:iCs/>
                <w:sz w:val="18"/>
                <w:szCs w:val="18"/>
                <w:lang w:val="es-CO" w:eastAsia="es-CO"/>
              </w:rPr>
            </w:pPr>
            <w:r w:rsidRPr="00777F29">
              <w:rPr>
                <w:rFonts w:cs="Arial"/>
                <w:b/>
                <w:bCs/>
                <w:i/>
                <w:iCs/>
                <w:sz w:val="18"/>
                <w:szCs w:val="18"/>
                <w:lang w:val="es-CO" w:eastAsia="es-CO"/>
              </w:rPr>
              <w:t>Nivel 2</w:t>
            </w:r>
          </w:p>
        </w:tc>
      </w:tr>
      <w:tr w:rsidR="009A1D3B" w:rsidRPr="001A1D97" w14:paraId="5ED8E8BF" w14:textId="77777777" w:rsidTr="006439E3">
        <w:trPr>
          <w:trHeight w:val="255"/>
          <w:jc w:val="center"/>
        </w:trPr>
        <w:tc>
          <w:tcPr>
            <w:tcW w:w="1470" w:type="dxa"/>
            <w:tcBorders>
              <w:top w:val="nil"/>
              <w:left w:val="single" w:sz="4" w:space="0" w:color="auto"/>
              <w:bottom w:val="single" w:sz="4" w:space="0" w:color="auto"/>
              <w:right w:val="single" w:sz="4" w:space="0" w:color="auto"/>
            </w:tcBorders>
            <w:shd w:val="clear" w:color="000000" w:fill="FFFFFF"/>
            <w:noWrap/>
            <w:vAlign w:val="center"/>
            <w:hideMark/>
          </w:tcPr>
          <w:p w14:paraId="143995D6" w14:textId="77777777" w:rsidR="009A1D3B" w:rsidRPr="00777F29" w:rsidRDefault="009A1D3B" w:rsidP="009A1D3B">
            <w:pPr>
              <w:spacing w:before="0" w:after="0"/>
              <w:jc w:val="center"/>
              <w:rPr>
                <w:rFonts w:cs="Arial"/>
                <w:i/>
                <w:iCs/>
                <w:color w:val="000000"/>
                <w:sz w:val="18"/>
                <w:szCs w:val="18"/>
                <w:lang w:val="es-CO" w:eastAsia="es-CO"/>
              </w:rPr>
            </w:pPr>
            <w:r w:rsidRPr="00777F29">
              <w:rPr>
                <w:rFonts w:cs="Arial"/>
                <w:i/>
                <w:iCs/>
                <w:color w:val="000000"/>
                <w:sz w:val="18"/>
                <w:szCs w:val="18"/>
                <w:lang w:val="es-CO" w:eastAsia="es-CO"/>
              </w:rPr>
              <w:t>l = 1</w:t>
            </w:r>
          </w:p>
        </w:tc>
        <w:tc>
          <w:tcPr>
            <w:tcW w:w="0" w:type="auto"/>
            <w:tcBorders>
              <w:top w:val="nil"/>
              <w:left w:val="nil"/>
              <w:bottom w:val="single" w:sz="4" w:space="0" w:color="auto"/>
              <w:right w:val="single" w:sz="4" w:space="0" w:color="auto"/>
            </w:tcBorders>
            <w:shd w:val="clear" w:color="auto" w:fill="auto"/>
            <w:noWrap/>
            <w:hideMark/>
          </w:tcPr>
          <w:p w14:paraId="0035FDC0" w14:textId="0528992D"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32545B69" w14:textId="7EFD53A9"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69438883" w14:textId="4EE88FCE"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r>
      <w:tr w:rsidR="009A1D3B" w:rsidRPr="001A1D97" w14:paraId="0A4BD834" w14:textId="77777777" w:rsidTr="006439E3">
        <w:trPr>
          <w:trHeight w:val="255"/>
          <w:jc w:val="center"/>
        </w:trPr>
        <w:tc>
          <w:tcPr>
            <w:tcW w:w="1470" w:type="dxa"/>
            <w:tcBorders>
              <w:top w:val="nil"/>
              <w:left w:val="single" w:sz="4" w:space="0" w:color="auto"/>
              <w:bottom w:val="single" w:sz="4" w:space="0" w:color="auto"/>
              <w:right w:val="single" w:sz="4" w:space="0" w:color="auto"/>
            </w:tcBorders>
            <w:shd w:val="clear" w:color="000000" w:fill="FFFFFF"/>
            <w:noWrap/>
            <w:vAlign w:val="center"/>
            <w:hideMark/>
          </w:tcPr>
          <w:p w14:paraId="4265DB73" w14:textId="77777777" w:rsidR="009A1D3B" w:rsidRPr="00777F29" w:rsidRDefault="009A1D3B" w:rsidP="009A1D3B">
            <w:pPr>
              <w:spacing w:before="0" w:after="0"/>
              <w:jc w:val="center"/>
              <w:rPr>
                <w:rFonts w:cs="Arial"/>
                <w:i/>
                <w:iCs/>
                <w:color w:val="000000"/>
                <w:sz w:val="18"/>
                <w:szCs w:val="18"/>
                <w:lang w:val="es-CO" w:eastAsia="es-CO"/>
              </w:rPr>
            </w:pPr>
            <w:r w:rsidRPr="00777F29">
              <w:rPr>
                <w:rFonts w:cs="Arial"/>
                <w:i/>
                <w:iCs/>
                <w:color w:val="000000"/>
                <w:sz w:val="18"/>
                <w:szCs w:val="18"/>
                <w:lang w:val="es-CO" w:eastAsia="es-CO"/>
              </w:rPr>
              <w:t>l = 2</w:t>
            </w:r>
          </w:p>
        </w:tc>
        <w:tc>
          <w:tcPr>
            <w:tcW w:w="0" w:type="auto"/>
            <w:tcBorders>
              <w:top w:val="nil"/>
              <w:left w:val="nil"/>
              <w:bottom w:val="single" w:sz="4" w:space="0" w:color="auto"/>
              <w:right w:val="single" w:sz="4" w:space="0" w:color="auto"/>
            </w:tcBorders>
            <w:shd w:val="clear" w:color="auto" w:fill="auto"/>
            <w:noWrap/>
            <w:hideMark/>
          </w:tcPr>
          <w:p w14:paraId="58A0B27A" w14:textId="4D16CDF2"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27EBDB26" w14:textId="136FF43B"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1E42F8B4" w14:textId="1C389EEC"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r>
      <w:tr w:rsidR="009A1D3B" w:rsidRPr="001A1D97" w14:paraId="2E07AC64" w14:textId="77777777" w:rsidTr="006439E3">
        <w:trPr>
          <w:trHeight w:val="255"/>
          <w:jc w:val="center"/>
        </w:trPr>
        <w:tc>
          <w:tcPr>
            <w:tcW w:w="1470" w:type="dxa"/>
            <w:tcBorders>
              <w:top w:val="nil"/>
              <w:left w:val="single" w:sz="4" w:space="0" w:color="auto"/>
              <w:bottom w:val="single" w:sz="4" w:space="0" w:color="auto"/>
              <w:right w:val="single" w:sz="4" w:space="0" w:color="auto"/>
            </w:tcBorders>
            <w:shd w:val="clear" w:color="000000" w:fill="FFFFFF"/>
            <w:noWrap/>
            <w:vAlign w:val="center"/>
            <w:hideMark/>
          </w:tcPr>
          <w:p w14:paraId="1AB1E8F5" w14:textId="77777777" w:rsidR="009A1D3B" w:rsidRPr="00777F29" w:rsidRDefault="009A1D3B" w:rsidP="009A1D3B">
            <w:pPr>
              <w:spacing w:before="0" w:after="0"/>
              <w:jc w:val="center"/>
              <w:rPr>
                <w:rFonts w:cs="Arial"/>
                <w:i/>
                <w:iCs/>
                <w:color w:val="000000"/>
                <w:sz w:val="18"/>
                <w:szCs w:val="18"/>
                <w:lang w:val="es-CO" w:eastAsia="es-CO"/>
              </w:rPr>
            </w:pPr>
            <w:r w:rsidRPr="00777F29">
              <w:rPr>
                <w:rFonts w:cs="Arial"/>
                <w:i/>
                <w:iCs/>
                <w:color w:val="000000"/>
                <w:sz w:val="18"/>
                <w:szCs w:val="18"/>
                <w:lang w:val="es-CO" w:eastAsia="es-CO"/>
              </w:rPr>
              <w:t>l = 3</w:t>
            </w:r>
          </w:p>
        </w:tc>
        <w:tc>
          <w:tcPr>
            <w:tcW w:w="0" w:type="auto"/>
            <w:tcBorders>
              <w:top w:val="nil"/>
              <w:left w:val="nil"/>
              <w:bottom w:val="single" w:sz="4" w:space="0" w:color="auto"/>
              <w:right w:val="single" w:sz="4" w:space="0" w:color="auto"/>
            </w:tcBorders>
            <w:shd w:val="clear" w:color="auto" w:fill="auto"/>
            <w:noWrap/>
            <w:hideMark/>
          </w:tcPr>
          <w:p w14:paraId="3642BCF8" w14:textId="74732C90"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39585840" w14:textId="61C8B2C0"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0D3E6725" w14:textId="6AD0B556"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r>
      <w:tr w:rsidR="009A1D3B" w:rsidRPr="001A1D97" w14:paraId="75B24B41" w14:textId="77777777" w:rsidTr="006439E3">
        <w:trPr>
          <w:trHeight w:val="255"/>
          <w:jc w:val="center"/>
        </w:trPr>
        <w:tc>
          <w:tcPr>
            <w:tcW w:w="1470" w:type="dxa"/>
            <w:tcBorders>
              <w:top w:val="nil"/>
              <w:left w:val="single" w:sz="4" w:space="0" w:color="auto"/>
              <w:bottom w:val="single" w:sz="4" w:space="0" w:color="auto"/>
              <w:right w:val="single" w:sz="4" w:space="0" w:color="auto"/>
            </w:tcBorders>
            <w:shd w:val="clear" w:color="000000" w:fill="FFFFFF"/>
            <w:noWrap/>
            <w:vAlign w:val="center"/>
            <w:hideMark/>
          </w:tcPr>
          <w:p w14:paraId="776D49C6" w14:textId="77777777" w:rsidR="009A1D3B" w:rsidRPr="00777F29" w:rsidRDefault="009A1D3B" w:rsidP="009A1D3B">
            <w:pPr>
              <w:spacing w:before="0" w:after="0"/>
              <w:jc w:val="center"/>
              <w:rPr>
                <w:rFonts w:cs="Arial"/>
                <w:i/>
                <w:iCs/>
                <w:color w:val="000000"/>
                <w:sz w:val="18"/>
                <w:szCs w:val="18"/>
                <w:lang w:val="es-CO" w:eastAsia="es-CO"/>
              </w:rPr>
            </w:pPr>
            <w:r w:rsidRPr="00777F29">
              <w:rPr>
                <w:rFonts w:cs="Arial"/>
                <w:i/>
                <w:iCs/>
                <w:color w:val="000000"/>
                <w:sz w:val="18"/>
                <w:szCs w:val="18"/>
                <w:lang w:val="es-CO" w:eastAsia="es-CO"/>
              </w:rPr>
              <w:t>l = 4</w:t>
            </w:r>
          </w:p>
        </w:tc>
        <w:tc>
          <w:tcPr>
            <w:tcW w:w="0" w:type="auto"/>
            <w:tcBorders>
              <w:top w:val="nil"/>
              <w:left w:val="nil"/>
              <w:bottom w:val="single" w:sz="4" w:space="0" w:color="auto"/>
              <w:right w:val="single" w:sz="4" w:space="0" w:color="auto"/>
            </w:tcBorders>
            <w:shd w:val="clear" w:color="auto" w:fill="auto"/>
            <w:noWrap/>
            <w:hideMark/>
          </w:tcPr>
          <w:p w14:paraId="36B41BC7" w14:textId="48E78479"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369A7C08" w14:textId="345C5D1F"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5F951778" w14:textId="3529D085"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r>
      <w:tr w:rsidR="009A1D3B" w:rsidRPr="001A1D97" w14:paraId="0857E047" w14:textId="77777777" w:rsidTr="006439E3">
        <w:trPr>
          <w:trHeight w:val="255"/>
          <w:jc w:val="center"/>
        </w:trPr>
        <w:tc>
          <w:tcPr>
            <w:tcW w:w="1470" w:type="dxa"/>
            <w:tcBorders>
              <w:top w:val="nil"/>
              <w:left w:val="single" w:sz="4" w:space="0" w:color="auto"/>
              <w:bottom w:val="single" w:sz="4" w:space="0" w:color="auto"/>
              <w:right w:val="single" w:sz="4" w:space="0" w:color="auto"/>
            </w:tcBorders>
            <w:shd w:val="clear" w:color="000000" w:fill="FFFFFF"/>
            <w:noWrap/>
            <w:vAlign w:val="center"/>
            <w:hideMark/>
          </w:tcPr>
          <w:p w14:paraId="53FDF5B2" w14:textId="77777777" w:rsidR="009A1D3B" w:rsidRPr="00777F29" w:rsidRDefault="009A1D3B" w:rsidP="009A1D3B">
            <w:pPr>
              <w:spacing w:before="0" w:after="0"/>
              <w:jc w:val="center"/>
              <w:rPr>
                <w:rFonts w:cs="Arial"/>
                <w:i/>
                <w:iCs/>
                <w:color w:val="000000"/>
                <w:sz w:val="18"/>
                <w:szCs w:val="18"/>
                <w:lang w:val="es-CO" w:eastAsia="es-CO"/>
              </w:rPr>
            </w:pPr>
            <w:r w:rsidRPr="00777F29">
              <w:rPr>
                <w:rFonts w:cs="Arial"/>
                <w:i/>
                <w:iCs/>
                <w:color w:val="000000"/>
                <w:sz w:val="18"/>
                <w:szCs w:val="18"/>
                <w:lang w:val="es-CO" w:eastAsia="es-CO"/>
              </w:rPr>
              <w:t>l = 5</w:t>
            </w:r>
          </w:p>
        </w:tc>
        <w:tc>
          <w:tcPr>
            <w:tcW w:w="0" w:type="auto"/>
            <w:tcBorders>
              <w:top w:val="nil"/>
              <w:left w:val="nil"/>
              <w:bottom w:val="single" w:sz="4" w:space="0" w:color="auto"/>
              <w:right w:val="single" w:sz="4" w:space="0" w:color="auto"/>
            </w:tcBorders>
            <w:shd w:val="clear" w:color="auto" w:fill="auto"/>
            <w:noWrap/>
            <w:hideMark/>
          </w:tcPr>
          <w:p w14:paraId="50C79BE2" w14:textId="203246A7"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14B40E5D" w14:textId="348EF6D1"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5A97B06B" w14:textId="5FC314E9"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r>
      <w:tr w:rsidR="009A1D3B" w:rsidRPr="001A1D97" w14:paraId="336BDD6F" w14:textId="77777777" w:rsidTr="006439E3">
        <w:trPr>
          <w:trHeight w:val="255"/>
          <w:jc w:val="center"/>
        </w:trPr>
        <w:tc>
          <w:tcPr>
            <w:tcW w:w="1470" w:type="dxa"/>
            <w:tcBorders>
              <w:top w:val="nil"/>
              <w:left w:val="single" w:sz="4" w:space="0" w:color="auto"/>
              <w:bottom w:val="single" w:sz="4" w:space="0" w:color="auto"/>
              <w:right w:val="single" w:sz="4" w:space="0" w:color="auto"/>
            </w:tcBorders>
            <w:shd w:val="clear" w:color="000000" w:fill="FFFFFF"/>
            <w:noWrap/>
            <w:vAlign w:val="center"/>
            <w:hideMark/>
          </w:tcPr>
          <w:p w14:paraId="2E43AA62" w14:textId="77777777" w:rsidR="009A1D3B" w:rsidRPr="00777F29" w:rsidRDefault="009A1D3B" w:rsidP="009A1D3B">
            <w:pPr>
              <w:spacing w:before="0" w:after="0"/>
              <w:jc w:val="center"/>
              <w:rPr>
                <w:rFonts w:cs="Arial"/>
                <w:i/>
                <w:iCs/>
                <w:color w:val="000000"/>
                <w:sz w:val="18"/>
                <w:szCs w:val="18"/>
                <w:lang w:val="es-CO" w:eastAsia="es-CO"/>
              </w:rPr>
            </w:pPr>
            <w:r w:rsidRPr="00777F29">
              <w:rPr>
                <w:rFonts w:cs="Arial"/>
                <w:i/>
                <w:iCs/>
                <w:color w:val="000000"/>
                <w:sz w:val="18"/>
                <w:szCs w:val="18"/>
                <w:lang w:val="es-CO" w:eastAsia="es-CO"/>
              </w:rPr>
              <w:t>l = 6</w:t>
            </w:r>
          </w:p>
        </w:tc>
        <w:tc>
          <w:tcPr>
            <w:tcW w:w="0" w:type="auto"/>
            <w:tcBorders>
              <w:top w:val="nil"/>
              <w:left w:val="nil"/>
              <w:bottom w:val="single" w:sz="4" w:space="0" w:color="auto"/>
              <w:right w:val="single" w:sz="4" w:space="0" w:color="auto"/>
            </w:tcBorders>
            <w:shd w:val="clear" w:color="auto" w:fill="auto"/>
            <w:noWrap/>
            <w:hideMark/>
          </w:tcPr>
          <w:p w14:paraId="74EC39FB" w14:textId="38F29B82"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25793DDC" w14:textId="372C5652"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3746D526" w14:textId="61A45EC0"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r>
      <w:tr w:rsidR="009A1D3B" w:rsidRPr="001A1D97" w14:paraId="0E1E27C1" w14:textId="77777777" w:rsidTr="006439E3">
        <w:trPr>
          <w:trHeight w:val="255"/>
          <w:jc w:val="center"/>
        </w:trPr>
        <w:tc>
          <w:tcPr>
            <w:tcW w:w="1470" w:type="dxa"/>
            <w:tcBorders>
              <w:top w:val="nil"/>
              <w:left w:val="single" w:sz="4" w:space="0" w:color="auto"/>
              <w:bottom w:val="single" w:sz="4" w:space="0" w:color="auto"/>
              <w:right w:val="single" w:sz="4" w:space="0" w:color="auto"/>
            </w:tcBorders>
            <w:shd w:val="clear" w:color="000000" w:fill="FFFFFF"/>
            <w:noWrap/>
            <w:vAlign w:val="center"/>
            <w:hideMark/>
          </w:tcPr>
          <w:p w14:paraId="4C1AC1DE" w14:textId="77777777" w:rsidR="009A1D3B" w:rsidRPr="00777F29" w:rsidRDefault="009A1D3B" w:rsidP="009A1D3B">
            <w:pPr>
              <w:spacing w:before="0" w:after="0"/>
              <w:jc w:val="center"/>
              <w:rPr>
                <w:rFonts w:cs="Arial"/>
                <w:i/>
                <w:iCs/>
                <w:color w:val="000000"/>
                <w:sz w:val="18"/>
                <w:szCs w:val="18"/>
                <w:lang w:val="es-CO" w:eastAsia="es-CO"/>
              </w:rPr>
            </w:pPr>
            <w:r w:rsidRPr="00777F29">
              <w:rPr>
                <w:rFonts w:cs="Arial"/>
                <w:i/>
                <w:iCs/>
                <w:color w:val="000000"/>
                <w:sz w:val="18"/>
                <w:szCs w:val="18"/>
                <w:lang w:val="es-CO" w:eastAsia="es-CO"/>
              </w:rPr>
              <w:t>l = 7</w:t>
            </w:r>
          </w:p>
        </w:tc>
        <w:tc>
          <w:tcPr>
            <w:tcW w:w="0" w:type="auto"/>
            <w:tcBorders>
              <w:top w:val="nil"/>
              <w:left w:val="nil"/>
              <w:bottom w:val="single" w:sz="4" w:space="0" w:color="auto"/>
              <w:right w:val="single" w:sz="4" w:space="0" w:color="auto"/>
            </w:tcBorders>
            <w:shd w:val="clear" w:color="auto" w:fill="auto"/>
            <w:noWrap/>
            <w:hideMark/>
          </w:tcPr>
          <w:p w14:paraId="398C339F" w14:textId="4F4CA120"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52A529A9" w14:textId="066E657D"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253C1C80" w14:textId="09684AEA" w:rsidR="009A1D3B" w:rsidRPr="00777F29" w:rsidRDefault="009A1D3B" w:rsidP="009A1D3B">
            <w:pPr>
              <w:spacing w:before="0" w:after="0"/>
              <w:jc w:val="right"/>
              <w:rPr>
                <w:rFonts w:cs="Arial"/>
                <w:i/>
                <w:iCs/>
                <w:sz w:val="18"/>
                <w:szCs w:val="18"/>
                <w:lang w:val="es-CO" w:eastAsia="es-CO"/>
              </w:rPr>
            </w:pPr>
            <w:r w:rsidRPr="00777F29">
              <w:rPr>
                <w:sz w:val="18"/>
                <w:szCs w:val="18"/>
              </w:rPr>
              <w:t>306.218.877</w:t>
            </w:r>
          </w:p>
        </w:tc>
      </w:tr>
      <w:tr w:rsidR="009A1D3B" w:rsidRPr="001A1D97" w14:paraId="44C86544" w14:textId="77777777" w:rsidTr="006439E3">
        <w:trPr>
          <w:trHeight w:val="255"/>
          <w:jc w:val="center"/>
        </w:trPr>
        <w:tc>
          <w:tcPr>
            <w:tcW w:w="1470" w:type="dxa"/>
            <w:tcBorders>
              <w:top w:val="nil"/>
              <w:left w:val="single" w:sz="4" w:space="0" w:color="auto"/>
              <w:bottom w:val="single" w:sz="4" w:space="0" w:color="auto"/>
              <w:right w:val="single" w:sz="4" w:space="0" w:color="auto"/>
            </w:tcBorders>
            <w:shd w:val="clear" w:color="000000" w:fill="FFFFFF"/>
            <w:noWrap/>
            <w:vAlign w:val="center"/>
            <w:hideMark/>
          </w:tcPr>
          <w:p w14:paraId="35E7D501" w14:textId="77777777" w:rsidR="009A1D3B" w:rsidRPr="00777F29" w:rsidRDefault="009A1D3B" w:rsidP="009A1D3B">
            <w:pPr>
              <w:spacing w:before="0" w:after="0"/>
              <w:jc w:val="center"/>
              <w:rPr>
                <w:rFonts w:cs="Arial"/>
                <w:i/>
                <w:iCs/>
                <w:color w:val="000000"/>
                <w:sz w:val="18"/>
                <w:szCs w:val="18"/>
                <w:lang w:val="es-CO" w:eastAsia="es-CO"/>
              </w:rPr>
            </w:pPr>
            <w:r w:rsidRPr="00777F29">
              <w:rPr>
                <w:rFonts w:cs="Arial"/>
                <w:i/>
                <w:iCs/>
                <w:color w:val="000000"/>
                <w:sz w:val="18"/>
                <w:szCs w:val="18"/>
                <w:lang w:val="es-CO" w:eastAsia="es-CO"/>
              </w:rPr>
              <w:t>l = 8</w:t>
            </w:r>
          </w:p>
        </w:tc>
        <w:tc>
          <w:tcPr>
            <w:tcW w:w="0" w:type="auto"/>
            <w:tcBorders>
              <w:top w:val="nil"/>
              <w:left w:val="nil"/>
              <w:bottom w:val="single" w:sz="4" w:space="0" w:color="auto"/>
              <w:right w:val="single" w:sz="4" w:space="0" w:color="auto"/>
            </w:tcBorders>
            <w:shd w:val="clear" w:color="auto" w:fill="auto"/>
            <w:noWrap/>
            <w:hideMark/>
          </w:tcPr>
          <w:p w14:paraId="19E3628E" w14:textId="2B12A957"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4348973C" w14:textId="77F6F95D"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52DEB4BC" w14:textId="40D6A3E6"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r>
      <w:tr w:rsidR="009A1D3B" w:rsidRPr="001A1D97" w14:paraId="5DAAEE7D" w14:textId="77777777" w:rsidTr="006439E3">
        <w:trPr>
          <w:trHeight w:val="255"/>
          <w:jc w:val="center"/>
        </w:trPr>
        <w:tc>
          <w:tcPr>
            <w:tcW w:w="1470" w:type="dxa"/>
            <w:tcBorders>
              <w:top w:val="nil"/>
              <w:left w:val="single" w:sz="4" w:space="0" w:color="auto"/>
              <w:bottom w:val="single" w:sz="4" w:space="0" w:color="auto"/>
              <w:right w:val="single" w:sz="4" w:space="0" w:color="auto"/>
            </w:tcBorders>
            <w:shd w:val="clear" w:color="000000" w:fill="FFFFFF"/>
            <w:noWrap/>
            <w:vAlign w:val="center"/>
            <w:hideMark/>
          </w:tcPr>
          <w:p w14:paraId="56E1BACB" w14:textId="77777777" w:rsidR="009A1D3B" w:rsidRPr="00777F29" w:rsidRDefault="009A1D3B" w:rsidP="009A1D3B">
            <w:pPr>
              <w:spacing w:before="0" w:after="0"/>
              <w:jc w:val="center"/>
              <w:rPr>
                <w:rFonts w:cs="Arial"/>
                <w:i/>
                <w:iCs/>
                <w:color w:val="000000"/>
                <w:sz w:val="18"/>
                <w:szCs w:val="18"/>
                <w:lang w:val="es-CO" w:eastAsia="es-CO"/>
              </w:rPr>
            </w:pPr>
            <w:r w:rsidRPr="00777F29">
              <w:rPr>
                <w:rFonts w:cs="Arial"/>
                <w:i/>
                <w:iCs/>
                <w:color w:val="000000"/>
                <w:sz w:val="18"/>
                <w:szCs w:val="18"/>
                <w:lang w:val="es-CO" w:eastAsia="es-CO"/>
              </w:rPr>
              <w:t>l = 9</w:t>
            </w:r>
          </w:p>
        </w:tc>
        <w:tc>
          <w:tcPr>
            <w:tcW w:w="0" w:type="auto"/>
            <w:tcBorders>
              <w:top w:val="nil"/>
              <w:left w:val="nil"/>
              <w:bottom w:val="single" w:sz="4" w:space="0" w:color="auto"/>
              <w:right w:val="single" w:sz="4" w:space="0" w:color="auto"/>
            </w:tcBorders>
            <w:shd w:val="clear" w:color="auto" w:fill="auto"/>
            <w:noWrap/>
            <w:hideMark/>
          </w:tcPr>
          <w:p w14:paraId="2CC7D676" w14:textId="7BC24CC9"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097B491C" w14:textId="2FE403F9" w:rsidR="009A1D3B" w:rsidRPr="00777F29" w:rsidRDefault="009A1D3B" w:rsidP="009A1D3B">
            <w:pPr>
              <w:spacing w:before="0" w:after="0"/>
              <w:jc w:val="right"/>
              <w:rPr>
                <w:rFonts w:cs="Arial"/>
                <w:i/>
                <w:iCs/>
                <w:sz w:val="18"/>
                <w:szCs w:val="18"/>
                <w:lang w:val="es-CO" w:eastAsia="es-CO"/>
              </w:rPr>
            </w:pPr>
            <w:r w:rsidRPr="00777F29">
              <w:rPr>
                <w:sz w:val="18"/>
                <w:szCs w:val="18"/>
              </w:rPr>
              <w:t>9.509.000</w:t>
            </w:r>
          </w:p>
        </w:tc>
        <w:tc>
          <w:tcPr>
            <w:tcW w:w="0" w:type="auto"/>
            <w:tcBorders>
              <w:top w:val="nil"/>
              <w:left w:val="nil"/>
              <w:bottom w:val="single" w:sz="4" w:space="0" w:color="auto"/>
              <w:right w:val="single" w:sz="4" w:space="0" w:color="auto"/>
            </w:tcBorders>
            <w:shd w:val="clear" w:color="auto" w:fill="auto"/>
            <w:noWrap/>
            <w:hideMark/>
          </w:tcPr>
          <w:p w14:paraId="59B05B49" w14:textId="19CE092D" w:rsidR="009A1D3B" w:rsidRPr="00777F29" w:rsidRDefault="009A1D3B" w:rsidP="009A1D3B">
            <w:pPr>
              <w:spacing w:before="0" w:after="0"/>
              <w:jc w:val="right"/>
              <w:rPr>
                <w:rFonts w:cs="Arial"/>
                <w:i/>
                <w:iCs/>
                <w:sz w:val="18"/>
                <w:szCs w:val="18"/>
                <w:lang w:val="es-CO" w:eastAsia="es-CO"/>
              </w:rPr>
            </w:pPr>
            <w:r w:rsidRPr="00777F29">
              <w:rPr>
                <w:sz w:val="18"/>
                <w:szCs w:val="18"/>
              </w:rPr>
              <w:t>1.924.000</w:t>
            </w:r>
          </w:p>
        </w:tc>
      </w:tr>
      <w:tr w:rsidR="009A1D3B" w:rsidRPr="001A1D97" w14:paraId="670F1EE0" w14:textId="77777777" w:rsidTr="006439E3">
        <w:trPr>
          <w:trHeight w:val="255"/>
          <w:jc w:val="center"/>
        </w:trPr>
        <w:tc>
          <w:tcPr>
            <w:tcW w:w="1470" w:type="dxa"/>
            <w:tcBorders>
              <w:top w:val="nil"/>
              <w:left w:val="single" w:sz="4" w:space="0" w:color="auto"/>
              <w:bottom w:val="single" w:sz="4" w:space="0" w:color="auto"/>
              <w:right w:val="single" w:sz="4" w:space="0" w:color="auto"/>
            </w:tcBorders>
            <w:shd w:val="clear" w:color="000000" w:fill="FFFFFF"/>
            <w:noWrap/>
            <w:vAlign w:val="center"/>
            <w:hideMark/>
          </w:tcPr>
          <w:p w14:paraId="018C0BA1" w14:textId="77777777" w:rsidR="009A1D3B" w:rsidRPr="00777F29" w:rsidRDefault="009A1D3B" w:rsidP="009A1D3B">
            <w:pPr>
              <w:spacing w:before="0" w:after="0"/>
              <w:jc w:val="center"/>
              <w:rPr>
                <w:rFonts w:cs="Arial"/>
                <w:i/>
                <w:iCs/>
                <w:color w:val="000000"/>
                <w:sz w:val="18"/>
                <w:szCs w:val="18"/>
                <w:lang w:val="es-CO" w:eastAsia="es-CO"/>
              </w:rPr>
            </w:pPr>
            <w:r w:rsidRPr="00777F29">
              <w:rPr>
                <w:rFonts w:cs="Arial"/>
                <w:i/>
                <w:iCs/>
                <w:color w:val="000000"/>
                <w:sz w:val="18"/>
                <w:szCs w:val="18"/>
                <w:lang w:val="es-CO" w:eastAsia="es-CO"/>
              </w:rPr>
              <w:t>l = 10</w:t>
            </w:r>
          </w:p>
        </w:tc>
        <w:tc>
          <w:tcPr>
            <w:tcW w:w="0" w:type="auto"/>
            <w:tcBorders>
              <w:top w:val="nil"/>
              <w:left w:val="nil"/>
              <w:bottom w:val="single" w:sz="4" w:space="0" w:color="auto"/>
              <w:right w:val="single" w:sz="4" w:space="0" w:color="auto"/>
            </w:tcBorders>
            <w:shd w:val="clear" w:color="auto" w:fill="auto"/>
            <w:noWrap/>
            <w:hideMark/>
          </w:tcPr>
          <w:p w14:paraId="74A6C746" w14:textId="6A6F6E31"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3D37B394" w14:textId="5D84F5EC"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c>
          <w:tcPr>
            <w:tcW w:w="0" w:type="auto"/>
            <w:tcBorders>
              <w:top w:val="nil"/>
              <w:left w:val="nil"/>
              <w:bottom w:val="single" w:sz="4" w:space="0" w:color="auto"/>
              <w:right w:val="single" w:sz="4" w:space="0" w:color="auto"/>
            </w:tcBorders>
            <w:shd w:val="clear" w:color="auto" w:fill="auto"/>
            <w:noWrap/>
            <w:hideMark/>
          </w:tcPr>
          <w:p w14:paraId="1CF11068" w14:textId="08326D41" w:rsidR="009A1D3B" w:rsidRPr="00777F29" w:rsidRDefault="009A1D3B" w:rsidP="009A1D3B">
            <w:pPr>
              <w:spacing w:before="0" w:after="0"/>
              <w:jc w:val="right"/>
              <w:rPr>
                <w:rFonts w:cs="Arial"/>
                <w:i/>
                <w:iCs/>
                <w:sz w:val="18"/>
                <w:szCs w:val="18"/>
                <w:lang w:val="es-CO" w:eastAsia="es-CO"/>
              </w:rPr>
            </w:pPr>
            <w:r w:rsidRPr="00777F29">
              <w:rPr>
                <w:sz w:val="18"/>
                <w:szCs w:val="18"/>
              </w:rPr>
              <w:t>0</w:t>
            </w:r>
          </w:p>
        </w:tc>
      </w:tr>
    </w:tbl>
    <w:p w14:paraId="4A2060F3" w14:textId="40C0555C" w:rsidR="00CD66C6" w:rsidRPr="001A1D97" w:rsidRDefault="00CD66C6" w:rsidP="00CD66C6">
      <w:pPr>
        <w:pStyle w:val="Descripcin"/>
        <w:spacing w:before="120" w:after="120"/>
        <w:rPr>
          <w:i/>
          <w:iCs/>
          <w:sz w:val="20"/>
          <w:szCs w:val="18"/>
        </w:rPr>
      </w:pPr>
      <w:r w:rsidRPr="001A1D97">
        <w:rPr>
          <w:i/>
          <w:iCs/>
          <w:sz w:val="20"/>
          <w:szCs w:val="18"/>
        </w:rPr>
        <w:t xml:space="preserve">Tabla </w:t>
      </w:r>
      <w:r w:rsidR="007F286A">
        <w:rPr>
          <w:i/>
          <w:iCs/>
          <w:sz w:val="20"/>
          <w:szCs w:val="18"/>
        </w:rPr>
        <w:t>24</w:t>
      </w:r>
      <w:r w:rsidRPr="001A1D97">
        <w:rPr>
          <w:i/>
          <w:iCs/>
          <w:sz w:val="20"/>
          <w:szCs w:val="18"/>
        </w:rPr>
        <w:t xml:space="preserve"> Valor de los activos del nivel de tensión 1 puestos en operación en el 2018</w:t>
      </w:r>
    </w:p>
    <w:tbl>
      <w:tblPr>
        <w:tblW w:w="2972" w:type="dxa"/>
        <w:jc w:val="center"/>
        <w:tblLayout w:type="fixed"/>
        <w:tblCellMar>
          <w:left w:w="70" w:type="dxa"/>
          <w:right w:w="70" w:type="dxa"/>
        </w:tblCellMar>
        <w:tblLook w:val="04A0" w:firstRow="1" w:lastRow="0" w:firstColumn="1" w:lastColumn="0" w:noHBand="0" w:noVBand="1"/>
      </w:tblPr>
      <w:tblGrid>
        <w:gridCol w:w="1555"/>
        <w:gridCol w:w="1417"/>
      </w:tblGrid>
      <w:tr w:rsidR="00CD66C6" w:rsidRPr="001A1D97" w14:paraId="41309441" w14:textId="77777777" w:rsidTr="004A78D5">
        <w:trPr>
          <w:trHeight w:val="480"/>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34217E" w14:textId="77777777" w:rsidR="00CD66C6" w:rsidRPr="00777F29" w:rsidRDefault="00CD66C6" w:rsidP="004A78D5">
            <w:pPr>
              <w:spacing w:before="0" w:after="0"/>
              <w:jc w:val="center"/>
              <w:rPr>
                <w:rFonts w:cs="Arial"/>
                <w:b/>
                <w:bCs/>
                <w:i/>
                <w:iCs/>
                <w:color w:val="000000"/>
                <w:sz w:val="18"/>
                <w:szCs w:val="18"/>
                <w:lang w:val="es-CO" w:eastAsia="es-CO"/>
              </w:rPr>
            </w:pPr>
            <w:r w:rsidRPr="00777F29">
              <w:rPr>
                <w:rFonts w:cs="Arial"/>
                <w:b/>
                <w:bCs/>
                <w:i/>
                <w:iCs/>
                <w:color w:val="000000"/>
                <w:sz w:val="18"/>
                <w:szCs w:val="18"/>
                <w:lang w:val="es-CO" w:eastAsia="es-CO"/>
              </w:rPr>
              <w:t>Categoría de activos l</w:t>
            </w:r>
          </w:p>
        </w:tc>
        <w:tc>
          <w:tcPr>
            <w:tcW w:w="1417" w:type="dxa"/>
            <w:tcBorders>
              <w:top w:val="single" w:sz="4" w:space="0" w:color="auto"/>
              <w:left w:val="nil"/>
              <w:bottom w:val="single" w:sz="4" w:space="0" w:color="auto"/>
              <w:right w:val="single" w:sz="4" w:space="0" w:color="auto"/>
            </w:tcBorders>
            <w:shd w:val="clear" w:color="auto" w:fill="FFFFFF"/>
            <w:noWrap/>
            <w:vAlign w:val="center"/>
            <w:hideMark/>
          </w:tcPr>
          <w:p w14:paraId="05F5C91A" w14:textId="77777777" w:rsidR="00CD66C6" w:rsidRPr="00777F29" w:rsidRDefault="00CD66C6" w:rsidP="004A78D5">
            <w:pPr>
              <w:spacing w:before="0" w:after="0"/>
              <w:jc w:val="center"/>
              <w:rPr>
                <w:rFonts w:cs="Arial"/>
                <w:b/>
                <w:bCs/>
                <w:i/>
                <w:iCs/>
                <w:sz w:val="18"/>
                <w:szCs w:val="18"/>
                <w:lang w:val="es-CO" w:eastAsia="es-CO"/>
              </w:rPr>
            </w:pPr>
            <w:r w:rsidRPr="00777F29">
              <w:rPr>
                <w:rFonts w:cs="Arial"/>
                <w:b/>
                <w:bCs/>
                <w:i/>
                <w:iCs/>
                <w:sz w:val="18"/>
                <w:szCs w:val="18"/>
                <w:lang w:val="es-CO" w:eastAsia="es-CO"/>
              </w:rPr>
              <w:t>INVA</w:t>
            </w:r>
            <w:r w:rsidRPr="00777F29">
              <w:rPr>
                <w:rFonts w:cs="Arial"/>
                <w:b/>
                <w:bCs/>
                <w:i/>
                <w:iCs/>
                <w:sz w:val="18"/>
                <w:szCs w:val="18"/>
                <w:vertAlign w:val="subscript"/>
                <w:lang w:val="es-CO" w:eastAsia="es-CO"/>
              </w:rPr>
              <w:t>j,</w:t>
            </w:r>
            <w:proofErr w:type="gramStart"/>
            <w:r w:rsidRPr="00777F29">
              <w:rPr>
                <w:rFonts w:cs="Arial"/>
                <w:b/>
                <w:bCs/>
                <w:i/>
                <w:iCs/>
                <w:sz w:val="18"/>
                <w:szCs w:val="18"/>
                <w:vertAlign w:val="subscript"/>
                <w:lang w:val="es-CO" w:eastAsia="es-CO"/>
              </w:rPr>
              <w:t>2,l</w:t>
            </w:r>
            <w:proofErr w:type="gramEnd"/>
            <w:r w:rsidRPr="00777F29">
              <w:rPr>
                <w:rFonts w:cs="Arial"/>
                <w:b/>
                <w:bCs/>
                <w:i/>
                <w:iCs/>
                <w:sz w:val="18"/>
                <w:szCs w:val="18"/>
                <w:vertAlign w:val="subscript"/>
                <w:lang w:val="es-CO" w:eastAsia="es-CO"/>
              </w:rPr>
              <w:t>,1</w:t>
            </w:r>
          </w:p>
        </w:tc>
      </w:tr>
      <w:tr w:rsidR="00777F29" w:rsidRPr="001A1D97" w14:paraId="2790470E" w14:textId="77777777" w:rsidTr="004A78D5">
        <w:trPr>
          <w:trHeight w:val="270"/>
          <w:jc w:val="center"/>
        </w:trPr>
        <w:tc>
          <w:tcPr>
            <w:tcW w:w="1555" w:type="dxa"/>
            <w:tcBorders>
              <w:top w:val="nil"/>
              <w:left w:val="single" w:sz="4" w:space="0" w:color="auto"/>
              <w:bottom w:val="single" w:sz="4" w:space="0" w:color="auto"/>
              <w:right w:val="nil"/>
            </w:tcBorders>
            <w:shd w:val="clear" w:color="auto" w:fill="FFFFFF"/>
            <w:vAlign w:val="center"/>
            <w:hideMark/>
          </w:tcPr>
          <w:p w14:paraId="7FB46916" w14:textId="77777777" w:rsidR="00777F29" w:rsidRPr="00777F29" w:rsidRDefault="00777F29" w:rsidP="00777F29">
            <w:pPr>
              <w:spacing w:before="0" w:after="0"/>
              <w:jc w:val="center"/>
              <w:rPr>
                <w:rFonts w:cs="Arial"/>
                <w:i/>
                <w:iCs/>
                <w:color w:val="000000"/>
                <w:sz w:val="18"/>
                <w:szCs w:val="18"/>
                <w:lang w:val="es-CO" w:eastAsia="es-CO"/>
              </w:rPr>
            </w:pPr>
            <w:r w:rsidRPr="00777F29">
              <w:rPr>
                <w:rFonts w:cs="Arial"/>
                <w:i/>
                <w:iCs/>
                <w:color w:val="000000"/>
                <w:sz w:val="18"/>
                <w:szCs w:val="18"/>
                <w:lang w:val="es-CO" w:eastAsia="es-CO"/>
              </w:rPr>
              <w:t>l = 11</w:t>
            </w:r>
          </w:p>
        </w:tc>
        <w:tc>
          <w:tcPr>
            <w:tcW w:w="1417" w:type="dxa"/>
            <w:tcBorders>
              <w:top w:val="nil"/>
              <w:left w:val="single" w:sz="4" w:space="0" w:color="auto"/>
              <w:bottom w:val="single" w:sz="4" w:space="0" w:color="auto"/>
              <w:right w:val="single" w:sz="4" w:space="0" w:color="auto"/>
            </w:tcBorders>
            <w:noWrap/>
            <w:vAlign w:val="center"/>
            <w:hideMark/>
          </w:tcPr>
          <w:p w14:paraId="47306B46" w14:textId="40E867EB" w:rsidR="00777F29" w:rsidRPr="00777F29" w:rsidRDefault="00777F29" w:rsidP="00777F29">
            <w:pPr>
              <w:spacing w:before="0" w:after="0"/>
              <w:jc w:val="right"/>
              <w:rPr>
                <w:i/>
                <w:iCs/>
                <w:sz w:val="18"/>
                <w:szCs w:val="18"/>
              </w:rPr>
            </w:pPr>
            <w:r w:rsidRPr="00777F29">
              <w:rPr>
                <w:rFonts w:cs="Arial"/>
                <w:sz w:val="18"/>
                <w:szCs w:val="18"/>
              </w:rPr>
              <w:t>103.700.000</w:t>
            </w:r>
          </w:p>
        </w:tc>
      </w:tr>
      <w:tr w:rsidR="00777F29" w:rsidRPr="001A1D97" w14:paraId="2009605F" w14:textId="77777777" w:rsidTr="004A78D5">
        <w:trPr>
          <w:trHeight w:val="270"/>
          <w:jc w:val="center"/>
        </w:trPr>
        <w:tc>
          <w:tcPr>
            <w:tcW w:w="1555" w:type="dxa"/>
            <w:tcBorders>
              <w:top w:val="nil"/>
              <w:left w:val="single" w:sz="4" w:space="0" w:color="auto"/>
              <w:bottom w:val="single" w:sz="4" w:space="0" w:color="auto"/>
              <w:right w:val="nil"/>
            </w:tcBorders>
            <w:shd w:val="clear" w:color="auto" w:fill="FFFFFF"/>
            <w:vAlign w:val="center"/>
            <w:hideMark/>
          </w:tcPr>
          <w:p w14:paraId="6502A9C4" w14:textId="77777777" w:rsidR="00777F29" w:rsidRPr="00777F29" w:rsidRDefault="00777F29" w:rsidP="00777F29">
            <w:pPr>
              <w:spacing w:before="0" w:after="0"/>
              <w:jc w:val="center"/>
              <w:rPr>
                <w:rFonts w:cs="Arial"/>
                <w:i/>
                <w:iCs/>
                <w:color w:val="000000"/>
                <w:sz w:val="18"/>
                <w:szCs w:val="18"/>
                <w:lang w:val="es-CO" w:eastAsia="es-CO"/>
              </w:rPr>
            </w:pPr>
            <w:r w:rsidRPr="00777F29">
              <w:rPr>
                <w:rFonts w:cs="Arial"/>
                <w:i/>
                <w:iCs/>
                <w:color w:val="000000"/>
                <w:sz w:val="18"/>
                <w:szCs w:val="18"/>
                <w:lang w:val="es-CO" w:eastAsia="es-CO"/>
              </w:rPr>
              <w:t>l = 12</w:t>
            </w:r>
          </w:p>
        </w:tc>
        <w:tc>
          <w:tcPr>
            <w:tcW w:w="1417" w:type="dxa"/>
            <w:tcBorders>
              <w:top w:val="nil"/>
              <w:left w:val="single" w:sz="4" w:space="0" w:color="auto"/>
              <w:bottom w:val="single" w:sz="4" w:space="0" w:color="auto"/>
              <w:right w:val="single" w:sz="4" w:space="0" w:color="auto"/>
            </w:tcBorders>
            <w:noWrap/>
            <w:vAlign w:val="center"/>
            <w:hideMark/>
          </w:tcPr>
          <w:p w14:paraId="3237C18F" w14:textId="024CED04" w:rsidR="00777F29" w:rsidRPr="00777F29" w:rsidRDefault="00777F29" w:rsidP="00777F29">
            <w:pPr>
              <w:spacing w:before="0" w:after="0"/>
              <w:jc w:val="right"/>
              <w:rPr>
                <w:i/>
                <w:iCs/>
                <w:sz w:val="18"/>
                <w:szCs w:val="18"/>
              </w:rPr>
            </w:pPr>
            <w:r w:rsidRPr="00777F29">
              <w:rPr>
                <w:rFonts w:cs="Arial"/>
                <w:sz w:val="18"/>
                <w:szCs w:val="18"/>
              </w:rPr>
              <w:t>35.052.498</w:t>
            </w:r>
          </w:p>
        </w:tc>
      </w:tr>
    </w:tbl>
    <w:p w14:paraId="5A757B31" w14:textId="0CC7B5B8" w:rsidR="00B871DE" w:rsidRPr="00F0138E" w:rsidRDefault="00B871DE" w:rsidP="004B4540">
      <w:pPr>
        <w:numPr>
          <w:ilvl w:val="0"/>
          <w:numId w:val="7"/>
        </w:numPr>
        <w:tabs>
          <w:tab w:val="left" w:pos="1701"/>
          <w:tab w:val="num" w:pos="2150"/>
        </w:tabs>
        <w:spacing w:before="240" w:after="240"/>
        <w:rPr>
          <w:rFonts w:cs="Arial"/>
        </w:rPr>
      </w:pPr>
      <w:r w:rsidRPr="00F0138E">
        <w:rPr>
          <w:rFonts w:cs="Arial"/>
        </w:rPr>
        <w:t xml:space="preserve">Modificar el artículo </w:t>
      </w:r>
      <w:r w:rsidR="00300CFB">
        <w:rPr>
          <w:rFonts w:cs="Arial"/>
        </w:rPr>
        <w:t>4</w:t>
      </w:r>
      <w:r w:rsidRPr="00F0138E">
        <w:rPr>
          <w:rFonts w:cs="Arial"/>
        </w:rPr>
        <w:t xml:space="preserve"> de la Resolución CREG </w:t>
      </w:r>
      <w:r w:rsidR="00300CFB">
        <w:rPr>
          <w:rFonts w:cs="Arial"/>
        </w:rPr>
        <w:t>219</w:t>
      </w:r>
      <w:r w:rsidRPr="00F0138E">
        <w:rPr>
          <w:rFonts w:cs="Arial"/>
        </w:rPr>
        <w:t xml:space="preserve"> de 202</w:t>
      </w:r>
      <w:r w:rsidR="00300CFB">
        <w:rPr>
          <w:rFonts w:cs="Arial"/>
        </w:rPr>
        <w:t>1</w:t>
      </w:r>
      <w:r w:rsidRPr="00F0138E">
        <w:rPr>
          <w:rFonts w:cs="Arial"/>
        </w:rPr>
        <w:t>, el cual quedará así:</w:t>
      </w:r>
    </w:p>
    <w:p w14:paraId="04550EB7" w14:textId="587AD387" w:rsidR="00EB356F" w:rsidRPr="00EB356F" w:rsidRDefault="00B871DE" w:rsidP="00EB356F">
      <w:pPr>
        <w:pStyle w:val="Cita"/>
        <w:ind w:left="284"/>
        <w:rPr>
          <w:lang w:val="es-ES"/>
        </w:rPr>
      </w:pPr>
      <w:r w:rsidRPr="00FA4C06">
        <w:rPr>
          <w:rFonts w:ascii="Bookman Old Style" w:hAnsi="Bookman Old Style"/>
          <w:b/>
          <w:bCs/>
          <w:sz w:val="24"/>
          <w:szCs w:val="24"/>
        </w:rPr>
        <w:lastRenderedPageBreak/>
        <w:t xml:space="preserve">Artículo </w:t>
      </w:r>
      <w:r w:rsidR="00803F2E">
        <w:rPr>
          <w:rFonts w:ascii="Bookman Old Style" w:hAnsi="Bookman Old Style"/>
          <w:b/>
          <w:bCs/>
          <w:sz w:val="24"/>
          <w:szCs w:val="24"/>
        </w:rPr>
        <w:t>4</w:t>
      </w:r>
      <w:r w:rsidRPr="00FA4C06">
        <w:rPr>
          <w:rFonts w:ascii="Bookman Old Style" w:hAnsi="Bookman Old Style"/>
          <w:b/>
          <w:bCs/>
          <w:sz w:val="24"/>
          <w:szCs w:val="24"/>
        </w:rPr>
        <w:t>.</w:t>
      </w:r>
      <w:r>
        <w:rPr>
          <w:rFonts w:ascii="Bookman Old Style" w:hAnsi="Bookman Old Style"/>
          <w:b/>
          <w:bCs/>
          <w:sz w:val="24"/>
          <w:szCs w:val="24"/>
        </w:rPr>
        <w:t xml:space="preserve"> </w:t>
      </w:r>
      <w:r w:rsidR="00706479">
        <w:rPr>
          <w:rFonts w:ascii="Bookman Old Style" w:hAnsi="Bookman Old Style"/>
          <w:b/>
          <w:bCs/>
          <w:sz w:val="24"/>
          <w:szCs w:val="24"/>
        </w:rPr>
        <w:t xml:space="preserve">Recuperación de capital de activos de la </w:t>
      </w:r>
      <w:r w:rsidR="00EF1269">
        <w:rPr>
          <w:rFonts w:ascii="Bookman Old Style" w:hAnsi="Bookman Old Style"/>
          <w:b/>
          <w:bCs/>
          <w:sz w:val="24"/>
          <w:szCs w:val="24"/>
        </w:rPr>
        <w:t>BRA inicial:</w:t>
      </w:r>
      <w:r w:rsidR="00EB356F" w:rsidRPr="00EB356F">
        <w:rPr>
          <w:rFonts w:ascii="Bookman Old Style" w:hAnsi="Bookman Old Style"/>
          <w:szCs w:val="24"/>
          <w:lang w:val="es-ES"/>
        </w:rPr>
        <w:t xml:space="preserve"> </w:t>
      </w:r>
      <w:r w:rsidR="00EB356F" w:rsidRPr="00EB356F">
        <w:rPr>
          <w:rFonts w:ascii="Bookman Old Style" w:hAnsi="Bookman Old Style"/>
          <w:sz w:val="24"/>
          <w:szCs w:val="24"/>
        </w:rPr>
        <w:t xml:space="preserve">El valor de la recuperación de capital reconocida para los activos incluidos en la base regulatoria inicial de activos, </w:t>
      </w:r>
      <w:proofErr w:type="gramStart"/>
      <w:r w:rsidR="00EB356F" w:rsidRPr="00EB356F">
        <w:rPr>
          <w:rFonts w:ascii="Bookman Old Style" w:hAnsi="Bookman Old Style"/>
          <w:sz w:val="24"/>
          <w:szCs w:val="24"/>
        </w:rPr>
        <w:t>RCBIAj,n</w:t>
      </w:r>
      <w:proofErr w:type="gramEnd"/>
      <w:r w:rsidR="00EB356F" w:rsidRPr="00EB356F">
        <w:rPr>
          <w:rFonts w:ascii="Bookman Old Style" w:hAnsi="Bookman Old Style"/>
          <w:sz w:val="24"/>
          <w:szCs w:val="24"/>
        </w:rPr>
        <w:t>,1, del año 1, para cada nivel de tensión, es el siguiente:</w:t>
      </w:r>
    </w:p>
    <w:p w14:paraId="552AAAE7" w14:textId="1DED78D9" w:rsidR="00897A6F" w:rsidRPr="00897A6F" w:rsidRDefault="00897A6F" w:rsidP="00897A6F">
      <w:pPr>
        <w:pStyle w:val="Descripcin"/>
        <w:spacing w:before="240" w:after="120" w:line="240" w:lineRule="auto"/>
        <w:rPr>
          <w:i/>
          <w:iCs/>
          <w:sz w:val="20"/>
        </w:rPr>
      </w:pPr>
      <w:r w:rsidRPr="00897A6F">
        <w:rPr>
          <w:i/>
          <w:iCs/>
          <w:sz w:val="20"/>
        </w:rPr>
        <w:t xml:space="preserve">Tabla </w:t>
      </w:r>
      <w:r>
        <w:rPr>
          <w:i/>
          <w:iCs/>
          <w:sz w:val="20"/>
        </w:rPr>
        <w:t>6</w:t>
      </w:r>
      <w:r w:rsidRPr="00897A6F">
        <w:rPr>
          <w:i/>
          <w:iCs/>
          <w:sz w:val="20"/>
        </w:rPr>
        <w:t xml:space="preserve">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897A6F" w:rsidRPr="006747D5" w14:paraId="1AB8B9B6" w14:textId="77777777" w:rsidTr="004A78D5">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EB5421" w14:textId="77777777" w:rsidR="00897A6F" w:rsidRPr="006747D5" w:rsidRDefault="00897A6F" w:rsidP="004A78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F076BA0" w14:textId="77777777" w:rsidR="00897A6F" w:rsidRPr="006747D5" w:rsidRDefault="00897A6F" w:rsidP="004A78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897A6F" w:rsidRPr="0043040A" w14:paraId="6602E4AC" w14:textId="77777777" w:rsidTr="007353B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BB933C3" w14:textId="77777777" w:rsidR="00897A6F" w:rsidRPr="006747D5" w:rsidRDefault="00897A6F" w:rsidP="00897A6F">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4B03A5F7" w14:textId="4B15091F" w:rsidR="00897A6F" w:rsidRPr="00897A6F" w:rsidRDefault="00897A6F" w:rsidP="007353BA">
            <w:pPr>
              <w:spacing w:before="0" w:after="0"/>
              <w:jc w:val="right"/>
              <w:rPr>
                <w:rFonts w:cs="Arial"/>
                <w:sz w:val="18"/>
                <w:szCs w:val="18"/>
                <w:lang w:val="es-CO" w:eastAsia="es-CO"/>
              </w:rPr>
            </w:pPr>
            <w:r w:rsidRPr="00897A6F">
              <w:rPr>
                <w:sz w:val="18"/>
                <w:szCs w:val="18"/>
              </w:rPr>
              <w:t>0</w:t>
            </w:r>
          </w:p>
        </w:tc>
      </w:tr>
      <w:tr w:rsidR="00897A6F" w:rsidRPr="0043040A" w14:paraId="6CE3C044" w14:textId="77777777" w:rsidTr="007353B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80B8290" w14:textId="77777777" w:rsidR="00897A6F" w:rsidRPr="006747D5" w:rsidRDefault="00897A6F" w:rsidP="00897A6F">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0C9C8D41" w14:textId="3D40962B" w:rsidR="00897A6F" w:rsidRPr="00897A6F" w:rsidRDefault="00897A6F" w:rsidP="007353BA">
            <w:pPr>
              <w:spacing w:before="0" w:after="0"/>
              <w:jc w:val="right"/>
              <w:rPr>
                <w:rFonts w:cs="Arial"/>
                <w:sz w:val="18"/>
                <w:szCs w:val="18"/>
              </w:rPr>
            </w:pPr>
            <w:r w:rsidRPr="00897A6F">
              <w:rPr>
                <w:sz w:val="18"/>
                <w:szCs w:val="18"/>
              </w:rPr>
              <w:t>89.725.292</w:t>
            </w:r>
          </w:p>
        </w:tc>
      </w:tr>
      <w:tr w:rsidR="00897A6F" w:rsidRPr="0043040A" w14:paraId="68B901E2" w14:textId="77777777" w:rsidTr="007353B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853DFBE" w14:textId="77777777" w:rsidR="00897A6F" w:rsidRPr="006747D5" w:rsidRDefault="00897A6F" w:rsidP="00897A6F">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44BB83B8" w14:textId="7C552C6B" w:rsidR="00897A6F" w:rsidRPr="00897A6F" w:rsidRDefault="00897A6F" w:rsidP="007353BA">
            <w:pPr>
              <w:spacing w:before="0" w:after="0"/>
              <w:jc w:val="right"/>
              <w:rPr>
                <w:rFonts w:cs="Arial"/>
                <w:sz w:val="18"/>
                <w:szCs w:val="18"/>
              </w:rPr>
            </w:pPr>
            <w:r w:rsidRPr="00897A6F">
              <w:rPr>
                <w:sz w:val="18"/>
                <w:szCs w:val="18"/>
              </w:rPr>
              <w:t>73.642.432</w:t>
            </w:r>
          </w:p>
        </w:tc>
      </w:tr>
      <w:tr w:rsidR="00897A6F" w:rsidRPr="0043040A" w14:paraId="5AC08127" w14:textId="77777777" w:rsidTr="007353B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C8A255A" w14:textId="77777777" w:rsidR="00897A6F" w:rsidRPr="006747D5" w:rsidRDefault="00897A6F" w:rsidP="00897A6F">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14:paraId="7AC7B6E6" w14:textId="15BE1923" w:rsidR="00897A6F" w:rsidRPr="00897A6F" w:rsidRDefault="00897A6F" w:rsidP="007353BA">
            <w:pPr>
              <w:spacing w:before="0" w:after="0"/>
              <w:jc w:val="right"/>
              <w:rPr>
                <w:rFonts w:cs="Arial"/>
                <w:sz w:val="18"/>
                <w:szCs w:val="18"/>
              </w:rPr>
            </w:pPr>
            <w:r w:rsidRPr="00897A6F">
              <w:rPr>
                <w:sz w:val="18"/>
                <w:szCs w:val="18"/>
              </w:rPr>
              <w:t>14.418.627</w:t>
            </w:r>
          </w:p>
        </w:tc>
      </w:tr>
    </w:tbl>
    <w:p w14:paraId="068930A8" w14:textId="5101A105" w:rsidR="00CA62CD" w:rsidRPr="00F0138E" w:rsidRDefault="00CE1C2E" w:rsidP="004B4540">
      <w:pPr>
        <w:numPr>
          <w:ilvl w:val="0"/>
          <w:numId w:val="7"/>
        </w:numPr>
        <w:tabs>
          <w:tab w:val="left" w:pos="1701"/>
          <w:tab w:val="num" w:pos="2150"/>
        </w:tabs>
        <w:spacing w:before="240" w:after="240"/>
        <w:rPr>
          <w:rFonts w:cs="Arial"/>
        </w:rPr>
      </w:pPr>
      <w:r w:rsidRPr="00F0138E">
        <w:rPr>
          <w:rFonts w:cs="Arial"/>
        </w:rPr>
        <w:t xml:space="preserve">Modificar el </w:t>
      </w:r>
      <w:r w:rsidR="00CA62CD" w:rsidRPr="00F0138E">
        <w:rPr>
          <w:rFonts w:cs="Arial"/>
        </w:rPr>
        <w:t xml:space="preserve">artículo </w:t>
      </w:r>
      <w:r w:rsidR="00CA62CD">
        <w:rPr>
          <w:rFonts w:cs="Arial"/>
        </w:rPr>
        <w:t>5</w:t>
      </w:r>
      <w:r w:rsidR="00CA62CD" w:rsidRPr="00F0138E">
        <w:rPr>
          <w:rFonts w:cs="Arial"/>
        </w:rPr>
        <w:t xml:space="preserve"> de la Resolución CREG </w:t>
      </w:r>
      <w:r w:rsidR="00CA62CD">
        <w:rPr>
          <w:rFonts w:cs="Arial"/>
        </w:rPr>
        <w:t>219</w:t>
      </w:r>
      <w:r w:rsidR="00CA62CD" w:rsidRPr="00F0138E">
        <w:rPr>
          <w:rFonts w:cs="Arial"/>
        </w:rPr>
        <w:t xml:space="preserve"> de 202</w:t>
      </w:r>
      <w:r w:rsidR="00CA62CD">
        <w:rPr>
          <w:rFonts w:cs="Arial"/>
        </w:rPr>
        <w:t>1</w:t>
      </w:r>
      <w:r w:rsidR="00CA62CD" w:rsidRPr="00F0138E">
        <w:rPr>
          <w:rFonts w:cs="Arial"/>
        </w:rPr>
        <w:t>, el cual quedará así:</w:t>
      </w:r>
    </w:p>
    <w:p w14:paraId="6DB537B7" w14:textId="4B53AD7B" w:rsidR="00064CC5" w:rsidRDefault="00CE1C2E" w:rsidP="00064CC5">
      <w:pPr>
        <w:tabs>
          <w:tab w:val="left" w:pos="1701"/>
        </w:tabs>
        <w:spacing w:before="240" w:after="240"/>
        <w:ind w:left="284"/>
        <w:rPr>
          <w:i/>
          <w:iCs/>
        </w:rPr>
      </w:pPr>
      <w:r w:rsidRPr="00064CC5">
        <w:rPr>
          <w:b/>
          <w:bCs/>
          <w:i/>
          <w:iCs/>
        </w:rPr>
        <w:t xml:space="preserve">Artículo </w:t>
      </w:r>
      <w:r w:rsidR="00817961" w:rsidRPr="00064CC5">
        <w:rPr>
          <w:b/>
          <w:bCs/>
          <w:i/>
          <w:iCs/>
        </w:rPr>
        <w:t>5</w:t>
      </w:r>
      <w:r w:rsidRPr="00064CC5">
        <w:rPr>
          <w:b/>
          <w:bCs/>
          <w:i/>
          <w:iCs/>
        </w:rPr>
        <w:t xml:space="preserve">. </w:t>
      </w:r>
      <w:r w:rsidR="00985AB7" w:rsidRPr="00064CC5">
        <w:rPr>
          <w:b/>
          <w:bCs/>
          <w:i/>
          <w:iCs/>
        </w:rPr>
        <w:t>Recuperación de capital de activos nuevos.</w:t>
      </w:r>
      <w:r w:rsidR="00985AB7" w:rsidRPr="00985AB7">
        <w:rPr>
          <w:b/>
          <w:bCs/>
        </w:rPr>
        <w:t xml:space="preserve"> </w:t>
      </w:r>
      <w:r w:rsidR="00064CC5" w:rsidRPr="00064CC5">
        <w:rPr>
          <w:i/>
          <w:iCs/>
        </w:rPr>
        <w:t xml:space="preserve">El valor de la recuperación de capital reconocida para los activos que entraron en operación en el primer año, </w:t>
      </w:r>
      <w:proofErr w:type="gramStart"/>
      <w:r w:rsidR="00064CC5" w:rsidRPr="00064CC5">
        <w:rPr>
          <w:i/>
          <w:iCs/>
        </w:rPr>
        <w:t>RCNA</w:t>
      </w:r>
      <w:r w:rsidR="00064CC5" w:rsidRPr="00064CC5">
        <w:rPr>
          <w:i/>
          <w:iCs/>
          <w:vertAlign w:val="subscript"/>
        </w:rPr>
        <w:t>j,n</w:t>
      </w:r>
      <w:proofErr w:type="gramEnd"/>
      <w:r w:rsidR="00064CC5" w:rsidRPr="00064CC5">
        <w:rPr>
          <w:i/>
          <w:iCs/>
          <w:vertAlign w:val="subscript"/>
        </w:rPr>
        <w:t>,1</w:t>
      </w:r>
      <w:r w:rsidR="00064CC5" w:rsidRPr="00064CC5">
        <w:rPr>
          <w:i/>
          <w:iCs/>
        </w:rPr>
        <w:t>, es el siguiente:</w:t>
      </w:r>
    </w:p>
    <w:p w14:paraId="36923A24" w14:textId="4DC4E4E7" w:rsidR="002B3DCA" w:rsidRPr="002B3DCA" w:rsidRDefault="002B3DCA" w:rsidP="002B3DCA">
      <w:pPr>
        <w:pStyle w:val="Descripcin"/>
        <w:spacing w:before="240" w:after="120" w:line="240" w:lineRule="auto"/>
        <w:rPr>
          <w:i/>
          <w:iCs/>
          <w:sz w:val="20"/>
        </w:rPr>
      </w:pPr>
      <w:r w:rsidRPr="002B3DCA">
        <w:rPr>
          <w:i/>
          <w:iCs/>
          <w:sz w:val="20"/>
        </w:rPr>
        <w:t xml:space="preserve">Tabla </w:t>
      </w:r>
      <w:r>
        <w:rPr>
          <w:i/>
          <w:iCs/>
          <w:sz w:val="20"/>
        </w:rPr>
        <w:t>7</w:t>
      </w:r>
      <w:r w:rsidRPr="002B3DCA">
        <w:rPr>
          <w:i/>
          <w:iCs/>
          <w:sz w:val="20"/>
        </w:rPr>
        <w:t xml:space="preserve"> Recuperación de capital de activos nuevos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2B3DCA" w:rsidRPr="006747D5" w14:paraId="657A8E95" w14:textId="77777777" w:rsidTr="004A78D5">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D4B4D" w14:textId="77777777" w:rsidR="002B3DCA" w:rsidRPr="006747D5" w:rsidRDefault="002B3DCA" w:rsidP="004A78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8CE82BE" w14:textId="77777777" w:rsidR="002B3DCA" w:rsidRPr="006747D5" w:rsidRDefault="002B3DCA" w:rsidP="004A78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667910" w:rsidRPr="0043040A" w14:paraId="51A0D894" w14:textId="77777777" w:rsidTr="0066791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9BCE8FC" w14:textId="77777777" w:rsidR="00667910" w:rsidRPr="006747D5" w:rsidRDefault="00667910" w:rsidP="00667910">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4F42D2E1" w14:textId="1F5DFDBD" w:rsidR="00667910" w:rsidRPr="00667910" w:rsidRDefault="00667910" w:rsidP="00667910">
            <w:pPr>
              <w:spacing w:before="0" w:after="0"/>
              <w:ind w:right="278"/>
              <w:jc w:val="right"/>
              <w:rPr>
                <w:rFonts w:cs="Arial"/>
                <w:sz w:val="18"/>
                <w:szCs w:val="18"/>
                <w:lang w:val="es-CO" w:eastAsia="es-CO"/>
              </w:rPr>
            </w:pPr>
            <w:r w:rsidRPr="00667910">
              <w:rPr>
                <w:sz w:val="18"/>
                <w:szCs w:val="18"/>
              </w:rPr>
              <w:t>0</w:t>
            </w:r>
          </w:p>
        </w:tc>
      </w:tr>
      <w:tr w:rsidR="00667910" w:rsidRPr="0043040A" w14:paraId="00EC9D62" w14:textId="77777777" w:rsidTr="0066791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2A1939D" w14:textId="77777777" w:rsidR="00667910" w:rsidRPr="006747D5" w:rsidRDefault="00667910" w:rsidP="00667910">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2BA8AC74" w14:textId="5880173B" w:rsidR="00667910" w:rsidRPr="00667910" w:rsidRDefault="00667910" w:rsidP="00667910">
            <w:pPr>
              <w:spacing w:before="0" w:after="0"/>
              <w:ind w:right="278"/>
              <w:jc w:val="right"/>
              <w:rPr>
                <w:rFonts w:cs="Arial"/>
                <w:sz w:val="18"/>
                <w:szCs w:val="18"/>
              </w:rPr>
            </w:pPr>
            <w:r w:rsidRPr="00667910">
              <w:rPr>
                <w:sz w:val="18"/>
                <w:szCs w:val="18"/>
              </w:rPr>
              <w:t>277.119</w:t>
            </w:r>
          </w:p>
        </w:tc>
      </w:tr>
      <w:tr w:rsidR="00667910" w:rsidRPr="0043040A" w14:paraId="1F96BF06" w14:textId="77777777" w:rsidTr="0066791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05E77C5" w14:textId="77777777" w:rsidR="00667910" w:rsidRPr="006747D5" w:rsidRDefault="00667910" w:rsidP="00667910">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132578C4" w14:textId="602AB258" w:rsidR="00667910" w:rsidRPr="00667910" w:rsidRDefault="00667910" w:rsidP="00667910">
            <w:pPr>
              <w:spacing w:before="0" w:after="0"/>
              <w:ind w:right="278"/>
              <w:jc w:val="right"/>
              <w:rPr>
                <w:rFonts w:cs="Arial"/>
                <w:sz w:val="18"/>
                <w:szCs w:val="18"/>
              </w:rPr>
            </w:pPr>
            <w:r w:rsidRPr="00667910">
              <w:rPr>
                <w:sz w:val="18"/>
                <w:szCs w:val="18"/>
              </w:rPr>
              <w:t>6.997.032</w:t>
            </w:r>
          </w:p>
        </w:tc>
      </w:tr>
      <w:tr w:rsidR="00667910" w:rsidRPr="0043040A" w14:paraId="3E4F902A" w14:textId="77777777" w:rsidTr="0066791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52B13C5" w14:textId="77777777" w:rsidR="00667910" w:rsidRPr="006747D5" w:rsidRDefault="00667910" w:rsidP="00667910">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14:paraId="10A252CF" w14:textId="25EC9D9D" w:rsidR="00667910" w:rsidRPr="00667910" w:rsidRDefault="00667910" w:rsidP="00667910">
            <w:pPr>
              <w:spacing w:before="0" w:after="0"/>
              <w:ind w:right="278"/>
              <w:jc w:val="right"/>
              <w:rPr>
                <w:rFonts w:cs="Arial"/>
                <w:sz w:val="18"/>
                <w:szCs w:val="18"/>
              </w:rPr>
            </w:pPr>
            <w:r w:rsidRPr="00667910">
              <w:rPr>
                <w:sz w:val="18"/>
                <w:szCs w:val="18"/>
              </w:rPr>
              <w:t>5.252.490</w:t>
            </w:r>
          </w:p>
        </w:tc>
      </w:tr>
    </w:tbl>
    <w:p w14:paraId="2CD8BED2" w14:textId="4E5D2BA9" w:rsidR="00667910" w:rsidRPr="00F0138E" w:rsidRDefault="00667910" w:rsidP="004B4540">
      <w:pPr>
        <w:numPr>
          <w:ilvl w:val="0"/>
          <w:numId w:val="7"/>
        </w:numPr>
        <w:tabs>
          <w:tab w:val="left" w:pos="1701"/>
          <w:tab w:val="num" w:pos="2150"/>
        </w:tabs>
        <w:spacing w:before="240" w:after="240"/>
        <w:rPr>
          <w:rFonts w:cs="Arial"/>
        </w:rPr>
      </w:pPr>
      <w:r w:rsidRPr="00F0138E">
        <w:rPr>
          <w:rFonts w:cs="Arial"/>
        </w:rPr>
        <w:t xml:space="preserve">Modificar el artículo </w:t>
      </w:r>
      <w:r>
        <w:rPr>
          <w:rFonts w:cs="Arial"/>
        </w:rPr>
        <w:t>6</w:t>
      </w:r>
      <w:r w:rsidRPr="00F0138E">
        <w:rPr>
          <w:rFonts w:cs="Arial"/>
        </w:rPr>
        <w:t xml:space="preserve"> de la Resolución CREG </w:t>
      </w:r>
      <w:r>
        <w:rPr>
          <w:rFonts w:cs="Arial"/>
        </w:rPr>
        <w:t>219</w:t>
      </w:r>
      <w:r w:rsidRPr="00F0138E">
        <w:rPr>
          <w:rFonts w:cs="Arial"/>
        </w:rPr>
        <w:t xml:space="preserve"> de 202</w:t>
      </w:r>
      <w:r>
        <w:rPr>
          <w:rFonts w:cs="Arial"/>
        </w:rPr>
        <w:t>1</w:t>
      </w:r>
      <w:r w:rsidRPr="00F0138E">
        <w:rPr>
          <w:rFonts w:cs="Arial"/>
        </w:rPr>
        <w:t>, el cual quedará así:</w:t>
      </w:r>
    </w:p>
    <w:p w14:paraId="121D562F" w14:textId="43AD1137" w:rsidR="00667910" w:rsidRDefault="00667910" w:rsidP="00667910">
      <w:pPr>
        <w:tabs>
          <w:tab w:val="left" w:pos="1701"/>
        </w:tabs>
        <w:spacing w:before="240" w:after="240"/>
        <w:ind w:left="284"/>
        <w:rPr>
          <w:i/>
          <w:iCs/>
        </w:rPr>
      </w:pPr>
      <w:r w:rsidRPr="00064CC5">
        <w:rPr>
          <w:b/>
          <w:bCs/>
          <w:i/>
          <w:iCs/>
        </w:rPr>
        <w:t xml:space="preserve">Artículo </w:t>
      </w:r>
      <w:r w:rsidR="00F55283">
        <w:rPr>
          <w:b/>
          <w:bCs/>
          <w:i/>
          <w:iCs/>
        </w:rPr>
        <w:t>6</w:t>
      </w:r>
      <w:r w:rsidRPr="00064CC5">
        <w:rPr>
          <w:b/>
          <w:bCs/>
          <w:i/>
          <w:iCs/>
        </w:rPr>
        <w:t xml:space="preserve">. </w:t>
      </w:r>
      <w:r w:rsidR="00CC323E">
        <w:rPr>
          <w:b/>
          <w:bCs/>
          <w:i/>
          <w:iCs/>
        </w:rPr>
        <w:t>Base regulatoria de terrenos</w:t>
      </w:r>
      <w:r w:rsidRPr="00064CC5">
        <w:rPr>
          <w:b/>
          <w:bCs/>
          <w:i/>
          <w:iCs/>
        </w:rPr>
        <w:t>.</w:t>
      </w:r>
      <w:r w:rsidRPr="00985AB7">
        <w:rPr>
          <w:b/>
          <w:bCs/>
        </w:rPr>
        <w:t xml:space="preserve"> </w:t>
      </w:r>
      <w:r w:rsidR="00504110" w:rsidRPr="00504110">
        <w:rPr>
          <w:i/>
          <w:iCs/>
        </w:rPr>
        <w:t xml:space="preserve">El valor de la base regulatoria de terrenos, </w:t>
      </w:r>
      <w:proofErr w:type="gramStart"/>
      <w:r w:rsidR="00504110" w:rsidRPr="00504110">
        <w:rPr>
          <w:i/>
          <w:iCs/>
        </w:rPr>
        <w:t>BRT</w:t>
      </w:r>
      <w:r w:rsidR="00504110" w:rsidRPr="00504110">
        <w:rPr>
          <w:i/>
          <w:iCs/>
          <w:vertAlign w:val="subscript"/>
        </w:rPr>
        <w:t>j,n</w:t>
      </w:r>
      <w:proofErr w:type="gramEnd"/>
      <w:r w:rsidR="00504110" w:rsidRPr="00504110">
        <w:rPr>
          <w:i/>
          <w:iCs/>
          <w:vertAlign w:val="subscript"/>
        </w:rPr>
        <w:t>,1</w:t>
      </w:r>
      <w:r w:rsidR="00504110" w:rsidRPr="00504110">
        <w:rPr>
          <w:i/>
          <w:iCs/>
        </w:rPr>
        <w:t>, del año 1, para los niveles de tensión 4, 3 y 2, es el siguiente:</w:t>
      </w:r>
    </w:p>
    <w:p w14:paraId="2A954A29" w14:textId="2011BD1C" w:rsidR="00EE06DE" w:rsidRPr="00EE06DE" w:rsidRDefault="00EE06DE" w:rsidP="00EE06DE">
      <w:pPr>
        <w:pStyle w:val="Descripcin"/>
        <w:spacing w:before="240" w:after="120" w:line="240" w:lineRule="auto"/>
        <w:rPr>
          <w:i/>
          <w:iCs/>
          <w:sz w:val="20"/>
          <w:szCs w:val="18"/>
        </w:rPr>
      </w:pPr>
      <w:r w:rsidRPr="00EE06DE">
        <w:rPr>
          <w:i/>
          <w:iCs/>
          <w:sz w:val="20"/>
          <w:szCs w:val="18"/>
        </w:rPr>
        <w:t>Tabla 8 Base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EE06DE" w:rsidRPr="006747D5" w14:paraId="159B08FD" w14:textId="77777777" w:rsidTr="004A78D5">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AE322" w14:textId="77777777" w:rsidR="00EE06DE" w:rsidRPr="006747D5" w:rsidRDefault="00EE06DE" w:rsidP="004A78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FF859D5" w14:textId="77777777" w:rsidR="00EE06DE" w:rsidRPr="006747D5" w:rsidRDefault="00EE06DE" w:rsidP="004A78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B1222D" w:rsidRPr="006747D5" w14:paraId="34487022" w14:textId="77777777" w:rsidTr="004A78D5">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7B485C2" w14:textId="77777777" w:rsidR="00B1222D" w:rsidRPr="006747D5" w:rsidRDefault="00B1222D" w:rsidP="00B1222D">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637C57FD" w14:textId="56B9B7F0" w:rsidR="00B1222D" w:rsidRPr="006A21CE" w:rsidRDefault="00B1222D" w:rsidP="00B1222D">
            <w:pPr>
              <w:spacing w:before="0" w:after="0"/>
              <w:ind w:right="278"/>
              <w:jc w:val="right"/>
              <w:rPr>
                <w:rFonts w:cs="Arial"/>
                <w:sz w:val="18"/>
                <w:szCs w:val="18"/>
                <w:lang w:val="es-CO" w:eastAsia="es-CO"/>
              </w:rPr>
            </w:pPr>
            <w:r w:rsidRPr="00697957">
              <w:rPr>
                <w:sz w:val="18"/>
                <w:szCs w:val="18"/>
              </w:rPr>
              <w:t>0</w:t>
            </w:r>
          </w:p>
        </w:tc>
      </w:tr>
      <w:tr w:rsidR="00B1222D" w:rsidRPr="006747D5" w14:paraId="7B05C463" w14:textId="77777777" w:rsidTr="004A78D5">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A029F6B" w14:textId="77777777" w:rsidR="00B1222D" w:rsidRPr="006747D5" w:rsidRDefault="00B1222D" w:rsidP="00B1222D">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31AAA842" w14:textId="7B02D473" w:rsidR="00B1222D" w:rsidRPr="006A21CE" w:rsidRDefault="00B1222D" w:rsidP="00B1222D">
            <w:pPr>
              <w:spacing w:before="0" w:after="0"/>
              <w:ind w:right="278"/>
              <w:jc w:val="right"/>
              <w:rPr>
                <w:rFonts w:cs="Arial"/>
                <w:sz w:val="18"/>
                <w:szCs w:val="18"/>
              </w:rPr>
            </w:pPr>
            <w:r w:rsidRPr="00697957">
              <w:rPr>
                <w:sz w:val="18"/>
                <w:szCs w:val="18"/>
              </w:rPr>
              <w:t>59.204</w:t>
            </w:r>
          </w:p>
        </w:tc>
      </w:tr>
      <w:tr w:rsidR="00B1222D" w:rsidRPr="006747D5" w14:paraId="58714CB3" w14:textId="77777777" w:rsidTr="004A78D5">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74C170F" w14:textId="77777777" w:rsidR="00B1222D" w:rsidRPr="006747D5" w:rsidRDefault="00B1222D" w:rsidP="00B1222D">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2D1D4F20" w14:textId="477EAB05" w:rsidR="00B1222D" w:rsidRPr="006A21CE" w:rsidRDefault="00B1222D" w:rsidP="00B1222D">
            <w:pPr>
              <w:spacing w:before="0" w:after="0"/>
              <w:ind w:right="278"/>
              <w:jc w:val="right"/>
              <w:rPr>
                <w:rFonts w:cs="Arial"/>
                <w:sz w:val="18"/>
                <w:szCs w:val="18"/>
              </w:rPr>
            </w:pPr>
            <w:r w:rsidRPr="00697957">
              <w:rPr>
                <w:sz w:val="18"/>
                <w:szCs w:val="18"/>
              </w:rPr>
              <w:t>101.423</w:t>
            </w:r>
          </w:p>
        </w:tc>
      </w:tr>
    </w:tbl>
    <w:p w14:paraId="432A8053" w14:textId="3554D5C9" w:rsidR="007566A2" w:rsidRPr="00F0138E" w:rsidRDefault="007566A2" w:rsidP="004B4540">
      <w:pPr>
        <w:numPr>
          <w:ilvl w:val="0"/>
          <w:numId w:val="7"/>
        </w:numPr>
        <w:tabs>
          <w:tab w:val="left" w:pos="1701"/>
          <w:tab w:val="num" w:pos="2150"/>
        </w:tabs>
        <w:spacing w:before="240" w:after="240"/>
        <w:rPr>
          <w:rFonts w:cs="Arial"/>
        </w:rPr>
      </w:pPr>
      <w:r w:rsidRPr="00F0138E">
        <w:rPr>
          <w:rFonts w:cs="Arial"/>
        </w:rPr>
        <w:t xml:space="preserve">Modificar el artículo </w:t>
      </w:r>
      <w:r>
        <w:rPr>
          <w:rFonts w:cs="Arial"/>
        </w:rPr>
        <w:t>7</w:t>
      </w:r>
      <w:r w:rsidRPr="00F0138E">
        <w:rPr>
          <w:rFonts w:cs="Arial"/>
        </w:rPr>
        <w:t xml:space="preserve"> de la Resolución CREG </w:t>
      </w:r>
      <w:r>
        <w:rPr>
          <w:rFonts w:cs="Arial"/>
        </w:rPr>
        <w:t>219</w:t>
      </w:r>
      <w:r w:rsidRPr="00F0138E">
        <w:rPr>
          <w:rFonts w:cs="Arial"/>
        </w:rPr>
        <w:t xml:space="preserve"> de 202</w:t>
      </w:r>
      <w:r>
        <w:rPr>
          <w:rFonts w:cs="Arial"/>
        </w:rPr>
        <w:t>1</w:t>
      </w:r>
      <w:r w:rsidRPr="00F0138E">
        <w:rPr>
          <w:rFonts w:cs="Arial"/>
        </w:rPr>
        <w:t>, el cual quedará así:</w:t>
      </w:r>
    </w:p>
    <w:p w14:paraId="5089CC9D" w14:textId="10125377" w:rsidR="007566A2" w:rsidRDefault="007566A2" w:rsidP="007566A2">
      <w:pPr>
        <w:tabs>
          <w:tab w:val="left" w:pos="1701"/>
        </w:tabs>
        <w:spacing w:before="240" w:after="240"/>
        <w:ind w:left="284"/>
        <w:rPr>
          <w:i/>
          <w:iCs/>
        </w:rPr>
      </w:pPr>
      <w:r w:rsidRPr="00064CC5">
        <w:rPr>
          <w:b/>
          <w:bCs/>
          <w:i/>
          <w:iCs/>
        </w:rPr>
        <w:t xml:space="preserve">Artículo </w:t>
      </w:r>
      <w:r>
        <w:rPr>
          <w:b/>
          <w:bCs/>
          <w:i/>
          <w:iCs/>
        </w:rPr>
        <w:t>7</w:t>
      </w:r>
      <w:r w:rsidRPr="00064CC5">
        <w:rPr>
          <w:b/>
          <w:bCs/>
          <w:i/>
          <w:iCs/>
        </w:rPr>
        <w:t xml:space="preserve">. </w:t>
      </w:r>
      <w:r w:rsidRPr="007566A2">
        <w:rPr>
          <w:b/>
          <w:bCs/>
          <w:i/>
          <w:iCs/>
        </w:rPr>
        <w:t>AOM base por nivel de tensión</w:t>
      </w:r>
      <w:r w:rsidRPr="00064CC5">
        <w:rPr>
          <w:b/>
          <w:bCs/>
          <w:i/>
          <w:iCs/>
        </w:rPr>
        <w:t>.</w:t>
      </w:r>
      <w:r w:rsidRPr="00985AB7">
        <w:rPr>
          <w:b/>
          <w:bCs/>
        </w:rPr>
        <w:t xml:space="preserve"> </w:t>
      </w:r>
      <w:r w:rsidRPr="00504110">
        <w:rPr>
          <w:i/>
          <w:iCs/>
        </w:rPr>
        <w:t xml:space="preserve">El </w:t>
      </w:r>
      <w:r w:rsidR="00CB5DEB" w:rsidRPr="00CB5DEB">
        <w:rPr>
          <w:i/>
          <w:iCs/>
        </w:rPr>
        <w:t xml:space="preserve">valor del AOM base para cada nivel de tensión, </w:t>
      </w:r>
      <w:proofErr w:type="spellStart"/>
      <w:proofErr w:type="gramStart"/>
      <w:r w:rsidR="00CB5DEB" w:rsidRPr="00CB5DEB">
        <w:rPr>
          <w:i/>
          <w:iCs/>
        </w:rPr>
        <w:t>AOMbase</w:t>
      </w:r>
      <w:r w:rsidR="00CB5DEB" w:rsidRPr="00CB5DEB">
        <w:rPr>
          <w:i/>
          <w:iCs/>
          <w:vertAlign w:val="subscript"/>
        </w:rPr>
        <w:t>j,n</w:t>
      </w:r>
      <w:proofErr w:type="spellEnd"/>
      <w:proofErr w:type="gramEnd"/>
      <w:r w:rsidR="00CB5DEB" w:rsidRPr="00CB5DEB">
        <w:rPr>
          <w:i/>
          <w:iCs/>
        </w:rPr>
        <w:t>,</w:t>
      </w:r>
      <w:r w:rsidR="00CB5DEB">
        <w:rPr>
          <w:i/>
          <w:iCs/>
        </w:rPr>
        <w:t xml:space="preserve"> </w:t>
      </w:r>
      <w:r w:rsidRPr="00504110">
        <w:rPr>
          <w:i/>
          <w:iCs/>
        </w:rPr>
        <w:t>es el siguiente:</w:t>
      </w:r>
    </w:p>
    <w:p w14:paraId="0E6777F5" w14:textId="6C0BD462" w:rsidR="003107B7" w:rsidRPr="003107B7" w:rsidRDefault="003107B7" w:rsidP="003107B7">
      <w:pPr>
        <w:pStyle w:val="Descripcin"/>
        <w:spacing w:before="240" w:after="120" w:line="240" w:lineRule="auto"/>
        <w:rPr>
          <w:i/>
          <w:iCs/>
          <w:sz w:val="20"/>
          <w:szCs w:val="18"/>
        </w:rPr>
      </w:pPr>
      <w:r w:rsidRPr="003107B7">
        <w:rPr>
          <w:i/>
          <w:iCs/>
          <w:sz w:val="20"/>
          <w:szCs w:val="18"/>
        </w:rPr>
        <w:lastRenderedPageBreak/>
        <w:t xml:space="preserve">Tabla </w:t>
      </w:r>
      <w:r>
        <w:rPr>
          <w:i/>
          <w:iCs/>
          <w:sz w:val="20"/>
          <w:szCs w:val="18"/>
        </w:rPr>
        <w:t>9</w:t>
      </w:r>
      <w:r w:rsidRPr="003107B7">
        <w:rPr>
          <w:i/>
          <w:iCs/>
          <w:sz w:val="20"/>
          <w:szCs w:val="18"/>
        </w:rPr>
        <w:t xml:space="preserve"> AOM base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3107B7" w:rsidRPr="00D443BE" w14:paraId="4D6E8BC0" w14:textId="77777777" w:rsidTr="004A78D5">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1AD80" w14:textId="77777777" w:rsidR="003107B7" w:rsidRPr="00D443BE" w:rsidRDefault="003107B7" w:rsidP="004A78D5">
            <w:pPr>
              <w:spacing w:before="0" w:after="0"/>
              <w:jc w:val="center"/>
              <w:rPr>
                <w:rFonts w:cs="Arial"/>
                <w:b/>
                <w:bCs/>
                <w:sz w:val="18"/>
                <w:szCs w:val="18"/>
                <w:lang w:val="es-CO" w:eastAsia="es-CO"/>
              </w:rPr>
            </w:pPr>
            <w:r w:rsidRPr="00D443BE">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E19C384" w14:textId="77777777" w:rsidR="003107B7" w:rsidRPr="00D443BE" w:rsidRDefault="003107B7" w:rsidP="004A78D5">
            <w:pPr>
              <w:spacing w:before="0" w:after="0"/>
              <w:jc w:val="center"/>
              <w:rPr>
                <w:rFonts w:cs="Arial"/>
                <w:b/>
                <w:bCs/>
                <w:sz w:val="18"/>
                <w:szCs w:val="18"/>
                <w:lang w:val="es-CO" w:eastAsia="es-CO"/>
              </w:rPr>
            </w:pPr>
            <w:r w:rsidRPr="00D443BE">
              <w:rPr>
                <w:rFonts w:cs="Arial"/>
                <w:b/>
                <w:bCs/>
                <w:sz w:val="18"/>
                <w:szCs w:val="18"/>
                <w:lang w:val="es-CO" w:eastAsia="es-CO"/>
              </w:rPr>
              <w:t>Pesos de diciembre de 2017</w:t>
            </w:r>
          </w:p>
        </w:tc>
      </w:tr>
      <w:tr w:rsidR="00ED5FA8" w:rsidRPr="00D443BE" w14:paraId="7D7072DD" w14:textId="77777777" w:rsidTr="004A78D5">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4F414B3" w14:textId="77777777" w:rsidR="00ED5FA8" w:rsidRPr="00D443BE" w:rsidRDefault="00ED5FA8" w:rsidP="00ED5FA8">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14:paraId="42CAE999" w14:textId="4CD33B91" w:rsidR="00ED5FA8" w:rsidRPr="00951CA6" w:rsidRDefault="00ED5FA8" w:rsidP="00ED5FA8">
            <w:pPr>
              <w:spacing w:before="0" w:after="0"/>
              <w:jc w:val="right"/>
              <w:rPr>
                <w:rFonts w:cs="Arial"/>
                <w:sz w:val="18"/>
                <w:szCs w:val="18"/>
                <w:lang w:val="es-CO" w:eastAsia="es-CO"/>
              </w:rPr>
            </w:pPr>
            <w:r w:rsidRPr="00697957">
              <w:rPr>
                <w:sz w:val="18"/>
                <w:szCs w:val="18"/>
              </w:rPr>
              <w:t>0</w:t>
            </w:r>
          </w:p>
        </w:tc>
      </w:tr>
      <w:tr w:rsidR="00ED5FA8" w:rsidRPr="00D443BE" w14:paraId="26BAAB26" w14:textId="77777777" w:rsidTr="004A78D5">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DF371C8" w14:textId="77777777" w:rsidR="00ED5FA8" w:rsidRPr="00D443BE" w:rsidRDefault="00ED5FA8" w:rsidP="00ED5FA8">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5F60FC44" w14:textId="64F36F63" w:rsidR="00ED5FA8" w:rsidRPr="00951CA6" w:rsidRDefault="00ED5FA8" w:rsidP="00ED5FA8">
            <w:pPr>
              <w:spacing w:before="0" w:after="0"/>
              <w:jc w:val="right"/>
              <w:rPr>
                <w:rFonts w:cs="Arial"/>
                <w:sz w:val="18"/>
                <w:szCs w:val="18"/>
              </w:rPr>
            </w:pPr>
            <w:r w:rsidRPr="00697957">
              <w:rPr>
                <w:sz w:val="18"/>
                <w:szCs w:val="18"/>
              </w:rPr>
              <w:t>347.320.769</w:t>
            </w:r>
          </w:p>
        </w:tc>
      </w:tr>
      <w:tr w:rsidR="00ED5FA8" w:rsidRPr="00D443BE" w14:paraId="00F9EC14" w14:textId="77777777" w:rsidTr="004A78D5">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244A09A" w14:textId="77777777" w:rsidR="00ED5FA8" w:rsidRPr="00D443BE" w:rsidRDefault="00ED5FA8" w:rsidP="00ED5FA8">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7DD21EF1" w14:textId="5F79F14A" w:rsidR="00ED5FA8" w:rsidRPr="00951CA6" w:rsidRDefault="00ED5FA8" w:rsidP="00ED5FA8">
            <w:pPr>
              <w:spacing w:before="0" w:after="0"/>
              <w:jc w:val="right"/>
              <w:rPr>
                <w:rFonts w:cs="Arial"/>
                <w:sz w:val="18"/>
                <w:szCs w:val="18"/>
              </w:rPr>
            </w:pPr>
            <w:r w:rsidRPr="00697957">
              <w:rPr>
                <w:sz w:val="18"/>
                <w:szCs w:val="18"/>
              </w:rPr>
              <w:t>246.077.774</w:t>
            </w:r>
          </w:p>
        </w:tc>
      </w:tr>
      <w:tr w:rsidR="00ED5FA8" w:rsidRPr="00D443BE" w14:paraId="2E248BB0" w14:textId="77777777" w:rsidTr="004A78D5">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EE27DBB" w14:textId="77777777" w:rsidR="00ED5FA8" w:rsidRPr="00D443BE" w:rsidRDefault="00ED5FA8" w:rsidP="00ED5FA8">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21FE26D5" w14:textId="4D62512A" w:rsidR="00ED5FA8" w:rsidRPr="00951CA6" w:rsidRDefault="00ED5FA8" w:rsidP="00ED5FA8">
            <w:pPr>
              <w:spacing w:before="0" w:after="0"/>
              <w:jc w:val="right"/>
              <w:rPr>
                <w:rFonts w:cs="Arial"/>
                <w:sz w:val="18"/>
                <w:szCs w:val="18"/>
              </w:rPr>
            </w:pPr>
            <w:r w:rsidRPr="00697957">
              <w:rPr>
                <w:sz w:val="18"/>
                <w:szCs w:val="18"/>
              </w:rPr>
              <w:t>29.325.151</w:t>
            </w:r>
          </w:p>
        </w:tc>
      </w:tr>
    </w:tbl>
    <w:p w14:paraId="56ECB1A7" w14:textId="0705FA75" w:rsidR="007566A2" w:rsidRPr="00F0138E" w:rsidRDefault="007566A2" w:rsidP="004B4540">
      <w:pPr>
        <w:numPr>
          <w:ilvl w:val="0"/>
          <w:numId w:val="7"/>
        </w:numPr>
        <w:tabs>
          <w:tab w:val="left" w:pos="1701"/>
          <w:tab w:val="num" w:pos="2150"/>
        </w:tabs>
        <w:spacing w:before="240" w:after="240"/>
        <w:rPr>
          <w:rFonts w:cs="Arial"/>
        </w:rPr>
      </w:pPr>
      <w:r w:rsidRPr="00F0138E">
        <w:rPr>
          <w:rFonts w:cs="Arial"/>
        </w:rPr>
        <w:t xml:space="preserve">Modificar el artículo </w:t>
      </w:r>
      <w:r w:rsidR="00F622C8">
        <w:rPr>
          <w:rFonts w:cs="Arial"/>
        </w:rPr>
        <w:t>15</w:t>
      </w:r>
      <w:r w:rsidRPr="00F0138E">
        <w:rPr>
          <w:rFonts w:cs="Arial"/>
        </w:rPr>
        <w:t xml:space="preserve"> de la Resolución CREG </w:t>
      </w:r>
      <w:r>
        <w:rPr>
          <w:rFonts w:cs="Arial"/>
        </w:rPr>
        <w:t>219</w:t>
      </w:r>
      <w:r w:rsidRPr="00F0138E">
        <w:rPr>
          <w:rFonts w:cs="Arial"/>
        </w:rPr>
        <w:t xml:space="preserve"> de 202</w:t>
      </w:r>
      <w:r>
        <w:rPr>
          <w:rFonts w:cs="Arial"/>
        </w:rPr>
        <w:t>1</w:t>
      </w:r>
      <w:r w:rsidRPr="00F0138E">
        <w:rPr>
          <w:rFonts w:cs="Arial"/>
        </w:rPr>
        <w:t>, el cual quedará así:</w:t>
      </w:r>
    </w:p>
    <w:p w14:paraId="764F7884" w14:textId="77777777" w:rsidR="0014140A" w:rsidRPr="0014140A" w:rsidRDefault="007566A2" w:rsidP="00E41ECB">
      <w:pPr>
        <w:tabs>
          <w:tab w:val="left" w:pos="1701"/>
        </w:tabs>
        <w:spacing w:before="240" w:after="240"/>
        <w:ind w:left="284"/>
        <w:rPr>
          <w:i/>
          <w:iCs/>
        </w:rPr>
      </w:pPr>
      <w:r w:rsidRPr="00064CC5">
        <w:rPr>
          <w:b/>
          <w:bCs/>
          <w:i/>
          <w:iCs/>
        </w:rPr>
        <w:t xml:space="preserve">Artículo </w:t>
      </w:r>
      <w:r w:rsidR="006A738A">
        <w:rPr>
          <w:b/>
          <w:bCs/>
          <w:i/>
          <w:iCs/>
        </w:rPr>
        <w:t>15</w:t>
      </w:r>
      <w:r w:rsidRPr="00064CC5">
        <w:rPr>
          <w:b/>
          <w:bCs/>
          <w:i/>
          <w:iCs/>
        </w:rPr>
        <w:t xml:space="preserve">. </w:t>
      </w:r>
      <w:r w:rsidR="006A738A" w:rsidRPr="006A738A">
        <w:rPr>
          <w:b/>
          <w:bCs/>
          <w:i/>
          <w:iCs/>
        </w:rPr>
        <w:t>Costos de reposición de referencia</w:t>
      </w:r>
      <w:r w:rsidRPr="00064CC5">
        <w:rPr>
          <w:b/>
          <w:bCs/>
          <w:i/>
          <w:iCs/>
        </w:rPr>
        <w:t>.</w:t>
      </w:r>
      <w:r w:rsidRPr="00985AB7">
        <w:rPr>
          <w:b/>
          <w:bCs/>
        </w:rPr>
        <w:t xml:space="preserve"> </w:t>
      </w:r>
      <w:r w:rsidRPr="00504110">
        <w:rPr>
          <w:i/>
          <w:iCs/>
        </w:rPr>
        <w:t xml:space="preserve">El </w:t>
      </w:r>
      <w:r w:rsidR="0014140A" w:rsidRPr="0014140A">
        <w:rPr>
          <w:i/>
          <w:iCs/>
        </w:rPr>
        <w:t xml:space="preserve">costo de reposición de referencia, </w:t>
      </w:r>
      <w:proofErr w:type="spellStart"/>
      <w:r w:rsidR="0014140A" w:rsidRPr="0014140A">
        <w:rPr>
          <w:i/>
          <w:iCs/>
        </w:rPr>
        <w:t>CRR</w:t>
      </w:r>
      <w:r w:rsidR="0014140A" w:rsidRPr="0014140A">
        <w:rPr>
          <w:i/>
          <w:iCs/>
          <w:vertAlign w:val="subscript"/>
        </w:rPr>
        <w:t>j</w:t>
      </w:r>
      <w:proofErr w:type="spellEnd"/>
      <w:r w:rsidR="0014140A" w:rsidRPr="0014140A">
        <w:rPr>
          <w:i/>
          <w:iCs/>
        </w:rPr>
        <w:t xml:space="preserve">, y los costos de reposición de referencia por nivel de tensión, </w:t>
      </w:r>
      <w:proofErr w:type="spellStart"/>
      <w:proofErr w:type="gramStart"/>
      <w:r w:rsidR="0014140A" w:rsidRPr="0014140A">
        <w:rPr>
          <w:i/>
          <w:iCs/>
        </w:rPr>
        <w:t>Crr</w:t>
      </w:r>
      <w:r w:rsidR="0014140A" w:rsidRPr="0014140A">
        <w:rPr>
          <w:i/>
          <w:iCs/>
          <w:vertAlign w:val="subscript"/>
        </w:rPr>
        <w:t>j,n</w:t>
      </w:r>
      <w:proofErr w:type="spellEnd"/>
      <w:proofErr w:type="gramEnd"/>
      <w:r w:rsidR="0014140A" w:rsidRPr="0014140A">
        <w:rPr>
          <w:i/>
          <w:iCs/>
        </w:rPr>
        <w:t>, son los siguientes:</w:t>
      </w:r>
    </w:p>
    <w:p w14:paraId="3F630D1D" w14:textId="55E59BFF" w:rsidR="00822599" w:rsidRPr="00822599" w:rsidRDefault="00822599" w:rsidP="00822599">
      <w:pPr>
        <w:pStyle w:val="Descripcin"/>
        <w:spacing w:before="240" w:after="120" w:line="240" w:lineRule="auto"/>
        <w:rPr>
          <w:i/>
          <w:iCs/>
          <w:sz w:val="20"/>
          <w:szCs w:val="18"/>
        </w:rPr>
      </w:pPr>
      <w:r w:rsidRPr="00822599">
        <w:rPr>
          <w:i/>
          <w:iCs/>
          <w:sz w:val="20"/>
          <w:szCs w:val="18"/>
        </w:rPr>
        <w:t xml:space="preserve">Tabla </w:t>
      </w:r>
      <w:r>
        <w:rPr>
          <w:i/>
          <w:iCs/>
          <w:sz w:val="20"/>
          <w:szCs w:val="18"/>
        </w:rPr>
        <w:t>19</w:t>
      </w:r>
      <w:r w:rsidRPr="00822599">
        <w:rPr>
          <w:i/>
          <w:iCs/>
          <w:sz w:val="20"/>
          <w:szCs w:val="18"/>
        </w:rPr>
        <w:t xml:space="preserve"> Costo de reposición de referencia</w:t>
      </w:r>
    </w:p>
    <w:tbl>
      <w:tblPr>
        <w:tblW w:w="3320" w:type="dxa"/>
        <w:jc w:val="center"/>
        <w:tblCellMar>
          <w:left w:w="70" w:type="dxa"/>
          <w:right w:w="70" w:type="dxa"/>
        </w:tblCellMar>
        <w:tblLook w:val="04A0" w:firstRow="1" w:lastRow="0" w:firstColumn="1" w:lastColumn="0" w:noHBand="0" w:noVBand="1"/>
      </w:tblPr>
      <w:tblGrid>
        <w:gridCol w:w="1360"/>
        <w:gridCol w:w="1960"/>
      </w:tblGrid>
      <w:tr w:rsidR="00822599" w:rsidRPr="000E022D" w14:paraId="32EBBDFA" w14:textId="77777777" w:rsidTr="004A78D5">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AF8CA" w14:textId="77777777" w:rsidR="00822599" w:rsidRPr="000E022D" w:rsidRDefault="00822599" w:rsidP="004A78D5">
            <w:pPr>
              <w:spacing w:before="0" w:after="0"/>
              <w:jc w:val="center"/>
              <w:rPr>
                <w:rFonts w:cs="Arial"/>
                <w:b/>
                <w:bCs/>
                <w:sz w:val="18"/>
                <w:szCs w:val="18"/>
                <w:lang w:val="es-CO" w:eastAsia="es-CO"/>
              </w:rPr>
            </w:pPr>
            <w:r w:rsidRPr="000E022D">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18273367" w14:textId="77777777" w:rsidR="00822599" w:rsidRPr="000E022D" w:rsidRDefault="00822599" w:rsidP="004A78D5">
            <w:pPr>
              <w:spacing w:before="0" w:after="0"/>
              <w:jc w:val="center"/>
              <w:rPr>
                <w:rFonts w:cs="Arial"/>
                <w:b/>
                <w:bCs/>
                <w:sz w:val="18"/>
                <w:szCs w:val="18"/>
                <w:lang w:val="es-CO" w:eastAsia="es-CO"/>
              </w:rPr>
            </w:pPr>
            <w:r w:rsidRPr="000E022D">
              <w:rPr>
                <w:rFonts w:cs="Arial"/>
                <w:b/>
                <w:bCs/>
                <w:sz w:val="18"/>
                <w:szCs w:val="18"/>
                <w:lang w:val="es-CO" w:eastAsia="es-CO"/>
              </w:rPr>
              <w:t>Pesos de diciembre de 2017</w:t>
            </w:r>
          </w:p>
        </w:tc>
      </w:tr>
      <w:tr w:rsidR="006753CE" w:rsidRPr="000E022D" w14:paraId="29256B6A" w14:textId="77777777" w:rsidTr="006753C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8E3E535" w14:textId="77777777" w:rsidR="006753CE" w:rsidRPr="000E022D" w:rsidRDefault="006753CE" w:rsidP="006753CE">
            <w:pPr>
              <w:spacing w:before="0" w:after="0"/>
              <w:jc w:val="center"/>
              <w:rPr>
                <w:rFonts w:cs="Arial"/>
                <w:i/>
                <w:iCs/>
                <w:sz w:val="18"/>
                <w:szCs w:val="18"/>
                <w:lang w:val="es-CO" w:eastAsia="es-CO"/>
              </w:rPr>
            </w:pPr>
            <w:proofErr w:type="spellStart"/>
            <w:r w:rsidRPr="000E022D">
              <w:rPr>
                <w:rFonts w:cs="Arial"/>
                <w:i/>
                <w:iCs/>
                <w:sz w:val="18"/>
                <w:szCs w:val="18"/>
                <w:lang w:val="es-CO" w:eastAsia="es-CO"/>
              </w:rPr>
              <w:t>CRR</w:t>
            </w:r>
            <w:r w:rsidRPr="000E022D">
              <w:rPr>
                <w:rFonts w:cs="Arial"/>
                <w:i/>
                <w:iCs/>
                <w:color w:val="000000"/>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14:paraId="79DCDD5E" w14:textId="520CA52D" w:rsidR="006753CE" w:rsidRPr="006753CE" w:rsidRDefault="006753CE" w:rsidP="006753CE">
            <w:pPr>
              <w:spacing w:before="0" w:after="0"/>
              <w:jc w:val="right"/>
              <w:rPr>
                <w:rFonts w:cs="Arial"/>
                <w:sz w:val="18"/>
                <w:szCs w:val="18"/>
                <w:lang w:val="es-CO" w:eastAsia="es-CO"/>
              </w:rPr>
            </w:pPr>
            <w:r w:rsidRPr="006753CE">
              <w:rPr>
                <w:sz w:val="18"/>
                <w:szCs w:val="18"/>
              </w:rPr>
              <w:t>6.004.499.952</w:t>
            </w:r>
          </w:p>
        </w:tc>
      </w:tr>
      <w:tr w:rsidR="006753CE" w:rsidRPr="000E022D" w14:paraId="3892D901" w14:textId="77777777" w:rsidTr="006753C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B969C8C" w14:textId="77777777" w:rsidR="006753CE" w:rsidRPr="000E022D" w:rsidRDefault="006753CE" w:rsidP="006753CE">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14:paraId="7C0074EE" w14:textId="35729444" w:rsidR="006753CE" w:rsidRPr="006753CE" w:rsidRDefault="006753CE" w:rsidP="006753CE">
            <w:pPr>
              <w:spacing w:before="0" w:after="0"/>
              <w:jc w:val="right"/>
              <w:rPr>
                <w:rFonts w:cs="Arial"/>
                <w:sz w:val="18"/>
                <w:szCs w:val="18"/>
              </w:rPr>
            </w:pPr>
            <w:r w:rsidRPr="006753CE">
              <w:rPr>
                <w:sz w:val="18"/>
                <w:szCs w:val="18"/>
              </w:rPr>
              <w:t>0</w:t>
            </w:r>
          </w:p>
        </w:tc>
      </w:tr>
      <w:tr w:rsidR="006753CE" w:rsidRPr="000E022D" w14:paraId="2607BACB" w14:textId="77777777" w:rsidTr="006753C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49BCFA8" w14:textId="77777777" w:rsidR="006753CE" w:rsidRPr="000E022D" w:rsidRDefault="006753CE" w:rsidP="006753CE">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187A4723" w14:textId="58B4F67A" w:rsidR="006753CE" w:rsidRPr="006753CE" w:rsidRDefault="006753CE" w:rsidP="006753CE">
            <w:pPr>
              <w:spacing w:before="0" w:after="0"/>
              <w:jc w:val="right"/>
              <w:rPr>
                <w:rFonts w:cs="Arial"/>
                <w:sz w:val="18"/>
                <w:szCs w:val="18"/>
              </w:rPr>
            </w:pPr>
            <w:r w:rsidRPr="006753CE">
              <w:rPr>
                <w:sz w:val="18"/>
                <w:szCs w:val="18"/>
              </w:rPr>
              <w:t>3.326.657.749</w:t>
            </w:r>
          </w:p>
        </w:tc>
      </w:tr>
      <w:tr w:rsidR="006753CE" w:rsidRPr="000E022D" w14:paraId="71FB2F11" w14:textId="77777777" w:rsidTr="006753C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195D69D" w14:textId="77777777" w:rsidR="006753CE" w:rsidRPr="000E022D" w:rsidRDefault="006753CE" w:rsidP="006753CE">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3C5708D9" w14:textId="5FA2A53C" w:rsidR="006753CE" w:rsidRPr="006753CE" w:rsidRDefault="006753CE" w:rsidP="006753CE">
            <w:pPr>
              <w:spacing w:before="0" w:after="0"/>
              <w:jc w:val="right"/>
              <w:rPr>
                <w:rFonts w:cs="Arial"/>
                <w:sz w:val="18"/>
                <w:szCs w:val="18"/>
              </w:rPr>
            </w:pPr>
            <w:r w:rsidRPr="006753CE">
              <w:rPr>
                <w:sz w:val="18"/>
                <w:szCs w:val="18"/>
              </w:rPr>
              <w:t>2.366.117.222</w:t>
            </w:r>
          </w:p>
        </w:tc>
      </w:tr>
      <w:tr w:rsidR="006753CE" w:rsidRPr="000E022D" w14:paraId="202C2CF6" w14:textId="77777777" w:rsidTr="006753C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C498EE5" w14:textId="77777777" w:rsidR="006753CE" w:rsidRPr="000E022D" w:rsidRDefault="006753CE" w:rsidP="006753CE">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3CFBBA70" w14:textId="78ECBF92" w:rsidR="006753CE" w:rsidRPr="006753CE" w:rsidRDefault="006753CE" w:rsidP="006753CE">
            <w:pPr>
              <w:spacing w:before="0" w:after="0"/>
              <w:jc w:val="right"/>
              <w:rPr>
                <w:rFonts w:cs="Arial"/>
                <w:sz w:val="18"/>
                <w:szCs w:val="18"/>
              </w:rPr>
            </w:pPr>
            <w:r w:rsidRPr="006753CE">
              <w:rPr>
                <w:sz w:val="18"/>
                <w:szCs w:val="18"/>
              </w:rPr>
              <w:t>311.724.980</w:t>
            </w:r>
          </w:p>
        </w:tc>
      </w:tr>
    </w:tbl>
    <w:p w14:paraId="614A465E" w14:textId="3E439C7E" w:rsidR="00B8498F" w:rsidRPr="00B8498F" w:rsidRDefault="00B8498F" w:rsidP="004B4540">
      <w:pPr>
        <w:pStyle w:val="Prrafodelista"/>
        <w:numPr>
          <w:ilvl w:val="0"/>
          <w:numId w:val="7"/>
        </w:numPr>
        <w:rPr>
          <w:b/>
        </w:rPr>
      </w:pPr>
      <w:r w:rsidRPr="00B8498F">
        <w:rPr>
          <w:b/>
          <w:bCs/>
        </w:rPr>
        <w:t>Periodo de aplicación de la variable AIM.</w:t>
      </w:r>
      <w:r>
        <w:t xml:space="preserve"> </w:t>
      </w:r>
      <w:r w:rsidR="00106EF8">
        <w:t>L</w:t>
      </w:r>
      <w:r w:rsidR="00106EF8" w:rsidRPr="00E70369">
        <w:t xml:space="preserve">a aplicación de la variable </w:t>
      </w:r>
      <w:proofErr w:type="spellStart"/>
      <w:proofErr w:type="gramStart"/>
      <w:r w:rsidR="00106EF8" w:rsidRPr="00B8498F">
        <w:rPr>
          <w:i/>
          <w:iCs/>
        </w:rPr>
        <w:t>AIMj</w:t>
      </w:r>
      <w:r w:rsidR="00106EF8" w:rsidRPr="00B8498F">
        <w:rPr>
          <w:i/>
          <w:iCs/>
          <w:vertAlign w:val="subscript"/>
        </w:rPr>
        <w:t>,n</w:t>
      </w:r>
      <w:proofErr w:type="gramEnd"/>
      <w:r w:rsidR="00106EF8" w:rsidRPr="00B8498F">
        <w:rPr>
          <w:i/>
          <w:iCs/>
          <w:vertAlign w:val="subscript"/>
        </w:rPr>
        <w:t>,m</w:t>
      </w:r>
      <w:proofErr w:type="spellEnd"/>
      <w:r w:rsidR="00106EF8" w:rsidRPr="00E70369">
        <w:t xml:space="preserve">, definida en el numeral 1.3.4.1 de la Resolución CREG 015 de 2018, </w:t>
      </w:r>
      <w:r w:rsidR="00106EF8">
        <w:t xml:space="preserve">se </w:t>
      </w:r>
      <w:r w:rsidR="008E0E13">
        <w:t xml:space="preserve">realizará </w:t>
      </w:r>
      <w:r w:rsidR="00106EF8" w:rsidRPr="00E70369">
        <w:t xml:space="preserve">con base en el ajuste </w:t>
      </w:r>
      <w:r w:rsidR="00106EF8">
        <w:t>determinado</w:t>
      </w:r>
      <w:r w:rsidR="00106EF8" w:rsidRPr="00E70369">
        <w:t xml:space="preserve"> en este artículo</w:t>
      </w:r>
      <w:r w:rsidR="00106EF8" w:rsidDel="00C15DAE">
        <w:t xml:space="preserve"> </w:t>
      </w:r>
      <w:r w:rsidR="008E0E13">
        <w:t>p</w:t>
      </w:r>
      <w:r w:rsidR="00C15DAE">
        <w:t>ara</w:t>
      </w:r>
      <w:r>
        <w:t xml:space="preserve"> la Empresa Municipal de Energía Eléctrica S.A. E.S.P.</w:t>
      </w:r>
    </w:p>
    <w:p w14:paraId="797A786F" w14:textId="49F2B28A" w:rsidR="00B8498F" w:rsidRDefault="00B8498F" w:rsidP="00B8498F">
      <w:r>
        <w:t>Para las liquidaciones de los diecisiete (17) meses siguientes a la entrada en vigencia de esta resolución</w:t>
      </w:r>
      <w:r w:rsidRPr="0067569D">
        <w:t xml:space="preserve">, el valor de la variable </w:t>
      </w:r>
      <w:proofErr w:type="spellStart"/>
      <w:proofErr w:type="gramStart"/>
      <w:r w:rsidRPr="00B8498F">
        <w:rPr>
          <w:i/>
          <w:iCs/>
        </w:rPr>
        <w:t>AIMj</w:t>
      </w:r>
      <w:r w:rsidRPr="00B8498F">
        <w:rPr>
          <w:i/>
          <w:iCs/>
          <w:vertAlign w:val="subscript"/>
        </w:rPr>
        <w:t>,n</w:t>
      </w:r>
      <w:proofErr w:type="gramEnd"/>
      <w:r w:rsidRPr="00B8498F">
        <w:rPr>
          <w:i/>
          <w:iCs/>
          <w:vertAlign w:val="subscript"/>
        </w:rPr>
        <w:t>,m</w:t>
      </w:r>
      <w:proofErr w:type="spellEnd"/>
      <w:r w:rsidRPr="0067569D">
        <w:t xml:space="preserve"> se calculará con la siguiente modificación:</w:t>
      </w:r>
    </w:p>
    <w:p w14:paraId="7EB82B60" w14:textId="7A64FA82" w:rsidR="00CB2C25" w:rsidRDefault="00CB2C25" w:rsidP="00B8498F"/>
    <w:p w14:paraId="0EEB3827" w14:textId="77777777" w:rsidR="00CB2C25" w:rsidRPr="0067569D" w:rsidRDefault="00CB2C25" w:rsidP="00B8498F"/>
    <w:p w14:paraId="6A6B36ED" w14:textId="1444BED3" w:rsidR="00B8498F" w:rsidRPr="00B8498F" w:rsidRDefault="00840C0C" w:rsidP="00B8498F">
      <w:pPr>
        <w:rPr>
          <w:lang w:val="es-ES_tradnl"/>
        </w:rPr>
      </w:pPr>
      <m:oMathPara>
        <m:oMath>
          <m:sSub>
            <m:sSubPr>
              <m:ctrlPr>
                <w:rPr>
                  <w:rFonts w:ascii="Cambria Math" w:hAnsi="Cambria Math"/>
                  <w:lang w:val="es-ES_tradnl"/>
                </w:rPr>
              </m:ctrlPr>
            </m:sSubPr>
            <m:e>
              <m:r>
                <m:rPr>
                  <m:sty m:val="bi"/>
                </m:rPr>
                <w:rPr>
                  <w:rFonts w:ascii="Cambria Math" w:hAnsi="Cambria Math"/>
                  <w:lang w:val="es-ES_tradnl"/>
                </w:rPr>
                <m:t>AIM</m:t>
              </m:r>
            </m:e>
            <m:sub>
              <m:r>
                <m:rPr>
                  <m:sty m:val="bi"/>
                </m:rPr>
                <w:rPr>
                  <w:rFonts w:ascii="Cambria Math" w:hAnsi="Cambria Math"/>
                  <w:lang w:val="es-ES_tradnl"/>
                </w:rPr>
                <m:t>j</m:t>
              </m:r>
              <m:r>
                <m:rPr>
                  <m:sty m:val="p"/>
                </m:rPr>
                <w:rPr>
                  <w:rFonts w:ascii="Cambria Math" w:hAnsi="Cambria Math"/>
                  <w:lang w:val="es-ES_tradnl"/>
                </w:rPr>
                <m:t>,</m:t>
              </m:r>
              <m:r>
                <m:rPr>
                  <m:sty m:val="bi"/>
                </m:rPr>
                <w:rPr>
                  <w:rFonts w:ascii="Cambria Math" w:hAnsi="Cambria Math"/>
                  <w:lang w:val="es-ES_tradnl"/>
                </w:rPr>
                <m:t>n</m:t>
              </m:r>
              <m:r>
                <m:rPr>
                  <m:sty m:val="p"/>
                </m:rPr>
                <w:rPr>
                  <w:rFonts w:ascii="Cambria Math" w:hAnsi="Cambria Math"/>
                  <w:lang w:val="es-ES_tradnl"/>
                </w:rPr>
                <m:t>,</m:t>
              </m:r>
              <m:r>
                <m:rPr>
                  <m:sty m:val="bi"/>
                </m:rPr>
                <w:rPr>
                  <w:rFonts w:ascii="Cambria Math" w:hAnsi="Cambria Math"/>
                  <w:lang w:val="es-ES_tradnl"/>
                </w:rPr>
                <m:t>m</m:t>
              </m:r>
            </m:sub>
          </m:sSub>
          <m:r>
            <m:rPr>
              <m:sty m:val="p"/>
            </m:rPr>
            <w:rPr>
              <w:rFonts w:ascii="Cambria Math" w:hAnsi="Cambria Math"/>
              <w:lang w:val="es-ES_tradnl"/>
            </w:rPr>
            <m:t>=</m:t>
          </m:r>
          <m:f>
            <m:fPr>
              <m:ctrlPr>
                <w:rPr>
                  <w:rFonts w:ascii="Cambria Math" w:hAnsi="Cambria Math"/>
                  <w:lang w:val="es-ES_tradnl"/>
                </w:rPr>
              </m:ctrlPr>
            </m:fPr>
            <m:num>
              <m:nary>
                <m:naryPr>
                  <m:chr m:val="∑"/>
                  <m:limLoc m:val="undOvr"/>
                  <m:ctrlPr>
                    <w:rPr>
                      <w:rFonts w:ascii="Cambria Math" w:hAnsi="Cambria Math"/>
                      <w:lang w:val="es-ES_tradnl"/>
                    </w:rPr>
                  </m:ctrlPr>
                </m:naryPr>
                <m:sub>
                  <m:r>
                    <m:rPr>
                      <m:sty m:val="bi"/>
                    </m:rPr>
                    <w:rPr>
                      <w:rFonts w:ascii="Cambria Math" w:hAnsi="Cambria Math"/>
                      <w:lang w:val="es-ES_tradnl"/>
                    </w:rPr>
                    <m:t>ma</m:t>
                  </m:r>
                  <m:r>
                    <m:rPr>
                      <m:sty m:val="p"/>
                    </m:rPr>
                    <w:rPr>
                      <w:rFonts w:ascii="Cambria Math" w:hAnsi="Cambria Math"/>
                      <w:lang w:val="es-ES_tradnl"/>
                    </w:rPr>
                    <m:t>=</m:t>
                  </m:r>
                  <m:r>
                    <m:rPr>
                      <m:sty m:val="b"/>
                    </m:rPr>
                    <w:rPr>
                      <w:rFonts w:ascii="Cambria Math" w:hAnsi="Cambria Math"/>
                      <w:lang w:val="es-ES_tradnl"/>
                    </w:rPr>
                    <m:t>1</m:t>
                  </m:r>
                </m:sub>
                <m:sup>
                  <m:sSub>
                    <m:sSubPr>
                      <m:ctrlPr>
                        <w:rPr>
                          <w:rFonts w:ascii="Cambria Math" w:hAnsi="Cambria Math"/>
                          <w:lang w:val="es-ES_tradnl"/>
                        </w:rPr>
                      </m:ctrlPr>
                    </m:sSubPr>
                    <m:e>
                      <m:r>
                        <m:rPr>
                          <m:sty m:val="bi"/>
                        </m:rPr>
                        <w:rPr>
                          <w:rFonts w:ascii="Cambria Math" w:hAnsi="Cambria Math"/>
                          <w:lang w:val="es-ES_tradnl"/>
                        </w:rPr>
                        <m:t>NMA</m:t>
                      </m:r>
                    </m:e>
                    <m:sub>
                      <m:r>
                        <m:rPr>
                          <m:sty m:val="bi"/>
                        </m:rPr>
                        <w:rPr>
                          <w:rFonts w:ascii="Cambria Math" w:hAnsi="Cambria Math"/>
                          <w:lang w:val="es-ES_tradnl"/>
                        </w:rPr>
                        <m:t>j</m:t>
                      </m:r>
                    </m:sub>
                  </m:sSub>
                </m:sup>
                <m:e>
                  <m:d>
                    <m:dPr>
                      <m:ctrlPr>
                        <w:rPr>
                          <w:rFonts w:ascii="Cambria Math" w:hAnsi="Cambria Math"/>
                          <w:lang w:val="es-ES_tradnl"/>
                        </w:rPr>
                      </m:ctrlPr>
                    </m:dPr>
                    <m:e>
                      <m:sSub>
                        <m:sSubPr>
                          <m:ctrlPr>
                            <w:rPr>
                              <w:rFonts w:ascii="Cambria Math" w:hAnsi="Cambria Math"/>
                              <w:lang w:val="es-ES_tradnl"/>
                            </w:rPr>
                          </m:ctrlPr>
                        </m:sSubPr>
                        <m:e>
                          <m:r>
                            <m:rPr>
                              <m:sty m:val="bi"/>
                            </m:rPr>
                            <w:rPr>
                              <w:rFonts w:ascii="Cambria Math" w:hAnsi="Cambria Math"/>
                              <w:lang w:val="es-ES_tradnl"/>
                            </w:rPr>
                            <m:t>IMN</m:t>
                          </m:r>
                        </m:e>
                        <m:sub>
                          <m:r>
                            <m:rPr>
                              <m:sty m:val="bi"/>
                            </m:rPr>
                            <w:rPr>
                              <w:rFonts w:ascii="Cambria Math" w:hAnsi="Cambria Math"/>
                              <w:lang w:val="es-ES_tradnl"/>
                            </w:rPr>
                            <m:t>j</m:t>
                          </m:r>
                          <m:r>
                            <m:rPr>
                              <m:sty m:val="p"/>
                            </m:rPr>
                            <w:rPr>
                              <w:rFonts w:ascii="Cambria Math" w:hAnsi="Cambria Math"/>
                              <w:lang w:val="es-ES_tradnl"/>
                            </w:rPr>
                            <m:t>,</m:t>
                          </m:r>
                          <m:r>
                            <m:rPr>
                              <m:sty m:val="bi"/>
                            </m:rPr>
                            <w:rPr>
                              <w:rFonts w:ascii="Cambria Math" w:hAnsi="Cambria Math"/>
                              <w:lang w:val="es-ES_tradnl"/>
                            </w:rPr>
                            <m:t>n</m:t>
                          </m:r>
                          <m:r>
                            <m:rPr>
                              <m:sty m:val="p"/>
                            </m:rPr>
                            <w:rPr>
                              <w:rFonts w:ascii="Cambria Math" w:hAnsi="Cambria Math"/>
                              <w:lang w:val="es-ES_tradnl"/>
                            </w:rPr>
                            <m:t>,</m:t>
                          </m:r>
                          <m:r>
                            <m:rPr>
                              <m:sty m:val="bi"/>
                            </m:rPr>
                            <w:rPr>
                              <w:rFonts w:ascii="Cambria Math" w:hAnsi="Cambria Math"/>
                              <w:lang w:val="es-ES_tradnl"/>
                            </w:rPr>
                            <m:t>ma</m:t>
                          </m:r>
                        </m:sub>
                      </m:sSub>
                      <m:r>
                        <m:rPr>
                          <m:sty m:val="p"/>
                        </m:rPr>
                        <w:rPr>
                          <w:rFonts w:ascii="Cambria Math" w:hAnsi="Cambria Math"/>
                          <w:lang w:val="es-ES_tradnl"/>
                        </w:rPr>
                        <m:t>-</m:t>
                      </m:r>
                      <m:sSub>
                        <m:sSubPr>
                          <m:ctrlPr>
                            <w:rPr>
                              <w:rFonts w:ascii="Cambria Math" w:hAnsi="Cambria Math"/>
                              <w:lang w:val="es-ES_tradnl"/>
                            </w:rPr>
                          </m:ctrlPr>
                        </m:sSubPr>
                        <m:e>
                          <m:r>
                            <m:rPr>
                              <m:sty m:val="bi"/>
                            </m:rPr>
                            <w:rPr>
                              <w:rFonts w:ascii="Cambria Math" w:hAnsi="Cambria Math"/>
                              <w:lang w:val="es-ES_tradnl"/>
                            </w:rPr>
                            <m:t>IMA</m:t>
                          </m:r>
                        </m:e>
                        <m:sub>
                          <m:r>
                            <m:rPr>
                              <m:sty m:val="bi"/>
                            </m:rPr>
                            <w:rPr>
                              <w:rFonts w:ascii="Cambria Math" w:hAnsi="Cambria Math"/>
                              <w:lang w:val="es-ES_tradnl"/>
                            </w:rPr>
                            <m:t>j</m:t>
                          </m:r>
                          <m:r>
                            <m:rPr>
                              <m:sty m:val="p"/>
                            </m:rPr>
                            <w:rPr>
                              <w:rFonts w:ascii="Cambria Math" w:hAnsi="Cambria Math"/>
                              <w:lang w:val="es-ES_tradnl"/>
                            </w:rPr>
                            <m:t>,</m:t>
                          </m:r>
                          <m:r>
                            <m:rPr>
                              <m:sty m:val="bi"/>
                            </m:rPr>
                            <w:rPr>
                              <w:rFonts w:ascii="Cambria Math" w:hAnsi="Cambria Math"/>
                              <w:lang w:val="es-ES_tradnl"/>
                            </w:rPr>
                            <m:t>n</m:t>
                          </m:r>
                          <m:r>
                            <m:rPr>
                              <m:sty m:val="p"/>
                            </m:rPr>
                            <w:rPr>
                              <w:rFonts w:ascii="Cambria Math" w:hAnsi="Cambria Math"/>
                              <w:lang w:val="es-ES_tradnl"/>
                            </w:rPr>
                            <m:t>,</m:t>
                          </m:r>
                          <m:r>
                            <m:rPr>
                              <m:sty m:val="bi"/>
                            </m:rPr>
                            <w:rPr>
                              <w:rFonts w:ascii="Cambria Math" w:hAnsi="Cambria Math"/>
                              <w:lang w:val="es-ES_tradnl"/>
                            </w:rPr>
                            <m:t>ma</m:t>
                          </m:r>
                        </m:sub>
                      </m:sSub>
                    </m:e>
                  </m:d>
                </m:e>
              </m:nary>
            </m:num>
            <m:den>
              <m:r>
                <m:rPr>
                  <m:sty m:val="b"/>
                </m:rPr>
                <w:rPr>
                  <w:rFonts w:ascii="Cambria Math" w:hAnsi="Cambria Math"/>
                  <w:lang w:val="es-ES_tradnl"/>
                </w:rPr>
                <m:t>17</m:t>
              </m:r>
            </m:den>
          </m:f>
          <m:r>
            <m:rPr>
              <m:sty m:val="p"/>
            </m:rPr>
            <w:rPr>
              <w:rFonts w:ascii="Cambria Math" w:hAnsi="Cambria Math"/>
              <w:lang w:val="es-ES_tradnl"/>
            </w:rPr>
            <m:t>*</m:t>
          </m:r>
          <m:f>
            <m:fPr>
              <m:ctrlPr>
                <w:rPr>
                  <w:rFonts w:ascii="Cambria Math" w:hAnsi="Cambria Math"/>
                  <w:lang w:val="es-ES_tradnl"/>
                </w:rPr>
              </m:ctrlPr>
            </m:fPr>
            <m:num>
              <m:sSub>
                <m:sSubPr>
                  <m:ctrlPr>
                    <w:rPr>
                      <w:rFonts w:ascii="Cambria Math" w:hAnsi="Cambria Math"/>
                      <w:lang w:val="es-ES_tradnl"/>
                    </w:rPr>
                  </m:ctrlPr>
                </m:sSubPr>
                <m:e>
                  <m:r>
                    <m:rPr>
                      <m:sty m:val="bi"/>
                    </m:rPr>
                    <w:rPr>
                      <w:rFonts w:ascii="Cambria Math" w:hAnsi="Cambria Math"/>
                      <w:lang w:val="es-ES_tradnl"/>
                    </w:rPr>
                    <m:t>IPP</m:t>
                  </m:r>
                </m:e>
                <m:sub>
                  <m:r>
                    <m:rPr>
                      <m:sty m:val="bi"/>
                    </m:rPr>
                    <w:rPr>
                      <w:rFonts w:ascii="Cambria Math" w:hAnsi="Cambria Math"/>
                      <w:lang w:val="es-ES_tradnl"/>
                    </w:rPr>
                    <m:t>m</m:t>
                  </m:r>
                  <m:r>
                    <m:rPr>
                      <m:sty m:val="p"/>
                    </m:rPr>
                    <w:rPr>
                      <w:rFonts w:ascii="Cambria Math" w:hAnsi="Cambria Math"/>
                      <w:lang w:val="es-ES_tradnl"/>
                    </w:rPr>
                    <m:t>-</m:t>
                  </m:r>
                  <m:r>
                    <m:rPr>
                      <m:sty m:val="b"/>
                    </m:rPr>
                    <w:rPr>
                      <w:rFonts w:ascii="Cambria Math" w:hAnsi="Cambria Math"/>
                      <w:lang w:val="es-ES_tradnl"/>
                    </w:rPr>
                    <m:t>1</m:t>
                  </m:r>
                </m:sub>
              </m:sSub>
            </m:num>
            <m:den>
              <m:sSub>
                <m:sSubPr>
                  <m:ctrlPr>
                    <w:rPr>
                      <w:rFonts w:ascii="Cambria Math" w:hAnsi="Cambria Math"/>
                      <w:lang w:val="es-ES_tradnl"/>
                    </w:rPr>
                  </m:ctrlPr>
                </m:sSubPr>
                <m:e>
                  <m:r>
                    <m:rPr>
                      <m:sty m:val="bi"/>
                    </m:rPr>
                    <w:rPr>
                      <w:rFonts w:ascii="Cambria Math" w:hAnsi="Cambria Math"/>
                      <w:lang w:val="es-ES_tradnl"/>
                    </w:rPr>
                    <m:t>IPP</m:t>
                  </m:r>
                </m:e>
                <m:sub>
                  <m:r>
                    <m:rPr>
                      <m:sty m:val="bi"/>
                    </m:rPr>
                    <w:rPr>
                      <w:rFonts w:ascii="Cambria Math" w:hAnsi="Cambria Math"/>
                      <w:lang w:val="es-ES_tradnl"/>
                    </w:rPr>
                    <m:t>aa</m:t>
                  </m:r>
                  <m:r>
                    <m:rPr>
                      <m:sty m:val="p"/>
                    </m:rPr>
                    <w:rPr>
                      <w:rFonts w:ascii="Cambria Math" w:hAnsi="Cambria Math"/>
                      <w:lang w:val="es-ES_tradnl"/>
                    </w:rPr>
                    <m:t>,</m:t>
                  </m:r>
                  <m:r>
                    <m:rPr>
                      <m:sty m:val="bi"/>
                    </m:rPr>
                    <w:rPr>
                      <w:rFonts w:ascii="Cambria Math" w:hAnsi="Cambria Math"/>
                      <w:lang w:val="es-ES_tradnl"/>
                    </w:rPr>
                    <m:t>j</m:t>
                  </m:r>
                </m:sub>
              </m:sSub>
            </m:den>
          </m:f>
          <m:r>
            <m:rPr>
              <m:sty m:val="p"/>
            </m:rPr>
            <w:rPr>
              <w:rFonts w:ascii="Cambria Math" w:hAnsi="Cambria Math"/>
              <w:lang w:val="es-ES_tradnl"/>
            </w:rPr>
            <m:t>+</m:t>
          </m:r>
          <m:sSub>
            <m:sSubPr>
              <m:ctrlPr>
                <w:rPr>
                  <w:rFonts w:ascii="Cambria Math" w:hAnsi="Cambria Math"/>
                  <w:lang w:val="es-ES_tradnl"/>
                </w:rPr>
              </m:ctrlPr>
            </m:sSubPr>
            <m:e>
              <m:r>
                <m:rPr>
                  <m:sty m:val="bi"/>
                </m:rPr>
                <w:rPr>
                  <w:rFonts w:ascii="Cambria Math" w:hAnsi="Cambria Math"/>
                  <w:lang w:val="es-ES_tradnl"/>
                </w:rPr>
                <m:t>NAIM</m:t>
              </m:r>
            </m:e>
            <m:sub>
              <m:r>
                <m:rPr>
                  <m:sty m:val="bi"/>
                </m:rPr>
                <w:rPr>
                  <w:rFonts w:ascii="Cambria Math" w:hAnsi="Cambria Math"/>
                  <w:lang w:val="es-ES_tradnl"/>
                </w:rPr>
                <m:t>j</m:t>
              </m:r>
              <m:r>
                <m:rPr>
                  <m:sty m:val="p"/>
                </m:rPr>
                <w:rPr>
                  <w:rFonts w:ascii="Cambria Math" w:hAnsi="Cambria Math"/>
                  <w:lang w:val="es-ES_tradnl"/>
                </w:rPr>
                <m:t>,</m:t>
              </m:r>
              <m:r>
                <m:rPr>
                  <m:sty m:val="bi"/>
                </m:rPr>
                <w:rPr>
                  <w:rFonts w:ascii="Cambria Math" w:hAnsi="Cambria Math"/>
                  <w:lang w:val="es-ES_tradnl"/>
                </w:rPr>
                <m:t>n</m:t>
              </m:r>
              <m:r>
                <m:rPr>
                  <m:sty m:val="p"/>
                </m:rPr>
                <w:rPr>
                  <w:rFonts w:ascii="Cambria Math" w:hAnsi="Cambria Math"/>
                  <w:lang w:val="es-ES_tradnl"/>
                </w:rPr>
                <m:t>,</m:t>
              </m:r>
              <m:r>
                <m:rPr>
                  <m:sty m:val="bi"/>
                </m:rPr>
                <w:rPr>
                  <w:rFonts w:ascii="Cambria Math" w:hAnsi="Cambria Math"/>
                  <w:lang w:val="es-ES_tradnl"/>
                </w:rPr>
                <m:t>m</m:t>
              </m:r>
            </m:sub>
          </m:sSub>
        </m:oMath>
      </m:oMathPara>
    </w:p>
    <w:p w14:paraId="59244890" w14:textId="77777777" w:rsidR="00CB2C25" w:rsidRDefault="00CB2C25" w:rsidP="001208E5">
      <w:pPr>
        <w:rPr>
          <w:lang w:val="es-ES_tradnl"/>
        </w:rPr>
      </w:pPr>
    </w:p>
    <w:p w14:paraId="10B8716A" w14:textId="70D5EB6F" w:rsidR="00CB2C25" w:rsidRPr="00CB2C25" w:rsidRDefault="00B8498F" w:rsidP="001208E5">
      <w:pPr>
        <w:rPr>
          <w:bCs/>
        </w:rPr>
      </w:pPr>
      <w:r w:rsidRPr="00B8498F">
        <w:rPr>
          <w:lang w:val="es-ES_tradnl"/>
        </w:rPr>
        <w:t>Donde l</w:t>
      </w:r>
      <w:r w:rsidRPr="00010C31">
        <w:t xml:space="preserve">as variables corresponden a las definidas en el </w:t>
      </w:r>
      <w:r w:rsidRPr="00B8498F">
        <w:rPr>
          <w:bCs/>
        </w:rPr>
        <w:t>numeral 1.3.4.1 de la Resolución CREG 015 de 2018.</w:t>
      </w:r>
    </w:p>
    <w:p w14:paraId="6F5B0A9F" w14:textId="20857C1F" w:rsidR="000C57A9" w:rsidRPr="00AC356A" w:rsidRDefault="00954C5C" w:rsidP="00AC356A">
      <w:pPr>
        <w:numPr>
          <w:ilvl w:val="0"/>
          <w:numId w:val="7"/>
        </w:numPr>
        <w:tabs>
          <w:tab w:val="left" w:pos="1701"/>
          <w:tab w:val="num" w:pos="2150"/>
        </w:tabs>
        <w:spacing w:before="240" w:after="240"/>
        <w:rPr>
          <w:rFonts w:cs="Arial"/>
        </w:rPr>
      </w:pPr>
      <w:r w:rsidRPr="008311EA">
        <w:t xml:space="preserve">La presente Resolución deberá notificarse al representante legal de la Empresa Municipal de Energía Eléctrica S.A. E.S.P. y publicarse en el </w:t>
      </w:r>
      <w:r w:rsidRPr="008311EA">
        <w:rPr>
          <w:i/>
        </w:rPr>
        <w:t>Diario Oficial</w:t>
      </w:r>
      <w:r w:rsidRPr="008311EA">
        <w:t xml:space="preserve">. Contra lo dispuesto en este acto procede el recurso de reposición, el cual </w:t>
      </w:r>
      <w:r w:rsidRPr="008311EA">
        <w:lastRenderedPageBreak/>
        <w:t xml:space="preserve">se podrá interponer ante la Dirección Ejecutiva de la CREG dentro de los cinco (5) días hábiles siguientes a la fecha de su notificación.  </w:t>
      </w:r>
    </w:p>
    <w:p w14:paraId="2915B899" w14:textId="77777777" w:rsidR="00CB2C25" w:rsidRDefault="00CB2C25" w:rsidP="00AC356A">
      <w:pPr>
        <w:jc w:val="center"/>
        <w:rPr>
          <w:b/>
        </w:rPr>
      </w:pPr>
    </w:p>
    <w:p w14:paraId="444D55B7" w14:textId="4C425DCF" w:rsidR="00950BFC" w:rsidRDefault="00CB2C25" w:rsidP="00AC356A">
      <w:pPr>
        <w:jc w:val="center"/>
        <w:rPr>
          <w:b/>
        </w:rPr>
      </w:pPr>
      <w:r w:rsidRPr="00CB2C25">
        <w:rPr>
          <w:b/>
        </w:rPr>
        <w:t>NOTIFÍQUESE</w:t>
      </w:r>
      <w:r>
        <w:rPr>
          <w:b/>
        </w:rPr>
        <w:t>,</w:t>
      </w:r>
      <w:r w:rsidRPr="005D18D5">
        <w:rPr>
          <w:b/>
        </w:rPr>
        <w:t xml:space="preserve"> </w:t>
      </w:r>
      <w:r w:rsidR="00510CBD" w:rsidRPr="005D18D5">
        <w:rPr>
          <w:b/>
        </w:rPr>
        <w:t>PUBLÍQUESE Y CÚMPLASE</w:t>
      </w:r>
    </w:p>
    <w:p w14:paraId="114AF680" w14:textId="03DF4AD8" w:rsidR="00CB2C25" w:rsidRDefault="00CB2C25" w:rsidP="00AC356A">
      <w:pPr>
        <w:jc w:val="center"/>
        <w:rPr>
          <w:b/>
        </w:rPr>
      </w:pPr>
    </w:p>
    <w:p w14:paraId="2846F8BE" w14:textId="348B1F34" w:rsidR="00CB2C25" w:rsidRDefault="00CB2C25" w:rsidP="00CB2C25">
      <w:r w:rsidRPr="00CB2C25">
        <w:t xml:space="preserve">Dada en Bogotá. D. C., 03 de </w:t>
      </w:r>
      <w:r>
        <w:t>marzo</w:t>
      </w:r>
      <w:r w:rsidRPr="00CB2C25">
        <w:t xml:space="preserve"> de 2023</w:t>
      </w:r>
      <w:r>
        <w:t>.</w:t>
      </w:r>
    </w:p>
    <w:p w14:paraId="5838EAA7" w14:textId="1A8EDD90" w:rsidR="00CB2C25" w:rsidRDefault="00CB2C25" w:rsidP="00CB2C25"/>
    <w:p w14:paraId="75D6AF6E" w14:textId="48151229" w:rsidR="00CB2C25" w:rsidRDefault="00CB2C25" w:rsidP="00CB2C25"/>
    <w:p w14:paraId="1C404993" w14:textId="77777777" w:rsidR="00CB2C25" w:rsidRPr="000E6A93" w:rsidRDefault="00CB2C25" w:rsidP="00CB2C25">
      <w:pPr>
        <w:rPr>
          <w:lang w:val="es-CO"/>
        </w:rPr>
      </w:pPr>
    </w:p>
    <w:tbl>
      <w:tblPr>
        <w:tblW w:w="9639" w:type="dxa"/>
        <w:jc w:val="center"/>
        <w:tblCellSpacing w:w="0" w:type="dxa"/>
        <w:tblCellMar>
          <w:left w:w="0" w:type="dxa"/>
          <w:right w:w="0" w:type="dxa"/>
        </w:tblCellMar>
        <w:tblLook w:val="04A0" w:firstRow="1" w:lastRow="0" w:firstColumn="1" w:lastColumn="0" w:noHBand="0" w:noVBand="1"/>
      </w:tblPr>
      <w:tblGrid>
        <w:gridCol w:w="5033"/>
        <w:gridCol w:w="4606"/>
      </w:tblGrid>
      <w:tr w:rsidR="00950BFC" w:rsidRPr="00BF69C9" w14:paraId="0364671F" w14:textId="77777777" w:rsidTr="00842BD5">
        <w:trPr>
          <w:tblCellSpacing w:w="0" w:type="dxa"/>
          <w:jc w:val="center"/>
        </w:trPr>
        <w:tc>
          <w:tcPr>
            <w:tcW w:w="5033" w:type="dxa"/>
          </w:tcPr>
          <w:p w14:paraId="65DE2AD7" w14:textId="327C77C8" w:rsidR="00950BFC" w:rsidRPr="00B80BE8" w:rsidRDefault="00820BD9" w:rsidP="00894B89">
            <w:pPr>
              <w:spacing w:before="0" w:after="0"/>
              <w:ind w:left="66"/>
              <w:jc w:val="center"/>
              <w:rPr>
                <w:rFonts w:cs="Arial"/>
                <w:b/>
              </w:rPr>
            </w:pPr>
            <w:r>
              <w:rPr>
                <w:rFonts w:cs="Arial"/>
                <w:b/>
              </w:rPr>
              <w:t>CRISTIAN ANDRÉS DÍAZ DURÁN</w:t>
            </w:r>
          </w:p>
        </w:tc>
        <w:tc>
          <w:tcPr>
            <w:tcW w:w="4606" w:type="dxa"/>
          </w:tcPr>
          <w:p w14:paraId="171E6063" w14:textId="515F27AA" w:rsidR="00950BFC" w:rsidRPr="00B80BE8" w:rsidRDefault="00BC5CAB" w:rsidP="00DE7B7E">
            <w:pPr>
              <w:spacing w:before="0" w:after="0"/>
              <w:ind w:left="69"/>
              <w:jc w:val="center"/>
              <w:rPr>
                <w:rFonts w:cs="Arial"/>
                <w:b/>
              </w:rPr>
            </w:pPr>
            <w:r>
              <w:rPr>
                <w:rFonts w:cs="Arial"/>
                <w:b/>
              </w:rPr>
              <w:t>JOSÉ FERNANDO PRADA RÍOS</w:t>
            </w:r>
          </w:p>
        </w:tc>
      </w:tr>
      <w:tr w:rsidR="00950BFC" w:rsidRPr="00BF69C9" w14:paraId="2768DC86" w14:textId="77777777" w:rsidTr="00842BD5">
        <w:trPr>
          <w:tblCellSpacing w:w="0" w:type="dxa"/>
          <w:jc w:val="center"/>
        </w:trPr>
        <w:tc>
          <w:tcPr>
            <w:tcW w:w="5033" w:type="dxa"/>
            <w:hideMark/>
          </w:tcPr>
          <w:p w14:paraId="3DD4C9BB" w14:textId="5A500D76" w:rsidR="00950BFC" w:rsidRPr="00B80BE8" w:rsidRDefault="00820BD9" w:rsidP="00894B89">
            <w:pPr>
              <w:spacing w:before="0" w:after="0"/>
              <w:ind w:left="66"/>
              <w:jc w:val="center"/>
              <w:rPr>
                <w:rFonts w:eastAsia="Arial Unicode MS" w:cs="Arial"/>
                <w:color w:val="000000"/>
              </w:rPr>
            </w:pPr>
            <w:r>
              <w:rPr>
                <w:rFonts w:cs="Arial"/>
              </w:rPr>
              <w:t>Viceministro de</w:t>
            </w:r>
            <w:r w:rsidR="00950BFC" w:rsidRPr="00B80BE8">
              <w:rPr>
                <w:rFonts w:cs="Arial"/>
              </w:rPr>
              <w:t xml:space="preserve"> Energía</w:t>
            </w:r>
            <w:r w:rsidR="00AC356A">
              <w:rPr>
                <w:rFonts w:cs="Arial"/>
              </w:rPr>
              <w:t xml:space="preserve"> (E),</w:t>
            </w:r>
            <w:r w:rsidR="00077796">
              <w:rPr>
                <w:rFonts w:cs="Arial"/>
              </w:rPr>
              <w:t xml:space="preserve"> delegado de la </w:t>
            </w:r>
            <w:proofErr w:type="gramStart"/>
            <w:r w:rsidR="00077796">
              <w:rPr>
                <w:rFonts w:cs="Arial"/>
              </w:rPr>
              <w:t>Ministra</w:t>
            </w:r>
            <w:proofErr w:type="gramEnd"/>
            <w:r w:rsidR="00077796">
              <w:rPr>
                <w:rFonts w:cs="Arial"/>
              </w:rPr>
              <w:t xml:space="preserve"> de Minas y Energía</w:t>
            </w:r>
          </w:p>
        </w:tc>
        <w:tc>
          <w:tcPr>
            <w:tcW w:w="4606" w:type="dxa"/>
            <w:hideMark/>
          </w:tcPr>
          <w:p w14:paraId="274BF0FD" w14:textId="77777777" w:rsidR="00950BFC" w:rsidRPr="00B80BE8" w:rsidRDefault="00950BFC" w:rsidP="004237FF">
            <w:pPr>
              <w:spacing w:before="0" w:after="0"/>
              <w:jc w:val="center"/>
              <w:rPr>
                <w:rFonts w:eastAsia="Arial Unicode MS" w:cs="Arial"/>
                <w:color w:val="000000"/>
              </w:rPr>
            </w:pPr>
            <w:r w:rsidRPr="00B80BE8">
              <w:rPr>
                <w:rFonts w:cs="Arial"/>
              </w:rPr>
              <w:t xml:space="preserve">Director </w:t>
            </w:r>
            <w:r w:rsidR="004237FF" w:rsidRPr="00B80BE8">
              <w:rPr>
                <w:rFonts w:cs="Arial"/>
              </w:rPr>
              <w:t xml:space="preserve">Ejecutivo </w:t>
            </w:r>
          </w:p>
        </w:tc>
      </w:tr>
      <w:tr w:rsidR="00950BFC" w:rsidRPr="00CF2A2D" w14:paraId="027EDF92" w14:textId="77777777" w:rsidTr="00842BD5">
        <w:trPr>
          <w:tblCellSpacing w:w="0" w:type="dxa"/>
          <w:jc w:val="center"/>
        </w:trPr>
        <w:tc>
          <w:tcPr>
            <w:tcW w:w="5033" w:type="dxa"/>
            <w:hideMark/>
          </w:tcPr>
          <w:p w14:paraId="7CE0C682" w14:textId="77777777" w:rsidR="00950BFC" w:rsidRPr="00B80BE8" w:rsidRDefault="00950BFC" w:rsidP="00894B89">
            <w:pPr>
              <w:spacing w:before="0" w:after="0"/>
              <w:ind w:left="66"/>
              <w:jc w:val="center"/>
              <w:rPr>
                <w:rFonts w:eastAsia="Arial Unicode MS" w:cs="Arial"/>
                <w:color w:val="000000"/>
              </w:rPr>
            </w:pPr>
            <w:r w:rsidRPr="00B80BE8">
              <w:rPr>
                <w:rFonts w:cs="Arial"/>
              </w:rPr>
              <w:t>Presidente</w:t>
            </w:r>
          </w:p>
        </w:tc>
        <w:tc>
          <w:tcPr>
            <w:tcW w:w="4606" w:type="dxa"/>
          </w:tcPr>
          <w:p w14:paraId="562C7484" w14:textId="77777777" w:rsidR="00950BFC" w:rsidRPr="00B80BE8" w:rsidRDefault="00950BFC" w:rsidP="00894B89">
            <w:pPr>
              <w:spacing w:before="0" w:after="0"/>
              <w:jc w:val="center"/>
              <w:rPr>
                <w:rFonts w:eastAsia="Arial Unicode MS" w:cs="Arial"/>
                <w:color w:val="000000"/>
              </w:rPr>
            </w:pPr>
          </w:p>
        </w:tc>
      </w:tr>
    </w:tbl>
    <w:p w14:paraId="5853A1EE" w14:textId="77777777" w:rsidR="00950BFC" w:rsidRPr="00CF2A2D" w:rsidRDefault="00950BFC" w:rsidP="00950BFC">
      <w:pPr>
        <w:spacing w:before="0" w:after="0"/>
        <w:jc w:val="center"/>
        <w:rPr>
          <w:b/>
        </w:rPr>
      </w:pPr>
    </w:p>
    <w:p w14:paraId="4AD0CBFA" w14:textId="3A7F60F6" w:rsidR="007C127E" w:rsidRPr="00CF2A2D" w:rsidRDefault="007C127E" w:rsidP="00BA3E2A">
      <w:pPr>
        <w:spacing w:before="0" w:after="0"/>
        <w:jc w:val="left"/>
        <w:rPr>
          <w:i/>
        </w:rPr>
      </w:pPr>
    </w:p>
    <w:sectPr w:rsidR="007C127E" w:rsidRPr="00CF2A2D" w:rsidSect="000B7990">
      <w:headerReference w:type="default" r:id="rId19"/>
      <w:headerReference w:type="first" r:id="rId20"/>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63BA" w14:textId="77777777" w:rsidR="006973C8" w:rsidRDefault="006973C8">
      <w:r>
        <w:separator/>
      </w:r>
    </w:p>
    <w:p w14:paraId="28FE810E" w14:textId="77777777" w:rsidR="006973C8" w:rsidRDefault="006973C8"/>
    <w:p w14:paraId="46A9CF8D" w14:textId="77777777" w:rsidR="006973C8" w:rsidRDefault="006973C8" w:rsidP="00C851C0"/>
  </w:endnote>
  <w:endnote w:type="continuationSeparator" w:id="0">
    <w:p w14:paraId="4B1DB581" w14:textId="77777777" w:rsidR="006973C8" w:rsidRDefault="006973C8">
      <w:r>
        <w:continuationSeparator/>
      </w:r>
    </w:p>
    <w:p w14:paraId="4DC8E237" w14:textId="77777777" w:rsidR="006973C8" w:rsidRDefault="006973C8"/>
    <w:p w14:paraId="2E9B3558" w14:textId="77777777" w:rsidR="006973C8" w:rsidRDefault="006973C8" w:rsidP="00C851C0"/>
  </w:endnote>
  <w:endnote w:type="continuationNotice" w:id="1">
    <w:p w14:paraId="0612259F" w14:textId="77777777" w:rsidR="006973C8" w:rsidRDefault="006973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jaVu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DC09A" w14:textId="77777777" w:rsidR="006973C8" w:rsidRDefault="006973C8" w:rsidP="001248C8">
      <w:pPr>
        <w:spacing w:before="0" w:after="0"/>
      </w:pPr>
      <w:r>
        <w:separator/>
      </w:r>
    </w:p>
  </w:footnote>
  <w:footnote w:type="continuationSeparator" w:id="0">
    <w:p w14:paraId="1F113F20" w14:textId="77777777" w:rsidR="006973C8" w:rsidRDefault="006973C8">
      <w:r>
        <w:continuationSeparator/>
      </w:r>
    </w:p>
    <w:p w14:paraId="73AF8337" w14:textId="77777777" w:rsidR="006973C8" w:rsidRDefault="006973C8"/>
    <w:p w14:paraId="2F49D7F5" w14:textId="77777777" w:rsidR="006973C8" w:rsidRDefault="006973C8" w:rsidP="00C851C0"/>
  </w:footnote>
  <w:footnote w:type="continuationNotice" w:id="1">
    <w:p w14:paraId="626EEFBB" w14:textId="77777777" w:rsidR="006973C8" w:rsidRDefault="006973C8">
      <w:pPr>
        <w:spacing w:before="0" w:after="0"/>
      </w:pPr>
    </w:p>
  </w:footnote>
  <w:footnote w:id="2">
    <w:p w14:paraId="09BB84C0" w14:textId="5C664976" w:rsidR="001B02A8" w:rsidRPr="001B02A8" w:rsidRDefault="001B02A8">
      <w:pPr>
        <w:pStyle w:val="Textonotapie"/>
        <w:rPr>
          <w:lang w:val="en-US"/>
        </w:rPr>
      </w:pPr>
      <w:r>
        <w:rPr>
          <w:rStyle w:val="Refdenotaalpie"/>
        </w:rPr>
        <w:footnoteRef/>
      </w:r>
      <w:r>
        <w:t xml:space="preserve"> </w:t>
      </w:r>
      <w:hyperlink r:id="rId1" w:anchor="1.3.4.1" w:history="1">
        <w:r w:rsidRPr="001B02A8">
          <w:rPr>
            <w:rStyle w:val="Hipervnculo"/>
            <w:sz w:val="20"/>
            <w:szCs w:val="18"/>
          </w:rPr>
          <w:t>https://gestornormativo.creg.gov.co/gestor/entorno/docs/resolucion_creg_0015_2018.htm#1.3.4.1</w:t>
        </w:r>
      </w:hyperlink>
      <w:r w:rsidRPr="001B02A8">
        <w:rPr>
          <w:sz w:val="20"/>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D277" w14:textId="2EE1EA59" w:rsidR="009C1EF5" w:rsidRPr="002560C5" w:rsidRDefault="009C1EF5" w:rsidP="00AC01A4">
    <w:pPr>
      <w:pStyle w:val="Ttulo1"/>
      <w:numPr>
        <w:ilvl w:val="0"/>
        <w:numId w:val="0"/>
      </w:numPr>
    </w:pPr>
    <w:r w:rsidRPr="00AC356A">
      <w:t>RESOLUCIÓN No.</w:t>
    </w:r>
    <w:r w:rsidR="00AC356A" w:rsidRPr="00AC356A">
      <w:t xml:space="preserve"> </w:t>
    </w:r>
    <w:r w:rsidR="00AC356A" w:rsidRPr="00AC356A">
      <w:rPr>
        <w:u w:val="single"/>
      </w:rPr>
      <w:t>501 008</w:t>
    </w:r>
    <w:r w:rsidR="00AC356A" w:rsidRPr="00AC356A">
      <w:t xml:space="preserve"> </w:t>
    </w:r>
    <w:r w:rsidR="00AC356A">
      <w:t xml:space="preserve">  </w:t>
    </w:r>
    <w:r w:rsidRPr="00AC356A">
      <w:t xml:space="preserve">DE </w:t>
    </w:r>
    <w:r w:rsidR="00AC356A">
      <w:t xml:space="preserve"> </w:t>
    </w:r>
    <w:r w:rsidR="00AC356A">
      <w:rPr>
        <w:bCs/>
        <w:u w:val="single"/>
      </w:rPr>
      <w:t>03 MAR.2023</w:t>
    </w:r>
    <w:r w:rsidRPr="002560C5">
      <w:tab/>
    </w:r>
    <w:r w:rsidR="00AC356A" w:rsidRPr="00AC356A">
      <w:rPr>
        <w:b w:val="0"/>
        <w:bCs/>
      </w:rPr>
      <w:t xml:space="preserve"> </w:t>
    </w:r>
    <w:r w:rsidRPr="00AC356A">
      <w:rPr>
        <w:b w:val="0"/>
        <w:bCs/>
      </w:rPr>
      <w:t xml:space="preserve">HOJA No. </w:t>
    </w:r>
    <w:r w:rsidRPr="00AC356A">
      <w:rPr>
        <w:b w:val="0"/>
        <w:bCs/>
      </w:rPr>
      <w:fldChar w:fldCharType="begin"/>
    </w:r>
    <w:r w:rsidRPr="00AC356A">
      <w:rPr>
        <w:b w:val="0"/>
        <w:bCs/>
      </w:rPr>
      <w:instrText xml:space="preserve"> PAGE   \* MERGEFORMAT </w:instrText>
    </w:r>
    <w:r w:rsidRPr="00AC356A">
      <w:rPr>
        <w:b w:val="0"/>
        <w:bCs/>
      </w:rPr>
      <w:fldChar w:fldCharType="separate"/>
    </w:r>
    <w:r w:rsidRPr="00AC356A">
      <w:rPr>
        <w:b w:val="0"/>
        <w:bCs/>
        <w:noProof/>
      </w:rPr>
      <w:t>3</w:t>
    </w:r>
    <w:r w:rsidRPr="00AC356A">
      <w:rPr>
        <w:b w:val="0"/>
        <w:bCs/>
      </w:rPr>
      <w:fldChar w:fldCharType="end"/>
    </w:r>
    <w:r w:rsidRPr="00AC356A">
      <w:rPr>
        <w:b w:val="0"/>
        <w:bCs/>
      </w:rPr>
      <w:t>/</w:t>
    </w:r>
    <w:r w:rsidR="000E6A93" w:rsidRPr="00AC356A">
      <w:rPr>
        <w:b w:val="0"/>
        <w:bCs/>
      </w:rPr>
      <w:fldChar w:fldCharType="begin"/>
    </w:r>
    <w:r w:rsidR="000E6A93" w:rsidRPr="00AC356A">
      <w:rPr>
        <w:b w:val="0"/>
        <w:bCs/>
      </w:rPr>
      <w:instrText>NUMPAGES  \* MERGEFORMAT</w:instrText>
    </w:r>
    <w:r w:rsidR="000E6A93" w:rsidRPr="00AC356A">
      <w:rPr>
        <w:b w:val="0"/>
        <w:bCs/>
      </w:rPr>
      <w:fldChar w:fldCharType="separate"/>
    </w:r>
    <w:r w:rsidRPr="00AC356A">
      <w:rPr>
        <w:b w:val="0"/>
        <w:bCs/>
        <w:noProof/>
      </w:rPr>
      <w:t>7</w:t>
    </w:r>
    <w:r w:rsidR="000E6A93" w:rsidRPr="00AC356A">
      <w:rPr>
        <w:b w:val="0"/>
        <w:bCs/>
        <w:noProof/>
      </w:rPr>
      <w:fldChar w:fldCharType="end"/>
    </w:r>
  </w:p>
  <w:p w14:paraId="5EEBDD92" w14:textId="77777777" w:rsidR="009C1EF5" w:rsidRDefault="009C1EF5"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C96A7" id="Rectangle 1" o:spid="_x0000_s1026"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19A008AD" w14:textId="4C437325" w:rsidR="009C1EF5" w:rsidRPr="001248C8" w:rsidRDefault="00F455C9" w:rsidP="001248C8">
    <w:pPr>
      <w:pBdr>
        <w:bottom w:val="single" w:sz="4" w:space="5" w:color="auto"/>
      </w:pBdr>
      <w:rPr>
        <w:i/>
        <w:iCs/>
        <w:sz w:val="22"/>
        <w:szCs w:val="22"/>
      </w:rPr>
    </w:pPr>
    <w:r w:rsidRPr="001248C8">
      <w:rPr>
        <w:i/>
        <w:iCs/>
        <w:sz w:val="22"/>
        <w:szCs w:val="22"/>
      </w:rPr>
      <w:t>Por la cual se resuelve la solicitud de revisión tarifaria</w:t>
    </w:r>
    <w:r w:rsidR="009B69C5" w:rsidRPr="001248C8">
      <w:rPr>
        <w:i/>
        <w:iCs/>
        <w:sz w:val="22"/>
        <w:szCs w:val="22"/>
      </w:rPr>
      <w:t xml:space="preserve"> de la Resolución CREG 219 de 2021 </w:t>
    </w:r>
    <w:r w:rsidRPr="001248C8">
      <w:rPr>
        <w:i/>
        <w:iCs/>
        <w:sz w:val="22"/>
        <w:szCs w:val="22"/>
      </w:rPr>
      <w:t>con base en el artículo</w:t>
    </w:r>
    <w:r w:rsidR="001248C8" w:rsidRPr="001248C8">
      <w:rPr>
        <w:i/>
        <w:iCs/>
        <w:sz w:val="22"/>
        <w:szCs w:val="22"/>
      </w:rPr>
      <w:t xml:space="preserve"> </w:t>
    </w:r>
    <w:r w:rsidRPr="001248C8">
      <w:rPr>
        <w:i/>
        <w:iCs/>
        <w:sz w:val="22"/>
        <w:szCs w:val="22"/>
      </w:rPr>
      <w:t>126 de la Ley 142 de 1994, modificado por el artículo 52 de la Ley 2099 de 2021, mediante la cual se aprobaron las variables necesarias para calcular los ingresos y cargos asociados con la actividad de distribución de energía eléctrica para el mercado de comercialización atendido por la Empresa Municipal de Energía Eléctrica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E89" w14:textId="77777777" w:rsidR="009C1EF5" w:rsidRDefault="009C1EF5"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9C1EF5" w:rsidRDefault="009C1EF5">
    <w:pPr>
      <w:pStyle w:val="Encabezado"/>
      <w:jc w:val="center"/>
      <w:rPr>
        <w:rFonts w:ascii="Arial" w:hAnsi="Arial" w:cs="Arial"/>
        <w:spacing w:val="20"/>
        <w:sz w:val="20"/>
      </w:rPr>
    </w:pPr>
  </w:p>
  <w:p w14:paraId="1A5CD802" w14:textId="77777777" w:rsidR="009C1EF5" w:rsidRDefault="009C1EF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90671"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7812C8"/>
    <w:multiLevelType w:val="hybridMultilevel"/>
    <w:tmpl w:val="D780CB46"/>
    <w:lvl w:ilvl="0" w:tplc="056430A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5" w15:restartNumberingAfterBreak="0">
    <w:nsid w:val="20644B41"/>
    <w:multiLevelType w:val="hybridMultilevel"/>
    <w:tmpl w:val="79682F9A"/>
    <w:lvl w:ilvl="0" w:tplc="FFFFFFFF">
      <w:start w:val="1"/>
      <w:numFmt w:val="decimal"/>
      <w:lvlText w:val="Artículo %1."/>
      <w:lvlJc w:val="left"/>
      <w:pPr>
        <w:tabs>
          <w:tab w:val="num" w:pos="1440"/>
        </w:tabs>
        <w:ind w:left="0" w:firstLine="0"/>
      </w:pPr>
      <w:rPr>
        <w:rFonts w:hint="default"/>
        <w:b/>
        <w:i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6BE7B5C"/>
    <w:multiLevelType w:val="hybridMultilevel"/>
    <w:tmpl w:val="BC42C760"/>
    <w:lvl w:ilvl="0" w:tplc="67024E0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7A7C88"/>
    <w:multiLevelType w:val="multilevel"/>
    <w:tmpl w:val="8B721044"/>
    <w:lvl w:ilvl="0">
      <w:start w:val="1"/>
      <w:numFmt w:val="decimal"/>
      <w:suff w:val="space"/>
      <w:lvlText w:val="Capítulo %1"/>
      <w:lvlJc w:val="left"/>
      <w:pPr>
        <w:ind w:left="0" w:firstLine="0"/>
      </w:pPr>
    </w:lvl>
    <w:lvl w:ilvl="1">
      <w:start w:val="1"/>
      <w:numFmt w:val="decimal"/>
      <w:lvlText w:val="%2."/>
      <w:lvlJc w:val="left"/>
      <w:pPr>
        <w:ind w:left="360" w:hanging="36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8"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0" w15:restartNumberingAfterBreak="0">
    <w:nsid w:val="432A5C72"/>
    <w:multiLevelType w:val="multilevel"/>
    <w:tmpl w:val="16EE0F5A"/>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7F7187"/>
    <w:multiLevelType w:val="multilevel"/>
    <w:tmpl w:val="A81A774C"/>
    <w:lvl w:ilvl="0">
      <w:start w:val="2"/>
      <w:numFmt w:val="decimal"/>
      <w:pStyle w:val="Ttulo1"/>
      <w:lvlText w:val="ANEXO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80A4579"/>
    <w:multiLevelType w:val="hybridMultilevel"/>
    <w:tmpl w:val="370E7952"/>
    <w:lvl w:ilvl="0" w:tplc="854E72DE">
      <w:start w:val="1"/>
      <w:numFmt w:val="lowerLetter"/>
      <w:pStyle w:val="Prrafodelista"/>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D6D185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lang w:val="es-E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4747475">
    <w:abstractNumId w:val="1"/>
  </w:num>
  <w:num w:numId="2" w16cid:durableId="1273786885">
    <w:abstractNumId w:val="7"/>
  </w:num>
  <w:num w:numId="3" w16cid:durableId="1091241083">
    <w:abstractNumId w:val="14"/>
  </w:num>
  <w:num w:numId="4" w16cid:durableId="408312824">
    <w:abstractNumId w:val="12"/>
  </w:num>
  <w:num w:numId="5" w16cid:durableId="858153893">
    <w:abstractNumId w:val="8"/>
  </w:num>
  <w:num w:numId="6" w16cid:durableId="1298027957">
    <w:abstractNumId w:val="16"/>
  </w:num>
  <w:num w:numId="7" w16cid:durableId="962151041">
    <w:abstractNumId w:val="5"/>
  </w:num>
  <w:num w:numId="8" w16cid:durableId="1892841626">
    <w:abstractNumId w:val="13"/>
  </w:num>
  <w:num w:numId="9" w16cid:durableId="211968715">
    <w:abstractNumId w:val="10"/>
  </w:num>
  <w:num w:numId="10" w16cid:durableId="407848160">
    <w:abstractNumId w:val="11"/>
  </w:num>
  <w:num w:numId="11" w16cid:durableId="1136608144">
    <w:abstractNumId w:val="17"/>
  </w:num>
  <w:num w:numId="12" w16cid:durableId="1619676575">
    <w:abstractNumId w:val="3"/>
  </w:num>
  <w:num w:numId="13" w16cid:durableId="544871803">
    <w:abstractNumId w:val="6"/>
  </w:num>
  <w:num w:numId="14" w16cid:durableId="188043741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2853"/>
    <w:rsid w:val="00003049"/>
    <w:rsid w:val="000032E0"/>
    <w:rsid w:val="00004906"/>
    <w:rsid w:val="00004F28"/>
    <w:rsid w:val="00005326"/>
    <w:rsid w:val="000056FB"/>
    <w:rsid w:val="00006585"/>
    <w:rsid w:val="00006870"/>
    <w:rsid w:val="00006AE2"/>
    <w:rsid w:val="00006BF4"/>
    <w:rsid w:val="00006EF5"/>
    <w:rsid w:val="000076A1"/>
    <w:rsid w:val="0001040A"/>
    <w:rsid w:val="0001043C"/>
    <w:rsid w:val="000116A0"/>
    <w:rsid w:val="0001188A"/>
    <w:rsid w:val="0001209B"/>
    <w:rsid w:val="00012259"/>
    <w:rsid w:val="0001228C"/>
    <w:rsid w:val="00012D6A"/>
    <w:rsid w:val="00012F6A"/>
    <w:rsid w:val="0001368F"/>
    <w:rsid w:val="00015F4C"/>
    <w:rsid w:val="00016B85"/>
    <w:rsid w:val="00017104"/>
    <w:rsid w:val="00017396"/>
    <w:rsid w:val="000203BE"/>
    <w:rsid w:val="00020EE1"/>
    <w:rsid w:val="0002117B"/>
    <w:rsid w:val="00021312"/>
    <w:rsid w:val="00022832"/>
    <w:rsid w:val="00023275"/>
    <w:rsid w:val="00023841"/>
    <w:rsid w:val="00023D77"/>
    <w:rsid w:val="00024EEB"/>
    <w:rsid w:val="00025383"/>
    <w:rsid w:val="00025D05"/>
    <w:rsid w:val="000268D6"/>
    <w:rsid w:val="00027C0A"/>
    <w:rsid w:val="00027C0E"/>
    <w:rsid w:val="00032C8E"/>
    <w:rsid w:val="00033717"/>
    <w:rsid w:val="00034669"/>
    <w:rsid w:val="00034EAE"/>
    <w:rsid w:val="00034F65"/>
    <w:rsid w:val="0003547A"/>
    <w:rsid w:val="0003568E"/>
    <w:rsid w:val="000356FD"/>
    <w:rsid w:val="0003695A"/>
    <w:rsid w:val="00036BD0"/>
    <w:rsid w:val="00036FA6"/>
    <w:rsid w:val="00037F4E"/>
    <w:rsid w:val="00040250"/>
    <w:rsid w:val="00042881"/>
    <w:rsid w:val="00042A98"/>
    <w:rsid w:val="00042C7F"/>
    <w:rsid w:val="000432E2"/>
    <w:rsid w:val="00043855"/>
    <w:rsid w:val="000446EC"/>
    <w:rsid w:val="00045094"/>
    <w:rsid w:val="00045D3D"/>
    <w:rsid w:val="00045F93"/>
    <w:rsid w:val="00046F3F"/>
    <w:rsid w:val="000474F4"/>
    <w:rsid w:val="000478BA"/>
    <w:rsid w:val="000512FD"/>
    <w:rsid w:val="0005171B"/>
    <w:rsid w:val="00051B6F"/>
    <w:rsid w:val="00051D1F"/>
    <w:rsid w:val="00053BE6"/>
    <w:rsid w:val="00055984"/>
    <w:rsid w:val="000564D0"/>
    <w:rsid w:val="00056D64"/>
    <w:rsid w:val="00056ECE"/>
    <w:rsid w:val="00056F59"/>
    <w:rsid w:val="0005705F"/>
    <w:rsid w:val="0005740C"/>
    <w:rsid w:val="00057D60"/>
    <w:rsid w:val="000607B4"/>
    <w:rsid w:val="00063454"/>
    <w:rsid w:val="00063657"/>
    <w:rsid w:val="00064CC5"/>
    <w:rsid w:val="00066EB1"/>
    <w:rsid w:val="000714A8"/>
    <w:rsid w:val="0007160D"/>
    <w:rsid w:val="000718BC"/>
    <w:rsid w:val="00071E46"/>
    <w:rsid w:val="0007409E"/>
    <w:rsid w:val="00076680"/>
    <w:rsid w:val="00076A1D"/>
    <w:rsid w:val="000771FB"/>
    <w:rsid w:val="00077796"/>
    <w:rsid w:val="0008073E"/>
    <w:rsid w:val="0008115D"/>
    <w:rsid w:val="000817C0"/>
    <w:rsid w:val="00081DF3"/>
    <w:rsid w:val="000821D9"/>
    <w:rsid w:val="0008237F"/>
    <w:rsid w:val="0008259D"/>
    <w:rsid w:val="000827A2"/>
    <w:rsid w:val="00082B34"/>
    <w:rsid w:val="00082FE9"/>
    <w:rsid w:val="000831AC"/>
    <w:rsid w:val="000837A5"/>
    <w:rsid w:val="00083AA8"/>
    <w:rsid w:val="00084F74"/>
    <w:rsid w:val="000857D1"/>
    <w:rsid w:val="000858CD"/>
    <w:rsid w:val="00085D75"/>
    <w:rsid w:val="0008644D"/>
    <w:rsid w:val="0008751B"/>
    <w:rsid w:val="0008752F"/>
    <w:rsid w:val="0008776A"/>
    <w:rsid w:val="0009104E"/>
    <w:rsid w:val="0009196C"/>
    <w:rsid w:val="00091CDB"/>
    <w:rsid w:val="000930F3"/>
    <w:rsid w:val="00094D88"/>
    <w:rsid w:val="000952BC"/>
    <w:rsid w:val="00095DCF"/>
    <w:rsid w:val="00095EA2"/>
    <w:rsid w:val="000961E1"/>
    <w:rsid w:val="00097612"/>
    <w:rsid w:val="000A0093"/>
    <w:rsid w:val="000A028F"/>
    <w:rsid w:val="000A11FA"/>
    <w:rsid w:val="000A1319"/>
    <w:rsid w:val="000A19AC"/>
    <w:rsid w:val="000A1ADD"/>
    <w:rsid w:val="000A2073"/>
    <w:rsid w:val="000A38CC"/>
    <w:rsid w:val="000A4691"/>
    <w:rsid w:val="000A564F"/>
    <w:rsid w:val="000B0151"/>
    <w:rsid w:val="000B100D"/>
    <w:rsid w:val="000B2E8E"/>
    <w:rsid w:val="000B2EC9"/>
    <w:rsid w:val="000B3167"/>
    <w:rsid w:val="000B3688"/>
    <w:rsid w:val="000B3EB0"/>
    <w:rsid w:val="000B62DD"/>
    <w:rsid w:val="000B65BD"/>
    <w:rsid w:val="000B6EAC"/>
    <w:rsid w:val="000B6FF6"/>
    <w:rsid w:val="000B7990"/>
    <w:rsid w:val="000C06AF"/>
    <w:rsid w:val="000C1951"/>
    <w:rsid w:val="000C1B8A"/>
    <w:rsid w:val="000C1DE0"/>
    <w:rsid w:val="000C2655"/>
    <w:rsid w:val="000C266A"/>
    <w:rsid w:val="000C2BA1"/>
    <w:rsid w:val="000C2C36"/>
    <w:rsid w:val="000C549E"/>
    <w:rsid w:val="000C5565"/>
    <w:rsid w:val="000C57A9"/>
    <w:rsid w:val="000C5DF4"/>
    <w:rsid w:val="000C620E"/>
    <w:rsid w:val="000C64D6"/>
    <w:rsid w:val="000C6881"/>
    <w:rsid w:val="000C743D"/>
    <w:rsid w:val="000C7488"/>
    <w:rsid w:val="000C784A"/>
    <w:rsid w:val="000D08D6"/>
    <w:rsid w:val="000D08E3"/>
    <w:rsid w:val="000D0D27"/>
    <w:rsid w:val="000D1956"/>
    <w:rsid w:val="000D1E36"/>
    <w:rsid w:val="000D2516"/>
    <w:rsid w:val="000D2656"/>
    <w:rsid w:val="000D26F8"/>
    <w:rsid w:val="000D2A00"/>
    <w:rsid w:val="000D326B"/>
    <w:rsid w:val="000D35DA"/>
    <w:rsid w:val="000D360A"/>
    <w:rsid w:val="000D36AF"/>
    <w:rsid w:val="000D36D0"/>
    <w:rsid w:val="000D3884"/>
    <w:rsid w:val="000D3FC2"/>
    <w:rsid w:val="000D5201"/>
    <w:rsid w:val="000D54A7"/>
    <w:rsid w:val="000D5C79"/>
    <w:rsid w:val="000D6E2F"/>
    <w:rsid w:val="000E101C"/>
    <w:rsid w:val="000E28E0"/>
    <w:rsid w:val="000E2A42"/>
    <w:rsid w:val="000E2EBC"/>
    <w:rsid w:val="000E395B"/>
    <w:rsid w:val="000E3D26"/>
    <w:rsid w:val="000E438C"/>
    <w:rsid w:val="000E47A8"/>
    <w:rsid w:val="000E6252"/>
    <w:rsid w:val="000E6A93"/>
    <w:rsid w:val="000E7F3C"/>
    <w:rsid w:val="000F30B5"/>
    <w:rsid w:val="000F3A75"/>
    <w:rsid w:val="000F4463"/>
    <w:rsid w:val="000F47C4"/>
    <w:rsid w:val="000F537C"/>
    <w:rsid w:val="000F5392"/>
    <w:rsid w:val="000F563E"/>
    <w:rsid w:val="000F68AA"/>
    <w:rsid w:val="000F77DD"/>
    <w:rsid w:val="000F7AE9"/>
    <w:rsid w:val="000F7C81"/>
    <w:rsid w:val="000F7F46"/>
    <w:rsid w:val="0010087D"/>
    <w:rsid w:val="0010101F"/>
    <w:rsid w:val="0010190E"/>
    <w:rsid w:val="00101AE7"/>
    <w:rsid w:val="00101F35"/>
    <w:rsid w:val="0010333D"/>
    <w:rsid w:val="00105564"/>
    <w:rsid w:val="00105883"/>
    <w:rsid w:val="00105E02"/>
    <w:rsid w:val="0010658E"/>
    <w:rsid w:val="00106654"/>
    <w:rsid w:val="001067D3"/>
    <w:rsid w:val="0010681F"/>
    <w:rsid w:val="00106EF8"/>
    <w:rsid w:val="001105CA"/>
    <w:rsid w:val="001106AF"/>
    <w:rsid w:val="00111B3C"/>
    <w:rsid w:val="001128D5"/>
    <w:rsid w:val="001129C7"/>
    <w:rsid w:val="00112F16"/>
    <w:rsid w:val="00112F91"/>
    <w:rsid w:val="001147FF"/>
    <w:rsid w:val="00115279"/>
    <w:rsid w:val="00116700"/>
    <w:rsid w:val="00116B69"/>
    <w:rsid w:val="001177E6"/>
    <w:rsid w:val="00117D14"/>
    <w:rsid w:val="001208E5"/>
    <w:rsid w:val="00121B8E"/>
    <w:rsid w:val="00123923"/>
    <w:rsid w:val="001248C8"/>
    <w:rsid w:val="00126B7F"/>
    <w:rsid w:val="00127488"/>
    <w:rsid w:val="00127692"/>
    <w:rsid w:val="0012783F"/>
    <w:rsid w:val="00127994"/>
    <w:rsid w:val="00130D85"/>
    <w:rsid w:val="00132FE3"/>
    <w:rsid w:val="001333FC"/>
    <w:rsid w:val="0013384D"/>
    <w:rsid w:val="00133EC9"/>
    <w:rsid w:val="001340AC"/>
    <w:rsid w:val="001344C2"/>
    <w:rsid w:val="0013526C"/>
    <w:rsid w:val="00135C1F"/>
    <w:rsid w:val="00136F57"/>
    <w:rsid w:val="001405C6"/>
    <w:rsid w:val="0014064C"/>
    <w:rsid w:val="00141013"/>
    <w:rsid w:val="0014140A"/>
    <w:rsid w:val="0014166A"/>
    <w:rsid w:val="001417AA"/>
    <w:rsid w:val="00142021"/>
    <w:rsid w:val="0014208F"/>
    <w:rsid w:val="0014220A"/>
    <w:rsid w:val="0014256F"/>
    <w:rsid w:val="0014363D"/>
    <w:rsid w:val="001436ED"/>
    <w:rsid w:val="00144681"/>
    <w:rsid w:val="00144D34"/>
    <w:rsid w:val="00144EE3"/>
    <w:rsid w:val="00145736"/>
    <w:rsid w:val="001459D6"/>
    <w:rsid w:val="00145E1E"/>
    <w:rsid w:val="001471CD"/>
    <w:rsid w:val="001478B5"/>
    <w:rsid w:val="0015003F"/>
    <w:rsid w:val="00151033"/>
    <w:rsid w:val="00151239"/>
    <w:rsid w:val="00151A0F"/>
    <w:rsid w:val="0015228B"/>
    <w:rsid w:val="00152D9A"/>
    <w:rsid w:val="00152E0C"/>
    <w:rsid w:val="0015338C"/>
    <w:rsid w:val="001541F3"/>
    <w:rsid w:val="00154D0C"/>
    <w:rsid w:val="001557D1"/>
    <w:rsid w:val="00155F3E"/>
    <w:rsid w:val="001560A7"/>
    <w:rsid w:val="00157B49"/>
    <w:rsid w:val="0016061B"/>
    <w:rsid w:val="00160BCF"/>
    <w:rsid w:val="00161084"/>
    <w:rsid w:val="0016284C"/>
    <w:rsid w:val="00162925"/>
    <w:rsid w:val="00162BD4"/>
    <w:rsid w:val="00163F69"/>
    <w:rsid w:val="001643A6"/>
    <w:rsid w:val="00164E00"/>
    <w:rsid w:val="00164FE5"/>
    <w:rsid w:val="00165CEB"/>
    <w:rsid w:val="00166AA9"/>
    <w:rsid w:val="00166B53"/>
    <w:rsid w:val="00167A5F"/>
    <w:rsid w:val="00170587"/>
    <w:rsid w:val="001710F9"/>
    <w:rsid w:val="001714CF"/>
    <w:rsid w:val="00171B59"/>
    <w:rsid w:val="001742FB"/>
    <w:rsid w:val="001751A1"/>
    <w:rsid w:val="001762DD"/>
    <w:rsid w:val="00176631"/>
    <w:rsid w:val="00177652"/>
    <w:rsid w:val="001777FA"/>
    <w:rsid w:val="001778BC"/>
    <w:rsid w:val="00177D48"/>
    <w:rsid w:val="00181668"/>
    <w:rsid w:val="00181E1C"/>
    <w:rsid w:val="0018241F"/>
    <w:rsid w:val="00182528"/>
    <w:rsid w:val="001827DF"/>
    <w:rsid w:val="00184170"/>
    <w:rsid w:val="00185200"/>
    <w:rsid w:val="00185BB0"/>
    <w:rsid w:val="00185F79"/>
    <w:rsid w:val="0018718C"/>
    <w:rsid w:val="001876F9"/>
    <w:rsid w:val="00187C76"/>
    <w:rsid w:val="00190184"/>
    <w:rsid w:val="00190C2D"/>
    <w:rsid w:val="00192229"/>
    <w:rsid w:val="00192CBF"/>
    <w:rsid w:val="00192FF1"/>
    <w:rsid w:val="00193007"/>
    <w:rsid w:val="001930D4"/>
    <w:rsid w:val="0019373B"/>
    <w:rsid w:val="0019465D"/>
    <w:rsid w:val="00194947"/>
    <w:rsid w:val="001949D2"/>
    <w:rsid w:val="00194C52"/>
    <w:rsid w:val="00194CF7"/>
    <w:rsid w:val="00195EF2"/>
    <w:rsid w:val="0019667F"/>
    <w:rsid w:val="00196AF9"/>
    <w:rsid w:val="00196D8C"/>
    <w:rsid w:val="0019737A"/>
    <w:rsid w:val="00197F32"/>
    <w:rsid w:val="001A001A"/>
    <w:rsid w:val="001A1422"/>
    <w:rsid w:val="001A1CDE"/>
    <w:rsid w:val="001A2B6E"/>
    <w:rsid w:val="001A354B"/>
    <w:rsid w:val="001A3643"/>
    <w:rsid w:val="001A39D5"/>
    <w:rsid w:val="001A3DF6"/>
    <w:rsid w:val="001A44FC"/>
    <w:rsid w:val="001A4971"/>
    <w:rsid w:val="001A5F1B"/>
    <w:rsid w:val="001A6488"/>
    <w:rsid w:val="001A680A"/>
    <w:rsid w:val="001A6E91"/>
    <w:rsid w:val="001A7613"/>
    <w:rsid w:val="001B02A8"/>
    <w:rsid w:val="001B03F7"/>
    <w:rsid w:val="001B05A4"/>
    <w:rsid w:val="001B0C92"/>
    <w:rsid w:val="001B17F4"/>
    <w:rsid w:val="001B1C22"/>
    <w:rsid w:val="001B33D3"/>
    <w:rsid w:val="001B3456"/>
    <w:rsid w:val="001B34C6"/>
    <w:rsid w:val="001B36DE"/>
    <w:rsid w:val="001B5239"/>
    <w:rsid w:val="001B59C5"/>
    <w:rsid w:val="001B5A9B"/>
    <w:rsid w:val="001B6055"/>
    <w:rsid w:val="001C0452"/>
    <w:rsid w:val="001C0652"/>
    <w:rsid w:val="001C092C"/>
    <w:rsid w:val="001C0C42"/>
    <w:rsid w:val="001C0F9B"/>
    <w:rsid w:val="001C2018"/>
    <w:rsid w:val="001C36F4"/>
    <w:rsid w:val="001C3877"/>
    <w:rsid w:val="001C4A3C"/>
    <w:rsid w:val="001C4D1E"/>
    <w:rsid w:val="001C76FF"/>
    <w:rsid w:val="001C78BE"/>
    <w:rsid w:val="001D0772"/>
    <w:rsid w:val="001D1CC5"/>
    <w:rsid w:val="001D231F"/>
    <w:rsid w:val="001D2B74"/>
    <w:rsid w:val="001D31E0"/>
    <w:rsid w:val="001D3333"/>
    <w:rsid w:val="001D3868"/>
    <w:rsid w:val="001D3C50"/>
    <w:rsid w:val="001D3F0D"/>
    <w:rsid w:val="001D4401"/>
    <w:rsid w:val="001D4C99"/>
    <w:rsid w:val="001D516B"/>
    <w:rsid w:val="001D70E9"/>
    <w:rsid w:val="001D7832"/>
    <w:rsid w:val="001E225E"/>
    <w:rsid w:val="001E3911"/>
    <w:rsid w:val="001E485E"/>
    <w:rsid w:val="001E58DD"/>
    <w:rsid w:val="001E5E68"/>
    <w:rsid w:val="001E692F"/>
    <w:rsid w:val="001E7BE3"/>
    <w:rsid w:val="001F0434"/>
    <w:rsid w:val="001F051A"/>
    <w:rsid w:val="001F0527"/>
    <w:rsid w:val="001F089B"/>
    <w:rsid w:val="001F13C8"/>
    <w:rsid w:val="001F2C5B"/>
    <w:rsid w:val="001F2FD8"/>
    <w:rsid w:val="001F3551"/>
    <w:rsid w:val="001F35B0"/>
    <w:rsid w:val="001F4256"/>
    <w:rsid w:val="001F4921"/>
    <w:rsid w:val="001F577C"/>
    <w:rsid w:val="001F5A53"/>
    <w:rsid w:val="001F5AFE"/>
    <w:rsid w:val="001F6519"/>
    <w:rsid w:val="001F780F"/>
    <w:rsid w:val="00200967"/>
    <w:rsid w:val="002012D8"/>
    <w:rsid w:val="002015A0"/>
    <w:rsid w:val="002038CE"/>
    <w:rsid w:val="002039D6"/>
    <w:rsid w:val="00204D82"/>
    <w:rsid w:val="0020533E"/>
    <w:rsid w:val="00205F99"/>
    <w:rsid w:val="00205FC8"/>
    <w:rsid w:val="00206349"/>
    <w:rsid w:val="00207D99"/>
    <w:rsid w:val="00210436"/>
    <w:rsid w:val="00210DC1"/>
    <w:rsid w:val="0021157A"/>
    <w:rsid w:val="00211D34"/>
    <w:rsid w:val="0021240A"/>
    <w:rsid w:val="0021304E"/>
    <w:rsid w:val="002133FA"/>
    <w:rsid w:val="00214328"/>
    <w:rsid w:val="00214F04"/>
    <w:rsid w:val="002174A5"/>
    <w:rsid w:val="002176B6"/>
    <w:rsid w:val="00217D47"/>
    <w:rsid w:val="00220019"/>
    <w:rsid w:val="002202DE"/>
    <w:rsid w:val="00220734"/>
    <w:rsid w:val="00221BED"/>
    <w:rsid w:val="00222C8F"/>
    <w:rsid w:val="00222FF3"/>
    <w:rsid w:val="00223DAE"/>
    <w:rsid w:val="00223E50"/>
    <w:rsid w:val="002243F3"/>
    <w:rsid w:val="0022483E"/>
    <w:rsid w:val="0022498D"/>
    <w:rsid w:val="00224FC9"/>
    <w:rsid w:val="00226ED6"/>
    <w:rsid w:val="00227061"/>
    <w:rsid w:val="00227E1E"/>
    <w:rsid w:val="002308AB"/>
    <w:rsid w:val="002311BF"/>
    <w:rsid w:val="00231D67"/>
    <w:rsid w:val="0023229C"/>
    <w:rsid w:val="0023338E"/>
    <w:rsid w:val="002352B9"/>
    <w:rsid w:val="002356F5"/>
    <w:rsid w:val="0023598E"/>
    <w:rsid w:val="0023621E"/>
    <w:rsid w:val="002367F5"/>
    <w:rsid w:val="00237EDC"/>
    <w:rsid w:val="00240640"/>
    <w:rsid w:val="00241ACF"/>
    <w:rsid w:val="00241B47"/>
    <w:rsid w:val="00242040"/>
    <w:rsid w:val="00242A95"/>
    <w:rsid w:val="00242F2B"/>
    <w:rsid w:val="002436B9"/>
    <w:rsid w:val="00243A0A"/>
    <w:rsid w:val="00243DBF"/>
    <w:rsid w:val="00243E4D"/>
    <w:rsid w:val="002441CD"/>
    <w:rsid w:val="002444FF"/>
    <w:rsid w:val="00245E5D"/>
    <w:rsid w:val="00246761"/>
    <w:rsid w:val="002503F7"/>
    <w:rsid w:val="00251FB5"/>
    <w:rsid w:val="00253B67"/>
    <w:rsid w:val="00253D36"/>
    <w:rsid w:val="0025525F"/>
    <w:rsid w:val="00255960"/>
    <w:rsid w:val="00255A2E"/>
    <w:rsid w:val="00255BBC"/>
    <w:rsid w:val="002560C5"/>
    <w:rsid w:val="00256DBC"/>
    <w:rsid w:val="00256EA4"/>
    <w:rsid w:val="002571C8"/>
    <w:rsid w:val="002578B3"/>
    <w:rsid w:val="002579DC"/>
    <w:rsid w:val="00257A41"/>
    <w:rsid w:val="002603B0"/>
    <w:rsid w:val="002603CD"/>
    <w:rsid w:val="00260906"/>
    <w:rsid w:val="002611AC"/>
    <w:rsid w:val="00261479"/>
    <w:rsid w:val="002615E1"/>
    <w:rsid w:val="00261CF7"/>
    <w:rsid w:val="00262248"/>
    <w:rsid w:val="0026282C"/>
    <w:rsid w:val="002631B1"/>
    <w:rsid w:val="002638F0"/>
    <w:rsid w:val="00264030"/>
    <w:rsid w:val="00264F14"/>
    <w:rsid w:val="0026521A"/>
    <w:rsid w:val="002654BA"/>
    <w:rsid w:val="002657E2"/>
    <w:rsid w:val="00265EA4"/>
    <w:rsid w:val="00266CD6"/>
    <w:rsid w:val="002673AC"/>
    <w:rsid w:val="00270C4A"/>
    <w:rsid w:val="0027278C"/>
    <w:rsid w:val="00273484"/>
    <w:rsid w:val="00273778"/>
    <w:rsid w:val="002739BD"/>
    <w:rsid w:val="00274A8C"/>
    <w:rsid w:val="00274C95"/>
    <w:rsid w:val="00275DAB"/>
    <w:rsid w:val="00275F7E"/>
    <w:rsid w:val="00276059"/>
    <w:rsid w:val="00280F65"/>
    <w:rsid w:val="00281C7F"/>
    <w:rsid w:val="002821BE"/>
    <w:rsid w:val="002836E2"/>
    <w:rsid w:val="0028534F"/>
    <w:rsid w:val="002856B5"/>
    <w:rsid w:val="00285F28"/>
    <w:rsid w:val="0028662C"/>
    <w:rsid w:val="00287F48"/>
    <w:rsid w:val="00290143"/>
    <w:rsid w:val="002903C0"/>
    <w:rsid w:val="002903D1"/>
    <w:rsid w:val="00290FF0"/>
    <w:rsid w:val="00291726"/>
    <w:rsid w:val="002922A7"/>
    <w:rsid w:val="00292FE9"/>
    <w:rsid w:val="00293074"/>
    <w:rsid w:val="00295857"/>
    <w:rsid w:val="00295ACD"/>
    <w:rsid w:val="0029698E"/>
    <w:rsid w:val="002A128C"/>
    <w:rsid w:val="002A2F64"/>
    <w:rsid w:val="002A3F7E"/>
    <w:rsid w:val="002A3F9B"/>
    <w:rsid w:val="002A49E5"/>
    <w:rsid w:val="002A50E6"/>
    <w:rsid w:val="002A5149"/>
    <w:rsid w:val="002A5151"/>
    <w:rsid w:val="002A51EF"/>
    <w:rsid w:val="002A6CE5"/>
    <w:rsid w:val="002A782A"/>
    <w:rsid w:val="002A7D62"/>
    <w:rsid w:val="002B11E2"/>
    <w:rsid w:val="002B1B4C"/>
    <w:rsid w:val="002B24B8"/>
    <w:rsid w:val="002B289A"/>
    <w:rsid w:val="002B2C89"/>
    <w:rsid w:val="002B3DCA"/>
    <w:rsid w:val="002B5E28"/>
    <w:rsid w:val="002B5E3C"/>
    <w:rsid w:val="002B71B1"/>
    <w:rsid w:val="002B7844"/>
    <w:rsid w:val="002B798E"/>
    <w:rsid w:val="002B7E5E"/>
    <w:rsid w:val="002C01FA"/>
    <w:rsid w:val="002C07A6"/>
    <w:rsid w:val="002C2178"/>
    <w:rsid w:val="002C23FF"/>
    <w:rsid w:val="002C27CF"/>
    <w:rsid w:val="002C3488"/>
    <w:rsid w:val="002C3802"/>
    <w:rsid w:val="002C5023"/>
    <w:rsid w:val="002C5612"/>
    <w:rsid w:val="002C5A6A"/>
    <w:rsid w:val="002C7252"/>
    <w:rsid w:val="002D12D7"/>
    <w:rsid w:val="002D1BBA"/>
    <w:rsid w:val="002D37F9"/>
    <w:rsid w:val="002D3AE9"/>
    <w:rsid w:val="002D3CE7"/>
    <w:rsid w:val="002D3E96"/>
    <w:rsid w:val="002D4510"/>
    <w:rsid w:val="002D4CA4"/>
    <w:rsid w:val="002D57EE"/>
    <w:rsid w:val="002D74B0"/>
    <w:rsid w:val="002D75FD"/>
    <w:rsid w:val="002D77FC"/>
    <w:rsid w:val="002D7909"/>
    <w:rsid w:val="002D7D6C"/>
    <w:rsid w:val="002E09F5"/>
    <w:rsid w:val="002E1344"/>
    <w:rsid w:val="002E1770"/>
    <w:rsid w:val="002E1AF2"/>
    <w:rsid w:val="002E1F65"/>
    <w:rsid w:val="002E2945"/>
    <w:rsid w:val="002E3682"/>
    <w:rsid w:val="002E380A"/>
    <w:rsid w:val="002E4581"/>
    <w:rsid w:val="002E635C"/>
    <w:rsid w:val="002E7997"/>
    <w:rsid w:val="002F026E"/>
    <w:rsid w:val="002F0734"/>
    <w:rsid w:val="002F0BCC"/>
    <w:rsid w:val="002F0FFF"/>
    <w:rsid w:val="002F1D86"/>
    <w:rsid w:val="002F20D4"/>
    <w:rsid w:val="002F22EB"/>
    <w:rsid w:val="002F2537"/>
    <w:rsid w:val="002F34E7"/>
    <w:rsid w:val="002F3712"/>
    <w:rsid w:val="002F46E7"/>
    <w:rsid w:val="002F4F01"/>
    <w:rsid w:val="002F54C8"/>
    <w:rsid w:val="002F6110"/>
    <w:rsid w:val="002F631D"/>
    <w:rsid w:val="002F71F4"/>
    <w:rsid w:val="002F72DB"/>
    <w:rsid w:val="002F75C0"/>
    <w:rsid w:val="002F7B19"/>
    <w:rsid w:val="002F7DC5"/>
    <w:rsid w:val="003008A1"/>
    <w:rsid w:val="00300CFB"/>
    <w:rsid w:val="00302CAC"/>
    <w:rsid w:val="00302EFB"/>
    <w:rsid w:val="0030336F"/>
    <w:rsid w:val="003040BE"/>
    <w:rsid w:val="0030641B"/>
    <w:rsid w:val="003066B8"/>
    <w:rsid w:val="00306F7F"/>
    <w:rsid w:val="003073CF"/>
    <w:rsid w:val="00307E9C"/>
    <w:rsid w:val="00307F8B"/>
    <w:rsid w:val="00307F96"/>
    <w:rsid w:val="003101DA"/>
    <w:rsid w:val="003107B7"/>
    <w:rsid w:val="0031090E"/>
    <w:rsid w:val="003111C3"/>
    <w:rsid w:val="0031176D"/>
    <w:rsid w:val="00311DF0"/>
    <w:rsid w:val="00312443"/>
    <w:rsid w:val="00312CBC"/>
    <w:rsid w:val="00312D2B"/>
    <w:rsid w:val="00312DDD"/>
    <w:rsid w:val="00313753"/>
    <w:rsid w:val="00313B84"/>
    <w:rsid w:val="003145CE"/>
    <w:rsid w:val="00314757"/>
    <w:rsid w:val="00315689"/>
    <w:rsid w:val="003158CA"/>
    <w:rsid w:val="00315CD0"/>
    <w:rsid w:val="003163BC"/>
    <w:rsid w:val="00317410"/>
    <w:rsid w:val="003174BD"/>
    <w:rsid w:val="003211CE"/>
    <w:rsid w:val="0032190A"/>
    <w:rsid w:val="00321B6E"/>
    <w:rsid w:val="003224D2"/>
    <w:rsid w:val="003229A0"/>
    <w:rsid w:val="00324DC5"/>
    <w:rsid w:val="00325CF3"/>
    <w:rsid w:val="003261DB"/>
    <w:rsid w:val="0032714E"/>
    <w:rsid w:val="003272B0"/>
    <w:rsid w:val="00327412"/>
    <w:rsid w:val="00327443"/>
    <w:rsid w:val="00327C42"/>
    <w:rsid w:val="00330E17"/>
    <w:rsid w:val="00331473"/>
    <w:rsid w:val="00331C8C"/>
    <w:rsid w:val="00332E50"/>
    <w:rsid w:val="0033319F"/>
    <w:rsid w:val="0033342C"/>
    <w:rsid w:val="003343C8"/>
    <w:rsid w:val="003343FE"/>
    <w:rsid w:val="003344C3"/>
    <w:rsid w:val="003344DE"/>
    <w:rsid w:val="00334F3F"/>
    <w:rsid w:val="0033564E"/>
    <w:rsid w:val="00335EAC"/>
    <w:rsid w:val="00336A32"/>
    <w:rsid w:val="0033715F"/>
    <w:rsid w:val="003373A2"/>
    <w:rsid w:val="003377E4"/>
    <w:rsid w:val="00337BC3"/>
    <w:rsid w:val="00337C84"/>
    <w:rsid w:val="003415C8"/>
    <w:rsid w:val="00341928"/>
    <w:rsid w:val="003427F5"/>
    <w:rsid w:val="00343BDA"/>
    <w:rsid w:val="00344EEF"/>
    <w:rsid w:val="00346541"/>
    <w:rsid w:val="003473A2"/>
    <w:rsid w:val="00350A8C"/>
    <w:rsid w:val="00350DE4"/>
    <w:rsid w:val="00351E6B"/>
    <w:rsid w:val="00352C2F"/>
    <w:rsid w:val="0035403A"/>
    <w:rsid w:val="003579E7"/>
    <w:rsid w:val="003600BF"/>
    <w:rsid w:val="00361BAC"/>
    <w:rsid w:val="00361EF5"/>
    <w:rsid w:val="00362B6E"/>
    <w:rsid w:val="0036394B"/>
    <w:rsid w:val="003643E9"/>
    <w:rsid w:val="0036498A"/>
    <w:rsid w:val="003650A6"/>
    <w:rsid w:val="00366AC7"/>
    <w:rsid w:val="00366DB6"/>
    <w:rsid w:val="003671B0"/>
    <w:rsid w:val="0036724C"/>
    <w:rsid w:val="0036763F"/>
    <w:rsid w:val="00370325"/>
    <w:rsid w:val="003706AD"/>
    <w:rsid w:val="003709B5"/>
    <w:rsid w:val="0037156B"/>
    <w:rsid w:val="003735E3"/>
    <w:rsid w:val="00373A59"/>
    <w:rsid w:val="003742B8"/>
    <w:rsid w:val="00374855"/>
    <w:rsid w:val="0037566A"/>
    <w:rsid w:val="003759C2"/>
    <w:rsid w:val="00376A70"/>
    <w:rsid w:val="0037710B"/>
    <w:rsid w:val="00377FCD"/>
    <w:rsid w:val="003800A1"/>
    <w:rsid w:val="0038039B"/>
    <w:rsid w:val="00380F32"/>
    <w:rsid w:val="00381AAD"/>
    <w:rsid w:val="00383AB4"/>
    <w:rsid w:val="0038402B"/>
    <w:rsid w:val="00384E4D"/>
    <w:rsid w:val="003857B4"/>
    <w:rsid w:val="00385A73"/>
    <w:rsid w:val="00386A9A"/>
    <w:rsid w:val="00387223"/>
    <w:rsid w:val="0038753A"/>
    <w:rsid w:val="003877A8"/>
    <w:rsid w:val="00387C27"/>
    <w:rsid w:val="00387D59"/>
    <w:rsid w:val="00390396"/>
    <w:rsid w:val="00390681"/>
    <w:rsid w:val="0039127D"/>
    <w:rsid w:val="003914FF"/>
    <w:rsid w:val="0039155D"/>
    <w:rsid w:val="0039172F"/>
    <w:rsid w:val="003920AF"/>
    <w:rsid w:val="003923CF"/>
    <w:rsid w:val="0039240B"/>
    <w:rsid w:val="0039269A"/>
    <w:rsid w:val="00392AE0"/>
    <w:rsid w:val="0039337E"/>
    <w:rsid w:val="00393F9F"/>
    <w:rsid w:val="0039489C"/>
    <w:rsid w:val="00394C17"/>
    <w:rsid w:val="00395665"/>
    <w:rsid w:val="00395B69"/>
    <w:rsid w:val="00395DA5"/>
    <w:rsid w:val="00396389"/>
    <w:rsid w:val="00396602"/>
    <w:rsid w:val="0039666B"/>
    <w:rsid w:val="00397365"/>
    <w:rsid w:val="00397540"/>
    <w:rsid w:val="00397DA6"/>
    <w:rsid w:val="003A0302"/>
    <w:rsid w:val="003A0389"/>
    <w:rsid w:val="003A09A2"/>
    <w:rsid w:val="003A1451"/>
    <w:rsid w:val="003A1A65"/>
    <w:rsid w:val="003A31F6"/>
    <w:rsid w:val="003A3A6C"/>
    <w:rsid w:val="003A3E98"/>
    <w:rsid w:val="003A4D67"/>
    <w:rsid w:val="003A58C7"/>
    <w:rsid w:val="003A6FE1"/>
    <w:rsid w:val="003A7385"/>
    <w:rsid w:val="003A7C3C"/>
    <w:rsid w:val="003B137C"/>
    <w:rsid w:val="003B1627"/>
    <w:rsid w:val="003B1DFC"/>
    <w:rsid w:val="003B2C98"/>
    <w:rsid w:val="003B334A"/>
    <w:rsid w:val="003B3EF0"/>
    <w:rsid w:val="003B43D3"/>
    <w:rsid w:val="003B4485"/>
    <w:rsid w:val="003B4F63"/>
    <w:rsid w:val="003B534A"/>
    <w:rsid w:val="003B6396"/>
    <w:rsid w:val="003B75C7"/>
    <w:rsid w:val="003B79D4"/>
    <w:rsid w:val="003B7AE8"/>
    <w:rsid w:val="003C020A"/>
    <w:rsid w:val="003C0474"/>
    <w:rsid w:val="003C05B1"/>
    <w:rsid w:val="003C076D"/>
    <w:rsid w:val="003C08C0"/>
    <w:rsid w:val="003C156A"/>
    <w:rsid w:val="003C242C"/>
    <w:rsid w:val="003C26EB"/>
    <w:rsid w:val="003C3447"/>
    <w:rsid w:val="003C4072"/>
    <w:rsid w:val="003C746E"/>
    <w:rsid w:val="003C7BA9"/>
    <w:rsid w:val="003D00DD"/>
    <w:rsid w:val="003D0607"/>
    <w:rsid w:val="003D076C"/>
    <w:rsid w:val="003D1367"/>
    <w:rsid w:val="003D160E"/>
    <w:rsid w:val="003D1FD8"/>
    <w:rsid w:val="003D3318"/>
    <w:rsid w:val="003D34F9"/>
    <w:rsid w:val="003D38E3"/>
    <w:rsid w:val="003D3ACD"/>
    <w:rsid w:val="003D6335"/>
    <w:rsid w:val="003D684C"/>
    <w:rsid w:val="003D7344"/>
    <w:rsid w:val="003E01CE"/>
    <w:rsid w:val="003E02B3"/>
    <w:rsid w:val="003E0745"/>
    <w:rsid w:val="003E090C"/>
    <w:rsid w:val="003E12BA"/>
    <w:rsid w:val="003E1DFC"/>
    <w:rsid w:val="003E217D"/>
    <w:rsid w:val="003E3442"/>
    <w:rsid w:val="003E3CED"/>
    <w:rsid w:val="003E475A"/>
    <w:rsid w:val="003E5626"/>
    <w:rsid w:val="003E5E2B"/>
    <w:rsid w:val="003E7112"/>
    <w:rsid w:val="003E7817"/>
    <w:rsid w:val="003E78B5"/>
    <w:rsid w:val="003F15A3"/>
    <w:rsid w:val="003F1778"/>
    <w:rsid w:val="003F2D0D"/>
    <w:rsid w:val="003F54A4"/>
    <w:rsid w:val="003F65FB"/>
    <w:rsid w:val="003F6E5D"/>
    <w:rsid w:val="003F70F2"/>
    <w:rsid w:val="003F77E3"/>
    <w:rsid w:val="003F7F77"/>
    <w:rsid w:val="00400A3D"/>
    <w:rsid w:val="004013AF"/>
    <w:rsid w:val="0040199C"/>
    <w:rsid w:val="004019EC"/>
    <w:rsid w:val="0040285F"/>
    <w:rsid w:val="00402C03"/>
    <w:rsid w:val="00404968"/>
    <w:rsid w:val="00405029"/>
    <w:rsid w:val="00405776"/>
    <w:rsid w:val="0040781C"/>
    <w:rsid w:val="00407A25"/>
    <w:rsid w:val="00407A49"/>
    <w:rsid w:val="00407AF6"/>
    <w:rsid w:val="00407C33"/>
    <w:rsid w:val="00410552"/>
    <w:rsid w:val="00410CD3"/>
    <w:rsid w:val="00411F8F"/>
    <w:rsid w:val="00411F93"/>
    <w:rsid w:val="004135D1"/>
    <w:rsid w:val="0041451E"/>
    <w:rsid w:val="004151D9"/>
    <w:rsid w:val="00415255"/>
    <w:rsid w:val="004155C1"/>
    <w:rsid w:val="0041597A"/>
    <w:rsid w:val="00415BAB"/>
    <w:rsid w:val="00415ED2"/>
    <w:rsid w:val="00416421"/>
    <w:rsid w:val="004164A8"/>
    <w:rsid w:val="004174C1"/>
    <w:rsid w:val="00420205"/>
    <w:rsid w:val="0042068C"/>
    <w:rsid w:val="004206C3"/>
    <w:rsid w:val="00421BF1"/>
    <w:rsid w:val="00421E96"/>
    <w:rsid w:val="00422C11"/>
    <w:rsid w:val="00423679"/>
    <w:rsid w:val="004237FF"/>
    <w:rsid w:val="00423CD1"/>
    <w:rsid w:val="00424FE3"/>
    <w:rsid w:val="00425191"/>
    <w:rsid w:val="0042557A"/>
    <w:rsid w:val="004255DF"/>
    <w:rsid w:val="004257CF"/>
    <w:rsid w:val="00425A70"/>
    <w:rsid w:val="00425E93"/>
    <w:rsid w:val="00425F7D"/>
    <w:rsid w:val="004269F5"/>
    <w:rsid w:val="004272FF"/>
    <w:rsid w:val="00430C96"/>
    <w:rsid w:val="00430EC7"/>
    <w:rsid w:val="00430EEB"/>
    <w:rsid w:val="00431492"/>
    <w:rsid w:val="004315C7"/>
    <w:rsid w:val="00431F25"/>
    <w:rsid w:val="00432606"/>
    <w:rsid w:val="00432822"/>
    <w:rsid w:val="00432CC6"/>
    <w:rsid w:val="00432DC8"/>
    <w:rsid w:val="004356C8"/>
    <w:rsid w:val="00435913"/>
    <w:rsid w:val="0043648E"/>
    <w:rsid w:val="0043651E"/>
    <w:rsid w:val="00436EFA"/>
    <w:rsid w:val="00437B2F"/>
    <w:rsid w:val="00440830"/>
    <w:rsid w:val="00440840"/>
    <w:rsid w:val="00440925"/>
    <w:rsid w:val="00440DC7"/>
    <w:rsid w:val="004412C3"/>
    <w:rsid w:val="00441774"/>
    <w:rsid w:val="00441C8E"/>
    <w:rsid w:val="00441FD9"/>
    <w:rsid w:val="004420F6"/>
    <w:rsid w:val="004429D9"/>
    <w:rsid w:val="00442CCF"/>
    <w:rsid w:val="0044318E"/>
    <w:rsid w:val="00443B35"/>
    <w:rsid w:val="004453BB"/>
    <w:rsid w:val="00445DB2"/>
    <w:rsid w:val="00446813"/>
    <w:rsid w:val="00446B3A"/>
    <w:rsid w:val="00446BEE"/>
    <w:rsid w:val="00446C55"/>
    <w:rsid w:val="0045009B"/>
    <w:rsid w:val="004508F2"/>
    <w:rsid w:val="00450A9D"/>
    <w:rsid w:val="00451303"/>
    <w:rsid w:val="0045178C"/>
    <w:rsid w:val="0045208F"/>
    <w:rsid w:val="00452577"/>
    <w:rsid w:val="004526AC"/>
    <w:rsid w:val="0045293D"/>
    <w:rsid w:val="00452CAF"/>
    <w:rsid w:val="004540CD"/>
    <w:rsid w:val="004541F0"/>
    <w:rsid w:val="0045463B"/>
    <w:rsid w:val="00455DAE"/>
    <w:rsid w:val="00455E26"/>
    <w:rsid w:val="00456622"/>
    <w:rsid w:val="004575B9"/>
    <w:rsid w:val="00457A1F"/>
    <w:rsid w:val="00457D54"/>
    <w:rsid w:val="00461628"/>
    <w:rsid w:val="00461D9A"/>
    <w:rsid w:val="00463785"/>
    <w:rsid w:val="00463D47"/>
    <w:rsid w:val="00465300"/>
    <w:rsid w:val="00466988"/>
    <w:rsid w:val="00470706"/>
    <w:rsid w:val="0047092D"/>
    <w:rsid w:val="00470A8D"/>
    <w:rsid w:val="0047122B"/>
    <w:rsid w:val="004712F4"/>
    <w:rsid w:val="00472125"/>
    <w:rsid w:val="004721F4"/>
    <w:rsid w:val="00472720"/>
    <w:rsid w:val="0047373B"/>
    <w:rsid w:val="00473B7A"/>
    <w:rsid w:val="004744EF"/>
    <w:rsid w:val="00474824"/>
    <w:rsid w:val="00474922"/>
    <w:rsid w:val="00476BE3"/>
    <w:rsid w:val="00476BF2"/>
    <w:rsid w:val="004771D9"/>
    <w:rsid w:val="004779B4"/>
    <w:rsid w:val="004807ED"/>
    <w:rsid w:val="00480C0E"/>
    <w:rsid w:val="00481112"/>
    <w:rsid w:val="00481F5D"/>
    <w:rsid w:val="0048216C"/>
    <w:rsid w:val="00482D44"/>
    <w:rsid w:val="004836D4"/>
    <w:rsid w:val="00483D96"/>
    <w:rsid w:val="00484D8A"/>
    <w:rsid w:val="00485CA3"/>
    <w:rsid w:val="00490C03"/>
    <w:rsid w:val="00490CC9"/>
    <w:rsid w:val="00490F58"/>
    <w:rsid w:val="00491E85"/>
    <w:rsid w:val="00492230"/>
    <w:rsid w:val="00492C4A"/>
    <w:rsid w:val="00493700"/>
    <w:rsid w:val="00493ADB"/>
    <w:rsid w:val="004957FD"/>
    <w:rsid w:val="00495EFD"/>
    <w:rsid w:val="004960E9"/>
    <w:rsid w:val="00496685"/>
    <w:rsid w:val="00497384"/>
    <w:rsid w:val="00497DC9"/>
    <w:rsid w:val="004A21DA"/>
    <w:rsid w:val="004A2574"/>
    <w:rsid w:val="004A2E88"/>
    <w:rsid w:val="004A4898"/>
    <w:rsid w:val="004A5305"/>
    <w:rsid w:val="004A6144"/>
    <w:rsid w:val="004A6274"/>
    <w:rsid w:val="004A6D92"/>
    <w:rsid w:val="004A6DC6"/>
    <w:rsid w:val="004B132B"/>
    <w:rsid w:val="004B13C6"/>
    <w:rsid w:val="004B1EC2"/>
    <w:rsid w:val="004B41C9"/>
    <w:rsid w:val="004B4266"/>
    <w:rsid w:val="004B4540"/>
    <w:rsid w:val="004B4AE7"/>
    <w:rsid w:val="004B562D"/>
    <w:rsid w:val="004B5940"/>
    <w:rsid w:val="004B5A15"/>
    <w:rsid w:val="004B7634"/>
    <w:rsid w:val="004B7F4B"/>
    <w:rsid w:val="004B7FAF"/>
    <w:rsid w:val="004C0257"/>
    <w:rsid w:val="004C03F6"/>
    <w:rsid w:val="004C0564"/>
    <w:rsid w:val="004C05BC"/>
    <w:rsid w:val="004C0E93"/>
    <w:rsid w:val="004C1283"/>
    <w:rsid w:val="004C687E"/>
    <w:rsid w:val="004D040D"/>
    <w:rsid w:val="004D182B"/>
    <w:rsid w:val="004D25A7"/>
    <w:rsid w:val="004D2A46"/>
    <w:rsid w:val="004D34AC"/>
    <w:rsid w:val="004D3EA7"/>
    <w:rsid w:val="004D4089"/>
    <w:rsid w:val="004D49FF"/>
    <w:rsid w:val="004D4B8C"/>
    <w:rsid w:val="004D52E1"/>
    <w:rsid w:val="004D5A3A"/>
    <w:rsid w:val="004D6BC4"/>
    <w:rsid w:val="004D72B2"/>
    <w:rsid w:val="004D7634"/>
    <w:rsid w:val="004E1055"/>
    <w:rsid w:val="004E1214"/>
    <w:rsid w:val="004E1794"/>
    <w:rsid w:val="004E196A"/>
    <w:rsid w:val="004E31EA"/>
    <w:rsid w:val="004E410F"/>
    <w:rsid w:val="004E4A05"/>
    <w:rsid w:val="004E55D4"/>
    <w:rsid w:val="004E5EAA"/>
    <w:rsid w:val="004E611A"/>
    <w:rsid w:val="004E650C"/>
    <w:rsid w:val="004E6B64"/>
    <w:rsid w:val="004E7CF3"/>
    <w:rsid w:val="004F0852"/>
    <w:rsid w:val="004F093A"/>
    <w:rsid w:val="004F165C"/>
    <w:rsid w:val="004F177E"/>
    <w:rsid w:val="004F17CA"/>
    <w:rsid w:val="004F2E69"/>
    <w:rsid w:val="004F3D58"/>
    <w:rsid w:val="004F3DF8"/>
    <w:rsid w:val="004F40D2"/>
    <w:rsid w:val="004F5BC3"/>
    <w:rsid w:val="004F5F72"/>
    <w:rsid w:val="004F6360"/>
    <w:rsid w:val="004F6460"/>
    <w:rsid w:val="004F7CA0"/>
    <w:rsid w:val="0050029D"/>
    <w:rsid w:val="00500EB5"/>
    <w:rsid w:val="005010CF"/>
    <w:rsid w:val="00501160"/>
    <w:rsid w:val="005019FE"/>
    <w:rsid w:val="00501E64"/>
    <w:rsid w:val="00502E85"/>
    <w:rsid w:val="00502F9C"/>
    <w:rsid w:val="00504110"/>
    <w:rsid w:val="005044C6"/>
    <w:rsid w:val="005046DF"/>
    <w:rsid w:val="00505381"/>
    <w:rsid w:val="00505B76"/>
    <w:rsid w:val="00505CF4"/>
    <w:rsid w:val="0050682B"/>
    <w:rsid w:val="00506AFF"/>
    <w:rsid w:val="00506D18"/>
    <w:rsid w:val="00506E54"/>
    <w:rsid w:val="00507137"/>
    <w:rsid w:val="005073DB"/>
    <w:rsid w:val="00507DC6"/>
    <w:rsid w:val="00507F82"/>
    <w:rsid w:val="00510726"/>
    <w:rsid w:val="00510CBD"/>
    <w:rsid w:val="00511171"/>
    <w:rsid w:val="00511A42"/>
    <w:rsid w:val="00511E05"/>
    <w:rsid w:val="0051288E"/>
    <w:rsid w:val="0051384E"/>
    <w:rsid w:val="005145F2"/>
    <w:rsid w:val="00515D56"/>
    <w:rsid w:val="0051635B"/>
    <w:rsid w:val="00516FEF"/>
    <w:rsid w:val="00517400"/>
    <w:rsid w:val="00520010"/>
    <w:rsid w:val="0052110A"/>
    <w:rsid w:val="00521271"/>
    <w:rsid w:val="0052144F"/>
    <w:rsid w:val="00523A96"/>
    <w:rsid w:val="00525389"/>
    <w:rsid w:val="00525583"/>
    <w:rsid w:val="00525697"/>
    <w:rsid w:val="00525AEE"/>
    <w:rsid w:val="00526330"/>
    <w:rsid w:val="00526A6A"/>
    <w:rsid w:val="00526C8C"/>
    <w:rsid w:val="0052720E"/>
    <w:rsid w:val="0052725A"/>
    <w:rsid w:val="00527B72"/>
    <w:rsid w:val="005300D3"/>
    <w:rsid w:val="0053057E"/>
    <w:rsid w:val="0053058C"/>
    <w:rsid w:val="00530A34"/>
    <w:rsid w:val="00530F32"/>
    <w:rsid w:val="00531201"/>
    <w:rsid w:val="00531F2B"/>
    <w:rsid w:val="005330B0"/>
    <w:rsid w:val="00533E34"/>
    <w:rsid w:val="00533E3A"/>
    <w:rsid w:val="00534302"/>
    <w:rsid w:val="00534BCC"/>
    <w:rsid w:val="0053520D"/>
    <w:rsid w:val="00536925"/>
    <w:rsid w:val="005375BA"/>
    <w:rsid w:val="0054085C"/>
    <w:rsid w:val="00540944"/>
    <w:rsid w:val="0054109E"/>
    <w:rsid w:val="005421DD"/>
    <w:rsid w:val="00542A10"/>
    <w:rsid w:val="00543038"/>
    <w:rsid w:val="00543B0C"/>
    <w:rsid w:val="00544F82"/>
    <w:rsid w:val="00545DA9"/>
    <w:rsid w:val="005460E7"/>
    <w:rsid w:val="00546568"/>
    <w:rsid w:val="00546CD5"/>
    <w:rsid w:val="00547CE7"/>
    <w:rsid w:val="005509D2"/>
    <w:rsid w:val="00551711"/>
    <w:rsid w:val="00551C12"/>
    <w:rsid w:val="00553BBA"/>
    <w:rsid w:val="00554C96"/>
    <w:rsid w:val="00555BA6"/>
    <w:rsid w:val="00555F0E"/>
    <w:rsid w:val="00555F38"/>
    <w:rsid w:val="00556072"/>
    <w:rsid w:val="00557262"/>
    <w:rsid w:val="005575E9"/>
    <w:rsid w:val="00557C8A"/>
    <w:rsid w:val="00560A68"/>
    <w:rsid w:val="0056183A"/>
    <w:rsid w:val="005628C1"/>
    <w:rsid w:val="00562E83"/>
    <w:rsid w:val="00563258"/>
    <w:rsid w:val="00563E79"/>
    <w:rsid w:val="0056428B"/>
    <w:rsid w:val="00564B22"/>
    <w:rsid w:val="00564B67"/>
    <w:rsid w:val="00564B8B"/>
    <w:rsid w:val="00564EDF"/>
    <w:rsid w:val="0056570C"/>
    <w:rsid w:val="00565924"/>
    <w:rsid w:val="00566685"/>
    <w:rsid w:val="005673AC"/>
    <w:rsid w:val="00567424"/>
    <w:rsid w:val="005704DB"/>
    <w:rsid w:val="00570CC7"/>
    <w:rsid w:val="00570F0C"/>
    <w:rsid w:val="005711EC"/>
    <w:rsid w:val="005713E6"/>
    <w:rsid w:val="005714A3"/>
    <w:rsid w:val="00571C46"/>
    <w:rsid w:val="00571CB4"/>
    <w:rsid w:val="00571D26"/>
    <w:rsid w:val="005726CA"/>
    <w:rsid w:val="00574008"/>
    <w:rsid w:val="005750F5"/>
    <w:rsid w:val="005803A9"/>
    <w:rsid w:val="00580DAC"/>
    <w:rsid w:val="00581949"/>
    <w:rsid w:val="00581BA3"/>
    <w:rsid w:val="00581DBF"/>
    <w:rsid w:val="005820BA"/>
    <w:rsid w:val="005841A9"/>
    <w:rsid w:val="005843A4"/>
    <w:rsid w:val="00585A2E"/>
    <w:rsid w:val="00585CF8"/>
    <w:rsid w:val="00585EEC"/>
    <w:rsid w:val="00586847"/>
    <w:rsid w:val="00586CF2"/>
    <w:rsid w:val="00590FA3"/>
    <w:rsid w:val="005912D1"/>
    <w:rsid w:val="005912FF"/>
    <w:rsid w:val="005913FE"/>
    <w:rsid w:val="0059145D"/>
    <w:rsid w:val="005914A0"/>
    <w:rsid w:val="00591F19"/>
    <w:rsid w:val="00593C4F"/>
    <w:rsid w:val="005943AA"/>
    <w:rsid w:val="005946A8"/>
    <w:rsid w:val="00595129"/>
    <w:rsid w:val="0059537B"/>
    <w:rsid w:val="00595856"/>
    <w:rsid w:val="005A01FB"/>
    <w:rsid w:val="005A0394"/>
    <w:rsid w:val="005A0E0C"/>
    <w:rsid w:val="005A2989"/>
    <w:rsid w:val="005A3199"/>
    <w:rsid w:val="005A34EC"/>
    <w:rsid w:val="005A35ED"/>
    <w:rsid w:val="005A3E1C"/>
    <w:rsid w:val="005A4407"/>
    <w:rsid w:val="005A4A7D"/>
    <w:rsid w:val="005A52F7"/>
    <w:rsid w:val="005A539F"/>
    <w:rsid w:val="005A59EF"/>
    <w:rsid w:val="005A5B8B"/>
    <w:rsid w:val="005A648D"/>
    <w:rsid w:val="005A676C"/>
    <w:rsid w:val="005B08DD"/>
    <w:rsid w:val="005B15C9"/>
    <w:rsid w:val="005B1C7E"/>
    <w:rsid w:val="005B2098"/>
    <w:rsid w:val="005B20F9"/>
    <w:rsid w:val="005B30DF"/>
    <w:rsid w:val="005B36C3"/>
    <w:rsid w:val="005B4CF2"/>
    <w:rsid w:val="005B6CB3"/>
    <w:rsid w:val="005B6E70"/>
    <w:rsid w:val="005C00E9"/>
    <w:rsid w:val="005C1104"/>
    <w:rsid w:val="005C11B3"/>
    <w:rsid w:val="005C14A4"/>
    <w:rsid w:val="005C1BC1"/>
    <w:rsid w:val="005C1C0B"/>
    <w:rsid w:val="005C1C67"/>
    <w:rsid w:val="005C2146"/>
    <w:rsid w:val="005C32A3"/>
    <w:rsid w:val="005C399B"/>
    <w:rsid w:val="005C3BAA"/>
    <w:rsid w:val="005C4ACE"/>
    <w:rsid w:val="005C51B8"/>
    <w:rsid w:val="005C6976"/>
    <w:rsid w:val="005C7781"/>
    <w:rsid w:val="005D013B"/>
    <w:rsid w:val="005D09E5"/>
    <w:rsid w:val="005D0A73"/>
    <w:rsid w:val="005D1C05"/>
    <w:rsid w:val="005D1DE8"/>
    <w:rsid w:val="005D352F"/>
    <w:rsid w:val="005D533D"/>
    <w:rsid w:val="005D5BC6"/>
    <w:rsid w:val="005D7549"/>
    <w:rsid w:val="005E0692"/>
    <w:rsid w:val="005E1E05"/>
    <w:rsid w:val="005E26FF"/>
    <w:rsid w:val="005E2B7C"/>
    <w:rsid w:val="005E4914"/>
    <w:rsid w:val="005E5374"/>
    <w:rsid w:val="005E6727"/>
    <w:rsid w:val="005F048F"/>
    <w:rsid w:val="005F1091"/>
    <w:rsid w:val="005F3416"/>
    <w:rsid w:val="005F3671"/>
    <w:rsid w:val="005F36A0"/>
    <w:rsid w:val="005F39CA"/>
    <w:rsid w:val="005F3B3B"/>
    <w:rsid w:val="005F4F2F"/>
    <w:rsid w:val="005F4FE4"/>
    <w:rsid w:val="005F526D"/>
    <w:rsid w:val="005F6E11"/>
    <w:rsid w:val="005F6F41"/>
    <w:rsid w:val="005F7013"/>
    <w:rsid w:val="006000CE"/>
    <w:rsid w:val="0060103E"/>
    <w:rsid w:val="0060164F"/>
    <w:rsid w:val="00601DCA"/>
    <w:rsid w:val="00601DDF"/>
    <w:rsid w:val="0060210E"/>
    <w:rsid w:val="0060260C"/>
    <w:rsid w:val="00603CE1"/>
    <w:rsid w:val="00603D3B"/>
    <w:rsid w:val="00604A98"/>
    <w:rsid w:val="006056FC"/>
    <w:rsid w:val="00605DA0"/>
    <w:rsid w:val="00605FDB"/>
    <w:rsid w:val="00606EFF"/>
    <w:rsid w:val="00606FEE"/>
    <w:rsid w:val="00607470"/>
    <w:rsid w:val="00610A14"/>
    <w:rsid w:val="0061112B"/>
    <w:rsid w:val="00611B5C"/>
    <w:rsid w:val="00612151"/>
    <w:rsid w:val="00612938"/>
    <w:rsid w:val="00612948"/>
    <w:rsid w:val="00613353"/>
    <w:rsid w:val="00614138"/>
    <w:rsid w:val="00614509"/>
    <w:rsid w:val="006148D6"/>
    <w:rsid w:val="0061581B"/>
    <w:rsid w:val="00616160"/>
    <w:rsid w:val="0061617E"/>
    <w:rsid w:val="006164E4"/>
    <w:rsid w:val="006166B9"/>
    <w:rsid w:val="00616B17"/>
    <w:rsid w:val="006171F4"/>
    <w:rsid w:val="00617E6D"/>
    <w:rsid w:val="00620164"/>
    <w:rsid w:val="006203E4"/>
    <w:rsid w:val="00620FCF"/>
    <w:rsid w:val="006217A0"/>
    <w:rsid w:val="00621A8D"/>
    <w:rsid w:val="006224DE"/>
    <w:rsid w:val="00622B67"/>
    <w:rsid w:val="00623032"/>
    <w:rsid w:val="00623613"/>
    <w:rsid w:val="006236DF"/>
    <w:rsid w:val="006243CF"/>
    <w:rsid w:val="00624960"/>
    <w:rsid w:val="00625D9F"/>
    <w:rsid w:val="00625DC6"/>
    <w:rsid w:val="006263B4"/>
    <w:rsid w:val="0062729D"/>
    <w:rsid w:val="00627335"/>
    <w:rsid w:val="006276CA"/>
    <w:rsid w:val="0063035A"/>
    <w:rsid w:val="006327E7"/>
    <w:rsid w:val="00632871"/>
    <w:rsid w:val="006332CD"/>
    <w:rsid w:val="0063334B"/>
    <w:rsid w:val="00634A1A"/>
    <w:rsid w:val="006358F4"/>
    <w:rsid w:val="00635B22"/>
    <w:rsid w:val="00636835"/>
    <w:rsid w:val="00637F1B"/>
    <w:rsid w:val="00641554"/>
    <w:rsid w:val="00642A43"/>
    <w:rsid w:val="0064343E"/>
    <w:rsid w:val="0064391D"/>
    <w:rsid w:val="00644E86"/>
    <w:rsid w:val="00645BF9"/>
    <w:rsid w:val="00646366"/>
    <w:rsid w:val="00646756"/>
    <w:rsid w:val="00646D78"/>
    <w:rsid w:val="00647048"/>
    <w:rsid w:val="00647FFA"/>
    <w:rsid w:val="006508AB"/>
    <w:rsid w:val="00650D7D"/>
    <w:rsid w:val="00651154"/>
    <w:rsid w:val="006516F4"/>
    <w:rsid w:val="00651821"/>
    <w:rsid w:val="00651BBF"/>
    <w:rsid w:val="00651C8E"/>
    <w:rsid w:val="006528E5"/>
    <w:rsid w:val="00653ACC"/>
    <w:rsid w:val="00654384"/>
    <w:rsid w:val="00654626"/>
    <w:rsid w:val="00654E96"/>
    <w:rsid w:val="00655740"/>
    <w:rsid w:val="00655981"/>
    <w:rsid w:val="0065675F"/>
    <w:rsid w:val="00657852"/>
    <w:rsid w:val="006622B2"/>
    <w:rsid w:val="00662C4D"/>
    <w:rsid w:val="00662E16"/>
    <w:rsid w:val="006638A1"/>
    <w:rsid w:val="00663911"/>
    <w:rsid w:val="00664AC2"/>
    <w:rsid w:val="006658FB"/>
    <w:rsid w:val="00666A1D"/>
    <w:rsid w:val="0066708E"/>
    <w:rsid w:val="006673D1"/>
    <w:rsid w:val="006675CD"/>
    <w:rsid w:val="00667910"/>
    <w:rsid w:val="00667AD5"/>
    <w:rsid w:val="00670229"/>
    <w:rsid w:val="0067238D"/>
    <w:rsid w:val="006740B2"/>
    <w:rsid w:val="00674313"/>
    <w:rsid w:val="0067453C"/>
    <w:rsid w:val="006747D5"/>
    <w:rsid w:val="006753CE"/>
    <w:rsid w:val="00675985"/>
    <w:rsid w:val="00676412"/>
    <w:rsid w:val="00676EB4"/>
    <w:rsid w:val="00677D1F"/>
    <w:rsid w:val="00677E6A"/>
    <w:rsid w:val="006801CC"/>
    <w:rsid w:val="00680888"/>
    <w:rsid w:val="00680BFA"/>
    <w:rsid w:val="00683EB3"/>
    <w:rsid w:val="00684929"/>
    <w:rsid w:val="00684D9B"/>
    <w:rsid w:val="0068510A"/>
    <w:rsid w:val="00685BCB"/>
    <w:rsid w:val="0069096F"/>
    <w:rsid w:val="00690CEF"/>
    <w:rsid w:val="00690FFC"/>
    <w:rsid w:val="006916E2"/>
    <w:rsid w:val="0069245B"/>
    <w:rsid w:val="00693527"/>
    <w:rsid w:val="00694585"/>
    <w:rsid w:val="00694E6C"/>
    <w:rsid w:val="0069546C"/>
    <w:rsid w:val="00695D46"/>
    <w:rsid w:val="00696F0D"/>
    <w:rsid w:val="00697363"/>
    <w:rsid w:val="00697394"/>
    <w:rsid w:val="006973C8"/>
    <w:rsid w:val="00697556"/>
    <w:rsid w:val="006A1CA8"/>
    <w:rsid w:val="006A1EB6"/>
    <w:rsid w:val="006A273C"/>
    <w:rsid w:val="006A2BF9"/>
    <w:rsid w:val="006A2EDF"/>
    <w:rsid w:val="006A3EFD"/>
    <w:rsid w:val="006A616B"/>
    <w:rsid w:val="006A72C7"/>
    <w:rsid w:val="006A738A"/>
    <w:rsid w:val="006B047A"/>
    <w:rsid w:val="006B1B80"/>
    <w:rsid w:val="006B1FDF"/>
    <w:rsid w:val="006B4081"/>
    <w:rsid w:val="006B4647"/>
    <w:rsid w:val="006B4C2B"/>
    <w:rsid w:val="006B4C97"/>
    <w:rsid w:val="006B5DFE"/>
    <w:rsid w:val="006B6139"/>
    <w:rsid w:val="006B6194"/>
    <w:rsid w:val="006B63E6"/>
    <w:rsid w:val="006B661E"/>
    <w:rsid w:val="006B6AD5"/>
    <w:rsid w:val="006B6D47"/>
    <w:rsid w:val="006B7078"/>
    <w:rsid w:val="006B719A"/>
    <w:rsid w:val="006C0011"/>
    <w:rsid w:val="006C0769"/>
    <w:rsid w:val="006C1D6E"/>
    <w:rsid w:val="006C1DE9"/>
    <w:rsid w:val="006C1FD7"/>
    <w:rsid w:val="006C262B"/>
    <w:rsid w:val="006C2B62"/>
    <w:rsid w:val="006C3E16"/>
    <w:rsid w:val="006C4912"/>
    <w:rsid w:val="006C5AFE"/>
    <w:rsid w:val="006C7715"/>
    <w:rsid w:val="006C7AF6"/>
    <w:rsid w:val="006D2747"/>
    <w:rsid w:val="006D30B1"/>
    <w:rsid w:val="006D40C4"/>
    <w:rsid w:val="006D40C5"/>
    <w:rsid w:val="006D494F"/>
    <w:rsid w:val="006D5E04"/>
    <w:rsid w:val="006D78E9"/>
    <w:rsid w:val="006E0A54"/>
    <w:rsid w:val="006E155D"/>
    <w:rsid w:val="006E1EEA"/>
    <w:rsid w:val="006E411D"/>
    <w:rsid w:val="006E4298"/>
    <w:rsid w:val="006E4C15"/>
    <w:rsid w:val="006E4F1F"/>
    <w:rsid w:val="006E5DCF"/>
    <w:rsid w:val="006E5FC3"/>
    <w:rsid w:val="006E6AFA"/>
    <w:rsid w:val="006E70E4"/>
    <w:rsid w:val="006E72FE"/>
    <w:rsid w:val="006E7850"/>
    <w:rsid w:val="006E7EBD"/>
    <w:rsid w:val="006F268E"/>
    <w:rsid w:val="006F2EC8"/>
    <w:rsid w:val="006F33A3"/>
    <w:rsid w:val="006F34F4"/>
    <w:rsid w:val="006F3970"/>
    <w:rsid w:val="006F4132"/>
    <w:rsid w:val="006F4494"/>
    <w:rsid w:val="006F4824"/>
    <w:rsid w:val="006F56D0"/>
    <w:rsid w:val="006F5A24"/>
    <w:rsid w:val="006F5E13"/>
    <w:rsid w:val="006F6069"/>
    <w:rsid w:val="006F6B59"/>
    <w:rsid w:val="006F6D95"/>
    <w:rsid w:val="006F70AA"/>
    <w:rsid w:val="006F7178"/>
    <w:rsid w:val="006F7CFE"/>
    <w:rsid w:val="00700D09"/>
    <w:rsid w:val="007019A4"/>
    <w:rsid w:val="007024D5"/>
    <w:rsid w:val="00702937"/>
    <w:rsid w:val="00705F85"/>
    <w:rsid w:val="00706479"/>
    <w:rsid w:val="00706F13"/>
    <w:rsid w:val="00706FB4"/>
    <w:rsid w:val="007072E8"/>
    <w:rsid w:val="007076FB"/>
    <w:rsid w:val="00710865"/>
    <w:rsid w:val="007109F4"/>
    <w:rsid w:val="00710FF1"/>
    <w:rsid w:val="0071234B"/>
    <w:rsid w:val="007127EF"/>
    <w:rsid w:val="00712A0D"/>
    <w:rsid w:val="0071322A"/>
    <w:rsid w:val="007134B4"/>
    <w:rsid w:val="00714164"/>
    <w:rsid w:val="00714A31"/>
    <w:rsid w:val="007160F2"/>
    <w:rsid w:val="0071618D"/>
    <w:rsid w:val="0071756B"/>
    <w:rsid w:val="00717749"/>
    <w:rsid w:val="0072116F"/>
    <w:rsid w:val="007212F8"/>
    <w:rsid w:val="00721534"/>
    <w:rsid w:val="00721A52"/>
    <w:rsid w:val="00721D5B"/>
    <w:rsid w:val="00722B3D"/>
    <w:rsid w:val="00723A41"/>
    <w:rsid w:val="00723CF0"/>
    <w:rsid w:val="00723F65"/>
    <w:rsid w:val="0072420A"/>
    <w:rsid w:val="0072463D"/>
    <w:rsid w:val="00724792"/>
    <w:rsid w:val="00724A10"/>
    <w:rsid w:val="00724C58"/>
    <w:rsid w:val="00724CDA"/>
    <w:rsid w:val="00725A27"/>
    <w:rsid w:val="00725FA4"/>
    <w:rsid w:val="00726263"/>
    <w:rsid w:val="00727B2C"/>
    <w:rsid w:val="00730732"/>
    <w:rsid w:val="00730F10"/>
    <w:rsid w:val="00731511"/>
    <w:rsid w:val="007316AC"/>
    <w:rsid w:val="007321CE"/>
    <w:rsid w:val="00732E0B"/>
    <w:rsid w:val="00732FDC"/>
    <w:rsid w:val="0073347B"/>
    <w:rsid w:val="00733DD7"/>
    <w:rsid w:val="007340CC"/>
    <w:rsid w:val="00734187"/>
    <w:rsid w:val="00734C73"/>
    <w:rsid w:val="00734FB8"/>
    <w:rsid w:val="00734FC2"/>
    <w:rsid w:val="007353BA"/>
    <w:rsid w:val="00735A72"/>
    <w:rsid w:val="007376B8"/>
    <w:rsid w:val="00737836"/>
    <w:rsid w:val="00740059"/>
    <w:rsid w:val="007402C8"/>
    <w:rsid w:val="00740446"/>
    <w:rsid w:val="00740C8E"/>
    <w:rsid w:val="00741260"/>
    <w:rsid w:val="0074265D"/>
    <w:rsid w:val="007438A9"/>
    <w:rsid w:val="00743C78"/>
    <w:rsid w:val="00743E7F"/>
    <w:rsid w:val="007445E0"/>
    <w:rsid w:val="0074482F"/>
    <w:rsid w:val="0074491E"/>
    <w:rsid w:val="00744A09"/>
    <w:rsid w:val="00745290"/>
    <w:rsid w:val="00745C85"/>
    <w:rsid w:val="00745E3D"/>
    <w:rsid w:val="00745F76"/>
    <w:rsid w:val="00745FC6"/>
    <w:rsid w:val="00746E56"/>
    <w:rsid w:val="007511E4"/>
    <w:rsid w:val="00751EEB"/>
    <w:rsid w:val="0075452E"/>
    <w:rsid w:val="00754E86"/>
    <w:rsid w:val="0075578E"/>
    <w:rsid w:val="00755D72"/>
    <w:rsid w:val="007566A2"/>
    <w:rsid w:val="007575D1"/>
    <w:rsid w:val="007602F3"/>
    <w:rsid w:val="007603D6"/>
    <w:rsid w:val="00761244"/>
    <w:rsid w:val="0076163F"/>
    <w:rsid w:val="0076247A"/>
    <w:rsid w:val="00762FB0"/>
    <w:rsid w:val="00763175"/>
    <w:rsid w:val="00763381"/>
    <w:rsid w:val="00763468"/>
    <w:rsid w:val="0076488C"/>
    <w:rsid w:val="00764CB3"/>
    <w:rsid w:val="00767391"/>
    <w:rsid w:val="00767FCE"/>
    <w:rsid w:val="007705CD"/>
    <w:rsid w:val="007732E2"/>
    <w:rsid w:val="00773E35"/>
    <w:rsid w:val="00774ABE"/>
    <w:rsid w:val="007758AF"/>
    <w:rsid w:val="00775964"/>
    <w:rsid w:val="0077639F"/>
    <w:rsid w:val="00776466"/>
    <w:rsid w:val="007765FE"/>
    <w:rsid w:val="007766B3"/>
    <w:rsid w:val="00777117"/>
    <w:rsid w:val="00777163"/>
    <w:rsid w:val="00777F29"/>
    <w:rsid w:val="00780739"/>
    <w:rsid w:val="00781E1A"/>
    <w:rsid w:val="00781EBA"/>
    <w:rsid w:val="00782822"/>
    <w:rsid w:val="007838B1"/>
    <w:rsid w:val="00785664"/>
    <w:rsid w:val="00785678"/>
    <w:rsid w:val="00787C1E"/>
    <w:rsid w:val="00787E5A"/>
    <w:rsid w:val="00790123"/>
    <w:rsid w:val="00790375"/>
    <w:rsid w:val="007910F2"/>
    <w:rsid w:val="00791901"/>
    <w:rsid w:val="00791DC8"/>
    <w:rsid w:val="00792083"/>
    <w:rsid w:val="007923A0"/>
    <w:rsid w:val="007928B7"/>
    <w:rsid w:val="00793207"/>
    <w:rsid w:val="00793C5D"/>
    <w:rsid w:val="00794E2E"/>
    <w:rsid w:val="00795373"/>
    <w:rsid w:val="00795BFB"/>
    <w:rsid w:val="007969B5"/>
    <w:rsid w:val="007A042F"/>
    <w:rsid w:val="007A060C"/>
    <w:rsid w:val="007A590A"/>
    <w:rsid w:val="007A5CD1"/>
    <w:rsid w:val="007A5E57"/>
    <w:rsid w:val="007A5E68"/>
    <w:rsid w:val="007A75EE"/>
    <w:rsid w:val="007B0F90"/>
    <w:rsid w:val="007B0FAC"/>
    <w:rsid w:val="007B100F"/>
    <w:rsid w:val="007B161E"/>
    <w:rsid w:val="007B1BD6"/>
    <w:rsid w:val="007B1CF5"/>
    <w:rsid w:val="007B2257"/>
    <w:rsid w:val="007B2760"/>
    <w:rsid w:val="007B2802"/>
    <w:rsid w:val="007B2BBA"/>
    <w:rsid w:val="007B357B"/>
    <w:rsid w:val="007B3FF0"/>
    <w:rsid w:val="007B5106"/>
    <w:rsid w:val="007B5176"/>
    <w:rsid w:val="007B53E9"/>
    <w:rsid w:val="007B564B"/>
    <w:rsid w:val="007B583A"/>
    <w:rsid w:val="007B5CF2"/>
    <w:rsid w:val="007B5E07"/>
    <w:rsid w:val="007B71EE"/>
    <w:rsid w:val="007B73AA"/>
    <w:rsid w:val="007B77CE"/>
    <w:rsid w:val="007B7F5E"/>
    <w:rsid w:val="007C0C5A"/>
    <w:rsid w:val="007C0C63"/>
    <w:rsid w:val="007C0FCB"/>
    <w:rsid w:val="007C127E"/>
    <w:rsid w:val="007C1B10"/>
    <w:rsid w:val="007C1BBA"/>
    <w:rsid w:val="007C2407"/>
    <w:rsid w:val="007C3258"/>
    <w:rsid w:val="007C585E"/>
    <w:rsid w:val="007C5B24"/>
    <w:rsid w:val="007C5D4D"/>
    <w:rsid w:val="007C79E3"/>
    <w:rsid w:val="007D14CA"/>
    <w:rsid w:val="007D1B4D"/>
    <w:rsid w:val="007D21CD"/>
    <w:rsid w:val="007D3B8A"/>
    <w:rsid w:val="007D4036"/>
    <w:rsid w:val="007D49D7"/>
    <w:rsid w:val="007D5836"/>
    <w:rsid w:val="007D69D2"/>
    <w:rsid w:val="007D6B92"/>
    <w:rsid w:val="007D763D"/>
    <w:rsid w:val="007D7CD5"/>
    <w:rsid w:val="007E02C4"/>
    <w:rsid w:val="007E09A4"/>
    <w:rsid w:val="007E1112"/>
    <w:rsid w:val="007E1B30"/>
    <w:rsid w:val="007E1BEB"/>
    <w:rsid w:val="007E3D24"/>
    <w:rsid w:val="007E3D47"/>
    <w:rsid w:val="007E4040"/>
    <w:rsid w:val="007E4A8E"/>
    <w:rsid w:val="007E51DB"/>
    <w:rsid w:val="007E5792"/>
    <w:rsid w:val="007E5B81"/>
    <w:rsid w:val="007E5D84"/>
    <w:rsid w:val="007E640C"/>
    <w:rsid w:val="007E642D"/>
    <w:rsid w:val="007E66B1"/>
    <w:rsid w:val="007E6C4A"/>
    <w:rsid w:val="007E71A4"/>
    <w:rsid w:val="007E7A97"/>
    <w:rsid w:val="007F0253"/>
    <w:rsid w:val="007F09CF"/>
    <w:rsid w:val="007F1280"/>
    <w:rsid w:val="007F286A"/>
    <w:rsid w:val="007F6527"/>
    <w:rsid w:val="007F6C99"/>
    <w:rsid w:val="007F7C1B"/>
    <w:rsid w:val="00800D21"/>
    <w:rsid w:val="00801F33"/>
    <w:rsid w:val="00802255"/>
    <w:rsid w:val="00802E44"/>
    <w:rsid w:val="00803071"/>
    <w:rsid w:val="00803F2E"/>
    <w:rsid w:val="0080401E"/>
    <w:rsid w:val="008043BB"/>
    <w:rsid w:val="008045BE"/>
    <w:rsid w:val="00804D2E"/>
    <w:rsid w:val="00804FEF"/>
    <w:rsid w:val="00806549"/>
    <w:rsid w:val="00806C01"/>
    <w:rsid w:val="00806DD1"/>
    <w:rsid w:val="008104D6"/>
    <w:rsid w:val="0081072B"/>
    <w:rsid w:val="00810A93"/>
    <w:rsid w:val="00810B35"/>
    <w:rsid w:val="00811D3E"/>
    <w:rsid w:val="00812BAE"/>
    <w:rsid w:val="00812E31"/>
    <w:rsid w:val="00813080"/>
    <w:rsid w:val="00813A44"/>
    <w:rsid w:val="0081468B"/>
    <w:rsid w:val="008148CC"/>
    <w:rsid w:val="00814E5A"/>
    <w:rsid w:val="008156B9"/>
    <w:rsid w:val="008167FC"/>
    <w:rsid w:val="008170E2"/>
    <w:rsid w:val="00817731"/>
    <w:rsid w:val="00817961"/>
    <w:rsid w:val="0082024A"/>
    <w:rsid w:val="00820BD9"/>
    <w:rsid w:val="008211A4"/>
    <w:rsid w:val="00821986"/>
    <w:rsid w:val="00822220"/>
    <w:rsid w:val="008223A2"/>
    <w:rsid w:val="00822599"/>
    <w:rsid w:val="00822961"/>
    <w:rsid w:val="00822AD4"/>
    <w:rsid w:val="0082311D"/>
    <w:rsid w:val="008237CA"/>
    <w:rsid w:val="00824A74"/>
    <w:rsid w:val="008251BC"/>
    <w:rsid w:val="00826A6F"/>
    <w:rsid w:val="00826E96"/>
    <w:rsid w:val="00827349"/>
    <w:rsid w:val="008276D9"/>
    <w:rsid w:val="00830FF0"/>
    <w:rsid w:val="008311EA"/>
    <w:rsid w:val="0083140E"/>
    <w:rsid w:val="00831609"/>
    <w:rsid w:val="008317C2"/>
    <w:rsid w:val="008318F6"/>
    <w:rsid w:val="00831A7D"/>
    <w:rsid w:val="00832D90"/>
    <w:rsid w:val="00834EFB"/>
    <w:rsid w:val="0083545A"/>
    <w:rsid w:val="00837902"/>
    <w:rsid w:val="00837AD4"/>
    <w:rsid w:val="00837D2A"/>
    <w:rsid w:val="00840277"/>
    <w:rsid w:val="00840C0C"/>
    <w:rsid w:val="008413A4"/>
    <w:rsid w:val="00841B92"/>
    <w:rsid w:val="00841D80"/>
    <w:rsid w:val="00842049"/>
    <w:rsid w:val="008421F1"/>
    <w:rsid w:val="00842644"/>
    <w:rsid w:val="00842BD5"/>
    <w:rsid w:val="008434EE"/>
    <w:rsid w:val="00843DAD"/>
    <w:rsid w:val="008444C9"/>
    <w:rsid w:val="008459C6"/>
    <w:rsid w:val="00845BAD"/>
    <w:rsid w:val="0084693A"/>
    <w:rsid w:val="0084781D"/>
    <w:rsid w:val="008501FC"/>
    <w:rsid w:val="00850AA8"/>
    <w:rsid w:val="008511DC"/>
    <w:rsid w:val="00851CD1"/>
    <w:rsid w:val="00851D52"/>
    <w:rsid w:val="00854203"/>
    <w:rsid w:val="0085640E"/>
    <w:rsid w:val="008567D4"/>
    <w:rsid w:val="00857229"/>
    <w:rsid w:val="008603A7"/>
    <w:rsid w:val="00861829"/>
    <w:rsid w:val="008625B3"/>
    <w:rsid w:val="00862786"/>
    <w:rsid w:val="00862E48"/>
    <w:rsid w:val="00863A37"/>
    <w:rsid w:val="00863AB8"/>
    <w:rsid w:val="00864C35"/>
    <w:rsid w:val="00864F48"/>
    <w:rsid w:val="00866DF9"/>
    <w:rsid w:val="00867BB0"/>
    <w:rsid w:val="00870417"/>
    <w:rsid w:val="0087143B"/>
    <w:rsid w:val="008723DD"/>
    <w:rsid w:val="00872D92"/>
    <w:rsid w:val="00873150"/>
    <w:rsid w:val="008734E9"/>
    <w:rsid w:val="00873FF9"/>
    <w:rsid w:val="00874329"/>
    <w:rsid w:val="00874613"/>
    <w:rsid w:val="008749DE"/>
    <w:rsid w:val="00875B5E"/>
    <w:rsid w:val="00876557"/>
    <w:rsid w:val="0087657D"/>
    <w:rsid w:val="008800E4"/>
    <w:rsid w:val="008807D5"/>
    <w:rsid w:val="00880832"/>
    <w:rsid w:val="00881A25"/>
    <w:rsid w:val="00881CED"/>
    <w:rsid w:val="008822EA"/>
    <w:rsid w:val="008824C7"/>
    <w:rsid w:val="0088369F"/>
    <w:rsid w:val="008836A4"/>
    <w:rsid w:val="0088389F"/>
    <w:rsid w:val="00884D80"/>
    <w:rsid w:val="00884DF9"/>
    <w:rsid w:val="00885D8E"/>
    <w:rsid w:val="00885E02"/>
    <w:rsid w:val="008869C7"/>
    <w:rsid w:val="00886D19"/>
    <w:rsid w:val="00886EE1"/>
    <w:rsid w:val="0088727D"/>
    <w:rsid w:val="00887F31"/>
    <w:rsid w:val="008902C7"/>
    <w:rsid w:val="00890BC2"/>
    <w:rsid w:val="00892AC3"/>
    <w:rsid w:val="00892F2C"/>
    <w:rsid w:val="00893069"/>
    <w:rsid w:val="0089340F"/>
    <w:rsid w:val="008944D2"/>
    <w:rsid w:val="00894B89"/>
    <w:rsid w:val="00895326"/>
    <w:rsid w:val="0089612C"/>
    <w:rsid w:val="00896478"/>
    <w:rsid w:val="00896F62"/>
    <w:rsid w:val="00897157"/>
    <w:rsid w:val="00897423"/>
    <w:rsid w:val="00897A6F"/>
    <w:rsid w:val="00897C27"/>
    <w:rsid w:val="00897C75"/>
    <w:rsid w:val="00897D95"/>
    <w:rsid w:val="008A0E24"/>
    <w:rsid w:val="008A0F70"/>
    <w:rsid w:val="008A1221"/>
    <w:rsid w:val="008A1461"/>
    <w:rsid w:val="008A1EDB"/>
    <w:rsid w:val="008A2565"/>
    <w:rsid w:val="008A2E9C"/>
    <w:rsid w:val="008A3B48"/>
    <w:rsid w:val="008A4148"/>
    <w:rsid w:val="008A4BD9"/>
    <w:rsid w:val="008A4E90"/>
    <w:rsid w:val="008A52CD"/>
    <w:rsid w:val="008A6101"/>
    <w:rsid w:val="008A66C8"/>
    <w:rsid w:val="008A6BE9"/>
    <w:rsid w:val="008A6EE3"/>
    <w:rsid w:val="008A7040"/>
    <w:rsid w:val="008A7669"/>
    <w:rsid w:val="008A7912"/>
    <w:rsid w:val="008B1831"/>
    <w:rsid w:val="008B1869"/>
    <w:rsid w:val="008B21A6"/>
    <w:rsid w:val="008B2CEF"/>
    <w:rsid w:val="008B2EAF"/>
    <w:rsid w:val="008B2F83"/>
    <w:rsid w:val="008B3A14"/>
    <w:rsid w:val="008B3AEF"/>
    <w:rsid w:val="008B4E82"/>
    <w:rsid w:val="008B502D"/>
    <w:rsid w:val="008B5887"/>
    <w:rsid w:val="008B61E5"/>
    <w:rsid w:val="008B6760"/>
    <w:rsid w:val="008B6CFD"/>
    <w:rsid w:val="008C0C6E"/>
    <w:rsid w:val="008C0DB6"/>
    <w:rsid w:val="008C1097"/>
    <w:rsid w:val="008C1130"/>
    <w:rsid w:val="008C1914"/>
    <w:rsid w:val="008C31C7"/>
    <w:rsid w:val="008C3591"/>
    <w:rsid w:val="008C4758"/>
    <w:rsid w:val="008C4BDB"/>
    <w:rsid w:val="008C52D7"/>
    <w:rsid w:val="008C54CC"/>
    <w:rsid w:val="008C5AD7"/>
    <w:rsid w:val="008C6406"/>
    <w:rsid w:val="008C6D97"/>
    <w:rsid w:val="008C713B"/>
    <w:rsid w:val="008C76A2"/>
    <w:rsid w:val="008C7A64"/>
    <w:rsid w:val="008D0647"/>
    <w:rsid w:val="008D13D1"/>
    <w:rsid w:val="008D18E6"/>
    <w:rsid w:val="008D1DC5"/>
    <w:rsid w:val="008D1E1B"/>
    <w:rsid w:val="008D2566"/>
    <w:rsid w:val="008D2C6D"/>
    <w:rsid w:val="008D3144"/>
    <w:rsid w:val="008D4760"/>
    <w:rsid w:val="008D6D03"/>
    <w:rsid w:val="008D7A9B"/>
    <w:rsid w:val="008E0060"/>
    <w:rsid w:val="008E034B"/>
    <w:rsid w:val="008E0A28"/>
    <w:rsid w:val="008E0E13"/>
    <w:rsid w:val="008E0F2A"/>
    <w:rsid w:val="008E121C"/>
    <w:rsid w:val="008E1E53"/>
    <w:rsid w:val="008E40FE"/>
    <w:rsid w:val="008E445E"/>
    <w:rsid w:val="008E4655"/>
    <w:rsid w:val="008E4F46"/>
    <w:rsid w:val="008E4F4C"/>
    <w:rsid w:val="008E57B9"/>
    <w:rsid w:val="008E594A"/>
    <w:rsid w:val="008E6687"/>
    <w:rsid w:val="008E6D31"/>
    <w:rsid w:val="008E7091"/>
    <w:rsid w:val="008E76AC"/>
    <w:rsid w:val="008E76D4"/>
    <w:rsid w:val="008F03AC"/>
    <w:rsid w:val="008F167F"/>
    <w:rsid w:val="008F1EB1"/>
    <w:rsid w:val="008F1FDC"/>
    <w:rsid w:val="008F21F6"/>
    <w:rsid w:val="008F2EB0"/>
    <w:rsid w:val="008F44D5"/>
    <w:rsid w:val="008F65E9"/>
    <w:rsid w:val="008F6824"/>
    <w:rsid w:val="008F6FA2"/>
    <w:rsid w:val="008F72E0"/>
    <w:rsid w:val="008F77A3"/>
    <w:rsid w:val="008F7990"/>
    <w:rsid w:val="00900D5E"/>
    <w:rsid w:val="00900E75"/>
    <w:rsid w:val="00901457"/>
    <w:rsid w:val="00901DFC"/>
    <w:rsid w:val="00902F64"/>
    <w:rsid w:val="00903386"/>
    <w:rsid w:val="0090351F"/>
    <w:rsid w:val="009043F0"/>
    <w:rsid w:val="009045B3"/>
    <w:rsid w:val="009049C5"/>
    <w:rsid w:val="00904A12"/>
    <w:rsid w:val="00905477"/>
    <w:rsid w:val="00906137"/>
    <w:rsid w:val="00906A2D"/>
    <w:rsid w:val="00906C61"/>
    <w:rsid w:val="00906C67"/>
    <w:rsid w:val="009070D9"/>
    <w:rsid w:val="0090795E"/>
    <w:rsid w:val="00910AA0"/>
    <w:rsid w:val="00911001"/>
    <w:rsid w:val="009113F1"/>
    <w:rsid w:val="00911F4D"/>
    <w:rsid w:val="0091359D"/>
    <w:rsid w:val="00914BCF"/>
    <w:rsid w:val="00914F06"/>
    <w:rsid w:val="009165C7"/>
    <w:rsid w:val="00917201"/>
    <w:rsid w:val="00917367"/>
    <w:rsid w:val="00917439"/>
    <w:rsid w:val="009174E7"/>
    <w:rsid w:val="009175DC"/>
    <w:rsid w:val="00920663"/>
    <w:rsid w:val="00921251"/>
    <w:rsid w:val="00921D03"/>
    <w:rsid w:val="00922533"/>
    <w:rsid w:val="00923B14"/>
    <w:rsid w:val="009252AB"/>
    <w:rsid w:val="009252C9"/>
    <w:rsid w:val="00925993"/>
    <w:rsid w:val="00926475"/>
    <w:rsid w:val="0092659D"/>
    <w:rsid w:val="00926CE2"/>
    <w:rsid w:val="00930004"/>
    <w:rsid w:val="00930543"/>
    <w:rsid w:val="00930F92"/>
    <w:rsid w:val="00931ADD"/>
    <w:rsid w:val="00931BC6"/>
    <w:rsid w:val="00931E01"/>
    <w:rsid w:val="00932806"/>
    <w:rsid w:val="0093297A"/>
    <w:rsid w:val="00932B77"/>
    <w:rsid w:val="009345F9"/>
    <w:rsid w:val="00935218"/>
    <w:rsid w:val="00936488"/>
    <w:rsid w:val="009364F2"/>
    <w:rsid w:val="009378A7"/>
    <w:rsid w:val="00937DAF"/>
    <w:rsid w:val="0094100A"/>
    <w:rsid w:val="009411BE"/>
    <w:rsid w:val="0094147E"/>
    <w:rsid w:val="00941F9A"/>
    <w:rsid w:val="009421F1"/>
    <w:rsid w:val="00942327"/>
    <w:rsid w:val="009427D5"/>
    <w:rsid w:val="0094299F"/>
    <w:rsid w:val="00942CDA"/>
    <w:rsid w:val="00942F31"/>
    <w:rsid w:val="0094356E"/>
    <w:rsid w:val="00943CA7"/>
    <w:rsid w:val="0094447D"/>
    <w:rsid w:val="00944E53"/>
    <w:rsid w:val="0094513B"/>
    <w:rsid w:val="0094611D"/>
    <w:rsid w:val="00946187"/>
    <w:rsid w:val="0094709F"/>
    <w:rsid w:val="00950009"/>
    <w:rsid w:val="00950BFC"/>
    <w:rsid w:val="009515E9"/>
    <w:rsid w:val="009516B1"/>
    <w:rsid w:val="0095183F"/>
    <w:rsid w:val="00951925"/>
    <w:rsid w:val="00951F79"/>
    <w:rsid w:val="009529A6"/>
    <w:rsid w:val="00953E66"/>
    <w:rsid w:val="00954404"/>
    <w:rsid w:val="00954C36"/>
    <w:rsid w:val="00954C5C"/>
    <w:rsid w:val="00954EB1"/>
    <w:rsid w:val="00955F64"/>
    <w:rsid w:val="00956377"/>
    <w:rsid w:val="00957503"/>
    <w:rsid w:val="00960324"/>
    <w:rsid w:val="00961863"/>
    <w:rsid w:val="00961EAC"/>
    <w:rsid w:val="0096279C"/>
    <w:rsid w:val="009628CC"/>
    <w:rsid w:val="00962972"/>
    <w:rsid w:val="0096342A"/>
    <w:rsid w:val="009635AE"/>
    <w:rsid w:val="00964BE8"/>
    <w:rsid w:val="00964FFA"/>
    <w:rsid w:val="00965203"/>
    <w:rsid w:val="00966FFF"/>
    <w:rsid w:val="00967498"/>
    <w:rsid w:val="00967D25"/>
    <w:rsid w:val="00970276"/>
    <w:rsid w:val="009703FA"/>
    <w:rsid w:val="00970ADD"/>
    <w:rsid w:val="00971CC1"/>
    <w:rsid w:val="009725AB"/>
    <w:rsid w:val="0097323A"/>
    <w:rsid w:val="009733BB"/>
    <w:rsid w:val="009739A5"/>
    <w:rsid w:val="00974136"/>
    <w:rsid w:val="0097499D"/>
    <w:rsid w:val="00974AB5"/>
    <w:rsid w:val="00975624"/>
    <w:rsid w:val="00976A4D"/>
    <w:rsid w:val="00976EC7"/>
    <w:rsid w:val="00976FD7"/>
    <w:rsid w:val="00980152"/>
    <w:rsid w:val="0098076F"/>
    <w:rsid w:val="009819E2"/>
    <w:rsid w:val="00981F77"/>
    <w:rsid w:val="00982092"/>
    <w:rsid w:val="009820D7"/>
    <w:rsid w:val="00982701"/>
    <w:rsid w:val="0098286E"/>
    <w:rsid w:val="00982A7B"/>
    <w:rsid w:val="00982FE1"/>
    <w:rsid w:val="009843A8"/>
    <w:rsid w:val="009844C9"/>
    <w:rsid w:val="009851BF"/>
    <w:rsid w:val="009851CD"/>
    <w:rsid w:val="00985AB7"/>
    <w:rsid w:val="00986A5E"/>
    <w:rsid w:val="0098706D"/>
    <w:rsid w:val="0098764A"/>
    <w:rsid w:val="00987BDD"/>
    <w:rsid w:val="0099061A"/>
    <w:rsid w:val="00991B54"/>
    <w:rsid w:val="00991CB0"/>
    <w:rsid w:val="009935FB"/>
    <w:rsid w:val="00995058"/>
    <w:rsid w:val="009953C9"/>
    <w:rsid w:val="009961D4"/>
    <w:rsid w:val="00996E66"/>
    <w:rsid w:val="009971F5"/>
    <w:rsid w:val="00997985"/>
    <w:rsid w:val="00997E69"/>
    <w:rsid w:val="009A0187"/>
    <w:rsid w:val="009A0748"/>
    <w:rsid w:val="009A0A35"/>
    <w:rsid w:val="009A1D3B"/>
    <w:rsid w:val="009A1DBD"/>
    <w:rsid w:val="009A235E"/>
    <w:rsid w:val="009A2431"/>
    <w:rsid w:val="009A3863"/>
    <w:rsid w:val="009A3DAA"/>
    <w:rsid w:val="009A482E"/>
    <w:rsid w:val="009A4D1C"/>
    <w:rsid w:val="009A4F41"/>
    <w:rsid w:val="009A513C"/>
    <w:rsid w:val="009A5DB8"/>
    <w:rsid w:val="009A70B8"/>
    <w:rsid w:val="009A7337"/>
    <w:rsid w:val="009A73EC"/>
    <w:rsid w:val="009B04E3"/>
    <w:rsid w:val="009B079A"/>
    <w:rsid w:val="009B1328"/>
    <w:rsid w:val="009B14E4"/>
    <w:rsid w:val="009B1AB3"/>
    <w:rsid w:val="009B1C54"/>
    <w:rsid w:val="009B1E4D"/>
    <w:rsid w:val="009B303D"/>
    <w:rsid w:val="009B3238"/>
    <w:rsid w:val="009B3D67"/>
    <w:rsid w:val="009B45B2"/>
    <w:rsid w:val="009B4F8D"/>
    <w:rsid w:val="009B509F"/>
    <w:rsid w:val="009B5752"/>
    <w:rsid w:val="009B57F5"/>
    <w:rsid w:val="009B69C5"/>
    <w:rsid w:val="009B75B7"/>
    <w:rsid w:val="009C15AD"/>
    <w:rsid w:val="009C167B"/>
    <w:rsid w:val="009C17D3"/>
    <w:rsid w:val="009C1933"/>
    <w:rsid w:val="009C1AAA"/>
    <w:rsid w:val="009C1EF5"/>
    <w:rsid w:val="009C2AF0"/>
    <w:rsid w:val="009C2E90"/>
    <w:rsid w:val="009C383A"/>
    <w:rsid w:val="009C3DB8"/>
    <w:rsid w:val="009C3E52"/>
    <w:rsid w:val="009C422B"/>
    <w:rsid w:val="009C5AE2"/>
    <w:rsid w:val="009C5BC8"/>
    <w:rsid w:val="009C5F4D"/>
    <w:rsid w:val="009C60D5"/>
    <w:rsid w:val="009C6FF8"/>
    <w:rsid w:val="009C71DA"/>
    <w:rsid w:val="009C73A9"/>
    <w:rsid w:val="009C7500"/>
    <w:rsid w:val="009C7987"/>
    <w:rsid w:val="009C7B85"/>
    <w:rsid w:val="009C7F29"/>
    <w:rsid w:val="009D191F"/>
    <w:rsid w:val="009D23BC"/>
    <w:rsid w:val="009D2A09"/>
    <w:rsid w:val="009D2B19"/>
    <w:rsid w:val="009D3C00"/>
    <w:rsid w:val="009D418B"/>
    <w:rsid w:val="009D4626"/>
    <w:rsid w:val="009D54B1"/>
    <w:rsid w:val="009D5565"/>
    <w:rsid w:val="009D578A"/>
    <w:rsid w:val="009D720E"/>
    <w:rsid w:val="009D75F9"/>
    <w:rsid w:val="009D7709"/>
    <w:rsid w:val="009E0662"/>
    <w:rsid w:val="009E06C2"/>
    <w:rsid w:val="009E1320"/>
    <w:rsid w:val="009E1EB8"/>
    <w:rsid w:val="009E2A99"/>
    <w:rsid w:val="009E3023"/>
    <w:rsid w:val="009E3D1C"/>
    <w:rsid w:val="009E5113"/>
    <w:rsid w:val="009E5521"/>
    <w:rsid w:val="009E5968"/>
    <w:rsid w:val="009E5B91"/>
    <w:rsid w:val="009E5BC5"/>
    <w:rsid w:val="009E5BD0"/>
    <w:rsid w:val="009E6C3E"/>
    <w:rsid w:val="009E7922"/>
    <w:rsid w:val="009F0489"/>
    <w:rsid w:val="009F0CEE"/>
    <w:rsid w:val="009F15BD"/>
    <w:rsid w:val="009F1717"/>
    <w:rsid w:val="009F252B"/>
    <w:rsid w:val="009F457C"/>
    <w:rsid w:val="009F4749"/>
    <w:rsid w:val="009F47F4"/>
    <w:rsid w:val="009F4A54"/>
    <w:rsid w:val="009F4BEC"/>
    <w:rsid w:val="009F4F37"/>
    <w:rsid w:val="009F553B"/>
    <w:rsid w:val="009F5874"/>
    <w:rsid w:val="009F59FE"/>
    <w:rsid w:val="009F5A0B"/>
    <w:rsid w:val="00A01B8C"/>
    <w:rsid w:val="00A024DD"/>
    <w:rsid w:val="00A045AB"/>
    <w:rsid w:val="00A04D18"/>
    <w:rsid w:val="00A04EA8"/>
    <w:rsid w:val="00A0515F"/>
    <w:rsid w:val="00A060A1"/>
    <w:rsid w:val="00A061FC"/>
    <w:rsid w:val="00A064EC"/>
    <w:rsid w:val="00A06C25"/>
    <w:rsid w:val="00A0708C"/>
    <w:rsid w:val="00A07643"/>
    <w:rsid w:val="00A10393"/>
    <w:rsid w:val="00A10857"/>
    <w:rsid w:val="00A11576"/>
    <w:rsid w:val="00A12211"/>
    <w:rsid w:val="00A122C5"/>
    <w:rsid w:val="00A12AE0"/>
    <w:rsid w:val="00A144D4"/>
    <w:rsid w:val="00A1479B"/>
    <w:rsid w:val="00A14819"/>
    <w:rsid w:val="00A149A3"/>
    <w:rsid w:val="00A16A3E"/>
    <w:rsid w:val="00A1772B"/>
    <w:rsid w:val="00A2261B"/>
    <w:rsid w:val="00A23DA6"/>
    <w:rsid w:val="00A240CB"/>
    <w:rsid w:val="00A242BD"/>
    <w:rsid w:val="00A242DE"/>
    <w:rsid w:val="00A2447C"/>
    <w:rsid w:val="00A24CB4"/>
    <w:rsid w:val="00A25FD7"/>
    <w:rsid w:val="00A26DEA"/>
    <w:rsid w:val="00A306C4"/>
    <w:rsid w:val="00A307F8"/>
    <w:rsid w:val="00A31B8C"/>
    <w:rsid w:val="00A33243"/>
    <w:rsid w:val="00A345B3"/>
    <w:rsid w:val="00A3552A"/>
    <w:rsid w:val="00A366F9"/>
    <w:rsid w:val="00A36F36"/>
    <w:rsid w:val="00A3728A"/>
    <w:rsid w:val="00A37622"/>
    <w:rsid w:val="00A3773C"/>
    <w:rsid w:val="00A378C7"/>
    <w:rsid w:val="00A40669"/>
    <w:rsid w:val="00A40880"/>
    <w:rsid w:val="00A40915"/>
    <w:rsid w:val="00A43041"/>
    <w:rsid w:val="00A43AFF"/>
    <w:rsid w:val="00A444DC"/>
    <w:rsid w:val="00A454E3"/>
    <w:rsid w:val="00A46303"/>
    <w:rsid w:val="00A477DE"/>
    <w:rsid w:val="00A50621"/>
    <w:rsid w:val="00A50651"/>
    <w:rsid w:val="00A50F78"/>
    <w:rsid w:val="00A50FF1"/>
    <w:rsid w:val="00A51DA4"/>
    <w:rsid w:val="00A52D39"/>
    <w:rsid w:val="00A532D3"/>
    <w:rsid w:val="00A537A1"/>
    <w:rsid w:val="00A54B46"/>
    <w:rsid w:val="00A54DE4"/>
    <w:rsid w:val="00A55865"/>
    <w:rsid w:val="00A60C76"/>
    <w:rsid w:val="00A60F91"/>
    <w:rsid w:val="00A619C0"/>
    <w:rsid w:val="00A6294F"/>
    <w:rsid w:val="00A62CF6"/>
    <w:rsid w:val="00A63390"/>
    <w:rsid w:val="00A6411B"/>
    <w:rsid w:val="00A643E7"/>
    <w:rsid w:val="00A645DF"/>
    <w:rsid w:val="00A647E5"/>
    <w:rsid w:val="00A6492A"/>
    <w:rsid w:val="00A66026"/>
    <w:rsid w:val="00A66135"/>
    <w:rsid w:val="00A66313"/>
    <w:rsid w:val="00A678BA"/>
    <w:rsid w:val="00A71F3C"/>
    <w:rsid w:val="00A731C3"/>
    <w:rsid w:val="00A73C49"/>
    <w:rsid w:val="00A74502"/>
    <w:rsid w:val="00A74AD1"/>
    <w:rsid w:val="00A74DFA"/>
    <w:rsid w:val="00A76AA3"/>
    <w:rsid w:val="00A772AD"/>
    <w:rsid w:val="00A7793A"/>
    <w:rsid w:val="00A80C05"/>
    <w:rsid w:val="00A80C7B"/>
    <w:rsid w:val="00A81E1D"/>
    <w:rsid w:val="00A82091"/>
    <w:rsid w:val="00A82695"/>
    <w:rsid w:val="00A827B5"/>
    <w:rsid w:val="00A83B99"/>
    <w:rsid w:val="00A83EE1"/>
    <w:rsid w:val="00A8497A"/>
    <w:rsid w:val="00A84B9E"/>
    <w:rsid w:val="00A85482"/>
    <w:rsid w:val="00A85C52"/>
    <w:rsid w:val="00A876B0"/>
    <w:rsid w:val="00A87A26"/>
    <w:rsid w:val="00A90A5A"/>
    <w:rsid w:val="00A92906"/>
    <w:rsid w:val="00A92CD4"/>
    <w:rsid w:val="00A93FCC"/>
    <w:rsid w:val="00A95099"/>
    <w:rsid w:val="00A956C0"/>
    <w:rsid w:val="00A95A48"/>
    <w:rsid w:val="00A97754"/>
    <w:rsid w:val="00A979F5"/>
    <w:rsid w:val="00AA0FA8"/>
    <w:rsid w:val="00AA132E"/>
    <w:rsid w:val="00AA1389"/>
    <w:rsid w:val="00AA2290"/>
    <w:rsid w:val="00AA2722"/>
    <w:rsid w:val="00AA4CC7"/>
    <w:rsid w:val="00AA535A"/>
    <w:rsid w:val="00AA583A"/>
    <w:rsid w:val="00AA5E8E"/>
    <w:rsid w:val="00AA6245"/>
    <w:rsid w:val="00AA7048"/>
    <w:rsid w:val="00AA79DB"/>
    <w:rsid w:val="00AB00EE"/>
    <w:rsid w:val="00AB0281"/>
    <w:rsid w:val="00AB06AF"/>
    <w:rsid w:val="00AB0EB1"/>
    <w:rsid w:val="00AB1042"/>
    <w:rsid w:val="00AB12A3"/>
    <w:rsid w:val="00AB163A"/>
    <w:rsid w:val="00AB1AF2"/>
    <w:rsid w:val="00AB1E65"/>
    <w:rsid w:val="00AB225B"/>
    <w:rsid w:val="00AB2685"/>
    <w:rsid w:val="00AB2BAD"/>
    <w:rsid w:val="00AB46ED"/>
    <w:rsid w:val="00AB566F"/>
    <w:rsid w:val="00AB604C"/>
    <w:rsid w:val="00AB6CA7"/>
    <w:rsid w:val="00AB6D57"/>
    <w:rsid w:val="00AB6DD5"/>
    <w:rsid w:val="00AB71D7"/>
    <w:rsid w:val="00AC01A4"/>
    <w:rsid w:val="00AC0BD4"/>
    <w:rsid w:val="00AC1E5F"/>
    <w:rsid w:val="00AC2510"/>
    <w:rsid w:val="00AC356A"/>
    <w:rsid w:val="00AC3B82"/>
    <w:rsid w:val="00AC3EF0"/>
    <w:rsid w:val="00AC422F"/>
    <w:rsid w:val="00AC45AE"/>
    <w:rsid w:val="00AC4AC1"/>
    <w:rsid w:val="00AC5F01"/>
    <w:rsid w:val="00AC626A"/>
    <w:rsid w:val="00AC6B4B"/>
    <w:rsid w:val="00AC7B9E"/>
    <w:rsid w:val="00AC7D4C"/>
    <w:rsid w:val="00AD01E4"/>
    <w:rsid w:val="00AD0858"/>
    <w:rsid w:val="00AD1098"/>
    <w:rsid w:val="00AD11B0"/>
    <w:rsid w:val="00AD1511"/>
    <w:rsid w:val="00AD17E6"/>
    <w:rsid w:val="00AD3516"/>
    <w:rsid w:val="00AD4866"/>
    <w:rsid w:val="00AD4B7F"/>
    <w:rsid w:val="00AD4B8C"/>
    <w:rsid w:val="00AD4D6E"/>
    <w:rsid w:val="00AD515C"/>
    <w:rsid w:val="00AD7B3E"/>
    <w:rsid w:val="00AD7D7C"/>
    <w:rsid w:val="00AE02E3"/>
    <w:rsid w:val="00AE0B47"/>
    <w:rsid w:val="00AE1231"/>
    <w:rsid w:val="00AE12DA"/>
    <w:rsid w:val="00AE146A"/>
    <w:rsid w:val="00AE168C"/>
    <w:rsid w:val="00AE1B24"/>
    <w:rsid w:val="00AE2B11"/>
    <w:rsid w:val="00AE5145"/>
    <w:rsid w:val="00AE65B1"/>
    <w:rsid w:val="00AE7340"/>
    <w:rsid w:val="00AF0BB5"/>
    <w:rsid w:val="00AF0C52"/>
    <w:rsid w:val="00AF148B"/>
    <w:rsid w:val="00AF17BC"/>
    <w:rsid w:val="00AF1BBD"/>
    <w:rsid w:val="00AF22F4"/>
    <w:rsid w:val="00AF246E"/>
    <w:rsid w:val="00AF29D5"/>
    <w:rsid w:val="00AF53F4"/>
    <w:rsid w:val="00AF6A2B"/>
    <w:rsid w:val="00AF794B"/>
    <w:rsid w:val="00B007C6"/>
    <w:rsid w:val="00B008CA"/>
    <w:rsid w:val="00B022AE"/>
    <w:rsid w:val="00B02659"/>
    <w:rsid w:val="00B03620"/>
    <w:rsid w:val="00B04948"/>
    <w:rsid w:val="00B052C2"/>
    <w:rsid w:val="00B05A3A"/>
    <w:rsid w:val="00B06FFE"/>
    <w:rsid w:val="00B077F9"/>
    <w:rsid w:val="00B10207"/>
    <w:rsid w:val="00B11D36"/>
    <w:rsid w:val="00B11EAF"/>
    <w:rsid w:val="00B1222D"/>
    <w:rsid w:val="00B1257A"/>
    <w:rsid w:val="00B132D9"/>
    <w:rsid w:val="00B141E7"/>
    <w:rsid w:val="00B15349"/>
    <w:rsid w:val="00B16417"/>
    <w:rsid w:val="00B16B69"/>
    <w:rsid w:val="00B173EB"/>
    <w:rsid w:val="00B2224C"/>
    <w:rsid w:val="00B22A0A"/>
    <w:rsid w:val="00B22A6F"/>
    <w:rsid w:val="00B23C0A"/>
    <w:rsid w:val="00B2435A"/>
    <w:rsid w:val="00B24B88"/>
    <w:rsid w:val="00B25B86"/>
    <w:rsid w:val="00B26197"/>
    <w:rsid w:val="00B26280"/>
    <w:rsid w:val="00B265A1"/>
    <w:rsid w:val="00B27348"/>
    <w:rsid w:val="00B2797B"/>
    <w:rsid w:val="00B27E1C"/>
    <w:rsid w:val="00B30260"/>
    <w:rsid w:val="00B30A47"/>
    <w:rsid w:val="00B31169"/>
    <w:rsid w:val="00B3175E"/>
    <w:rsid w:val="00B3194B"/>
    <w:rsid w:val="00B31D3C"/>
    <w:rsid w:val="00B330ED"/>
    <w:rsid w:val="00B3344F"/>
    <w:rsid w:val="00B3360A"/>
    <w:rsid w:val="00B3466A"/>
    <w:rsid w:val="00B351B4"/>
    <w:rsid w:val="00B351FA"/>
    <w:rsid w:val="00B35333"/>
    <w:rsid w:val="00B35960"/>
    <w:rsid w:val="00B35E88"/>
    <w:rsid w:val="00B36F4C"/>
    <w:rsid w:val="00B3777F"/>
    <w:rsid w:val="00B40601"/>
    <w:rsid w:val="00B40D0D"/>
    <w:rsid w:val="00B41320"/>
    <w:rsid w:val="00B41C94"/>
    <w:rsid w:val="00B41DF4"/>
    <w:rsid w:val="00B4232B"/>
    <w:rsid w:val="00B42917"/>
    <w:rsid w:val="00B42993"/>
    <w:rsid w:val="00B43325"/>
    <w:rsid w:val="00B43898"/>
    <w:rsid w:val="00B43A69"/>
    <w:rsid w:val="00B43BCB"/>
    <w:rsid w:val="00B444CD"/>
    <w:rsid w:val="00B46BCA"/>
    <w:rsid w:val="00B47356"/>
    <w:rsid w:val="00B47528"/>
    <w:rsid w:val="00B478AA"/>
    <w:rsid w:val="00B47B43"/>
    <w:rsid w:val="00B5231E"/>
    <w:rsid w:val="00B52415"/>
    <w:rsid w:val="00B5370F"/>
    <w:rsid w:val="00B54B63"/>
    <w:rsid w:val="00B554FE"/>
    <w:rsid w:val="00B55692"/>
    <w:rsid w:val="00B56028"/>
    <w:rsid w:val="00B565C7"/>
    <w:rsid w:val="00B56B2A"/>
    <w:rsid w:val="00B5711A"/>
    <w:rsid w:val="00B57D8C"/>
    <w:rsid w:val="00B600A4"/>
    <w:rsid w:val="00B600FD"/>
    <w:rsid w:val="00B60421"/>
    <w:rsid w:val="00B60E1D"/>
    <w:rsid w:val="00B61B02"/>
    <w:rsid w:val="00B61D64"/>
    <w:rsid w:val="00B61E17"/>
    <w:rsid w:val="00B62678"/>
    <w:rsid w:val="00B63CAB"/>
    <w:rsid w:val="00B63E4F"/>
    <w:rsid w:val="00B64F3D"/>
    <w:rsid w:val="00B650B0"/>
    <w:rsid w:val="00B656FB"/>
    <w:rsid w:val="00B65F61"/>
    <w:rsid w:val="00B665A5"/>
    <w:rsid w:val="00B665CD"/>
    <w:rsid w:val="00B674DD"/>
    <w:rsid w:val="00B700FB"/>
    <w:rsid w:val="00B70BE9"/>
    <w:rsid w:val="00B710D7"/>
    <w:rsid w:val="00B72192"/>
    <w:rsid w:val="00B72959"/>
    <w:rsid w:val="00B729F8"/>
    <w:rsid w:val="00B72E5C"/>
    <w:rsid w:val="00B744B8"/>
    <w:rsid w:val="00B74FEE"/>
    <w:rsid w:val="00B75663"/>
    <w:rsid w:val="00B757FF"/>
    <w:rsid w:val="00B760AE"/>
    <w:rsid w:val="00B76A1F"/>
    <w:rsid w:val="00B76F92"/>
    <w:rsid w:val="00B77482"/>
    <w:rsid w:val="00B77CD0"/>
    <w:rsid w:val="00B8018B"/>
    <w:rsid w:val="00B80902"/>
    <w:rsid w:val="00B80A4C"/>
    <w:rsid w:val="00B80A53"/>
    <w:rsid w:val="00B80B15"/>
    <w:rsid w:val="00B80BE8"/>
    <w:rsid w:val="00B8131D"/>
    <w:rsid w:val="00B81D52"/>
    <w:rsid w:val="00B825C2"/>
    <w:rsid w:val="00B82619"/>
    <w:rsid w:val="00B82883"/>
    <w:rsid w:val="00B82DE0"/>
    <w:rsid w:val="00B83258"/>
    <w:rsid w:val="00B83F1E"/>
    <w:rsid w:val="00B8498F"/>
    <w:rsid w:val="00B84993"/>
    <w:rsid w:val="00B84C00"/>
    <w:rsid w:val="00B84EEC"/>
    <w:rsid w:val="00B85325"/>
    <w:rsid w:val="00B85425"/>
    <w:rsid w:val="00B85FD4"/>
    <w:rsid w:val="00B862DA"/>
    <w:rsid w:val="00B871DE"/>
    <w:rsid w:val="00B87565"/>
    <w:rsid w:val="00B87806"/>
    <w:rsid w:val="00B87EC9"/>
    <w:rsid w:val="00B91185"/>
    <w:rsid w:val="00B91F5D"/>
    <w:rsid w:val="00B92EBB"/>
    <w:rsid w:val="00B93640"/>
    <w:rsid w:val="00B9384D"/>
    <w:rsid w:val="00B93FF5"/>
    <w:rsid w:val="00B949AB"/>
    <w:rsid w:val="00B94C9E"/>
    <w:rsid w:val="00B94D33"/>
    <w:rsid w:val="00B9505A"/>
    <w:rsid w:val="00B95972"/>
    <w:rsid w:val="00B95B1A"/>
    <w:rsid w:val="00B97734"/>
    <w:rsid w:val="00BA070B"/>
    <w:rsid w:val="00BA0B1F"/>
    <w:rsid w:val="00BA13ED"/>
    <w:rsid w:val="00BA210E"/>
    <w:rsid w:val="00BA2E21"/>
    <w:rsid w:val="00BA3114"/>
    <w:rsid w:val="00BA333F"/>
    <w:rsid w:val="00BA37EF"/>
    <w:rsid w:val="00BA3864"/>
    <w:rsid w:val="00BA3E2A"/>
    <w:rsid w:val="00BA4149"/>
    <w:rsid w:val="00BA4427"/>
    <w:rsid w:val="00BA4B4D"/>
    <w:rsid w:val="00BA4C3E"/>
    <w:rsid w:val="00BA5137"/>
    <w:rsid w:val="00BA664F"/>
    <w:rsid w:val="00BA74E1"/>
    <w:rsid w:val="00BB138F"/>
    <w:rsid w:val="00BB156F"/>
    <w:rsid w:val="00BB23E0"/>
    <w:rsid w:val="00BB2D9A"/>
    <w:rsid w:val="00BB31BF"/>
    <w:rsid w:val="00BB3B07"/>
    <w:rsid w:val="00BB6133"/>
    <w:rsid w:val="00BB651A"/>
    <w:rsid w:val="00BB6691"/>
    <w:rsid w:val="00BB751A"/>
    <w:rsid w:val="00BB778C"/>
    <w:rsid w:val="00BC24A1"/>
    <w:rsid w:val="00BC38FD"/>
    <w:rsid w:val="00BC3C53"/>
    <w:rsid w:val="00BC4C9E"/>
    <w:rsid w:val="00BC5BEC"/>
    <w:rsid w:val="00BC5C73"/>
    <w:rsid w:val="00BC5CAB"/>
    <w:rsid w:val="00BC5E1E"/>
    <w:rsid w:val="00BD06AC"/>
    <w:rsid w:val="00BD1B5B"/>
    <w:rsid w:val="00BD28F0"/>
    <w:rsid w:val="00BD30D2"/>
    <w:rsid w:val="00BD3EB5"/>
    <w:rsid w:val="00BD4A2B"/>
    <w:rsid w:val="00BD539A"/>
    <w:rsid w:val="00BD6191"/>
    <w:rsid w:val="00BD7269"/>
    <w:rsid w:val="00BD72C1"/>
    <w:rsid w:val="00BE0371"/>
    <w:rsid w:val="00BE064B"/>
    <w:rsid w:val="00BE141A"/>
    <w:rsid w:val="00BE141D"/>
    <w:rsid w:val="00BE1723"/>
    <w:rsid w:val="00BE2586"/>
    <w:rsid w:val="00BE32DD"/>
    <w:rsid w:val="00BE479B"/>
    <w:rsid w:val="00BE4A70"/>
    <w:rsid w:val="00BE511F"/>
    <w:rsid w:val="00BE52B5"/>
    <w:rsid w:val="00BE6240"/>
    <w:rsid w:val="00BE6451"/>
    <w:rsid w:val="00BE65CF"/>
    <w:rsid w:val="00BE6D1B"/>
    <w:rsid w:val="00BE6FCB"/>
    <w:rsid w:val="00BF020D"/>
    <w:rsid w:val="00BF0E38"/>
    <w:rsid w:val="00BF432F"/>
    <w:rsid w:val="00BF4A8F"/>
    <w:rsid w:val="00BF5A0E"/>
    <w:rsid w:val="00BF69C9"/>
    <w:rsid w:val="00BF737C"/>
    <w:rsid w:val="00BF7F5D"/>
    <w:rsid w:val="00C01DF8"/>
    <w:rsid w:val="00C02231"/>
    <w:rsid w:val="00C02259"/>
    <w:rsid w:val="00C02BA1"/>
    <w:rsid w:val="00C02D7C"/>
    <w:rsid w:val="00C030AB"/>
    <w:rsid w:val="00C030E5"/>
    <w:rsid w:val="00C03146"/>
    <w:rsid w:val="00C034CB"/>
    <w:rsid w:val="00C03D13"/>
    <w:rsid w:val="00C04CD9"/>
    <w:rsid w:val="00C0509B"/>
    <w:rsid w:val="00C051A8"/>
    <w:rsid w:val="00C054BC"/>
    <w:rsid w:val="00C059D0"/>
    <w:rsid w:val="00C06851"/>
    <w:rsid w:val="00C07859"/>
    <w:rsid w:val="00C07D28"/>
    <w:rsid w:val="00C10433"/>
    <w:rsid w:val="00C10BCA"/>
    <w:rsid w:val="00C10CBB"/>
    <w:rsid w:val="00C1142D"/>
    <w:rsid w:val="00C11B7D"/>
    <w:rsid w:val="00C11F53"/>
    <w:rsid w:val="00C12D87"/>
    <w:rsid w:val="00C12F3B"/>
    <w:rsid w:val="00C1355E"/>
    <w:rsid w:val="00C14033"/>
    <w:rsid w:val="00C1547D"/>
    <w:rsid w:val="00C158D4"/>
    <w:rsid w:val="00C15DAE"/>
    <w:rsid w:val="00C169F9"/>
    <w:rsid w:val="00C16B32"/>
    <w:rsid w:val="00C16CA2"/>
    <w:rsid w:val="00C170C2"/>
    <w:rsid w:val="00C17547"/>
    <w:rsid w:val="00C17897"/>
    <w:rsid w:val="00C200B5"/>
    <w:rsid w:val="00C202E9"/>
    <w:rsid w:val="00C20F6E"/>
    <w:rsid w:val="00C21450"/>
    <w:rsid w:val="00C2199B"/>
    <w:rsid w:val="00C21A7C"/>
    <w:rsid w:val="00C22ACF"/>
    <w:rsid w:val="00C23CE0"/>
    <w:rsid w:val="00C23D5E"/>
    <w:rsid w:val="00C24D55"/>
    <w:rsid w:val="00C2531A"/>
    <w:rsid w:val="00C25607"/>
    <w:rsid w:val="00C25706"/>
    <w:rsid w:val="00C273C7"/>
    <w:rsid w:val="00C303B9"/>
    <w:rsid w:val="00C30D93"/>
    <w:rsid w:val="00C312D2"/>
    <w:rsid w:val="00C3136D"/>
    <w:rsid w:val="00C329E0"/>
    <w:rsid w:val="00C32B95"/>
    <w:rsid w:val="00C32B99"/>
    <w:rsid w:val="00C32CD4"/>
    <w:rsid w:val="00C33F14"/>
    <w:rsid w:val="00C357DB"/>
    <w:rsid w:val="00C35E2B"/>
    <w:rsid w:val="00C362A6"/>
    <w:rsid w:val="00C363BA"/>
    <w:rsid w:val="00C367C9"/>
    <w:rsid w:val="00C36AE6"/>
    <w:rsid w:val="00C36C98"/>
    <w:rsid w:val="00C3760F"/>
    <w:rsid w:val="00C37C61"/>
    <w:rsid w:val="00C40052"/>
    <w:rsid w:val="00C409D5"/>
    <w:rsid w:val="00C40B13"/>
    <w:rsid w:val="00C415A6"/>
    <w:rsid w:val="00C41CD2"/>
    <w:rsid w:val="00C4253F"/>
    <w:rsid w:val="00C435C3"/>
    <w:rsid w:val="00C43FAE"/>
    <w:rsid w:val="00C44133"/>
    <w:rsid w:val="00C4460E"/>
    <w:rsid w:val="00C448A9"/>
    <w:rsid w:val="00C44B9B"/>
    <w:rsid w:val="00C44CC9"/>
    <w:rsid w:val="00C44E5F"/>
    <w:rsid w:val="00C46B05"/>
    <w:rsid w:val="00C4722C"/>
    <w:rsid w:val="00C502DA"/>
    <w:rsid w:val="00C50334"/>
    <w:rsid w:val="00C50589"/>
    <w:rsid w:val="00C512DF"/>
    <w:rsid w:val="00C51486"/>
    <w:rsid w:val="00C51595"/>
    <w:rsid w:val="00C51B7C"/>
    <w:rsid w:val="00C52727"/>
    <w:rsid w:val="00C53F29"/>
    <w:rsid w:val="00C54342"/>
    <w:rsid w:val="00C56C0B"/>
    <w:rsid w:val="00C60976"/>
    <w:rsid w:val="00C60C51"/>
    <w:rsid w:val="00C61B63"/>
    <w:rsid w:val="00C6234B"/>
    <w:rsid w:val="00C639EB"/>
    <w:rsid w:val="00C63EAE"/>
    <w:rsid w:val="00C64A70"/>
    <w:rsid w:val="00C654CD"/>
    <w:rsid w:val="00C656EE"/>
    <w:rsid w:val="00C65B7B"/>
    <w:rsid w:val="00C6723C"/>
    <w:rsid w:val="00C676CE"/>
    <w:rsid w:val="00C7089A"/>
    <w:rsid w:val="00C70E01"/>
    <w:rsid w:val="00C7248A"/>
    <w:rsid w:val="00C72533"/>
    <w:rsid w:val="00C72E6A"/>
    <w:rsid w:val="00C73260"/>
    <w:rsid w:val="00C7385B"/>
    <w:rsid w:val="00C748DF"/>
    <w:rsid w:val="00C74B5F"/>
    <w:rsid w:val="00C7540C"/>
    <w:rsid w:val="00C75F5B"/>
    <w:rsid w:val="00C7629F"/>
    <w:rsid w:val="00C771BE"/>
    <w:rsid w:val="00C810C1"/>
    <w:rsid w:val="00C823AC"/>
    <w:rsid w:val="00C83796"/>
    <w:rsid w:val="00C83CC6"/>
    <w:rsid w:val="00C84FFB"/>
    <w:rsid w:val="00C851C0"/>
    <w:rsid w:val="00C851E0"/>
    <w:rsid w:val="00C8531E"/>
    <w:rsid w:val="00C8568D"/>
    <w:rsid w:val="00C856E8"/>
    <w:rsid w:val="00C85990"/>
    <w:rsid w:val="00C85BF8"/>
    <w:rsid w:val="00C8661B"/>
    <w:rsid w:val="00C87829"/>
    <w:rsid w:val="00C87F56"/>
    <w:rsid w:val="00C9101C"/>
    <w:rsid w:val="00C9201C"/>
    <w:rsid w:val="00C923DE"/>
    <w:rsid w:val="00C93442"/>
    <w:rsid w:val="00C939C5"/>
    <w:rsid w:val="00C93C63"/>
    <w:rsid w:val="00C94925"/>
    <w:rsid w:val="00C94C0A"/>
    <w:rsid w:val="00C95040"/>
    <w:rsid w:val="00C9528B"/>
    <w:rsid w:val="00C95C54"/>
    <w:rsid w:val="00C96974"/>
    <w:rsid w:val="00C973EF"/>
    <w:rsid w:val="00C97581"/>
    <w:rsid w:val="00C979BF"/>
    <w:rsid w:val="00CA0052"/>
    <w:rsid w:val="00CA03C8"/>
    <w:rsid w:val="00CA0600"/>
    <w:rsid w:val="00CA0630"/>
    <w:rsid w:val="00CA0DFD"/>
    <w:rsid w:val="00CA0E09"/>
    <w:rsid w:val="00CA139A"/>
    <w:rsid w:val="00CA157D"/>
    <w:rsid w:val="00CA19FA"/>
    <w:rsid w:val="00CA2899"/>
    <w:rsid w:val="00CA33A2"/>
    <w:rsid w:val="00CA3A3D"/>
    <w:rsid w:val="00CA3AA6"/>
    <w:rsid w:val="00CA3EF3"/>
    <w:rsid w:val="00CA42B5"/>
    <w:rsid w:val="00CA4880"/>
    <w:rsid w:val="00CA51FC"/>
    <w:rsid w:val="00CA555C"/>
    <w:rsid w:val="00CA62CD"/>
    <w:rsid w:val="00CA7025"/>
    <w:rsid w:val="00CA7035"/>
    <w:rsid w:val="00CA75ED"/>
    <w:rsid w:val="00CA7600"/>
    <w:rsid w:val="00CA77FB"/>
    <w:rsid w:val="00CA793D"/>
    <w:rsid w:val="00CA7942"/>
    <w:rsid w:val="00CB026C"/>
    <w:rsid w:val="00CB0C67"/>
    <w:rsid w:val="00CB1A93"/>
    <w:rsid w:val="00CB2886"/>
    <w:rsid w:val="00CB2C25"/>
    <w:rsid w:val="00CB3293"/>
    <w:rsid w:val="00CB379B"/>
    <w:rsid w:val="00CB3BF4"/>
    <w:rsid w:val="00CB4074"/>
    <w:rsid w:val="00CB454A"/>
    <w:rsid w:val="00CB4F88"/>
    <w:rsid w:val="00CB50AE"/>
    <w:rsid w:val="00CB5DD0"/>
    <w:rsid w:val="00CB5DEB"/>
    <w:rsid w:val="00CC06BA"/>
    <w:rsid w:val="00CC1DC4"/>
    <w:rsid w:val="00CC269A"/>
    <w:rsid w:val="00CC323E"/>
    <w:rsid w:val="00CC3E4A"/>
    <w:rsid w:val="00CC40B5"/>
    <w:rsid w:val="00CC4AD9"/>
    <w:rsid w:val="00CC51D4"/>
    <w:rsid w:val="00CC65DA"/>
    <w:rsid w:val="00CC6C62"/>
    <w:rsid w:val="00CC780E"/>
    <w:rsid w:val="00CC794C"/>
    <w:rsid w:val="00CC7E9F"/>
    <w:rsid w:val="00CD0572"/>
    <w:rsid w:val="00CD0A83"/>
    <w:rsid w:val="00CD1043"/>
    <w:rsid w:val="00CD13F3"/>
    <w:rsid w:val="00CD14B9"/>
    <w:rsid w:val="00CD1962"/>
    <w:rsid w:val="00CD325C"/>
    <w:rsid w:val="00CD46B3"/>
    <w:rsid w:val="00CD66C6"/>
    <w:rsid w:val="00CD690B"/>
    <w:rsid w:val="00CD692C"/>
    <w:rsid w:val="00CD6C8C"/>
    <w:rsid w:val="00CE0AB0"/>
    <w:rsid w:val="00CE1085"/>
    <w:rsid w:val="00CE11CC"/>
    <w:rsid w:val="00CE18A4"/>
    <w:rsid w:val="00CE1C2E"/>
    <w:rsid w:val="00CE2AA7"/>
    <w:rsid w:val="00CE31D4"/>
    <w:rsid w:val="00CE4916"/>
    <w:rsid w:val="00CE5AA0"/>
    <w:rsid w:val="00CF0103"/>
    <w:rsid w:val="00CF1006"/>
    <w:rsid w:val="00CF174F"/>
    <w:rsid w:val="00CF18FA"/>
    <w:rsid w:val="00CF1921"/>
    <w:rsid w:val="00CF21B9"/>
    <w:rsid w:val="00CF2823"/>
    <w:rsid w:val="00CF2930"/>
    <w:rsid w:val="00CF2A2D"/>
    <w:rsid w:val="00CF2E9D"/>
    <w:rsid w:val="00CF43EE"/>
    <w:rsid w:val="00CF446A"/>
    <w:rsid w:val="00CF54A0"/>
    <w:rsid w:val="00CF67D5"/>
    <w:rsid w:val="00CF6BF9"/>
    <w:rsid w:val="00CF7574"/>
    <w:rsid w:val="00CF7CDD"/>
    <w:rsid w:val="00D00748"/>
    <w:rsid w:val="00D01A00"/>
    <w:rsid w:val="00D02A5C"/>
    <w:rsid w:val="00D02B04"/>
    <w:rsid w:val="00D03800"/>
    <w:rsid w:val="00D04499"/>
    <w:rsid w:val="00D05413"/>
    <w:rsid w:val="00D065D3"/>
    <w:rsid w:val="00D07523"/>
    <w:rsid w:val="00D07CDB"/>
    <w:rsid w:val="00D10DD2"/>
    <w:rsid w:val="00D11C4B"/>
    <w:rsid w:val="00D12AEC"/>
    <w:rsid w:val="00D134BB"/>
    <w:rsid w:val="00D13799"/>
    <w:rsid w:val="00D13BB7"/>
    <w:rsid w:val="00D14142"/>
    <w:rsid w:val="00D14A27"/>
    <w:rsid w:val="00D14C94"/>
    <w:rsid w:val="00D14D6D"/>
    <w:rsid w:val="00D1520F"/>
    <w:rsid w:val="00D155F4"/>
    <w:rsid w:val="00D15613"/>
    <w:rsid w:val="00D20C48"/>
    <w:rsid w:val="00D2136B"/>
    <w:rsid w:val="00D215E1"/>
    <w:rsid w:val="00D21DF3"/>
    <w:rsid w:val="00D231C8"/>
    <w:rsid w:val="00D2408C"/>
    <w:rsid w:val="00D2560E"/>
    <w:rsid w:val="00D256FA"/>
    <w:rsid w:val="00D2686F"/>
    <w:rsid w:val="00D26D63"/>
    <w:rsid w:val="00D27672"/>
    <w:rsid w:val="00D27A10"/>
    <w:rsid w:val="00D27F49"/>
    <w:rsid w:val="00D31C4A"/>
    <w:rsid w:val="00D328B9"/>
    <w:rsid w:val="00D32F94"/>
    <w:rsid w:val="00D3421B"/>
    <w:rsid w:val="00D342A6"/>
    <w:rsid w:val="00D343C4"/>
    <w:rsid w:val="00D34440"/>
    <w:rsid w:val="00D3458A"/>
    <w:rsid w:val="00D347C3"/>
    <w:rsid w:val="00D35884"/>
    <w:rsid w:val="00D35933"/>
    <w:rsid w:val="00D35A33"/>
    <w:rsid w:val="00D35E37"/>
    <w:rsid w:val="00D3636B"/>
    <w:rsid w:val="00D36A6A"/>
    <w:rsid w:val="00D37634"/>
    <w:rsid w:val="00D400F9"/>
    <w:rsid w:val="00D40903"/>
    <w:rsid w:val="00D41024"/>
    <w:rsid w:val="00D428AA"/>
    <w:rsid w:val="00D443BE"/>
    <w:rsid w:val="00D452A2"/>
    <w:rsid w:val="00D458EE"/>
    <w:rsid w:val="00D45CA6"/>
    <w:rsid w:val="00D464BF"/>
    <w:rsid w:val="00D46635"/>
    <w:rsid w:val="00D467D9"/>
    <w:rsid w:val="00D47574"/>
    <w:rsid w:val="00D476A5"/>
    <w:rsid w:val="00D509B9"/>
    <w:rsid w:val="00D51247"/>
    <w:rsid w:val="00D52BDB"/>
    <w:rsid w:val="00D53483"/>
    <w:rsid w:val="00D5356B"/>
    <w:rsid w:val="00D538B7"/>
    <w:rsid w:val="00D5396C"/>
    <w:rsid w:val="00D53E26"/>
    <w:rsid w:val="00D54339"/>
    <w:rsid w:val="00D553D3"/>
    <w:rsid w:val="00D557EE"/>
    <w:rsid w:val="00D56272"/>
    <w:rsid w:val="00D57074"/>
    <w:rsid w:val="00D60BAE"/>
    <w:rsid w:val="00D60DB0"/>
    <w:rsid w:val="00D60EE3"/>
    <w:rsid w:val="00D60EE7"/>
    <w:rsid w:val="00D623F5"/>
    <w:rsid w:val="00D62F75"/>
    <w:rsid w:val="00D630BE"/>
    <w:rsid w:val="00D6322D"/>
    <w:rsid w:val="00D6473C"/>
    <w:rsid w:val="00D64E48"/>
    <w:rsid w:val="00D65EBE"/>
    <w:rsid w:val="00D70E00"/>
    <w:rsid w:val="00D70E31"/>
    <w:rsid w:val="00D711B2"/>
    <w:rsid w:val="00D722C9"/>
    <w:rsid w:val="00D72D24"/>
    <w:rsid w:val="00D72DA3"/>
    <w:rsid w:val="00D74AE6"/>
    <w:rsid w:val="00D755F8"/>
    <w:rsid w:val="00D765A3"/>
    <w:rsid w:val="00D76752"/>
    <w:rsid w:val="00D7694C"/>
    <w:rsid w:val="00D77688"/>
    <w:rsid w:val="00D801F7"/>
    <w:rsid w:val="00D8020E"/>
    <w:rsid w:val="00D802A1"/>
    <w:rsid w:val="00D804DC"/>
    <w:rsid w:val="00D80E5D"/>
    <w:rsid w:val="00D8159D"/>
    <w:rsid w:val="00D829B1"/>
    <w:rsid w:val="00D835D1"/>
    <w:rsid w:val="00D8377A"/>
    <w:rsid w:val="00D84D15"/>
    <w:rsid w:val="00D85297"/>
    <w:rsid w:val="00D85B77"/>
    <w:rsid w:val="00D85E9A"/>
    <w:rsid w:val="00D87054"/>
    <w:rsid w:val="00D87308"/>
    <w:rsid w:val="00D9080F"/>
    <w:rsid w:val="00D908B4"/>
    <w:rsid w:val="00D9118F"/>
    <w:rsid w:val="00D91896"/>
    <w:rsid w:val="00D929A1"/>
    <w:rsid w:val="00D934F9"/>
    <w:rsid w:val="00D93E27"/>
    <w:rsid w:val="00D94414"/>
    <w:rsid w:val="00D94CCE"/>
    <w:rsid w:val="00D95055"/>
    <w:rsid w:val="00D95AA4"/>
    <w:rsid w:val="00D96A41"/>
    <w:rsid w:val="00D979E4"/>
    <w:rsid w:val="00DA0339"/>
    <w:rsid w:val="00DA03C0"/>
    <w:rsid w:val="00DA077A"/>
    <w:rsid w:val="00DA1483"/>
    <w:rsid w:val="00DA1C96"/>
    <w:rsid w:val="00DA2588"/>
    <w:rsid w:val="00DA596F"/>
    <w:rsid w:val="00DA61BD"/>
    <w:rsid w:val="00DA653F"/>
    <w:rsid w:val="00DA6EF0"/>
    <w:rsid w:val="00DA78EC"/>
    <w:rsid w:val="00DB020A"/>
    <w:rsid w:val="00DB0714"/>
    <w:rsid w:val="00DB0D26"/>
    <w:rsid w:val="00DB0E8A"/>
    <w:rsid w:val="00DB0EF5"/>
    <w:rsid w:val="00DB182C"/>
    <w:rsid w:val="00DB2566"/>
    <w:rsid w:val="00DB2582"/>
    <w:rsid w:val="00DB2E34"/>
    <w:rsid w:val="00DB390F"/>
    <w:rsid w:val="00DB5402"/>
    <w:rsid w:val="00DB62A2"/>
    <w:rsid w:val="00DB73B8"/>
    <w:rsid w:val="00DC02C0"/>
    <w:rsid w:val="00DC0F46"/>
    <w:rsid w:val="00DC10F9"/>
    <w:rsid w:val="00DC1AB9"/>
    <w:rsid w:val="00DC22D8"/>
    <w:rsid w:val="00DC2DB9"/>
    <w:rsid w:val="00DC30E6"/>
    <w:rsid w:val="00DC32A9"/>
    <w:rsid w:val="00DC3445"/>
    <w:rsid w:val="00DC3BD1"/>
    <w:rsid w:val="00DC4047"/>
    <w:rsid w:val="00DC4BB6"/>
    <w:rsid w:val="00DC5D65"/>
    <w:rsid w:val="00DC61DA"/>
    <w:rsid w:val="00DC63F8"/>
    <w:rsid w:val="00DC64AC"/>
    <w:rsid w:val="00DC756E"/>
    <w:rsid w:val="00DC75EF"/>
    <w:rsid w:val="00DC7B09"/>
    <w:rsid w:val="00DD0237"/>
    <w:rsid w:val="00DD096C"/>
    <w:rsid w:val="00DD236B"/>
    <w:rsid w:val="00DD2769"/>
    <w:rsid w:val="00DD3302"/>
    <w:rsid w:val="00DD3943"/>
    <w:rsid w:val="00DD4F0E"/>
    <w:rsid w:val="00DD54ED"/>
    <w:rsid w:val="00DD5F22"/>
    <w:rsid w:val="00DD5FBB"/>
    <w:rsid w:val="00DD66FC"/>
    <w:rsid w:val="00DD763B"/>
    <w:rsid w:val="00DD7C0D"/>
    <w:rsid w:val="00DE00E8"/>
    <w:rsid w:val="00DE03C8"/>
    <w:rsid w:val="00DE0C49"/>
    <w:rsid w:val="00DE1D45"/>
    <w:rsid w:val="00DE26A0"/>
    <w:rsid w:val="00DE2E3D"/>
    <w:rsid w:val="00DE3B23"/>
    <w:rsid w:val="00DE3EDE"/>
    <w:rsid w:val="00DE42A5"/>
    <w:rsid w:val="00DE4ACD"/>
    <w:rsid w:val="00DE500F"/>
    <w:rsid w:val="00DE640A"/>
    <w:rsid w:val="00DE67BD"/>
    <w:rsid w:val="00DE6F65"/>
    <w:rsid w:val="00DE74ED"/>
    <w:rsid w:val="00DE7847"/>
    <w:rsid w:val="00DE7B7E"/>
    <w:rsid w:val="00DE7F72"/>
    <w:rsid w:val="00DF07D1"/>
    <w:rsid w:val="00DF0BF0"/>
    <w:rsid w:val="00DF1CB4"/>
    <w:rsid w:val="00DF1FA0"/>
    <w:rsid w:val="00DF258C"/>
    <w:rsid w:val="00DF299C"/>
    <w:rsid w:val="00DF376D"/>
    <w:rsid w:val="00DF3CA2"/>
    <w:rsid w:val="00DF3EF4"/>
    <w:rsid w:val="00DF4100"/>
    <w:rsid w:val="00DF55CD"/>
    <w:rsid w:val="00DF56AC"/>
    <w:rsid w:val="00DF5747"/>
    <w:rsid w:val="00DF6A7B"/>
    <w:rsid w:val="00DF71DC"/>
    <w:rsid w:val="00DF753B"/>
    <w:rsid w:val="00DF7651"/>
    <w:rsid w:val="00DF78A4"/>
    <w:rsid w:val="00DF7E9D"/>
    <w:rsid w:val="00E002F6"/>
    <w:rsid w:val="00E00AF4"/>
    <w:rsid w:val="00E01375"/>
    <w:rsid w:val="00E01463"/>
    <w:rsid w:val="00E01A6B"/>
    <w:rsid w:val="00E01CC7"/>
    <w:rsid w:val="00E01ED2"/>
    <w:rsid w:val="00E02991"/>
    <w:rsid w:val="00E03163"/>
    <w:rsid w:val="00E033FF"/>
    <w:rsid w:val="00E03B99"/>
    <w:rsid w:val="00E0489E"/>
    <w:rsid w:val="00E04994"/>
    <w:rsid w:val="00E04F2F"/>
    <w:rsid w:val="00E052C8"/>
    <w:rsid w:val="00E05E0A"/>
    <w:rsid w:val="00E060BE"/>
    <w:rsid w:val="00E062E2"/>
    <w:rsid w:val="00E1034D"/>
    <w:rsid w:val="00E10452"/>
    <w:rsid w:val="00E10B4C"/>
    <w:rsid w:val="00E10E29"/>
    <w:rsid w:val="00E11F43"/>
    <w:rsid w:val="00E12620"/>
    <w:rsid w:val="00E128B6"/>
    <w:rsid w:val="00E129C9"/>
    <w:rsid w:val="00E13A76"/>
    <w:rsid w:val="00E13D0F"/>
    <w:rsid w:val="00E16AAC"/>
    <w:rsid w:val="00E216B8"/>
    <w:rsid w:val="00E21A76"/>
    <w:rsid w:val="00E2266F"/>
    <w:rsid w:val="00E23E43"/>
    <w:rsid w:val="00E24857"/>
    <w:rsid w:val="00E25479"/>
    <w:rsid w:val="00E25DC1"/>
    <w:rsid w:val="00E26C8D"/>
    <w:rsid w:val="00E26F95"/>
    <w:rsid w:val="00E27029"/>
    <w:rsid w:val="00E27337"/>
    <w:rsid w:val="00E27608"/>
    <w:rsid w:val="00E30423"/>
    <w:rsid w:val="00E3092E"/>
    <w:rsid w:val="00E30E3E"/>
    <w:rsid w:val="00E3144A"/>
    <w:rsid w:val="00E32863"/>
    <w:rsid w:val="00E3419F"/>
    <w:rsid w:val="00E348B6"/>
    <w:rsid w:val="00E3583C"/>
    <w:rsid w:val="00E36456"/>
    <w:rsid w:val="00E3651B"/>
    <w:rsid w:val="00E4040A"/>
    <w:rsid w:val="00E4068E"/>
    <w:rsid w:val="00E40697"/>
    <w:rsid w:val="00E40B05"/>
    <w:rsid w:val="00E418FA"/>
    <w:rsid w:val="00E41ECB"/>
    <w:rsid w:val="00E4302C"/>
    <w:rsid w:val="00E4334D"/>
    <w:rsid w:val="00E433C6"/>
    <w:rsid w:val="00E43ADA"/>
    <w:rsid w:val="00E442C8"/>
    <w:rsid w:val="00E444DA"/>
    <w:rsid w:val="00E44594"/>
    <w:rsid w:val="00E44D6B"/>
    <w:rsid w:val="00E45320"/>
    <w:rsid w:val="00E45F3F"/>
    <w:rsid w:val="00E46CFC"/>
    <w:rsid w:val="00E474A8"/>
    <w:rsid w:val="00E479BA"/>
    <w:rsid w:val="00E47A98"/>
    <w:rsid w:val="00E512DA"/>
    <w:rsid w:val="00E521C9"/>
    <w:rsid w:val="00E534CF"/>
    <w:rsid w:val="00E538D3"/>
    <w:rsid w:val="00E54130"/>
    <w:rsid w:val="00E54251"/>
    <w:rsid w:val="00E553F7"/>
    <w:rsid w:val="00E556E8"/>
    <w:rsid w:val="00E56D4F"/>
    <w:rsid w:val="00E5777D"/>
    <w:rsid w:val="00E57794"/>
    <w:rsid w:val="00E60327"/>
    <w:rsid w:val="00E603BC"/>
    <w:rsid w:val="00E609EA"/>
    <w:rsid w:val="00E61918"/>
    <w:rsid w:val="00E62003"/>
    <w:rsid w:val="00E64159"/>
    <w:rsid w:val="00E6541F"/>
    <w:rsid w:val="00E65533"/>
    <w:rsid w:val="00E66A24"/>
    <w:rsid w:val="00E66EF8"/>
    <w:rsid w:val="00E67492"/>
    <w:rsid w:val="00E6757C"/>
    <w:rsid w:val="00E70525"/>
    <w:rsid w:val="00E705F0"/>
    <w:rsid w:val="00E70E14"/>
    <w:rsid w:val="00E70FCF"/>
    <w:rsid w:val="00E71517"/>
    <w:rsid w:val="00E71D32"/>
    <w:rsid w:val="00E72226"/>
    <w:rsid w:val="00E726A8"/>
    <w:rsid w:val="00E726AD"/>
    <w:rsid w:val="00E73C12"/>
    <w:rsid w:val="00E73CF4"/>
    <w:rsid w:val="00E759AB"/>
    <w:rsid w:val="00E764CC"/>
    <w:rsid w:val="00E76552"/>
    <w:rsid w:val="00E777F9"/>
    <w:rsid w:val="00E77825"/>
    <w:rsid w:val="00E77C52"/>
    <w:rsid w:val="00E80AA0"/>
    <w:rsid w:val="00E80BFC"/>
    <w:rsid w:val="00E81AA5"/>
    <w:rsid w:val="00E81CB4"/>
    <w:rsid w:val="00E82735"/>
    <w:rsid w:val="00E82A33"/>
    <w:rsid w:val="00E83403"/>
    <w:rsid w:val="00E8365B"/>
    <w:rsid w:val="00E8393E"/>
    <w:rsid w:val="00E83CE6"/>
    <w:rsid w:val="00E83DD8"/>
    <w:rsid w:val="00E83DF2"/>
    <w:rsid w:val="00E83F58"/>
    <w:rsid w:val="00E844FD"/>
    <w:rsid w:val="00E848F3"/>
    <w:rsid w:val="00E8585B"/>
    <w:rsid w:val="00E862E0"/>
    <w:rsid w:val="00E86C55"/>
    <w:rsid w:val="00E872F4"/>
    <w:rsid w:val="00E87CCE"/>
    <w:rsid w:val="00E87F41"/>
    <w:rsid w:val="00E90E21"/>
    <w:rsid w:val="00E920A5"/>
    <w:rsid w:val="00E92880"/>
    <w:rsid w:val="00E9330F"/>
    <w:rsid w:val="00E93D10"/>
    <w:rsid w:val="00E93DFB"/>
    <w:rsid w:val="00E952BD"/>
    <w:rsid w:val="00E97083"/>
    <w:rsid w:val="00E973B0"/>
    <w:rsid w:val="00E9776F"/>
    <w:rsid w:val="00EA0AC5"/>
    <w:rsid w:val="00EA20BE"/>
    <w:rsid w:val="00EA3050"/>
    <w:rsid w:val="00EA32D9"/>
    <w:rsid w:val="00EA3726"/>
    <w:rsid w:val="00EA396E"/>
    <w:rsid w:val="00EA3F15"/>
    <w:rsid w:val="00EA69C9"/>
    <w:rsid w:val="00EA74EE"/>
    <w:rsid w:val="00EA7847"/>
    <w:rsid w:val="00EA7B08"/>
    <w:rsid w:val="00EA7BB7"/>
    <w:rsid w:val="00EB0CEC"/>
    <w:rsid w:val="00EB1580"/>
    <w:rsid w:val="00EB16F4"/>
    <w:rsid w:val="00EB2176"/>
    <w:rsid w:val="00EB29E1"/>
    <w:rsid w:val="00EB2AD3"/>
    <w:rsid w:val="00EB2F92"/>
    <w:rsid w:val="00EB31C1"/>
    <w:rsid w:val="00EB352A"/>
    <w:rsid w:val="00EB356F"/>
    <w:rsid w:val="00EB3D1E"/>
    <w:rsid w:val="00EB3FCB"/>
    <w:rsid w:val="00EB432F"/>
    <w:rsid w:val="00EB4576"/>
    <w:rsid w:val="00EB4C2F"/>
    <w:rsid w:val="00EB500D"/>
    <w:rsid w:val="00EB5054"/>
    <w:rsid w:val="00EB52DC"/>
    <w:rsid w:val="00EB551F"/>
    <w:rsid w:val="00EB701B"/>
    <w:rsid w:val="00EC0085"/>
    <w:rsid w:val="00EC0F0F"/>
    <w:rsid w:val="00EC10EE"/>
    <w:rsid w:val="00EC1F80"/>
    <w:rsid w:val="00EC24EC"/>
    <w:rsid w:val="00EC40A1"/>
    <w:rsid w:val="00EC4346"/>
    <w:rsid w:val="00EC5748"/>
    <w:rsid w:val="00EC5880"/>
    <w:rsid w:val="00EC5A4B"/>
    <w:rsid w:val="00EC688C"/>
    <w:rsid w:val="00EC7BE2"/>
    <w:rsid w:val="00ED0150"/>
    <w:rsid w:val="00ED06F9"/>
    <w:rsid w:val="00ED0D19"/>
    <w:rsid w:val="00ED130C"/>
    <w:rsid w:val="00ED2AFF"/>
    <w:rsid w:val="00ED5D82"/>
    <w:rsid w:val="00ED5FA8"/>
    <w:rsid w:val="00ED5FF2"/>
    <w:rsid w:val="00ED7DB3"/>
    <w:rsid w:val="00EE06DE"/>
    <w:rsid w:val="00EE07AC"/>
    <w:rsid w:val="00EE14D6"/>
    <w:rsid w:val="00EE1951"/>
    <w:rsid w:val="00EE1A46"/>
    <w:rsid w:val="00EE259D"/>
    <w:rsid w:val="00EE2C67"/>
    <w:rsid w:val="00EE2E6E"/>
    <w:rsid w:val="00EE36B2"/>
    <w:rsid w:val="00EE37C6"/>
    <w:rsid w:val="00EE3FCD"/>
    <w:rsid w:val="00EE4F6E"/>
    <w:rsid w:val="00EE4FE4"/>
    <w:rsid w:val="00EE5D30"/>
    <w:rsid w:val="00EE5E86"/>
    <w:rsid w:val="00EE5F87"/>
    <w:rsid w:val="00EE5FCC"/>
    <w:rsid w:val="00EE616B"/>
    <w:rsid w:val="00EE62C0"/>
    <w:rsid w:val="00EE64AA"/>
    <w:rsid w:val="00EE6EDD"/>
    <w:rsid w:val="00EE76C0"/>
    <w:rsid w:val="00EF1269"/>
    <w:rsid w:val="00EF2760"/>
    <w:rsid w:val="00EF3279"/>
    <w:rsid w:val="00EF390A"/>
    <w:rsid w:val="00EF442D"/>
    <w:rsid w:val="00EF4BB0"/>
    <w:rsid w:val="00EF56BA"/>
    <w:rsid w:val="00EF5849"/>
    <w:rsid w:val="00EF7546"/>
    <w:rsid w:val="00EF75B6"/>
    <w:rsid w:val="00EF7848"/>
    <w:rsid w:val="00EF7F12"/>
    <w:rsid w:val="00F0030B"/>
    <w:rsid w:val="00F0035C"/>
    <w:rsid w:val="00F009E0"/>
    <w:rsid w:val="00F00B67"/>
    <w:rsid w:val="00F00C90"/>
    <w:rsid w:val="00F0138E"/>
    <w:rsid w:val="00F01595"/>
    <w:rsid w:val="00F01EB4"/>
    <w:rsid w:val="00F02C0E"/>
    <w:rsid w:val="00F03B65"/>
    <w:rsid w:val="00F044B6"/>
    <w:rsid w:val="00F04810"/>
    <w:rsid w:val="00F049C4"/>
    <w:rsid w:val="00F04C88"/>
    <w:rsid w:val="00F04C90"/>
    <w:rsid w:val="00F04F0D"/>
    <w:rsid w:val="00F06CF1"/>
    <w:rsid w:val="00F0759E"/>
    <w:rsid w:val="00F07D6B"/>
    <w:rsid w:val="00F11188"/>
    <w:rsid w:val="00F11688"/>
    <w:rsid w:val="00F13E43"/>
    <w:rsid w:val="00F14F2F"/>
    <w:rsid w:val="00F150EC"/>
    <w:rsid w:val="00F1690F"/>
    <w:rsid w:val="00F16A43"/>
    <w:rsid w:val="00F16E29"/>
    <w:rsid w:val="00F178D8"/>
    <w:rsid w:val="00F17914"/>
    <w:rsid w:val="00F17B18"/>
    <w:rsid w:val="00F21AD5"/>
    <w:rsid w:val="00F224BD"/>
    <w:rsid w:val="00F231C2"/>
    <w:rsid w:val="00F2375C"/>
    <w:rsid w:val="00F23A14"/>
    <w:rsid w:val="00F246AE"/>
    <w:rsid w:val="00F2506A"/>
    <w:rsid w:val="00F26E7B"/>
    <w:rsid w:val="00F270E9"/>
    <w:rsid w:val="00F2718C"/>
    <w:rsid w:val="00F27561"/>
    <w:rsid w:val="00F27E0E"/>
    <w:rsid w:val="00F304FE"/>
    <w:rsid w:val="00F30572"/>
    <w:rsid w:val="00F30906"/>
    <w:rsid w:val="00F3147E"/>
    <w:rsid w:val="00F3199B"/>
    <w:rsid w:val="00F31E23"/>
    <w:rsid w:val="00F3317E"/>
    <w:rsid w:val="00F337B3"/>
    <w:rsid w:val="00F35F07"/>
    <w:rsid w:val="00F35F1B"/>
    <w:rsid w:val="00F37A1B"/>
    <w:rsid w:val="00F40882"/>
    <w:rsid w:val="00F41D97"/>
    <w:rsid w:val="00F42192"/>
    <w:rsid w:val="00F42E0E"/>
    <w:rsid w:val="00F440D9"/>
    <w:rsid w:val="00F44682"/>
    <w:rsid w:val="00F4468D"/>
    <w:rsid w:val="00F455C9"/>
    <w:rsid w:val="00F46369"/>
    <w:rsid w:val="00F46780"/>
    <w:rsid w:val="00F46B9D"/>
    <w:rsid w:val="00F50305"/>
    <w:rsid w:val="00F50702"/>
    <w:rsid w:val="00F50AC4"/>
    <w:rsid w:val="00F51218"/>
    <w:rsid w:val="00F51329"/>
    <w:rsid w:val="00F51A86"/>
    <w:rsid w:val="00F51C53"/>
    <w:rsid w:val="00F51DED"/>
    <w:rsid w:val="00F52701"/>
    <w:rsid w:val="00F532BA"/>
    <w:rsid w:val="00F54493"/>
    <w:rsid w:val="00F55283"/>
    <w:rsid w:val="00F5566F"/>
    <w:rsid w:val="00F559EF"/>
    <w:rsid w:val="00F55A19"/>
    <w:rsid w:val="00F56125"/>
    <w:rsid w:val="00F56FBF"/>
    <w:rsid w:val="00F57709"/>
    <w:rsid w:val="00F57CCB"/>
    <w:rsid w:val="00F60921"/>
    <w:rsid w:val="00F609B1"/>
    <w:rsid w:val="00F6105A"/>
    <w:rsid w:val="00F6139D"/>
    <w:rsid w:val="00F6205E"/>
    <w:rsid w:val="00F622C8"/>
    <w:rsid w:val="00F62A1B"/>
    <w:rsid w:val="00F63661"/>
    <w:rsid w:val="00F63C2B"/>
    <w:rsid w:val="00F64373"/>
    <w:rsid w:val="00F65511"/>
    <w:rsid w:val="00F6727E"/>
    <w:rsid w:val="00F6753D"/>
    <w:rsid w:val="00F675F6"/>
    <w:rsid w:val="00F678DC"/>
    <w:rsid w:val="00F70043"/>
    <w:rsid w:val="00F707F6"/>
    <w:rsid w:val="00F72B25"/>
    <w:rsid w:val="00F72B61"/>
    <w:rsid w:val="00F72FDD"/>
    <w:rsid w:val="00F73E95"/>
    <w:rsid w:val="00F74BAD"/>
    <w:rsid w:val="00F74C38"/>
    <w:rsid w:val="00F7693A"/>
    <w:rsid w:val="00F76BB6"/>
    <w:rsid w:val="00F76C1D"/>
    <w:rsid w:val="00F76CA5"/>
    <w:rsid w:val="00F76FD7"/>
    <w:rsid w:val="00F7760D"/>
    <w:rsid w:val="00F778D5"/>
    <w:rsid w:val="00F77B04"/>
    <w:rsid w:val="00F77D2D"/>
    <w:rsid w:val="00F800C1"/>
    <w:rsid w:val="00F80317"/>
    <w:rsid w:val="00F8199C"/>
    <w:rsid w:val="00F81FAA"/>
    <w:rsid w:val="00F821A3"/>
    <w:rsid w:val="00F82879"/>
    <w:rsid w:val="00F84174"/>
    <w:rsid w:val="00F8435B"/>
    <w:rsid w:val="00F84552"/>
    <w:rsid w:val="00F85ABB"/>
    <w:rsid w:val="00F86028"/>
    <w:rsid w:val="00F86162"/>
    <w:rsid w:val="00F8748F"/>
    <w:rsid w:val="00F878E2"/>
    <w:rsid w:val="00F87BDE"/>
    <w:rsid w:val="00F9018B"/>
    <w:rsid w:val="00F91043"/>
    <w:rsid w:val="00F91C11"/>
    <w:rsid w:val="00F9246F"/>
    <w:rsid w:val="00F9309A"/>
    <w:rsid w:val="00F9314A"/>
    <w:rsid w:val="00F93450"/>
    <w:rsid w:val="00F940B2"/>
    <w:rsid w:val="00F9410C"/>
    <w:rsid w:val="00F946F4"/>
    <w:rsid w:val="00F94BC2"/>
    <w:rsid w:val="00F94E61"/>
    <w:rsid w:val="00F95AF6"/>
    <w:rsid w:val="00F95D08"/>
    <w:rsid w:val="00F95FB9"/>
    <w:rsid w:val="00F96605"/>
    <w:rsid w:val="00F97186"/>
    <w:rsid w:val="00F9742E"/>
    <w:rsid w:val="00F975A8"/>
    <w:rsid w:val="00FA1462"/>
    <w:rsid w:val="00FA148D"/>
    <w:rsid w:val="00FA291B"/>
    <w:rsid w:val="00FA2CC7"/>
    <w:rsid w:val="00FA3E88"/>
    <w:rsid w:val="00FA4C06"/>
    <w:rsid w:val="00FA5BD7"/>
    <w:rsid w:val="00FA75EC"/>
    <w:rsid w:val="00FA79FB"/>
    <w:rsid w:val="00FA7C0F"/>
    <w:rsid w:val="00FB19E8"/>
    <w:rsid w:val="00FB1DA9"/>
    <w:rsid w:val="00FB2117"/>
    <w:rsid w:val="00FB24A5"/>
    <w:rsid w:val="00FB2790"/>
    <w:rsid w:val="00FB2A38"/>
    <w:rsid w:val="00FB3258"/>
    <w:rsid w:val="00FB34B6"/>
    <w:rsid w:val="00FB397E"/>
    <w:rsid w:val="00FB41DE"/>
    <w:rsid w:val="00FB4D42"/>
    <w:rsid w:val="00FB5CA9"/>
    <w:rsid w:val="00FB5EC8"/>
    <w:rsid w:val="00FB61D1"/>
    <w:rsid w:val="00FB6765"/>
    <w:rsid w:val="00FB6C27"/>
    <w:rsid w:val="00FB7A02"/>
    <w:rsid w:val="00FB7C71"/>
    <w:rsid w:val="00FC0C37"/>
    <w:rsid w:val="00FC21CE"/>
    <w:rsid w:val="00FC4B39"/>
    <w:rsid w:val="00FC4BFD"/>
    <w:rsid w:val="00FC524D"/>
    <w:rsid w:val="00FC5798"/>
    <w:rsid w:val="00FC58EF"/>
    <w:rsid w:val="00FC5ADC"/>
    <w:rsid w:val="00FC64D4"/>
    <w:rsid w:val="00FC783B"/>
    <w:rsid w:val="00FC7D0C"/>
    <w:rsid w:val="00FD0369"/>
    <w:rsid w:val="00FD1049"/>
    <w:rsid w:val="00FD15F5"/>
    <w:rsid w:val="00FD167E"/>
    <w:rsid w:val="00FD1785"/>
    <w:rsid w:val="00FD1A92"/>
    <w:rsid w:val="00FD24E3"/>
    <w:rsid w:val="00FD259A"/>
    <w:rsid w:val="00FD30B2"/>
    <w:rsid w:val="00FD30C0"/>
    <w:rsid w:val="00FD33DF"/>
    <w:rsid w:val="00FD3882"/>
    <w:rsid w:val="00FD3CBE"/>
    <w:rsid w:val="00FD6000"/>
    <w:rsid w:val="00FD6A8D"/>
    <w:rsid w:val="00FD7392"/>
    <w:rsid w:val="00FE0158"/>
    <w:rsid w:val="00FE0438"/>
    <w:rsid w:val="00FE2B62"/>
    <w:rsid w:val="00FE304A"/>
    <w:rsid w:val="00FE38A0"/>
    <w:rsid w:val="00FE39D7"/>
    <w:rsid w:val="00FE460F"/>
    <w:rsid w:val="00FE495B"/>
    <w:rsid w:val="00FE4ECD"/>
    <w:rsid w:val="00FE5350"/>
    <w:rsid w:val="00FE5522"/>
    <w:rsid w:val="00FE5A14"/>
    <w:rsid w:val="00FE5D12"/>
    <w:rsid w:val="00FE6205"/>
    <w:rsid w:val="00FE771C"/>
    <w:rsid w:val="00FE7BCD"/>
    <w:rsid w:val="00FE7EAA"/>
    <w:rsid w:val="00FF02BE"/>
    <w:rsid w:val="00FF0A41"/>
    <w:rsid w:val="00FF1AA4"/>
    <w:rsid w:val="00FF2D46"/>
    <w:rsid w:val="00FF3178"/>
    <w:rsid w:val="00FF4689"/>
    <w:rsid w:val="00FF6349"/>
    <w:rsid w:val="00FF6E10"/>
    <w:rsid w:val="00FF75C5"/>
    <w:rsid w:val="00FF7A97"/>
    <w:rsid w:val="00FF7C13"/>
    <w:rsid w:val="3322F8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78A"/>
    <w:pPr>
      <w:spacing w:before="120" w:after="120"/>
      <w:jc w:val="both"/>
    </w:pPr>
    <w:rPr>
      <w:rFonts w:ascii="Bookman Old Style" w:hAnsi="Bookman Old Style"/>
      <w:sz w:val="24"/>
      <w:szCs w:val="24"/>
      <w:lang w:val="es-ES" w:eastAsia="es-ES"/>
    </w:rPr>
  </w:style>
  <w:style w:type="paragraph" w:styleId="Ttulo1">
    <w:name w:val="heading 1"/>
    <w:basedOn w:val="Heading"/>
    <w:next w:val="Normal"/>
    <w:link w:val="Ttulo1Car"/>
    <w:qFormat/>
    <w:rsid w:val="00AC01A4"/>
    <w:pPr>
      <w:numPr>
        <w:numId w:val="10"/>
      </w:numPr>
      <w:jc w:val="center"/>
      <w:outlineLvl w:val="0"/>
    </w:pPr>
    <w:rPr>
      <w:rFonts w:ascii="Bookman Old Style" w:hAnsi="Bookman Old Style"/>
      <w:b/>
      <w:sz w:val="24"/>
      <w:szCs w:val="24"/>
    </w:rPr>
  </w:style>
  <w:style w:type="paragraph" w:styleId="Ttulo2">
    <w:name w:val="heading 2"/>
    <w:basedOn w:val="Normal"/>
    <w:next w:val="Normal"/>
    <w:link w:val="Ttulo2Car"/>
    <w:unhideWhenUsed/>
    <w:qFormat/>
    <w:rsid w:val="00045F93"/>
    <w:pPr>
      <w:keepNext/>
      <w:numPr>
        <w:ilvl w:val="1"/>
        <w:numId w:val="9"/>
      </w:numPr>
      <w:spacing w:before="240" w:after="60"/>
      <w:ind w:left="0" w:firstLine="0"/>
      <w:outlineLvl w:val="1"/>
    </w:pPr>
    <w:rPr>
      <w:b/>
      <w:bCs/>
      <w:caps/>
    </w:rPr>
  </w:style>
  <w:style w:type="paragraph" w:styleId="Ttulo3">
    <w:name w:val="heading 3"/>
    <w:basedOn w:val="Ttulo2"/>
    <w:next w:val="Normal"/>
    <w:link w:val="Ttulo3Car"/>
    <w:uiPriority w:val="9"/>
    <w:qFormat/>
    <w:rsid w:val="00045F93"/>
    <w:pPr>
      <w:numPr>
        <w:ilvl w:val="2"/>
      </w:numPr>
      <w:outlineLvl w:val="2"/>
    </w:pPr>
    <w:rPr>
      <w:caps w:val="0"/>
    </w:rPr>
  </w:style>
  <w:style w:type="paragraph" w:styleId="Ttulo4">
    <w:name w:val="heading 4"/>
    <w:basedOn w:val="Ttulo3"/>
    <w:next w:val="Normal"/>
    <w:link w:val="Ttulo4Car"/>
    <w:qFormat/>
    <w:rsid w:val="00D934F9"/>
    <w:pPr>
      <w:numPr>
        <w:ilvl w:val="3"/>
      </w:numPr>
      <w:ind w:left="360" w:firstLine="72"/>
      <w:outlineLvl w:val="3"/>
    </w:p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045F93"/>
    <w:rPr>
      <w:rFonts w:ascii="Bookman Old Style" w:hAnsi="Bookman Old Style"/>
      <w:b/>
      <w:bCs/>
      <w:sz w:val="24"/>
      <w:szCs w:val="24"/>
      <w:lang w:val="es-ES" w:eastAsia="es-ES"/>
    </w:rPr>
  </w:style>
  <w:style w:type="character" w:customStyle="1" w:styleId="Ttulo4Car">
    <w:name w:val="Título 4 Car"/>
    <w:link w:val="Ttulo4"/>
    <w:rsid w:val="00D934F9"/>
    <w:rPr>
      <w:rFonts w:ascii="Bookman Old Style" w:hAnsi="Bookman Old Style"/>
      <w:b/>
      <w:bCs/>
      <w:sz w:val="24"/>
      <w:szCs w:val="24"/>
      <w:lang w:val="es-ES"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D2560E"/>
    <w:pPr>
      <w:numPr>
        <w:numId w:val="8"/>
      </w:numPr>
      <w:spacing w:before="240" w:after="240"/>
    </w:pPr>
    <w:rPr>
      <w:szCs w:val="20"/>
      <w:lang w:val="es-CO"/>
    </w:rPr>
  </w:style>
  <w:style w:type="character" w:customStyle="1" w:styleId="PrrafodelistaCar">
    <w:name w:val="Párrafo de lista Car"/>
    <w:link w:val="Prrafodelista"/>
    <w:uiPriority w:val="34"/>
    <w:rsid w:val="00D2560E"/>
    <w:rPr>
      <w:rFonts w:ascii="Bookman Old Style" w:hAnsi="Bookman Old Style"/>
      <w:sz w:val="24"/>
      <w:lang w:eastAsia="es-ES"/>
    </w:rPr>
  </w:style>
  <w:style w:type="paragraph" w:styleId="TDC1">
    <w:name w:val="toc 1"/>
    <w:basedOn w:val="Normal"/>
    <w:next w:val="Normal"/>
    <w:autoRedefine/>
    <w:uiPriority w:val="39"/>
    <w:qFormat/>
    <w:rsid w:val="00F46B9D"/>
    <w:pPr>
      <w:tabs>
        <w:tab w:val="left" w:pos="480"/>
        <w:tab w:val="left" w:pos="1843"/>
        <w:tab w:val="right" w:leader="dot" w:pos="8828"/>
      </w:tabs>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045F93"/>
    <w:rPr>
      <w:rFonts w:ascii="Bookman Old Style" w:hAnsi="Bookman Old Style"/>
      <w:b/>
      <w:bCs/>
      <w:caps/>
      <w:sz w:val="24"/>
      <w:szCs w:val="24"/>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AC01A4"/>
    <w:rPr>
      <w:rFonts w:ascii="Bookman Old Style" w:eastAsia="DejaVu Sans" w:hAnsi="Bookman Old Style" w:cs="DejaVu Sans"/>
      <w:b/>
      <w:sz w:val="24"/>
      <w:szCs w:val="24"/>
      <w:lang w:eastAsia="ar-SA"/>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5"/>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6"/>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styleId="Tablaconcuadrculaclara">
    <w:name w:val="Grid Table Light"/>
    <w:basedOn w:val="Tablanormal"/>
    <w:uiPriority w:val="40"/>
    <w:rsid w:val="00231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j">
    <w:name w:val="b_aj"/>
    <w:basedOn w:val="Fuentedeprrafopredeter"/>
    <w:rsid w:val="00EB701B"/>
  </w:style>
  <w:style w:type="character" w:styleId="Mencinsinresolver">
    <w:name w:val="Unresolved Mention"/>
    <w:basedOn w:val="Fuentedeprrafopredeter"/>
    <w:uiPriority w:val="99"/>
    <w:semiHidden/>
    <w:unhideWhenUsed/>
    <w:rsid w:val="000B6EAC"/>
    <w:rPr>
      <w:color w:val="605E5C"/>
      <w:shd w:val="clear" w:color="auto" w:fill="E1DFDD"/>
    </w:rPr>
  </w:style>
  <w:style w:type="character" w:customStyle="1" w:styleId="ui-provider">
    <w:name w:val="ui-provider"/>
    <w:basedOn w:val="Fuentedeprrafopredeter"/>
    <w:rsid w:val="003073CF"/>
  </w:style>
  <w:style w:type="character" w:styleId="nfasis">
    <w:name w:val="Emphasis"/>
    <w:basedOn w:val="Fuentedeprrafopredeter"/>
    <w:uiPriority w:val="20"/>
    <w:qFormat/>
    <w:rsid w:val="003643E9"/>
    <w:rPr>
      <w:i/>
      <w:iCs/>
    </w:rPr>
  </w:style>
  <w:style w:type="character" w:styleId="Refdenotaalpie">
    <w:name w:val="footnote reference"/>
    <w:basedOn w:val="Fuentedeprrafopredeter"/>
    <w:uiPriority w:val="99"/>
    <w:semiHidden/>
    <w:unhideWhenUsed/>
    <w:rsid w:val="001B02A8"/>
    <w:rPr>
      <w:vertAlign w:val="superscript"/>
    </w:rPr>
  </w:style>
  <w:style w:type="character" w:customStyle="1" w:styleId="bookmarkaj">
    <w:name w:val="bookmarkaj"/>
    <w:basedOn w:val="Fuentedeprrafopredeter"/>
    <w:rsid w:val="00580DAC"/>
  </w:style>
  <w:style w:type="character" w:customStyle="1" w:styleId="normaltextrun">
    <w:name w:val="normaltextrun"/>
    <w:basedOn w:val="Fuentedeprrafopredeter"/>
    <w:rsid w:val="002176B6"/>
  </w:style>
  <w:style w:type="character" w:customStyle="1" w:styleId="eop">
    <w:name w:val="eop"/>
    <w:basedOn w:val="Fuentedeprrafopredeter"/>
    <w:rsid w:val="00217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1683069">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7748500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0470315">
      <w:bodyDiv w:val="1"/>
      <w:marLeft w:val="0"/>
      <w:marRight w:val="0"/>
      <w:marTop w:val="0"/>
      <w:marBottom w:val="0"/>
      <w:divBdr>
        <w:top w:val="none" w:sz="0" w:space="0" w:color="auto"/>
        <w:left w:val="none" w:sz="0" w:space="0" w:color="auto"/>
        <w:bottom w:val="none" w:sz="0" w:space="0" w:color="auto"/>
        <w:right w:val="none" w:sz="0" w:space="0" w:color="auto"/>
      </w:divBdr>
    </w:div>
    <w:div w:id="272370328">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298075528">
      <w:bodyDiv w:val="1"/>
      <w:marLeft w:val="0"/>
      <w:marRight w:val="0"/>
      <w:marTop w:val="0"/>
      <w:marBottom w:val="0"/>
      <w:divBdr>
        <w:top w:val="none" w:sz="0" w:space="0" w:color="auto"/>
        <w:left w:val="none" w:sz="0" w:space="0" w:color="auto"/>
        <w:bottom w:val="none" w:sz="0" w:space="0" w:color="auto"/>
        <w:right w:val="none" w:sz="0" w:space="0" w:color="auto"/>
      </w:divBdr>
    </w:div>
    <w:div w:id="314989952">
      <w:bodyDiv w:val="1"/>
      <w:marLeft w:val="0"/>
      <w:marRight w:val="0"/>
      <w:marTop w:val="0"/>
      <w:marBottom w:val="0"/>
      <w:divBdr>
        <w:top w:val="none" w:sz="0" w:space="0" w:color="auto"/>
        <w:left w:val="none" w:sz="0" w:space="0" w:color="auto"/>
        <w:bottom w:val="none" w:sz="0" w:space="0" w:color="auto"/>
        <w:right w:val="none" w:sz="0" w:space="0" w:color="auto"/>
      </w:divBdr>
    </w:div>
    <w:div w:id="327490084">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49717990">
      <w:bodyDiv w:val="1"/>
      <w:marLeft w:val="0"/>
      <w:marRight w:val="0"/>
      <w:marTop w:val="0"/>
      <w:marBottom w:val="0"/>
      <w:divBdr>
        <w:top w:val="none" w:sz="0" w:space="0" w:color="auto"/>
        <w:left w:val="none" w:sz="0" w:space="0" w:color="auto"/>
        <w:bottom w:val="none" w:sz="0" w:space="0" w:color="auto"/>
        <w:right w:val="none" w:sz="0" w:space="0" w:color="auto"/>
      </w:divBdr>
    </w:div>
    <w:div w:id="422846349">
      <w:bodyDiv w:val="1"/>
      <w:marLeft w:val="0"/>
      <w:marRight w:val="0"/>
      <w:marTop w:val="0"/>
      <w:marBottom w:val="0"/>
      <w:divBdr>
        <w:top w:val="none" w:sz="0" w:space="0" w:color="auto"/>
        <w:left w:val="none" w:sz="0" w:space="0" w:color="auto"/>
        <w:bottom w:val="none" w:sz="0" w:space="0" w:color="auto"/>
        <w:right w:val="none" w:sz="0" w:space="0" w:color="auto"/>
      </w:divBdr>
    </w:div>
    <w:div w:id="430246502">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772015648">
      <w:bodyDiv w:val="1"/>
      <w:marLeft w:val="0"/>
      <w:marRight w:val="0"/>
      <w:marTop w:val="0"/>
      <w:marBottom w:val="0"/>
      <w:divBdr>
        <w:top w:val="none" w:sz="0" w:space="0" w:color="auto"/>
        <w:left w:val="none" w:sz="0" w:space="0" w:color="auto"/>
        <w:bottom w:val="none" w:sz="0" w:space="0" w:color="auto"/>
        <w:right w:val="none" w:sz="0" w:space="0" w:color="auto"/>
      </w:divBdr>
    </w:div>
    <w:div w:id="809980960">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6591844">
      <w:bodyDiv w:val="1"/>
      <w:marLeft w:val="0"/>
      <w:marRight w:val="0"/>
      <w:marTop w:val="0"/>
      <w:marBottom w:val="0"/>
      <w:divBdr>
        <w:top w:val="none" w:sz="0" w:space="0" w:color="auto"/>
        <w:left w:val="none" w:sz="0" w:space="0" w:color="auto"/>
        <w:bottom w:val="none" w:sz="0" w:space="0" w:color="auto"/>
        <w:right w:val="none" w:sz="0" w:space="0" w:color="auto"/>
      </w:divBdr>
    </w:div>
    <w:div w:id="936476637">
      <w:bodyDiv w:val="1"/>
      <w:marLeft w:val="0"/>
      <w:marRight w:val="0"/>
      <w:marTop w:val="0"/>
      <w:marBottom w:val="0"/>
      <w:divBdr>
        <w:top w:val="none" w:sz="0" w:space="0" w:color="auto"/>
        <w:left w:val="none" w:sz="0" w:space="0" w:color="auto"/>
        <w:bottom w:val="none" w:sz="0" w:space="0" w:color="auto"/>
        <w:right w:val="none" w:sz="0" w:space="0" w:color="auto"/>
      </w:divBdr>
    </w:div>
    <w:div w:id="953053102">
      <w:bodyDiv w:val="1"/>
      <w:marLeft w:val="0"/>
      <w:marRight w:val="0"/>
      <w:marTop w:val="0"/>
      <w:marBottom w:val="0"/>
      <w:divBdr>
        <w:top w:val="none" w:sz="0" w:space="0" w:color="auto"/>
        <w:left w:val="none" w:sz="0" w:space="0" w:color="auto"/>
        <w:bottom w:val="none" w:sz="0" w:space="0" w:color="auto"/>
        <w:right w:val="none" w:sz="0" w:space="0" w:color="auto"/>
      </w:divBdr>
    </w:div>
    <w:div w:id="989476299">
      <w:bodyDiv w:val="1"/>
      <w:marLeft w:val="0"/>
      <w:marRight w:val="0"/>
      <w:marTop w:val="0"/>
      <w:marBottom w:val="0"/>
      <w:divBdr>
        <w:top w:val="none" w:sz="0" w:space="0" w:color="auto"/>
        <w:left w:val="none" w:sz="0" w:space="0" w:color="auto"/>
        <w:bottom w:val="none" w:sz="0" w:space="0" w:color="auto"/>
        <w:right w:val="none" w:sz="0" w:space="0" w:color="auto"/>
      </w:divBdr>
    </w:div>
    <w:div w:id="1024289228">
      <w:bodyDiv w:val="1"/>
      <w:marLeft w:val="0"/>
      <w:marRight w:val="0"/>
      <w:marTop w:val="0"/>
      <w:marBottom w:val="0"/>
      <w:divBdr>
        <w:top w:val="none" w:sz="0" w:space="0" w:color="auto"/>
        <w:left w:val="none" w:sz="0" w:space="0" w:color="auto"/>
        <w:bottom w:val="none" w:sz="0" w:space="0" w:color="auto"/>
        <w:right w:val="none" w:sz="0" w:space="0" w:color="auto"/>
      </w:divBdr>
    </w:div>
    <w:div w:id="1058436179">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78232332">
      <w:bodyDiv w:val="1"/>
      <w:marLeft w:val="0"/>
      <w:marRight w:val="0"/>
      <w:marTop w:val="0"/>
      <w:marBottom w:val="0"/>
      <w:divBdr>
        <w:top w:val="none" w:sz="0" w:space="0" w:color="auto"/>
        <w:left w:val="none" w:sz="0" w:space="0" w:color="auto"/>
        <w:bottom w:val="none" w:sz="0" w:space="0" w:color="auto"/>
        <w:right w:val="none" w:sz="0" w:space="0" w:color="auto"/>
      </w:divBdr>
    </w:div>
    <w:div w:id="1183788956">
      <w:bodyDiv w:val="1"/>
      <w:marLeft w:val="0"/>
      <w:marRight w:val="0"/>
      <w:marTop w:val="0"/>
      <w:marBottom w:val="0"/>
      <w:divBdr>
        <w:top w:val="none" w:sz="0" w:space="0" w:color="auto"/>
        <w:left w:val="none" w:sz="0" w:space="0" w:color="auto"/>
        <w:bottom w:val="none" w:sz="0" w:space="0" w:color="auto"/>
        <w:right w:val="none" w:sz="0" w:space="0" w:color="auto"/>
      </w:divBdr>
    </w:div>
    <w:div w:id="1239172316">
      <w:bodyDiv w:val="1"/>
      <w:marLeft w:val="0"/>
      <w:marRight w:val="0"/>
      <w:marTop w:val="0"/>
      <w:marBottom w:val="0"/>
      <w:divBdr>
        <w:top w:val="none" w:sz="0" w:space="0" w:color="auto"/>
        <w:left w:val="none" w:sz="0" w:space="0" w:color="auto"/>
        <w:bottom w:val="none" w:sz="0" w:space="0" w:color="auto"/>
        <w:right w:val="none" w:sz="0" w:space="0" w:color="auto"/>
      </w:divBdr>
    </w:div>
    <w:div w:id="1246495744">
      <w:bodyDiv w:val="1"/>
      <w:marLeft w:val="0"/>
      <w:marRight w:val="0"/>
      <w:marTop w:val="0"/>
      <w:marBottom w:val="0"/>
      <w:divBdr>
        <w:top w:val="none" w:sz="0" w:space="0" w:color="auto"/>
        <w:left w:val="none" w:sz="0" w:space="0" w:color="auto"/>
        <w:bottom w:val="none" w:sz="0" w:space="0" w:color="auto"/>
        <w:right w:val="none" w:sz="0" w:space="0" w:color="auto"/>
      </w:divBdr>
    </w:div>
    <w:div w:id="135214587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826764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8542780">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86967889">
      <w:bodyDiv w:val="1"/>
      <w:marLeft w:val="0"/>
      <w:marRight w:val="0"/>
      <w:marTop w:val="0"/>
      <w:marBottom w:val="0"/>
      <w:divBdr>
        <w:top w:val="none" w:sz="0" w:space="0" w:color="auto"/>
        <w:left w:val="none" w:sz="0" w:space="0" w:color="auto"/>
        <w:bottom w:val="none" w:sz="0" w:space="0" w:color="auto"/>
        <w:right w:val="none" w:sz="0" w:space="0" w:color="auto"/>
      </w:divBdr>
    </w:div>
    <w:div w:id="1503161964">
      <w:bodyDiv w:val="1"/>
      <w:marLeft w:val="0"/>
      <w:marRight w:val="0"/>
      <w:marTop w:val="0"/>
      <w:marBottom w:val="0"/>
      <w:divBdr>
        <w:top w:val="none" w:sz="0" w:space="0" w:color="auto"/>
        <w:left w:val="none" w:sz="0" w:space="0" w:color="auto"/>
        <w:bottom w:val="none" w:sz="0" w:space="0" w:color="auto"/>
        <w:right w:val="none" w:sz="0" w:space="0" w:color="auto"/>
      </w:divBdr>
    </w:div>
    <w:div w:id="151815659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69269985">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16948479">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9999313">
      <w:bodyDiv w:val="1"/>
      <w:marLeft w:val="0"/>
      <w:marRight w:val="0"/>
      <w:marTop w:val="0"/>
      <w:marBottom w:val="0"/>
      <w:divBdr>
        <w:top w:val="none" w:sz="0" w:space="0" w:color="auto"/>
        <w:left w:val="none" w:sz="0" w:space="0" w:color="auto"/>
        <w:bottom w:val="none" w:sz="0" w:space="0" w:color="auto"/>
        <w:right w:val="none" w:sz="0" w:space="0" w:color="auto"/>
      </w:divBdr>
      <w:divsChild>
        <w:div w:id="352850187">
          <w:marLeft w:val="0"/>
          <w:marRight w:val="0"/>
          <w:marTop w:val="0"/>
          <w:marBottom w:val="0"/>
          <w:divBdr>
            <w:top w:val="none" w:sz="0" w:space="0" w:color="auto"/>
            <w:left w:val="none" w:sz="0" w:space="0" w:color="auto"/>
            <w:bottom w:val="none" w:sz="0" w:space="0" w:color="auto"/>
            <w:right w:val="none" w:sz="0" w:space="0" w:color="auto"/>
          </w:divBdr>
        </w:div>
      </w:divsChild>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71738041">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30794680">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2168116">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ornormativo.creg.gov.co/gestor/entorno/docs/resolucion_creg_0085_2018.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estornormativo.creg.gov.co/gestor/entorno/docs/resolucion_creg_0015_201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127c683-ebd0-4e75-9c9b-930d1b233c64" xsi:nil="true"/>
    <lcf76f155ced4ddcb4097134ff3c332f xmlns="8bd55fe9-8577-4cfc-8d96-a754a8c01d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14" ma:contentTypeDescription="Crear nuevo documento." ma:contentTypeScope="" ma:versionID="e7f24d7da9c3672a3a1af03cd56551ba">
  <xsd:schema xmlns:xsd="http://www.w3.org/2001/XMLSchema" xmlns:xs="http://www.w3.org/2001/XMLSchema" xmlns:p="http://schemas.microsoft.com/office/2006/metadata/properties" xmlns:ns2="8bd55fe9-8577-4cfc-8d96-a754a8c01d86" xmlns:ns3="a127c683-ebd0-4e75-9c9b-930d1b233c64" targetNamespace="http://schemas.microsoft.com/office/2006/metadata/properties" ma:root="true" ma:fieldsID="e6c0ccc6b08c819e9b79e8a30de67d8f" ns2:_="" ns3:_="">
    <xsd:import namespace="8bd55fe9-8577-4cfc-8d96-a754a8c01d86"/>
    <xsd:import namespace="a127c683-ebd0-4e75-9c9b-930d1b233c6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7c683-ebd0-4e75-9c9b-930d1b233c64"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b750558c-3366-408c-ac55-00f18bafde74}" ma:internalName="TaxCatchAll" ma:showField="CatchAllData" ma:web="a127c683-ebd0-4e75-9c9b-930d1b233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5FBCD-D49D-4F7E-AFBE-B5DDBCCA5252}">
  <ds:schemaRefs>
    <ds:schemaRef ds:uri="http://schemas.openxmlformats.org/officeDocument/2006/bibliography"/>
  </ds:schemaRefs>
</ds:datastoreItem>
</file>

<file path=customXml/itemProps2.xml><?xml version="1.0" encoding="utf-8"?>
<ds:datastoreItem xmlns:ds="http://schemas.openxmlformats.org/officeDocument/2006/customXml" ds:itemID="{55B37BBF-3A80-4B36-83CC-8D1B470D89CF}">
  <ds:schemaRefs>
    <ds:schemaRef ds:uri="http://schemas.microsoft.com/office/2006/metadata/properties"/>
    <ds:schemaRef ds:uri="http://schemas.microsoft.com/office/infopath/2007/PartnerControls"/>
    <ds:schemaRef ds:uri="a127c683-ebd0-4e75-9c9b-930d1b233c64"/>
    <ds:schemaRef ds:uri="8bd55fe9-8577-4cfc-8d96-a754a8c01d86"/>
  </ds:schemaRefs>
</ds:datastoreItem>
</file>

<file path=customXml/itemProps3.xml><?xml version="1.0" encoding="utf-8"?>
<ds:datastoreItem xmlns:ds="http://schemas.openxmlformats.org/officeDocument/2006/customXml" ds:itemID="{CF34AC77-63C2-4AD4-BE15-647C7721752D}">
  <ds:schemaRefs>
    <ds:schemaRef ds:uri="http://schemas.microsoft.com/sharepoint/v3/contenttype/forms"/>
  </ds:schemaRefs>
</ds:datastoreItem>
</file>

<file path=customXml/itemProps4.xml><?xml version="1.0" encoding="utf-8"?>
<ds:datastoreItem xmlns:ds="http://schemas.openxmlformats.org/officeDocument/2006/customXml" ds:itemID="{EABE4AFC-122B-463B-BD19-DDC028154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a127c683-ebd0-4e75-9c9b-930d1b23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13</TotalTime>
  <Pages>20</Pages>
  <Words>6895</Words>
  <Characters>34815</Characters>
  <Application>Microsoft Office Word</Application>
  <DocSecurity>0</DocSecurity>
  <Lines>290</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41627</CharactersWithSpaces>
  <SharedDoc>false</SharedDoc>
  <HLinks>
    <vt:vector size="84" baseType="variant">
      <vt:variant>
        <vt:i4>1769528</vt:i4>
      </vt:variant>
      <vt:variant>
        <vt:i4>77</vt:i4>
      </vt:variant>
      <vt:variant>
        <vt:i4>0</vt:i4>
      </vt:variant>
      <vt:variant>
        <vt:i4>5</vt:i4>
      </vt:variant>
      <vt:variant>
        <vt:lpwstr/>
      </vt:variant>
      <vt:variant>
        <vt:lpwstr>_Toc125740890</vt:lpwstr>
      </vt:variant>
      <vt:variant>
        <vt:i4>1703992</vt:i4>
      </vt:variant>
      <vt:variant>
        <vt:i4>71</vt:i4>
      </vt:variant>
      <vt:variant>
        <vt:i4>0</vt:i4>
      </vt:variant>
      <vt:variant>
        <vt:i4>5</vt:i4>
      </vt:variant>
      <vt:variant>
        <vt:lpwstr/>
      </vt:variant>
      <vt:variant>
        <vt:lpwstr>_Toc125740889</vt:lpwstr>
      </vt:variant>
      <vt:variant>
        <vt:i4>1703992</vt:i4>
      </vt:variant>
      <vt:variant>
        <vt:i4>65</vt:i4>
      </vt:variant>
      <vt:variant>
        <vt:i4>0</vt:i4>
      </vt:variant>
      <vt:variant>
        <vt:i4>5</vt:i4>
      </vt:variant>
      <vt:variant>
        <vt:lpwstr/>
      </vt:variant>
      <vt:variant>
        <vt:lpwstr>_Toc125740888</vt:lpwstr>
      </vt:variant>
      <vt:variant>
        <vt:i4>1703992</vt:i4>
      </vt:variant>
      <vt:variant>
        <vt:i4>59</vt:i4>
      </vt:variant>
      <vt:variant>
        <vt:i4>0</vt:i4>
      </vt:variant>
      <vt:variant>
        <vt:i4>5</vt:i4>
      </vt:variant>
      <vt:variant>
        <vt:lpwstr/>
      </vt:variant>
      <vt:variant>
        <vt:lpwstr>_Toc125740887</vt:lpwstr>
      </vt:variant>
      <vt:variant>
        <vt:i4>1703992</vt:i4>
      </vt:variant>
      <vt:variant>
        <vt:i4>53</vt:i4>
      </vt:variant>
      <vt:variant>
        <vt:i4>0</vt:i4>
      </vt:variant>
      <vt:variant>
        <vt:i4>5</vt:i4>
      </vt:variant>
      <vt:variant>
        <vt:lpwstr/>
      </vt:variant>
      <vt:variant>
        <vt:lpwstr>_Toc125740886</vt:lpwstr>
      </vt:variant>
      <vt:variant>
        <vt:i4>1703992</vt:i4>
      </vt:variant>
      <vt:variant>
        <vt:i4>47</vt:i4>
      </vt:variant>
      <vt:variant>
        <vt:i4>0</vt:i4>
      </vt:variant>
      <vt:variant>
        <vt:i4>5</vt:i4>
      </vt:variant>
      <vt:variant>
        <vt:lpwstr/>
      </vt:variant>
      <vt:variant>
        <vt:lpwstr>_Toc125740882</vt:lpwstr>
      </vt:variant>
      <vt:variant>
        <vt:i4>1703992</vt:i4>
      </vt:variant>
      <vt:variant>
        <vt:i4>41</vt:i4>
      </vt:variant>
      <vt:variant>
        <vt:i4>0</vt:i4>
      </vt:variant>
      <vt:variant>
        <vt:i4>5</vt:i4>
      </vt:variant>
      <vt:variant>
        <vt:lpwstr/>
      </vt:variant>
      <vt:variant>
        <vt:lpwstr>_Toc125740881</vt:lpwstr>
      </vt:variant>
      <vt:variant>
        <vt:i4>1703992</vt:i4>
      </vt:variant>
      <vt:variant>
        <vt:i4>35</vt:i4>
      </vt:variant>
      <vt:variant>
        <vt:i4>0</vt:i4>
      </vt:variant>
      <vt:variant>
        <vt:i4>5</vt:i4>
      </vt:variant>
      <vt:variant>
        <vt:lpwstr/>
      </vt:variant>
      <vt:variant>
        <vt:lpwstr>_Toc125740880</vt:lpwstr>
      </vt:variant>
      <vt:variant>
        <vt:i4>1376312</vt:i4>
      </vt:variant>
      <vt:variant>
        <vt:i4>29</vt:i4>
      </vt:variant>
      <vt:variant>
        <vt:i4>0</vt:i4>
      </vt:variant>
      <vt:variant>
        <vt:i4>5</vt:i4>
      </vt:variant>
      <vt:variant>
        <vt:lpwstr/>
      </vt:variant>
      <vt:variant>
        <vt:lpwstr>_Toc125740879</vt:lpwstr>
      </vt:variant>
      <vt:variant>
        <vt:i4>1376312</vt:i4>
      </vt:variant>
      <vt:variant>
        <vt:i4>23</vt:i4>
      </vt:variant>
      <vt:variant>
        <vt:i4>0</vt:i4>
      </vt:variant>
      <vt:variant>
        <vt:i4>5</vt:i4>
      </vt:variant>
      <vt:variant>
        <vt:lpwstr/>
      </vt:variant>
      <vt:variant>
        <vt:lpwstr>_Toc125740878</vt:lpwstr>
      </vt:variant>
      <vt:variant>
        <vt:i4>1376312</vt:i4>
      </vt:variant>
      <vt:variant>
        <vt:i4>17</vt:i4>
      </vt:variant>
      <vt:variant>
        <vt:i4>0</vt:i4>
      </vt:variant>
      <vt:variant>
        <vt:i4>5</vt:i4>
      </vt:variant>
      <vt:variant>
        <vt:lpwstr/>
      </vt:variant>
      <vt:variant>
        <vt:lpwstr>_Toc125740877</vt:lpwstr>
      </vt:variant>
      <vt:variant>
        <vt:i4>1376312</vt:i4>
      </vt:variant>
      <vt:variant>
        <vt:i4>11</vt:i4>
      </vt:variant>
      <vt:variant>
        <vt:i4>0</vt:i4>
      </vt:variant>
      <vt:variant>
        <vt:i4>5</vt:i4>
      </vt:variant>
      <vt:variant>
        <vt:lpwstr/>
      </vt:variant>
      <vt:variant>
        <vt:lpwstr>_Toc125740876</vt:lpwstr>
      </vt:variant>
      <vt:variant>
        <vt:i4>1376312</vt:i4>
      </vt:variant>
      <vt:variant>
        <vt:i4>5</vt:i4>
      </vt:variant>
      <vt:variant>
        <vt:i4>0</vt:i4>
      </vt:variant>
      <vt:variant>
        <vt:i4>5</vt:i4>
      </vt:variant>
      <vt:variant>
        <vt:lpwstr/>
      </vt:variant>
      <vt:variant>
        <vt:lpwstr>_Toc125740875</vt:lpwstr>
      </vt: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Eliana Rodriguez Fonseca</cp:lastModifiedBy>
  <cp:revision>2</cp:revision>
  <cp:lastPrinted>2023-03-08T17:18:00Z</cp:lastPrinted>
  <dcterms:created xsi:type="dcterms:W3CDTF">2023-05-08T16:23:00Z</dcterms:created>
  <dcterms:modified xsi:type="dcterms:W3CDTF">2023-05-08T16:23:00Z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y fmtid="{D5CDD505-2E9C-101B-9397-08002B2CF9AE}" pid="3" name="MediaServiceImageTags">
    <vt:lpwstr/>
  </property>
</Properties>
</file>