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22D1F" w14:textId="575C5115" w:rsidR="00CA77FB" w:rsidRPr="00E060BE" w:rsidRDefault="00C91668" w:rsidP="001A7613">
      <w:pPr>
        <w:pStyle w:val="Encabezado"/>
        <w:tabs>
          <w:tab w:val="clear" w:pos="8504"/>
          <w:tab w:val="left" w:pos="0"/>
          <w:tab w:val="right" w:pos="9356"/>
        </w:tabs>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3E7E1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64081564" r:id="rId9"/>
        </w:object>
      </w:r>
      <w:r w:rsidR="00CA77FB" w:rsidRPr="00E060BE">
        <w:rPr>
          <w:rFonts w:ascii="Bookman Old Style" w:hAnsi="Bookman Old Style"/>
          <w:bCs/>
          <w:szCs w:val="24"/>
        </w:rPr>
        <w:t>Ministerio de Minas y Energía</w:t>
      </w:r>
    </w:p>
    <w:p w14:paraId="563A6B3D" w14:textId="755444D6" w:rsidR="00CA77FB" w:rsidRDefault="00CA77FB" w:rsidP="004E410F">
      <w:pPr>
        <w:pStyle w:val="Ttulo3"/>
        <w:tabs>
          <w:tab w:val="left" w:pos="0"/>
          <w:tab w:val="right" w:pos="9356"/>
        </w:tabs>
        <w:spacing w:before="480" w:after="48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B596EFF" w14:textId="75A244F0" w:rsidR="00CA77FB" w:rsidRPr="00E060BE" w:rsidRDefault="00CA77FB" w:rsidP="004E410F">
      <w:pPr>
        <w:pStyle w:val="Ttulo5"/>
        <w:tabs>
          <w:tab w:val="left" w:pos="0"/>
          <w:tab w:val="right" w:pos="9356"/>
        </w:tabs>
        <w:spacing w:before="240" w:after="240"/>
        <w:rPr>
          <w:rFonts w:ascii="Bookman Old Style" w:hAnsi="Bookman Old Style"/>
          <w:sz w:val="24"/>
          <w:szCs w:val="24"/>
        </w:rPr>
      </w:pPr>
      <w:r w:rsidRPr="00E060BE">
        <w:rPr>
          <w:rFonts w:ascii="Bookman Old Style" w:hAnsi="Bookman Old Style"/>
          <w:sz w:val="24"/>
          <w:szCs w:val="24"/>
        </w:rPr>
        <w:t xml:space="preserve">RESOLUCIÓN No. </w:t>
      </w:r>
      <w:r w:rsidR="006441BB" w:rsidRPr="006441BB">
        <w:rPr>
          <w:rFonts w:ascii="Bookman Old Style" w:hAnsi="Bookman Old Style"/>
          <w:sz w:val="32"/>
          <w:szCs w:val="32"/>
        </w:rPr>
        <w:t>1</w:t>
      </w:r>
      <w:r w:rsidR="006A5E1C">
        <w:rPr>
          <w:rFonts w:ascii="Bookman Old Style" w:hAnsi="Bookman Old Style"/>
          <w:sz w:val="32"/>
          <w:szCs w:val="32"/>
        </w:rPr>
        <w:t>88</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655A78">
        <w:rPr>
          <w:rFonts w:ascii="Bookman Old Style" w:hAnsi="Bookman Old Style"/>
          <w:sz w:val="24"/>
          <w:szCs w:val="24"/>
        </w:rPr>
        <w:t>20</w:t>
      </w:r>
    </w:p>
    <w:p w14:paraId="2FBEC76B" w14:textId="21FD719A" w:rsidR="00CA77FB" w:rsidRDefault="00CA77FB" w:rsidP="006A5E1C">
      <w:pPr>
        <w:pStyle w:val="Ttulo3"/>
        <w:tabs>
          <w:tab w:val="left" w:pos="0"/>
          <w:tab w:val="right" w:pos="9356"/>
        </w:tabs>
        <w:spacing w:before="0" w:after="480"/>
        <w:rPr>
          <w:rFonts w:ascii="Bookman Old Style" w:hAnsi="Bookman Old Style"/>
          <w:b w:val="0"/>
          <w:szCs w:val="24"/>
        </w:rPr>
      </w:pPr>
      <w:r w:rsidRPr="00E060BE">
        <w:rPr>
          <w:rFonts w:ascii="Bookman Old Style" w:hAnsi="Bookman Old Style"/>
          <w:b w:val="0"/>
          <w:szCs w:val="24"/>
        </w:rPr>
        <w:t xml:space="preserve">(    </w:t>
      </w:r>
      <w:r w:rsidR="006A5E1C">
        <w:rPr>
          <w:rFonts w:ascii="Bookman Old Style" w:hAnsi="Bookman Old Style"/>
          <w:bCs/>
          <w:sz w:val="32"/>
          <w:szCs w:val="32"/>
        </w:rPr>
        <w:t>1</w:t>
      </w:r>
      <w:r w:rsidR="006441BB" w:rsidRPr="006441BB">
        <w:rPr>
          <w:rFonts w:ascii="Bookman Old Style" w:hAnsi="Bookman Old Style"/>
          <w:bCs/>
          <w:sz w:val="32"/>
          <w:szCs w:val="32"/>
        </w:rPr>
        <w:t xml:space="preserve"> </w:t>
      </w:r>
      <w:r w:rsidR="002F591B">
        <w:rPr>
          <w:rFonts w:ascii="Bookman Old Style" w:hAnsi="Bookman Old Style"/>
          <w:bCs/>
          <w:sz w:val="32"/>
          <w:szCs w:val="32"/>
        </w:rPr>
        <w:t>OCT</w:t>
      </w:r>
      <w:r w:rsidR="006441BB" w:rsidRPr="006441BB">
        <w:rPr>
          <w:rFonts w:ascii="Bookman Old Style" w:hAnsi="Bookman Old Style"/>
          <w:bCs/>
          <w:sz w:val="32"/>
          <w:szCs w:val="32"/>
        </w:rPr>
        <w:t>.</w:t>
      </w:r>
      <w:r w:rsidR="007B2327">
        <w:rPr>
          <w:rFonts w:ascii="Bookman Old Style" w:hAnsi="Bookman Old Style"/>
          <w:bCs/>
          <w:sz w:val="32"/>
          <w:szCs w:val="32"/>
        </w:rPr>
        <w:t xml:space="preserve"> </w:t>
      </w:r>
      <w:r w:rsidR="006441BB" w:rsidRPr="006441BB">
        <w:rPr>
          <w:rFonts w:ascii="Bookman Old Style" w:hAnsi="Bookman Old Style"/>
          <w:bCs/>
          <w:sz w:val="32"/>
          <w:szCs w:val="32"/>
        </w:rPr>
        <w:t>2020</w:t>
      </w:r>
      <w:r w:rsidRPr="00E060BE">
        <w:rPr>
          <w:rFonts w:ascii="Bookman Old Style" w:hAnsi="Bookman Old Style"/>
          <w:b w:val="0"/>
          <w:szCs w:val="24"/>
        </w:rPr>
        <w:t xml:space="preserve">     )</w:t>
      </w:r>
    </w:p>
    <w:p w14:paraId="41D6C2A0" w14:textId="00C5D863" w:rsidR="004C3DF1" w:rsidRPr="004C3DF1" w:rsidRDefault="004C3DF1" w:rsidP="004C3DF1">
      <w:pPr>
        <w:spacing w:before="360" w:after="360"/>
        <w:ind w:right="51"/>
        <w:jc w:val="center"/>
      </w:pPr>
      <w:r w:rsidRPr="004C3DF1">
        <w:t xml:space="preserve">Por la cual se </w:t>
      </w:r>
      <w:r w:rsidR="00A4753C">
        <w:t xml:space="preserve">modifica </w:t>
      </w:r>
      <w:r w:rsidR="00A4753C" w:rsidRPr="00A4753C">
        <w:t>el costo base de comercialización del mercado de comercialización atendido por la Electrificadora del Caribe S.A. E.S.P.</w:t>
      </w:r>
      <w:r w:rsidR="0024439B">
        <w:t xml:space="preserve"> establecido en la Resolución CREG 036 de 2015</w:t>
      </w:r>
    </w:p>
    <w:p w14:paraId="047E3127" w14:textId="77777777" w:rsidR="004C3DF1" w:rsidRPr="00C435C3" w:rsidRDefault="004C3DF1" w:rsidP="004C3DF1">
      <w:pPr>
        <w:spacing w:before="360" w:after="360"/>
        <w:ind w:right="51"/>
        <w:jc w:val="center"/>
        <w:rPr>
          <w:b/>
        </w:rPr>
      </w:pPr>
      <w:r w:rsidRPr="00C435C3">
        <w:rPr>
          <w:b/>
        </w:rPr>
        <w:t>LA COMISIÓN DE REGULACIÓN DE ENERGÍA Y GAS</w:t>
      </w:r>
    </w:p>
    <w:p w14:paraId="78304755" w14:textId="26004108" w:rsidR="004C3DF1" w:rsidRDefault="004C3DF1" w:rsidP="004C3DF1">
      <w:pPr>
        <w:spacing w:before="0" w:after="0"/>
        <w:jc w:val="center"/>
      </w:pPr>
      <w:r w:rsidRPr="004C3DF1">
        <w:t>En ejercicio de sus atribuciones constitucionales y legales, en especial las conferidas por las Leyes 142 y 143 de 1994, y en desarrollo de los Decretos 1524, 2253 de 1994, 2696 de 2004 y 1260 de 2013</w:t>
      </w:r>
      <w:r>
        <w:t>.</w:t>
      </w:r>
    </w:p>
    <w:p w14:paraId="4D2D2DFC" w14:textId="6F2D817C" w:rsidR="004C3DF1" w:rsidRPr="004C3DF1" w:rsidRDefault="004C3DF1" w:rsidP="004C3DF1">
      <w:pPr>
        <w:suppressAutoHyphens/>
        <w:spacing w:before="360" w:after="360"/>
        <w:jc w:val="center"/>
        <w:rPr>
          <w:b/>
          <w:spacing w:val="60"/>
        </w:rPr>
      </w:pPr>
      <w:r w:rsidRPr="009A0748">
        <w:rPr>
          <w:b/>
          <w:spacing w:val="60"/>
        </w:rPr>
        <w:t>CONSIDERANDO QUE:</w:t>
      </w:r>
    </w:p>
    <w:p w14:paraId="5A819120" w14:textId="5E3B3911" w:rsidR="008C4D1C" w:rsidRDefault="008C4D1C" w:rsidP="00D62170">
      <w:pPr>
        <w:spacing w:line="228" w:lineRule="auto"/>
      </w:pPr>
      <w:r w:rsidRPr="008C4D1C">
        <w:t>De conformidad con lo dispuesto en el artículo 73 de la Ley 142 de 1994, es función de la Comisión regular los monopolios en la prestación de los servicios públicos, cuando la competencia no sea, de hecho posible</w:t>
      </w:r>
      <w:r w:rsidR="003F6929">
        <w:t>,</w:t>
      </w:r>
      <w:r w:rsidRPr="008C4D1C">
        <w:t xml:space="preserve"> y en los demás casos</w:t>
      </w:r>
      <w:r w:rsidR="003F6929">
        <w:t>,</w:t>
      </w:r>
      <w:r w:rsidRPr="008C4D1C">
        <w:t xml:space="preserve"> la de promover la competencia entre quienes presten servicios públicos, para que las operaciones de los monopolistas o de los competidores sean económicamente eficientes, no impliquen abuso de la posición dominante, y produzcan servicios de calidad.</w:t>
      </w:r>
    </w:p>
    <w:p w14:paraId="2EB968BD" w14:textId="1B4D882D" w:rsidR="008C4D1C" w:rsidRPr="00514DDB" w:rsidRDefault="008C4D1C" w:rsidP="00D62170">
      <w:pPr>
        <w:tabs>
          <w:tab w:val="left" w:pos="-720"/>
        </w:tabs>
        <w:suppressAutoHyphens/>
        <w:spacing w:before="240" w:after="240" w:line="228" w:lineRule="auto"/>
        <w:rPr>
          <w:spacing w:val="-3"/>
        </w:rPr>
      </w:pPr>
      <w:r>
        <w:rPr>
          <w:spacing w:val="-3"/>
        </w:rPr>
        <w:t>M</w:t>
      </w:r>
      <w:r w:rsidRPr="00514DDB">
        <w:rPr>
          <w:spacing w:val="-3"/>
        </w:rPr>
        <w:t>ediante Resolución CREG 180 de 23 de diciembre de 2014, se establec</w:t>
      </w:r>
      <w:r w:rsidR="008356A4">
        <w:rPr>
          <w:spacing w:val="-3"/>
        </w:rPr>
        <w:t>ieron</w:t>
      </w:r>
      <w:r w:rsidRPr="00514DDB">
        <w:rPr>
          <w:spacing w:val="-3"/>
        </w:rPr>
        <w:t xml:space="preserve"> los criterios generales para determinar la remuneración de la actividad de comercialización de energía eléctrica a usuarios regulados en el Sistema Interconectado Nacional.</w:t>
      </w:r>
    </w:p>
    <w:p w14:paraId="5BC9AD70" w14:textId="21092B6D" w:rsidR="008C4D1C" w:rsidRDefault="009A0748" w:rsidP="00D62170">
      <w:pPr>
        <w:spacing w:line="228" w:lineRule="auto"/>
      </w:pPr>
      <w:r w:rsidRPr="009A0748">
        <w:t>Mediante la Resolución CREG 0</w:t>
      </w:r>
      <w:r w:rsidR="008C4D1C">
        <w:t>36</w:t>
      </w:r>
      <w:r w:rsidRPr="009A0748">
        <w:t xml:space="preserve"> de 201</w:t>
      </w:r>
      <w:r w:rsidR="008C4D1C">
        <w:t>5</w:t>
      </w:r>
      <w:r w:rsidR="005714A3">
        <w:t>,</w:t>
      </w:r>
      <w:r w:rsidRPr="009A0748">
        <w:t xml:space="preserve"> </w:t>
      </w:r>
      <w:r w:rsidR="005714A3" w:rsidRPr="009A0748">
        <w:t>publica</w:t>
      </w:r>
      <w:r w:rsidR="005714A3">
        <w:t>da</w:t>
      </w:r>
      <w:r w:rsidR="005714A3" w:rsidRPr="009A0748">
        <w:t xml:space="preserve"> en el </w:t>
      </w:r>
      <w:r w:rsidR="005714A3" w:rsidRPr="009A0748">
        <w:rPr>
          <w:i/>
        </w:rPr>
        <w:t>Diario Oficial</w:t>
      </w:r>
      <w:r w:rsidR="005714A3" w:rsidRPr="009A0748">
        <w:t xml:space="preserve"> </w:t>
      </w:r>
      <w:r w:rsidR="005714A3">
        <w:t>d</w:t>
      </w:r>
      <w:r w:rsidR="005714A3" w:rsidRPr="009A0748">
        <w:t xml:space="preserve">el </w:t>
      </w:r>
      <w:r w:rsidR="008C4D1C">
        <w:t>1</w:t>
      </w:r>
      <w:r w:rsidR="005714A3" w:rsidRPr="009A0748">
        <w:t xml:space="preserve">3 de </w:t>
      </w:r>
      <w:r w:rsidR="008C4D1C">
        <w:t>abril</w:t>
      </w:r>
      <w:r w:rsidR="005714A3" w:rsidRPr="009A0748">
        <w:t xml:space="preserve"> de 201</w:t>
      </w:r>
      <w:r w:rsidR="008C4D1C">
        <w:t>5</w:t>
      </w:r>
      <w:r w:rsidR="005714A3">
        <w:t xml:space="preserve">, </w:t>
      </w:r>
      <w:r w:rsidRPr="009A0748">
        <w:t xml:space="preserve">se </w:t>
      </w:r>
      <w:r w:rsidR="008C4D1C">
        <w:t xml:space="preserve">aprobó </w:t>
      </w:r>
      <w:r w:rsidR="008C4D1C" w:rsidRPr="008C4D1C">
        <w:t>el costo base de comercialización, el riesgo de cartera para usuarios tradicionales y para usuarios en áreas especiales</w:t>
      </w:r>
      <w:r w:rsidR="003F6929">
        <w:t>,</w:t>
      </w:r>
      <w:r w:rsidR="008C4D1C" w:rsidRPr="008C4D1C">
        <w:t xml:space="preserve"> del mercado de comercialización atendido por la Electrificadora del Caribe S.A. E.S.P.</w:t>
      </w:r>
    </w:p>
    <w:p w14:paraId="2D38E166" w14:textId="71C83D8B" w:rsidR="00FE3738" w:rsidRPr="009F5434" w:rsidRDefault="00FE3738" w:rsidP="00D62170">
      <w:pPr>
        <w:spacing w:line="228" w:lineRule="auto"/>
        <w:rPr>
          <w:i/>
          <w:iCs/>
        </w:rPr>
      </w:pPr>
      <w:r>
        <w:t xml:space="preserve">El Artículo 318 de la Ley 1955 de 2019 estableció que, </w:t>
      </w:r>
      <w:r w:rsidRPr="009F5434">
        <w:rPr>
          <w:i/>
          <w:iCs/>
        </w:rPr>
        <w:t>con el fin de asegurar la prestación eficiente y sostenible del servicio público domiciliario de energía eléctrica en la Costa Caribe, teniendo en cuenta el estado de Electricaribe S.A. E.S.P. al momento de su Intervención, autorícese al Gobierno nacional para establecer un régimen transitorio especial en materia tarifaria para las actividades de distribución y comercialización del actual mercado de Electrificadora del Caribe S.A. E.S.P. o las empresas derivadas de Electrificadora del Caribe S.A. E.S.P. que se constituyan en el marco del proceso de toma de posesión de esta sociedad para las regiones en las se preste el servicio público.</w:t>
      </w:r>
      <w:r w:rsidR="007E1452">
        <w:rPr>
          <w:i/>
          <w:iCs/>
        </w:rPr>
        <w:t xml:space="preserve"> (…)</w:t>
      </w:r>
    </w:p>
    <w:p w14:paraId="30C2EA17" w14:textId="11254D13" w:rsidR="00FE3738" w:rsidRDefault="00FE3738" w:rsidP="00D62170">
      <w:pPr>
        <w:spacing w:line="228" w:lineRule="auto"/>
      </w:pPr>
      <w:r w:rsidRPr="00384E2E">
        <w:t xml:space="preserve">Mediante Decreto 1645 de 2019, expedido por el Gobierno Nacional, contenido en el Decreto Único Reglamentario para el Sector Administrativo de Minas y </w:t>
      </w:r>
      <w:r w:rsidRPr="00384E2E">
        <w:lastRenderedPageBreak/>
        <w:t>Energía 1073 de 2015, se reglamentó el mencionado artículo 318 de la Ley 1955 de 2019</w:t>
      </w:r>
      <w:r w:rsidR="003F6929">
        <w:t>,</w:t>
      </w:r>
      <w:r w:rsidRPr="00384E2E">
        <w:t xml:space="preserve"> y se delegó en la Comisión de Regulación de Energía y Gas la función de establecer el régimen transitorio especial en materia tarifaria para asegurar la sostenibilidad de la prestación eficiente del servicio público domiciliario de energía eléctrica en la región Caribe de que trata el artículo 318 de la Ley 1955 de 2019, conforme a los lineamientos allí dispuestos.</w:t>
      </w:r>
    </w:p>
    <w:p w14:paraId="409B3C5D" w14:textId="77777777" w:rsidR="00FE3738" w:rsidRDefault="00FE3738" w:rsidP="00D62170">
      <w:pPr>
        <w:spacing w:line="228" w:lineRule="auto"/>
      </w:pPr>
      <w:r>
        <w:t>El Gobierno Nacional, mediante Decreto 1231 de 2020, modificó el artículo 2.2.3.2.2.1.3 del Decreto 1073 de 2015, estableciendo que:</w:t>
      </w:r>
    </w:p>
    <w:p w14:paraId="1E67849E" w14:textId="77777777" w:rsidR="00FE3738" w:rsidRDefault="00FE3738" w:rsidP="00D62170">
      <w:pPr>
        <w:spacing w:after="0" w:line="228" w:lineRule="auto"/>
        <w:ind w:left="284" w:right="425"/>
        <w:rPr>
          <w:i/>
          <w:iCs/>
        </w:rPr>
      </w:pPr>
      <w:r>
        <w:rPr>
          <w:i/>
          <w:iCs/>
        </w:rPr>
        <w:t>(…)</w:t>
      </w:r>
    </w:p>
    <w:p w14:paraId="04576A28" w14:textId="77777777" w:rsidR="00FE3738" w:rsidRDefault="00FE3738" w:rsidP="003F6929">
      <w:pPr>
        <w:spacing w:before="0" w:after="0" w:line="228" w:lineRule="auto"/>
        <w:ind w:left="284"/>
        <w:rPr>
          <w:i/>
          <w:iCs/>
        </w:rPr>
      </w:pPr>
      <w:r w:rsidRPr="0002406D">
        <w:rPr>
          <w:i/>
          <w:iCs/>
        </w:rPr>
        <w:t>1.2. La Comisión de Regulación de Energía y Gas - CREG actualizará los cargos particulares de comercialización en relación con lo dispuesto en este artículo, considerando las modificaciones que correspondan en: (i) el costo base de comercialización y; (ii) el cálculo del componente de riesgo de cartera del costo variable de comercialización, según lo que establezca la resolución que expida el Ministerio de Minas y Energía respecto de estos dos componentes, atendiendo a las necesidades que se requieren para viabilizar a futuro, financiera y operativamente, la prestación del servicio público de energía eléctrica en la región Caribe en los nuevos mercados de comercialización.</w:t>
      </w:r>
    </w:p>
    <w:p w14:paraId="28904252" w14:textId="77777777" w:rsidR="00FE3738" w:rsidRPr="0002406D" w:rsidRDefault="00FE3738" w:rsidP="00D62170">
      <w:pPr>
        <w:spacing w:before="0" w:after="0" w:line="228" w:lineRule="auto"/>
        <w:ind w:left="284" w:right="425"/>
        <w:rPr>
          <w:i/>
          <w:iCs/>
        </w:rPr>
      </w:pPr>
      <w:r>
        <w:rPr>
          <w:i/>
          <w:iCs/>
        </w:rPr>
        <w:t>(…)</w:t>
      </w:r>
    </w:p>
    <w:p w14:paraId="0479B63C" w14:textId="454C7341" w:rsidR="0002406D" w:rsidRDefault="00351737" w:rsidP="00D62170">
      <w:pPr>
        <w:spacing w:after="240" w:line="228" w:lineRule="auto"/>
      </w:pPr>
      <w:r>
        <w:t>Mediante la Resolución 4</w:t>
      </w:r>
      <w:r w:rsidR="0024439B">
        <w:t xml:space="preserve"> </w:t>
      </w:r>
      <w:r>
        <w:t>0272 del 15 de septiembre de 2020</w:t>
      </w:r>
      <w:r w:rsidR="003F6929">
        <w:t>,</w:t>
      </w:r>
      <w:r>
        <w:t xml:space="preserve"> e</w:t>
      </w:r>
      <w:r w:rsidR="003B71E5">
        <w:t xml:space="preserve">l Ministerio de Minas y Energía </w:t>
      </w:r>
      <w:r>
        <w:t>reglamentó lo establecido en el Decreto 1231 de 2020</w:t>
      </w:r>
      <w:r w:rsidR="0002406D">
        <w:t>, determinando lo siguiente:</w:t>
      </w:r>
    </w:p>
    <w:p w14:paraId="191BDBED" w14:textId="24981A0F" w:rsidR="0002406D" w:rsidRPr="003B4A1D" w:rsidRDefault="0002406D" w:rsidP="003F6929">
      <w:pPr>
        <w:spacing w:after="0" w:line="228" w:lineRule="auto"/>
        <w:ind w:left="284"/>
        <w:rPr>
          <w:i/>
          <w:iCs/>
        </w:rPr>
      </w:pPr>
      <w:r w:rsidRPr="003B4A1D">
        <w:rPr>
          <w:b/>
          <w:bCs/>
          <w:i/>
          <w:iCs/>
        </w:rPr>
        <w:t>Artículo 1.</w:t>
      </w:r>
      <w:r w:rsidRPr="003B4A1D">
        <w:rPr>
          <w:i/>
          <w:iCs/>
        </w:rPr>
        <w:t xml:space="preserve"> Con independencia del número de prestadores del servicio público de energía eléctrica que atiendan el mercado que fuere operado por la Electrificadora del Caribe S.A. E.S.P. a la fecha de expedición de la Ley 1955 de 2019, los cargos de comercialización aplicables al prestador o los prestadores, serán los correspondientes a los del mercado existente a la fecha de expedición de dicha ley, con las siguientes modificaciones transitorias:</w:t>
      </w:r>
    </w:p>
    <w:p w14:paraId="26F7686A" w14:textId="77777777" w:rsidR="0002406D" w:rsidRPr="003B4A1D" w:rsidRDefault="0002406D" w:rsidP="003F6929">
      <w:pPr>
        <w:pStyle w:val="Prrafodelista"/>
        <w:numPr>
          <w:ilvl w:val="0"/>
          <w:numId w:val="38"/>
        </w:numPr>
        <w:spacing w:after="0" w:line="228" w:lineRule="auto"/>
        <w:ind w:left="284" w:firstLine="0"/>
        <w:rPr>
          <w:i/>
          <w:iCs/>
        </w:rPr>
      </w:pPr>
      <w:r w:rsidRPr="003B4A1D">
        <w:rPr>
          <w:i/>
          <w:iCs/>
        </w:rPr>
        <w:t>El valor del Costo Base de Comercialización (Cfj) vigente en 2020 se incrementará en 20%. Este valor se actualizará de acuerdo con la normatividad vigente.</w:t>
      </w:r>
    </w:p>
    <w:p w14:paraId="0931F15F" w14:textId="77777777" w:rsidR="0002406D" w:rsidRPr="003B4A1D" w:rsidRDefault="0002406D" w:rsidP="003F6929">
      <w:pPr>
        <w:pStyle w:val="Prrafodelista"/>
        <w:numPr>
          <w:ilvl w:val="0"/>
          <w:numId w:val="38"/>
        </w:numPr>
        <w:spacing w:after="0" w:line="228" w:lineRule="auto"/>
        <w:ind w:left="284" w:firstLine="0"/>
        <w:rPr>
          <w:i/>
          <w:iCs/>
        </w:rPr>
      </w:pPr>
      <w:r w:rsidRPr="003B4A1D">
        <w:rPr>
          <w:i/>
          <w:iCs/>
        </w:rPr>
        <w:t>Al resultado mensual del cálculo del riesgo de cartera (RCi,j,m), conforme la metodología actual, se le adicionarán 300 puntos básicos.</w:t>
      </w:r>
    </w:p>
    <w:p w14:paraId="72D57CE2" w14:textId="77777777" w:rsidR="003B4A1D" w:rsidRPr="003B4A1D" w:rsidRDefault="0002406D" w:rsidP="003F6929">
      <w:pPr>
        <w:spacing w:after="0" w:line="228" w:lineRule="auto"/>
        <w:ind w:left="284"/>
        <w:rPr>
          <w:i/>
          <w:iCs/>
        </w:rPr>
      </w:pPr>
      <w:r w:rsidRPr="003B4A1D">
        <w:rPr>
          <w:b/>
          <w:bCs/>
          <w:i/>
          <w:iCs/>
        </w:rPr>
        <w:t>Parágrafo primero.</w:t>
      </w:r>
      <w:r w:rsidRPr="003B4A1D">
        <w:rPr>
          <w:i/>
          <w:iCs/>
        </w:rPr>
        <w:t xml:space="preserve"> </w:t>
      </w:r>
      <w:r w:rsidR="003B4A1D" w:rsidRPr="003B4A1D">
        <w:rPr>
          <w:i/>
          <w:iCs/>
        </w:rPr>
        <w:t>Lo dispuesto en los numerales primero y segundo del presente artículo aplicará de conformidad con las siguientes reglas:</w:t>
      </w:r>
    </w:p>
    <w:p w14:paraId="4E69D531" w14:textId="77777777" w:rsidR="003B4A1D" w:rsidRPr="003B4A1D" w:rsidRDefault="003B4A1D" w:rsidP="003F6929">
      <w:pPr>
        <w:pStyle w:val="Prrafodelista"/>
        <w:numPr>
          <w:ilvl w:val="0"/>
          <w:numId w:val="39"/>
        </w:numPr>
        <w:spacing w:after="0" w:line="228" w:lineRule="auto"/>
        <w:ind w:left="284" w:firstLine="0"/>
        <w:rPr>
          <w:i/>
          <w:iCs/>
        </w:rPr>
      </w:pPr>
      <w:r w:rsidRPr="003B4A1D">
        <w:rPr>
          <w:i/>
          <w:iCs/>
        </w:rPr>
        <w:t>Como máximo, el 1 de diciembre de 2020 la Comisión de Regulación de energía y Gas – CREG, actualizará los cargos particulares de comercialización actualmente aplicables para el prestador o los prestadores que atiendan el mercado que fuere operado por la Electrificadora del Caribe S.A. E.S.P. a la fecha de expedición de la Ley 1955 de 2019, con el fin de que se incluya el resultado de la aplicación de lo dispuesto en el numeral 1.</w:t>
      </w:r>
    </w:p>
    <w:p w14:paraId="51260E31" w14:textId="4ED8A506" w:rsidR="0002406D" w:rsidRPr="003B4A1D" w:rsidRDefault="003B4A1D" w:rsidP="003F6929">
      <w:pPr>
        <w:pStyle w:val="Prrafodelista"/>
        <w:numPr>
          <w:ilvl w:val="0"/>
          <w:numId w:val="39"/>
        </w:numPr>
        <w:spacing w:after="0" w:line="228" w:lineRule="auto"/>
        <w:ind w:left="284" w:firstLine="0"/>
        <w:rPr>
          <w:i/>
          <w:iCs/>
        </w:rPr>
      </w:pPr>
      <w:r w:rsidRPr="003B4A1D">
        <w:rPr>
          <w:i/>
          <w:iCs/>
        </w:rPr>
        <w:t xml:space="preserve">El prestador o los prestadores actualizarán directamente lo dispuesto en el numeral 2. </w:t>
      </w:r>
    </w:p>
    <w:p w14:paraId="683FC6BF" w14:textId="7D5C3550" w:rsidR="003B4A1D" w:rsidRPr="003B4A1D" w:rsidRDefault="003B4A1D" w:rsidP="003F6929">
      <w:pPr>
        <w:pStyle w:val="Prrafodelista"/>
        <w:numPr>
          <w:ilvl w:val="0"/>
          <w:numId w:val="39"/>
        </w:numPr>
        <w:spacing w:after="0" w:line="228" w:lineRule="auto"/>
        <w:ind w:left="284" w:firstLine="0"/>
        <w:rPr>
          <w:i/>
          <w:iCs/>
        </w:rPr>
      </w:pPr>
      <w:r w:rsidRPr="003B4A1D">
        <w:rPr>
          <w:i/>
          <w:iCs/>
        </w:rPr>
        <w:t>La actualización de los cargos conforme a lo dispuesto en los anteriores numerales de este parágrafo, aplicará a partir de la firmeza de la resolución a la que se refiere el numeral (i)</w:t>
      </w:r>
    </w:p>
    <w:p w14:paraId="55764036" w14:textId="7A897502" w:rsidR="003B4A1D" w:rsidRPr="003B4A1D" w:rsidRDefault="003B4A1D" w:rsidP="003F6929">
      <w:pPr>
        <w:spacing w:after="0" w:line="228" w:lineRule="auto"/>
        <w:ind w:left="284"/>
        <w:rPr>
          <w:i/>
          <w:iCs/>
        </w:rPr>
      </w:pPr>
      <w:r w:rsidRPr="003B4A1D">
        <w:rPr>
          <w:i/>
          <w:iCs/>
        </w:rPr>
        <w:t>(…)</w:t>
      </w:r>
    </w:p>
    <w:p w14:paraId="4FE37597" w14:textId="1CB62E2B" w:rsidR="00485CA3" w:rsidRDefault="00485CA3" w:rsidP="00D62170">
      <w:pPr>
        <w:spacing w:line="228" w:lineRule="auto"/>
        <w:rPr>
          <w:spacing w:val="-3"/>
        </w:rPr>
      </w:pPr>
      <w:r>
        <w:rPr>
          <w:spacing w:val="-3"/>
        </w:rPr>
        <w:t xml:space="preserve">Con base en lo anterior, la Comisión de Regulación de </w:t>
      </w:r>
      <w:r w:rsidR="007E71A4">
        <w:rPr>
          <w:spacing w:val="-3"/>
        </w:rPr>
        <w:t>E</w:t>
      </w:r>
      <w:r>
        <w:rPr>
          <w:spacing w:val="-3"/>
        </w:rPr>
        <w:t>ne</w:t>
      </w:r>
      <w:r w:rsidR="007E71A4">
        <w:rPr>
          <w:spacing w:val="-3"/>
        </w:rPr>
        <w:t xml:space="preserve">rgía y Gas, en su sesión </w:t>
      </w:r>
      <w:r w:rsidR="000D6399" w:rsidRPr="006A5E1C">
        <w:rPr>
          <w:spacing w:val="-3"/>
        </w:rPr>
        <w:t>10</w:t>
      </w:r>
      <w:r w:rsidR="006A5E1C" w:rsidRPr="006A5E1C">
        <w:rPr>
          <w:spacing w:val="-3"/>
        </w:rPr>
        <w:t>5</w:t>
      </w:r>
      <w:r w:rsidR="006A5E1C">
        <w:rPr>
          <w:spacing w:val="-3"/>
        </w:rPr>
        <w:t>0</w:t>
      </w:r>
      <w:r w:rsidR="000D6399">
        <w:rPr>
          <w:spacing w:val="-3"/>
        </w:rPr>
        <w:t xml:space="preserve"> </w:t>
      </w:r>
      <w:r w:rsidR="007E71A4">
        <w:rPr>
          <w:spacing w:val="-3"/>
        </w:rPr>
        <w:t xml:space="preserve">del </w:t>
      </w:r>
      <w:r w:rsidR="002F591B">
        <w:rPr>
          <w:spacing w:val="-3"/>
        </w:rPr>
        <w:t>1</w:t>
      </w:r>
      <w:r w:rsidR="007E71A4">
        <w:rPr>
          <w:spacing w:val="-3"/>
        </w:rPr>
        <w:t xml:space="preserve"> de </w:t>
      </w:r>
      <w:r w:rsidR="002F591B">
        <w:rPr>
          <w:spacing w:val="-3"/>
        </w:rPr>
        <w:t>octubre</w:t>
      </w:r>
      <w:r w:rsidR="00B36C1A">
        <w:rPr>
          <w:spacing w:val="-3"/>
        </w:rPr>
        <w:t xml:space="preserve"> </w:t>
      </w:r>
      <w:r w:rsidR="007E71A4">
        <w:rPr>
          <w:spacing w:val="-3"/>
        </w:rPr>
        <w:t>de 20</w:t>
      </w:r>
      <w:r w:rsidR="00655A78">
        <w:rPr>
          <w:spacing w:val="-3"/>
        </w:rPr>
        <w:t>20</w:t>
      </w:r>
      <w:r>
        <w:rPr>
          <w:spacing w:val="-3"/>
        </w:rPr>
        <w:t xml:space="preserve">, acordó expedir esta resolución. </w:t>
      </w:r>
    </w:p>
    <w:p w14:paraId="0A6A2009" w14:textId="77777777" w:rsidR="00595129" w:rsidRPr="00D87308" w:rsidRDefault="00595129" w:rsidP="00B36C1A">
      <w:pPr>
        <w:keepNext/>
        <w:spacing w:before="360" w:after="360"/>
        <w:ind w:right="51"/>
        <w:jc w:val="center"/>
        <w:rPr>
          <w:b/>
          <w:spacing w:val="60"/>
        </w:rPr>
      </w:pPr>
      <w:r w:rsidRPr="00D87308">
        <w:rPr>
          <w:b/>
          <w:spacing w:val="60"/>
        </w:rPr>
        <w:t>RESUELVE:</w:t>
      </w:r>
    </w:p>
    <w:p w14:paraId="5703C114" w14:textId="7BFC7191" w:rsidR="00830C48" w:rsidRPr="00830C48" w:rsidRDefault="00830C48" w:rsidP="00C83796">
      <w:pPr>
        <w:pStyle w:val="Artculo"/>
        <w:spacing w:before="200" w:after="200"/>
        <w:ind w:left="0"/>
      </w:pPr>
      <w:bookmarkStart w:id="1" w:name="_Ref49245292"/>
      <w:r>
        <w:t>Modificación del Costo Base de Comercialización del mercado aten</w:t>
      </w:r>
      <w:r w:rsidR="00351737">
        <w:t xml:space="preserve">dido </w:t>
      </w:r>
      <w:r>
        <w:t>por Electrificadora del Caribe S.A. E.S.P.</w:t>
      </w:r>
      <w:r w:rsidR="004F04D7">
        <w:t xml:space="preserve"> </w:t>
      </w:r>
      <w:r w:rsidR="00BB72B7" w:rsidRPr="00BB72B7">
        <w:rPr>
          <w:b w:val="0"/>
          <w:bCs/>
        </w:rPr>
        <w:t>Modificar</w:t>
      </w:r>
      <w:r w:rsidR="00BB72B7">
        <w:rPr>
          <w:b w:val="0"/>
          <w:bCs/>
        </w:rPr>
        <w:t xml:space="preserve"> </w:t>
      </w:r>
      <w:r>
        <w:rPr>
          <w:b w:val="0"/>
          <w:bCs/>
        </w:rPr>
        <w:t>el Artículo 1 de la Resolución CREG 036 de 2015, el cual quedará así:</w:t>
      </w:r>
    </w:p>
    <w:p w14:paraId="2FB19A80" w14:textId="21DFD009" w:rsidR="0024439B" w:rsidRPr="0024439B" w:rsidRDefault="00830C48" w:rsidP="003F6929">
      <w:pPr>
        <w:numPr>
          <w:ilvl w:val="0"/>
          <w:numId w:val="37"/>
        </w:numPr>
        <w:tabs>
          <w:tab w:val="left" w:pos="1418"/>
        </w:tabs>
        <w:suppressAutoHyphens/>
        <w:spacing w:before="0"/>
        <w:ind w:left="425" w:firstLine="0"/>
        <w:rPr>
          <w:i/>
          <w:iCs/>
          <w:spacing w:val="-3"/>
        </w:rPr>
      </w:pPr>
      <w:bookmarkStart w:id="2" w:name="_Ref49245308"/>
      <w:bookmarkEnd w:id="1"/>
      <w:r w:rsidRPr="0024439B">
        <w:rPr>
          <w:b/>
          <w:i/>
          <w:iCs/>
          <w:spacing w:val="-3"/>
        </w:rPr>
        <w:t xml:space="preserve">Costo base de comercialización. </w:t>
      </w:r>
      <w:r w:rsidRPr="0024439B">
        <w:rPr>
          <w:i/>
          <w:iCs/>
          <w:spacing w:val="-3"/>
        </w:rPr>
        <w:t>El costo base de comercialización para el mercado de comercialización atendido por la Electrificadora del Caribe S.A. E.SP., Electricaribe, conforme a lo establecido en el artículo 6 de la Resolución CREG 180 de 2014 y la Resolución MME 4 0272 de 2020 es:</w:t>
      </w:r>
      <w:r w:rsidR="00351737" w:rsidRPr="0024439B">
        <w:rPr>
          <w:i/>
          <w:iCs/>
          <w:spacing w:val="-3"/>
        </w:rPr>
        <w:t xml:space="preserve"> </w:t>
      </w:r>
    </w:p>
    <w:tbl>
      <w:tblPr>
        <w:tblStyle w:val="Tablaconcuadrcula1"/>
        <w:tblW w:w="8647" w:type="dxa"/>
        <w:jc w:val="center"/>
        <w:tblLook w:val="04A0" w:firstRow="1" w:lastRow="0" w:firstColumn="1" w:lastColumn="0" w:noHBand="0" w:noVBand="1"/>
      </w:tblPr>
      <w:tblGrid>
        <w:gridCol w:w="2715"/>
        <w:gridCol w:w="1247"/>
        <w:gridCol w:w="1246"/>
        <w:gridCol w:w="1246"/>
        <w:gridCol w:w="1246"/>
        <w:gridCol w:w="947"/>
      </w:tblGrid>
      <w:tr w:rsidR="0024439B" w:rsidRPr="00FE3738" w14:paraId="65E2F059" w14:textId="77777777" w:rsidTr="00FE3738">
        <w:trPr>
          <w:trHeight w:val="447"/>
          <w:jc w:val="center"/>
        </w:trPr>
        <w:tc>
          <w:tcPr>
            <w:tcW w:w="2715" w:type="dxa"/>
            <w:vAlign w:val="center"/>
          </w:tcPr>
          <w:p w14:paraId="168E7933" w14:textId="77777777" w:rsidR="0024439B" w:rsidRPr="00FE3738" w:rsidRDefault="0024439B" w:rsidP="003F6929">
            <w:pPr>
              <w:tabs>
                <w:tab w:val="left" w:pos="1418"/>
              </w:tabs>
              <w:suppressAutoHyphens/>
              <w:jc w:val="center"/>
              <w:rPr>
                <w:b/>
                <w:spacing w:val="-3"/>
                <w:sz w:val="18"/>
                <w:szCs w:val="18"/>
              </w:rPr>
            </w:pPr>
            <w:r w:rsidRPr="00FE3738">
              <w:rPr>
                <w:b/>
                <w:spacing w:val="-3"/>
                <w:sz w:val="18"/>
                <w:szCs w:val="18"/>
              </w:rPr>
              <w:t>Año</w:t>
            </w:r>
          </w:p>
        </w:tc>
        <w:tc>
          <w:tcPr>
            <w:tcW w:w="1247" w:type="dxa"/>
            <w:vAlign w:val="center"/>
          </w:tcPr>
          <w:p w14:paraId="72CC601B" w14:textId="77777777" w:rsidR="0024439B" w:rsidRPr="00FE3738" w:rsidRDefault="0024439B" w:rsidP="003F6929">
            <w:pPr>
              <w:tabs>
                <w:tab w:val="left" w:pos="1418"/>
              </w:tabs>
              <w:suppressAutoHyphens/>
              <w:jc w:val="center"/>
              <w:rPr>
                <w:b/>
                <w:spacing w:val="-3"/>
                <w:sz w:val="18"/>
                <w:szCs w:val="18"/>
              </w:rPr>
            </w:pPr>
            <w:r w:rsidRPr="00FE3738">
              <w:rPr>
                <w:b/>
                <w:spacing w:val="-3"/>
                <w:sz w:val="18"/>
                <w:szCs w:val="18"/>
              </w:rPr>
              <w:t>2015</w:t>
            </w:r>
          </w:p>
        </w:tc>
        <w:tc>
          <w:tcPr>
            <w:tcW w:w="1246" w:type="dxa"/>
            <w:vAlign w:val="center"/>
          </w:tcPr>
          <w:p w14:paraId="258FF00F" w14:textId="77777777" w:rsidR="0024439B" w:rsidRPr="00FE3738" w:rsidRDefault="0024439B" w:rsidP="003F6929">
            <w:pPr>
              <w:tabs>
                <w:tab w:val="left" w:pos="1418"/>
              </w:tabs>
              <w:suppressAutoHyphens/>
              <w:jc w:val="center"/>
              <w:rPr>
                <w:b/>
                <w:spacing w:val="-3"/>
                <w:sz w:val="18"/>
                <w:szCs w:val="18"/>
              </w:rPr>
            </w:pPr>
            <w:r w:rsidRPr="00FE3738">
              <w:rPr>
                <w:b/>
                <w:spacing w:val="-3"/>
                <w:sz w:val="18"/>
                <w:szCs w:val="18"/>
              </w:rPr>
              <w:t>2016</w:t>
            </w:r>
          </w:p>
        </w:tc>
        <w:tc>
          <w:tcPr>
            <w:tcW w:w="1246" w:type="dxa"/>
            <w:vAlign w:val="center"/>
          </w:tcPr>
          <w:p w14:paraId="1DF939DB" w14:textId="77777777" w:rsidR="0024439B" w:rsidRPr="00FE3738" w:rsidRDefault="0024439B" w:rsidP="003F6929">
            <w:pPr>
              <w:tabs>
                <w:tab w:val="left" w:pos="1418"/>
              </w:tabs>
              <w:suppressAutoHyphens/>
              <w:jc w:val="center"/>
              <w:rPr>
                <w:b/>
                <w:spacing w:val="-3"/>
                <w:sz w:val="18"/>
                <w:szCs w:val="18"/>
              </w:rPr>
            </w:pPr>
            <w:r w:rsidRPr="00FE3738">
              <w:rPr>
                <w:b/>
                <w:spacing w:val="-3"/>
                <w:sz w:val="18"/>
                <w:szCs w:val="18"/>
              </w:rPr>
              <w:t>2017</w:t>
            </w:r>
          </w:p>
        </w:tc>
        <w:tc>
          <w:tcPr>
            <w:tcW w:w="1246" w:type="dxa"/>
            <w:vAlign w:val="center"/>
          </w:tcPr>
          <w:p w14:paraId="7D2D4831" w14:textId="77777777" w:rsidR="0024439B" w:rsidRPr="00FE3738" w:rsidRDefault="0024439B" w:rsidP="003F6929">
            <w:pPr>
              <w:tabs>
                <w:tab w:val="left" w:pos="1418"/>
              </w:tabs>
              <w:suppressAutoHyphens/>
              <w:jc w:val="center"/>
              <w:rPr>
                <w:b/>
                <w:spacing w:val="-3"/>
                <w:sz w:val="18"/>
                <w:szCs w:val="18"/>
              </w:rPr>
            </w:pPr>
            <w:r w:rsidRPr="00FE3738">
              <w:rPr>
                <w:b/>
                <w:spacing w:val="-3"/>
                <w:sz w:val="18"/>
                <w:szCs w:val="18"/>
              </w:rPr>
              <w:t>2018</w:t>
            </w:r>
          </w:p>
        </w:tc>
        <w:tc>
          <w:tcPr>
            <w:tcW w:w="947" w:type="dxa"/>
            <w:vAlign w:val="center"/>
          </w:tcPr>
          <w:p w14:paraId="4D378480" w14:textId="77777777" w:rsidR="0024439B" w:rsidRPr="00FE3738" w:rsidRDefault="0024439B" w:rsidP="003F6929">
            <w:pPr>
              <w:tabs>
                <w:tab w:val="left" w:pos="1418"/>
              </w:tabs>
              <w:suppressAutoHyphens/>
              <w:jc w:val="center"/>
              <w:rPr>
                <w:b/>
                <w:spacing w:val="-3"/>
                <w:sz w:val="18"/>
                <w:szCs w:val="18"/>
              </w:rPr>
            </w:pPr>
            <w:r w:rsidRPr="00FE3738">
              <w:rPr>
                <w:b/>
                <w:spacing w:val="-3"/>
                <w:sz w:val="18"/>
                <w:szCs w:val="18"/>
              </w:rPr>
              <w:t>2019</w:t>
            </w:r>
          </w:p>
        </w:tc>
      </w:tr>
      <w:tr w:rsidR="0024439B" w:rsidRPr="00FE3738" w14:paraId="7221A5D8" w14:textId="77777777" w:rsidTr="00FE3738">
        <w:trPr>
          <w:trHeight w:val="423"/>
          <w:jc w:val="center"/>
        </w:trPr>
        <w:tc>
          <w:tcPr>
            <w:tcW w:w="2715" w:type="dxa"/>
            <w:vAlign w:val="center"/>
          </w:tcPr>
          <w:p w14:paraId="4E2B7BF8" w14:textId="199E1C62" w:rsidR="0024439B" w:rsidRPr="00FE3738" w:rsidRDefault="0024439B" w:rsidP="003F6929">
            <w:pPr>
              <w:tabs>
                <w:tab w:val="left" w:pos="-720"/>
              </w:tabs>
              <w:suppressAutoHyphens/>
              <w:rPr>
                <w:b/>
                <w:spacing w:val="-3"/>
                <w:sz w:val="18"/>
                <w:szCs w:val="18"/>
              </w:rPr>
            </w:pPr>
            <w:r w:rsidRPr="00FE3738">
              <w:rPr>
                <w:b/>
                <w:i/>
                <w:spacing w:val="-3"/>
                <w:sz w:val="18"/>
                <w:szCs w:val="18"/>
              </w:rPr>
              <w:t>Cf</w:t>
            </w:r>
            <w:r w:rsidRPr="00FE3738">
              <w:rPr>
                <w:b/>
                <w:i/>
                <w:spacing w:val="-3"/>
                <w:sz w:val="18"/>
                <w:szCs w:val="18"/>
                <w:vertAlign w:val="subscript"/>
              </w:rPr>
              <w:t xml:space="preserve">j  </w:t>
            </w:r>
            <w:r w:rsidR="00FE3738">
              <w:rPr>
                <w:b/>
                <w:i/>
                <w:spacing w:val="-3"/>
                <w:sz w:val="18"/>
                <w:szCs w:val="18"/>
                <w:vertAlign w:val="subscript"/>
              </w:rPr>
              <w:t xml:space="preserve"> </w:t>
            </w:r>
            <w:r w:rsidRPr="00FE3738">
              <w:rPr>
                <w:b/>
                <w:spacing w:val="-3"/>
                <w:sz w:val="18"/>
                <w:szCs w:val="18"/>
              </w:rPr>
              <w:t>[$ dic-2013 / factura]</w:t>
            </w:r>
          </w:p>
        </w:tc>
        <w:tc>
          <w:tcPr>
            <w:tcW w:w="1247" w:type="dxa"/>
            <w:vAlign w:val="center"/>
          </w:tcPr>
          <w:p w14:paraId="753FB9AC" w14:textId="77777777" w:rsidR="0024439B" w:rsidRPr="00FE3738" w:rsidRDefault="0024439B" w:rsidP="003F6929">
            <w:pPr>
              <w:tabs>
                <w:tab w:val="left" w:pos="1418"/>
              </w:tabs>
              <w:suppressAutoHyphens/>
              <w:jc w:val="center"/>
              <w:rPr>
                <w:spacing w:val="-3"/>
                <w:sz w:val="18"/>
                <w:szCs w:val="18"/>
              </w:rPr>
            </w:pPr>
            <w:r w:rsidRPr="00FE3738">
              <w:rPr>
                <w:spacing w:val="-3"/>
                <w:sz w:val="18"/>
                <w:szCs w:val="18"/>
              </w:rPr>
              <w:t>8.328,96</w:t>
            </w:r>
          </w:p>
        </w:tc>
        <w:tc>
          <w:tcPr>
            <w:tcW w:w="1246" w:type="dxa"/>
            <w:vAlign w:val="center"/>
          </w:tcPr>
          <w:p w14:paraId="28C300DC" w14:textId="77777777" w:rsidR="0024439B" w:rsidRPr="00FE3738" w:rsidRDefault="0024439B" w:rsidP="003F6929">
            <w:pPr>
              <w:tabs>
                <w:tab w:val="left" w:pos="1418"/>
              </w:tabs>
              <w:suppressAutoHyphens/>
              <w:jc w:val="center"/>
              <w:rPr>
                <w:spacing w:val="-3"/>
                <w:sz w:val="18"/>
                <w:szCs w:val="18"/>
              </w:rPr>
            </w:pPr>
            <w:r w:rsidRPr="00FE3738">
              <w:rPr>
                <w:spacing w:val="-3"/>
                <w:sz w:val="18"/>
                <w:szCs w:val="18"/>
              </w:rPr>
              <w:t>8.033,28</w:t>
            </w:r>
          </w:p>
        </w:tc>
        <w:tc>
          <w:tcPr>
            <w:tcW w:w="1246" w:type="dxa"/>
            <w:vAlign w:val="center"/>
          </w:tcPr>
          <w:p w14:paraId="5C04B7AF" w14:textId="77777777" w:rsidR="0024439B" w:rsidRPr="00FE3738" w:rsidRDefault="0024439B" w:rsidP="003F6929">
            <w:pPr>
              <w:tabs>
                <w:tab w:val="left" w:pos="1418"/>
              </w:tabs>
              <w:suppressAutoHyphens/>
              <w:jc w:val="center"/>
              <w:rPr>
                <w:spacing w:val="-3"/>
                <w:sz w:val="18"/>
                <w:szCs w:val="18"/>
              </w:rPr>
            </w:pPr>
            <w:r w:rsidRPr="00FE3738">
              <w:rPr>
                <w:spacing w:val="-3"/>
                <w:sz w:val="18"/>
                <w:szCs w:val="18"/>
              </w:rPr>
              <w:t>7.737,60</w:t>
            </w:r>
          </w:p>
        </w:tc>
        <w:tc>
          <w:tcPr>
            <w:tcW w:w="1246" w:type="dxa"/>
            <w:vAlign w:val="center"/>
          </w:tcPr>
          <w:p w14:paraId="3C07A485" w14:textId="77777777" w:rsidR="0024439B" w:rsidRPr="00FE3738" w:rsidRDefault="0024439B" w:rsidP="003F6929">
            <w:pPr>
              <w:tabs>
                <w:tab w:val="left" w:pos="1418"/>
              </w:tabs>
              <w:suppressAutoHyphens/>
              <w:jc w:val="center"/>
              <w:rPr>
                <w:spacing w:val="-3"/>
                <w:sz w:val="18"/>
                <w:szCs w:val="18"/>
              </w:rPr>
            </w:pPr>
            <w:r w:rsidRPr="00FE3738">
              <w:rPr>
                <w:spacing w:val="-3"/>
                <w:sz w:val="18"/>
                <w:szCs w:val="18"/>
              </w:rPr>
              <w:t>7.441,93</w:t>
            </w:r>
          </w:p>
        </w:tc>
        <w:tc>
          <w:tcPr>
            <w:tcW w:w="947" w:type="dxa"/>
            <w:vAlign w:val="center"/>
          </w:tcPr>
          <w:p w14:paraId="0C3F4408" w14:textId="241BA348" w:rsidR="0024439B" w:rsidRPr="00FE3738" w:rsidRDefault="0024439B" w:rsidP="003F6929">
            <w:pPr>
              <w:tabs>
                <w:tab w:val="left" w:pos="1418"/>
              </w:tabs>
              <w:suppressAutoHyphens/>
              <w:jc w:val="center"/>
              <w:rPr>
                <w:spacing w:val="-3"/>
                <w:sz w:val="18"/>
                <w:szCs w:val="18"/>
              </w:rPr>
            </w:pPr>
            <w:r w:rsidRPr="00FE3738">
              <w:rPr>
                <w:spacing w:val="-3"/>
                <w:sz w:val="18"/>
                <w:szCs w:val="18"/>
              </w:rPr>
              <w:t>8.575, 5</w:t>
            </w:r>
          </w:p>
        </w:tc>
      </w:tr>
    </w:tbl>
    <w:bookmarkEnd w:id="2"/>
    <w:p w14:paraId="67160C9C" w14:textId="4DA076A3" w:rsidR="00FE3738" w:rsidRPr="00FE3738" w:rsidRDefault="00FE3738" w:rsidP="003F6929">
      <w:pPr>
        <w:pStyle w:val="Artculo"/>
        <w:numPr>
          <w:ilvl w:val="0"/>
          <w:numId w:val="0"/>
        </w:numPr>
        <w:spacing w:before="240" w:after="240"/>
        <w:ind w:left="426"/>
        <w:rPr>
          <w:b w:val="0"/>
          <w:i/>
          <w:iCs/>
        </w:rPr>
      </w:pPr>
      <w:r w:rsidRPr="00FE3738">
        <w:rPr>
          <w:bCs/>
          <w:i/>
          <w:iCs/>
        </w:rPr>
        <w:t>Parágrafo</w:t>
      </w:r>
      <w:r w:rsidRPr="00FE3738">
        <w:rPr>
          <w:b w:val="0"/>
          <w:i/>
          <w:iCs/>
        </w:rPr>
        <w:t>. Los cargos aplicables según lo dispuesto en esta resolución estarán vigentes por 5 años</w:t>
      </w:r>
      <w:r w:rsidR="003F6929">
        <w:rPr>
          <w:b w:val="0"/>
          <w:i/>
          <w:iCs/>
        </w:rPr>
        <w:t>,</w:t>
      </w:r>
      <w:r w:rsidRPr="00FE3738">
        <w:rPr>
          <w:b w:val="0"/>
          <w:i/>
          <w:iCs/>
        </w:rPr>
        <w:t xml:space="preserve"> o hasta que se expida una nueva metodología de comercialización, lo que primero ocurra. En todo caso, los cargos calculados con base en la presente actualización continuarán rigiendo hasta que se aprueben los nuevos cargos</w:t>
      </w:r>
      <w:r w:rsidR="003F6929">
        <w:rPr>
          <w:b w:val="0"/>
          <w:i/>
          <w:iCs/>
        </w:rPr>
        <w:t>,</w:t>
      </w:r>
      <w:r w:rsidRPr="00FE3738">
        <w:rPr>
          <w:b w:val="0"/>
          <w:i/>
          <w:iCs/>
        </w:rPr>
        <w:t xml:space="preserve"> de acuerdo con la metodología de remuneración de la actividad de comercialización vigente en ese momento.</w:t>
      </w:r>
    </w:p>
    <w:p w14:paraId="695E44AA" w14:textId="49AA03D9" w:rsidR="00970FB1" w:rsidRPr="00F91043" w:rsidRDefault="00B51302" w:rsidP="00970FB1">
      <w:pPr>
        <w:pStyle w:val="Artculo"/>
        <w:spacing w:before="240" w:after="240"/>
        <w:ind w:left="0"/>
        <w:rPr>
          <w:b w:val="0"/>
        </w:rPr>
      </w:pPr>
      <w:r>
        <w:rPr>
          <w:b w:val="0"/>
        </w:rPr>
        <w:t>L</w:t>
      </w:r>
      <w:r w:rsidR="00970FB1" w:rsidRPr="00F91043">
        <w:rPr>
          <w:b w:val="0"/>
        </w:rPr>
        <w:t xml:space="preserve">a presente </w:t>
      </w:r>
      <w:r w:rsidR="00D62170" w:rsidRPr="00F91043">
        <w:rPr>
          <w:b w:val="0"/>
        </w:rPr>
        <w:t xml:space="preserve">resolución </w:t>
      </w:r>
      <w:r w:rsidR="00970FB1" w:rsidRPr="00F91043">
        <w:rPr>
          <w:b w:val="0"/>
        </w:rPr>
        <w:t xml:space="preserve">deberá notificarse a </w:t>
      </w:r>
      <w:r w:rsidR="00970FB1">
        <w:rPr>
          <w:b w:val="0"/>
        </w:rPr>
        <w:t>la Electrificadora del Caribe S.A. E.S.P.</w:t>
      </w:r>
      <w:r w:rsidR="00D62170">
        <w:rPr>
          <w:b w:val="0"/>
        </w:rPr>
        <w:t xml:space="preserve">, </w:t>
      </w:r>
      <w:r w:rsidR="00D62170" w:rsidRPr="00D62170">
        <w:rPr>
          <w:b w:val="0"/>
        </w:rPr>
        <w:t>CaribeMar de la Costa S.A.S. E.S.P.</w:t>
      </w:r>
      <w:r w:rsidR="00D62170">
        <w:rPr>
          <w:b w:val="0"/>
        </w:rPr>
        <w:t xml:space="preserve"> y </w:t>
      </w:r>
      <w:r w:rsidR="00D62170" w:rsidRPr="00D62170">
        <w:rPr>
          <w:b w:val="0"/>
        </w:rPr>
        <w:t>CaribeSol de la Costa S.A.S. E.S.P.</w:t>
      </w:r>
      <w:r w:rsidR="00970FB1" w:rsidRPr="00F91043">
        <w:rPr>
          <w:b w:val="0"/>
        </w:rPr>
        <w:t xml:space="preserve"> Contra lo dispuesto en este acto procede el recurso de reposición, el cual se podrá interponer ante la Dirección Ejecutiva de la CREG dentro de los cinco (5) días hábiles siguientes a la fecha de su notificación.  </w:t>
      </w:r>
    </w:p>
    <w:p w14:paraId="607D14A2" w14:textId="77777777" w:rsidR="00970FB1" w:rsidRPr="00BF69C9" w:rsidRDefault="00970FB1" w:rsidP="00970FB1">
      <w:pPr>
        <w:spacing w:before="0" w:after="0"/>
        <w:jc w:val="center"/>
        <w:rPr>
          <w:b/>
        </w:rPr>
      </w:pPr>
    </w:p>
    <w:p w14:paraId="398D73C0" w14:textId="14C22C05" w:rsidR="00970FB1" w:rsidRDefault="00970FB1" w:rsidP="00970FB1">
      <w:pPr>
        <w:spacing w:before="0" w:after="0"/>
        <w:jc w:val="center"/>
        <w:rPr>
          <w:b/>
        </w:rPr>
      </w:pPr>
      <w:r>
        <w:rPr>
          <w:b/>
        </w:rPr>
        <w:t>NOTIFÍQUESE</w:t>
      </w:r>
      <w:r w:rsidRPr="00BF69C9">
        <w:rPr>
          <w:b/>
        </w:rPr>
        <w:t xml:space="preserve"> Y CÚMPLASE</w:t>
      </w:r>
    </w:p>
    <w:p w14:paraId="43C95C30" w14:textId="50BF492E" w:rsidR="00A4753C" w:rsidRDefault="00A4753C" w:rsidP="00A4753C">
      <w:pPr>
        <w:spacing w:before="360" w:after="360"/>
        <w:rPr>
          <w:rFonts w:cs="Arial"/>
          <w:b/>
          <w:bCs/>
        </w:rPr>
      </w:pPr>
      <w:r w:rsidRPr="007717FE">
        <w:rPr>
          <w:rFonts w:cs="Arial"/>
        </w:rPr>
        <w:t>Dado en Bogotá D.C</w:t>
      </w:r>
      <w:r>
        <w:rPr>
          <w:rFonts w:cs="Arial"/>
        </w:rPr>
        <w:t>.</w:t>
      </w:r>
      <w:r w:rsidRPr="007717FE">
        <w:rPr>
          <w:rFonts w:cs="Arial"/>
        </w:rPr>
        <w:t xml:space="preserve">, a </w:t>
      </w:r>
      <w:r w:rsidR="00B51302">
        <w:rPr>
          <w:rFonts w:cs="Arial"/>
          <w:b/>
          <w:bCs/>
        </w:rPr>
        <w:t>1</w:t>
      </w:r>
      <w:r w:rsidRPr="00104BB6">
        <w:rPr>
          <w:rFonts w:cs="Arial"/>
          <w:b/>
          <w:bCs/>
        </w:rPr>
        <w:t xml:space="preserve"> </w:t>
      </w:r>
      <w:r w:rsidR="00B51302">
        <w:rPr>
          <w:rFonts w:cs="Arial"/>
          <w:b/>
          <w:bCs/>
        </w:rPr>
        <w:t>OCT</w:t>
      </w:r>
      <w:r w:rsidRPr="00104BB6">
        <w:rPr>
          <w:rFonts w:cs="Arial"/>
          <w:b/>
          <w:bCs/>
        </w:rPr>
        <w:t>. 2020</w:t>
      </w:r>
    </w:p>
    <w:p w14:paraId="150C7BCF" w14:textId="1AF67278" w:rsidR="00D62170" w:rsidRDefault="00D62170" w:rsidP="00A4753C">
      <w:pPr>
        <w:rPr>
          <w:rFonts w:cs="Arial"/>
          <w:b/>
          <w:bCs/>
        </w:rPr>
      </w:pPr>
    </w:p>
    <w:p w14:paraId="7B9216E5" w14:textId="1FF41C5D" w:rsidR="00D62170" w:rsidRDefault="00D62170" w:rsidP="00A4753C">
      <w:pPr>
        <w:rPr>
          <w:rFonts w:cs="Arial"/>
          <w:b/>
          <w:bCs/>
        </w:rPr>
      </w:pPr>
    </w:p>
    <w:p w14:paraId="72F0EAC2" w14:textId="77777777" w:rsidR="003F6929" w:rsidRDefault="003F6929" w:rsidP="00A4753C">
      <w:pPr>
        <w:rPr>
          <w:rFonts w:cs="Arial"/>
          <w:b/>
          <w:bCs/>
        </w:rPr>
      </w:pPr>
    </w:p>
    <w:tbl>
      <w:tblPr>
        <w:tblW w:w="9497" w:type="dxa"/>
        <w:tblCellSpacing w:w="0" w:type="dxa"/>
        <w:tblCellMar>
          <w:left w:w="0" w:type="dxa"/>
          <w:right w:w="0" w:type="dxa"/>
        </w:tblCellMar>
        <w:tblLook w:val="04A0" w:firstRow="1" w:lastRow="0" w:firstColumn="1" w:lastColumn="0" w:noHBand="0" w:noVBand="1"/>
      </w:tblPr>
      <w:tblGrid>
        <w:gridCol w:w="4678"/>
        <w:gridCol w:w="4819"/>
      </w:tblGrid>
      <w:tr w:rsidR="00A4753C" w:rsidRPr="00AD369B" w14:paraId="58AA5A14" w14:textId="77777777" w:rsidTr="00940A18">
        <w:trPr>
          <w:tblCellSpacing w:w="0" w:type="dxa"/>
        </w:trPr>
        <w:tc>
          <w:tcPr>
            <w:tcW w:w="4678" w:type="dxa"/>
          </w:tcPr>
          <w:p w14:paraId="18643969" w14:textId="77777777" w:rsidR="00A4753C" w:rsidRPr="00AD369B" w:rsidRDefault="00A4753C" w:rsidP="00940A18">
            <w:pPr>
              <w:ind w:left="66"/>
              <w:contextualSpacing/>
              <w:jc w:val="center"/>
              <w:rPr>
                <w:rFonts w:cs="Arial"/>
                <w:b/>
                <w:spacing w:val="-3"/>
              </w:rPr>
            </w:pPr>
            <w:r w:rsidRPr="00AD369B">
              <w:rPr>
                <w:rFonts w:cs="Arial"/>
                <w:b/>
              </w:rPr>
              <w:t>DIEGO MESA PUYO</w:t>
            </w:r>
          </w:p>
        </w:tc>
        <w:tc>
          <w:tcPr>
            <w:tcW w:w="4819" w:type="dxa"/>
          </w:tcPr>
          <w:p w14:paraId="57FB243F" w14:textId="77777777" w:rsidR="00A4753C" w:rsidRPr="00AD369B" w:rsidRDefault="00A4753C" w:rsidP="00940A18">
            <w:pPr>
              <w:ind w:left="89"/>
              <w:contextualSpacing/>
              <w:jc w:val="center"/>
              <w:rPr>
                <w:rFonts w:cs="Arial"/>
                <w:b/>
                <w:spacing w:val="-3"/>
              </w:rPr>
            </w:pPr>
            <w:r w:rsidRPr="00AD369B">
              <w:rPr>
                <w:rFonts w:cs="Arial"/>
                <w:b/>
                <w:spacing w:val="-3"/>
              </w:rPr>
              <w:t>JORGE ALBERTO VALENCIA MARÍN</w:t>
            </w:r>
          </w:p>
        </w:tc>
      </w:tr>
      <w:tr w:rsidR="00A4753C" w:rsidRPr="00AD369B" w14:paraId="18D451AD" w14:textId="77777777" w:rsidTr="00940A18">
        <w:trPr>
          <w:trHeight w:val="699"/>
          <w:tblCellSpacing w:w="0" w:type="dxa"/>
        </w:trPr>
        <w:tc>
          <w:tcPr>
            <w:tcW w:w="4678" w:type="dxa"/>
            <w:hideMark/>
          </w:tcPr>
          <w:p w14:paraId="1A4E9F43" w14:textId="77777777" w:rsidR="00A4753C" w:rsidRDefault="00A4753C" w:rsidP="00940A18">
            <w:pPr>
              <w:ind w:left="66"/>
              <w:contextualSpacing/>
              <w:jc w:val="center"/>
              <w:rPr>
                <w:rFonts w:cs="Arial"/>
                <w:spacing w:val="-3"/>
              </w:rPr>
            </w:pPr>
            <w:r>
              <w:rPr>
                <w:rFonts w:cs="Arial"/>
                <w:spacing w:val="-3"/>
              </w:rPr>
              <w:t xml:space="preserve">Ministro </w:t>
            </w:r>
            <w:r w:rsidRPr="00AD369B">
              <w:rPr>
                <w:rFonts w:cs="Arial"/>
                <w:spacing w:val="-3"/>
              </w:rPr>
              <w:t xml:space="preserve">de </w:t>
            </w:r>
            <w:r>
              <w:rPr>
                <w:rFonts w:cs="Arial"/>
                <w:spacing w:val="-3"/>
              </w:rPr>
              <w:t xml:space="preserve">Minas y </w:t>
            </w:r>
            <w:r w:rsidRPr="00AD369B">
              <w:rPr>
                <w:rFonts w:cs="Arial"/>
                <w:spacing w:val="-3"/>
              </w:rPr>
              <w:t>Energía</w:t>
            </w:r>
          </w:p>
          <w:p w14:paraId="554099B1" w14:textId="77777777" w:rsidR="00A4753C" w:rsidRPr="00AD369B" w:rsidRDefault="00A4753C" w:rsidP="00940A18">
            <w:pPr>
              <w:ind w:left="66"/>
              <w:contextualSpacing/>
              <w:jc w:val="center"/>
              <w:rPr>
                <w:rFonts w:eastAsia="Arial Unicode MS" w:cs="Arial"/>
                <w:color w:val="000000"/>
              </w:rPr>
            </w:pPr>
            <w:r>
              <w:rPr>
                <w:rFonts w:eastAsia="Arial Unicode MS" w:cs="Arial"/>
                <w:color w:val="000000"/>
                <w:spacing w:val="-3"/>
              </w:rPr>
              <w:t>Presidente</w:t>
            </w:r>
          </w:p>
        </w:tc>
        <w:tc>
          <w:tcPr>
            <w:tcW w:w="4819" w:type="dxa"/>
            <w:hideMark/>
          </w:tcPr>
          <w:p w14:paraId="2A54F8AA" w14:textId="77777777" w:rsidR="00A4753C" w:rsidRPr="00AD369B" w:rsidRDefault="00A4753C" w:rsidP="00940A18">
            <w:pPr>
              <w:contextualSpacing/>
              <w:jc w:val="center"/>
              <w:rPr>
                <w:rFonts w:eastAsia="Arial Unicode MS" w:cs="Arial"/>
                <w:color w:val="000000"/>
              </w:rPr>
            </w:pPr>
            <w:r w:rsidRPr="00AD369B">
              <w:rPr>
                <w:rFonts w:cs="Arial"/>
                <w:spacing w:val="-3"/>
              </w:rPr>
              <w:t>Director Ejecutivo</w:t>
            </w:r>
          </w:p>
        </w:tc>
      </w:tr>
    </w:tbl>
    <w:p w14:paraId="54F341A2" w14:textId="3A545D89" w:rsidR="00A4753C" w:rsidRDefault="00A4753C" w:rsidP="00C640A6">
      <w:pPr>
        <w:rPr>
          <w:lang w:val="es-CO"/>
        </w:rPr>
      </w:pPr>
    </w:p>
    <w:sectPr w:rsidR="00A4753C" w:rsidSect="006A5E1C">
      <w:headerReference w:type="default" r:id="rId10"/>
      <w:headerReference w:type="first" r:id="rId11"/>
      <w:type w:val="continuous"/>
      <w:pgSz w:w="12242" w:h="18722" w:code="123"/>
      <w:pgMar w:top="2694"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F7329" w14:textId="77777777" w:rsidR="00510CFD" w:rsidRDefault="00510CFD">
      <w:r>
        <w:separator/>
      </w:r>
    </w:p>
    <w:p w14:paraId="5E51EC05" w14:textId="77777777" w:rsidR="00510CFD" w:rsidRDefault="00510CFD"/>
    <w:p w14:paraId="07D86D09" w14:textId="77777777" w:rsidR="00510CFD" w:rsidRDefault="00510CFD" w:rsidP="00C851C0"/>
  </w:endnote>
  <w:endnote w:type="continuationSeparator" w:id="0">
    <w:p w14:paraId="4C15E3AB" w14:textId="77777777" w:rsidR="00510CFD" w:rsidRDefault="00510CFD">
      <w:r>
        <w:continuationSeparator/>
      </w:r>
    </w:p>
    <w:p w14:paraId="7ECBE724" w14:textId="77777777" w:rsidR="00510CFD" w:rsidRDefault="00510CFD"/>
    <w:p w14:paraId="6F6F4FFA" w14:textId="77777777" w:rsidR="00510CFD" w:rsidRDefault="00510CFD"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2332" w14:textId="77777777" w:rsidR="00510CFD" w:rsidRDefault="00510CFD">
      <w:r>
        <w:separator/>
      </w:r>
    </w:p>
    <w:p w14:paraId="2FE139F0" w14:textId="77777777" w:rsidR="00510CFD" w:rsidRDefault="00510CFD"/>
    <w:p w14:paraId="6E7880EE" w14:textId="77777777" w:rsidR="00510CFD" w:rsidRDefault="00510CFD" w:rsidP="00C851C0"/>
  </w:footnote>
  <w:footnote w:type="continuationSeparator" w:id="0">
    <w:p w14:paraId="64EDD2F4" w14:textId="77777777" w:rsidR="00510CFD" w:rsidRDefault="00510CFD">
      <w:r>
        <w:continuationSeparator/>
      </w:r>
    </w:p>
    <w:p w14:paraId="12C2C3B1" w14:textId="77777777" w:rsidR="00510CFD" w:rsidRDefault="00510CFD"/>
    <w:p w14:paraId="54DA2A1A" w14:textId="77777777" w:rsidR="00510CFD" w:rsidRDefault="00510CFD"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A99E" w14:textId="36A003D6" w:rsidR="004F04D7" w:rsidRPr="002560C5" w:rsidRDefault="004F04D7"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006441BB">
      <w:rPr>
        <w:rFonts w:cs="Arial"/>
        <w:b w:val="0"/>
        <w:sz w:val="22"/>
        <w:szCs w:val="22"/>
      </w:rPr>
      <w:t xml:space="preserve"> </w:t>
    </w:r>
    <w:r w:rsidR="006441BB">
      <w:rPr>
        <w:rFonts w:cs="Arial"/>
        <w:b w:val="0"/>
        <w:sz w:val="22"/>
        <w:szCs w:val="22"/>
        <w:u w:val="single"/>
      </w:rPr>
      <w:t xml:space="preserve">     </w:t>
    </w:r>
    <w:r w:rsidR="006A5E1C">
      <w:rPr>
        <w:rFonts w:cs="Arial"/>
        <w:bCs/>
        <w:szCs w:val="24"/>
        <w:u w:val="single"/>
      </w:rPr>
      <w:t>188</w:t>
    </w:r>
    <w:r w:rsidR="006441BB" w:rsidRPr="007B2327">
      <w:rPr>
        <w:rFonts w:cs="Arial"/>
        <w:bCs/>
        <w:szCs w:val="24"/>
        <w:u w:val="single"/>
      </w:rPr>
      <w:t xml:space="preserve"> </w:t>
    </w:r>
    <w:r w:rsidR="006441BB">
      <w:rPr>
        <w:rFonts w:cs="Arial"/>
        <w:b w:val="0"/>
        <w:sz w:val="22"/>
        <w:szCs w:val="22"/>
        <w:u w:val="single"/>
      </w:rPr>
      <w:t xml:space="preserve">      </w:t>
    </w:r>
    <w:r w:rsidRPr="002560C5">
      <w:rPr>
        <w:rFonts w:cs="Arial"/>
        <w:b w:val="0"/>
        <w:sz w:val="22"/>
        <w:szCs w:val="22"/>
      </w:rPr>
      <w:tab/>
    </w:r>
    <w:r w:rsidRPr="006A5E1C">
      <w:rPr>
        <w:rFonts w:cs="Arial"/>
        <w:b w:val="0"/>
        <w:sz w:val="22"/>
        <w:szCs w:val="22"/>
      </w:rPr>
      <w:t xml:space="preserve">DE </w:t>
    </w:r>
    <w:r w:rsidR="006441BB" w:rsidRPr="006A5E1C">
      <w:rPr>
        <w:rFonts w:cs="Arial"/>
        <w:b w:val="0"/>
        <w:sz w:val="22"/>
        <w:szCs w:val="22"/>
        <w:u w:val="single"/>
      </w:rPr>
      <w:t xml:space="preserve">        </w:t>
    </w:r>
    <w:r w:rsidR="006A5E1C" w:rsidRPr="006A5E1C">
      <w:rPr>
        <w:rFonts w:cs="Arial"/>
        <w:bCs/>
        <w:szCs w:val="24"/>
        <w:u w:val="single"/>
      </w:rPr>
      <w:t>1 OCT</w:t>
    </w:r>
    <w:r w:rsidR="006441BB" w:rsidRPr="006A5E1C">
      <w:rPr>
        <w:rFonts w:cs="Arial"/>
        <w:bCs/>
        <w:szCs w:val="24"/>
        <w:u w:val="single"/>
      </w:rPr>
      <w:t>.</w:t>
    </w:r>
    <w:r w:rsidR="007B2327">
      <w:rPr>
        <w:rFonts w:cs="Arial"/>
        <w:bCs/>
        <w:szCs w:val="24"/>
        <w:u w:val="single"/>
      </w:rPr>
      <w:t xml:space="preserve"> 2</w:t>
    </w:r>
    <w:r w:rsidR="006441BB" w:rsidRPr="007B2327">
      <w:rPr>
        <w:rFonts w:cs="Arial"/>
        <w:bCs/>
        <w:szCs w:val="24"/>
        <w:u w:val="single"/>
      </w:rPr>
      <w:t>020</w:t>
    </w:r>
    <w:r w:rsidR="006441BB">
      <w:rPr>
        <w:rFonts w:cs="Arial"/>
        <w:b w:val="0"/>
        <w:sz w:val="22"/>
        <w:szCs w:val="22"/>
        <w:u w:val="single"/>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 NUMPAGES  \* MERGEFORMAT ">
      <w:r w:rsidRPr="00ED350A">
        <w:rPr>
          <w:rFonts w:cs="Arial"/>
          <w:b w:val="0"/>
          <w:noProof/>
          <w:sz w:val="22"/>
          <w:szCs w:val="22"/>
        </w:rPr>
        <w:t>23</w:t>
      </w:r>
    </w:fldSimple>
  </w:p>
  <w:p w14:paraId="2240C98C" w14:textId="77777777" w:rsidR="004F04D7" w:rsidRDefault="004F04D7"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2EE21D0" wp14:editId="35026152">
              <wp:simplePos x="0" y="0"/>
              <wp:positionH relativeFrom="column">
                <wp:posOffset>-122603</wp:posOffset>
              </wp:positionH>
              <wp:positionV relativeFrom="paragraph">
                <wp:posOffset>139329</wp:posOffset>
              </wp:positionV>
              <wp:extent cx="6267450" cy="10274060"/>
              <wp:effectExtent l="0" t="0" r="19050"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740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491A18A" id="Rectangle 1" o:spid="_x0000_s1026" style="position:absolute;margin-left:-9.65pt;margin-top:10.95pt;width:493.5pt;height:8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oHAIAABYEAAAOAAAAZHJzL2Uyb0RvYy54bWysU9tu2zAMfR+wfxD0vviCNGmNOEWRrsOA&#10;bivW7QMUWbaFyaJGKXG6rx8lJ1m2vQ3zgyCa5OHhIbW6PQyG7RV6DbbmxSznTFkJjbZdzb9+eXhz&#10;zZkPwjbCgFU1f1Ge365fv1qNrlIl9GAahYxArK9GV/M+BFdlmZe9GoSfgVOWnC3gIAKZ2GUNipHQ&#10;B5OVeb7IRsDGIUjlPf29n5x8nfDbVsnwqW29CszUnLiFdGI6t/HM1itRdShcr+WRhvgHFoPQloqe&#10;oe5FEGyH+i+oQUsED22YSRgyaFstVeqBuinyP7p57oVTqRcSx7uzTP7/wcqP+ydkuql5yZkVA43o&#10;M4kmbGcUK6I8o/MVRT27J4wNevcI8ptnFjY9Rak7RBh7JRoileKz3xKi4SmVbccP0BC62AVISh1a&#10;HCIgacAOaSAv54GoQ2CSfi7KxXJ+RXOT5CvycjnPF2lmmahO+Q59eKdgYPFScyT2CV/sH30g/hR6&#10;ConlLDxoY9LYjWUjwd7kVCG1BkY30ZsM7LYbg2wv4uakL6pBaP4ybNCB9tfooebX5yBRRUHe2iaV&#10;CUKb6U7JxhLGSZRJ3C00LyQQwrSc9Jjo0gP+4Gykxay5/74TqDgz7y2JfFPM53GTkzG/WpZk4KVn&#10;e+kRVhJUzQNn03UTpu3fOdRdT5WK1LuFOxpMq5Nikd/E6kiWli+1fnwocbsv7RT16zmvfwIAAP//&#10;AwBQSwMEFAAGAAgAAAAhANRRuuDjAAAACwEAAA8AAABkcnMvZG93bnJldi54bWxMj1FLwzAUhd8F&#10;/0O4gi+ypd2kW7qmYwg+Kciqg+0tS65tsUlqk23dv/f6pI+X83HOd4v1aDt2xiG03klIpwkwdNqb&#10;1tUSPt6fJ0tgISpnVOcdSrhigHV5e1Oo3PiL2+K5ijWjEhdyJaGJsc85D7pBq8LU9+go+/SDVZHO&#10;oeZmUBcqtx2fJUnGrWodLTSqx6cG9Vd1shIeHjNrdvvv63CoXva7t6XevAYt5f3duFkBizjGPxh+&#10;9UkdSnI6+pMzgXUSJqmYEyphlgpgBIhssQB2JDKbCwG8LPj/H8ofAAAA//8DAFBLAQItABQABgAI&#10;AAAAIQC2gziS/gAAAOEBAAATAAAAAAAAAAAAAAAAAAAAAABbQ29udGVudF9UeXBlc10ueG1sUEsB&#10;Ai0AFAAGAAgAAAAhADj9If/WAAAAlAEAAAsAAAAAAAAAAAAAAAAALwEAAF9yZWxzLy5yZWxzUEsB&#10;Ai0AFAAGAAgAAAAhAL55VegcAgAAFgQAAA4AAAAAAAAAAAAAAAAALgIAAGRycy9lMm9Eb2MueG1s&#10;UEsBAi0AFAAGAAgAAAAhANRRuuDjAAAACwEAAA8AAAAAAAAAAAAAAAAAdgQAAGRycy9kb3ducmV2&#10;LnhtbFBLBQYAAAAABAAEAPMAAACGBQAAAAA=&#10;" filled="f" strokeweight="1.5pt"/>
          </w:pict>
        </mc:Fallback>
      </mc:AlternateContent>
    </w:r>
  </w:p>
  <w:p w14:paraId="74F15704" w14:textId="527A68CD" w:rsidR="004F04D7" w:rsidRPr="007B2327" w:rsidRDefault="003B71E5" w:rsidP="003B71E5">
    <w:pPr>
      <w:pBdr>
        <w:bottom w:val="single" w:sz="4" w:space="1" w:color="auto"/>
      </w:pBdr>
    </w:pPr>
    <w:r w:rsidRPr="003B71E5">
      <w:t>Por la cual se modifica el costo base de comercialización del mercado de comercialización atendido por la Electrificadora del Caribe S.A. E.S.P.</w:t>
    </w:r>
    <w:r w:rsidR="0024439B">
      <w:t xml:space="preserve"> </w:t>
    </w:r>
    <w:r w:rsidR="0024439B" w:rsidRPr="0024439B">
      <w:t>establecido en la Resolución CREG 036 de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33A8" w14:textId="77777777" w:rsidR="004F04D7" w:rsidRDefault="004F04D7" w:rsidP="00025383">
    <w:pPr>
      <w:pStyle w:val="Encabezado"/>
      <w:rPr>
        <w:rFonts w:ascii="Arial" w:hAnsi="Arial" w:cs="Arial"/>
        <w:spacing w:val="20"/>
        <w:sz w:val="20"/>
      </w:rPr>
    </w:pPr>
    <w:r>
      <w:rPr>
        <w:rFonts w:ascii="Arial" w:hAnsi="Arial" w:cs="Arial"/>
        <w:spacing w:val="20"/>
        <w:sz w:val="20"/>
      </w:rPr>
      <w:t xml:space="preserve">                                          República de Colombia</w:t>
    </w:r>
  </w:p>
  <w:p w14:paraId="5E7673CB" w14:textId="77777777" w:rsidR="004F04D7" w:rsidRDefault="004F04D7">
    <w:pPr>
      <w:pStyle w:val="Encabezado"/>
      <w:jc w:val="center"/>
      <w:rPr>
        <w:rFonts w:ascii="Arial" w:hAnsi="Arial" w:cs="Arial"/>
        <w:spacing w:val="20"/>
        <w:sz w:val="20"/>
      </w:rPr>
    </w:pPr>
  </w:p>
  <w:p w14:paraId="014522B1" w14:textId="77777777" w:rsidR="004F04D7" w:rsidRDefault="004F04D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967268C" wp14:editId="6EA4D36E">
              <wp:simplePos x="0" y="0"/>
              <wp:positionH relativeFrom="column">
                <wp:posOffset>-216595</wp:posOffset>
              </wp:positionH>
              <wp:positionV relativeFrom="paragraph">
                <wp:posOffset>378245</wp:posOffset>
              </wp:positionV>
              <wp:extent cx="6343650" cy="9735784"/>
              <wp:effectExtent l="0" t="0" r="19050"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7357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CFB4BC2" id="Rectangle 2" o:spid="_x0000_s1026" style="position:absolute;margin-left:-17.05pt;margin-top:29.8pt;width:499.5pt;height:7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2LcGwIAABUEAAAOAAAAZHJzL2Uyb0RvYy54bWysU9uOEzEMfUfiH6K80+l921Gnq1WXRUgL&#10;rFj4gDST6UQkcXDSTsvX42S6pcAbYh4ie+wcHx87q9ujNeygMGhwFR8NhpwpJ6HWblfxr18e3iw4&#10;C1G4WhhwquInFfjt+vWrVedLNYYWTK2QEYgLZecr3sboy6IIslVWhAF45SjYAFoRycVdUaPoCN2a&#10;YjwczosOsPYIUoVAf+/7IF9n/KZRMn5qmqAiMxUnbjGfmM9tOov1SpQ7FL7V8kxD/AMLK7Sjoheo&#10;exEF26P+C8pqiRCgiQMJtoCm0VLlHqib0fCPbp5b4VXuhcQJ/iJT+H+w8uPhCZmuaXacOWFpRJ9J&#10;NOF2RrFxkqfzoaSsZ/+EqcHgH0F+C8zBpqUsdYcIXatETaRGKb/47UJyAl1l2+4D1IQu9hGyUscG&#10;bQIkDdgxD+R0GYg6Ribp53wyncxnNDdJseXNZHazmOYaony57jHEdwosS0bFkchneHF4DDHREeVL&#10;Sqrm4EEbk6duHOuI83JIBXJnYHSdotnB3XZjkB1EWpz8nQuH6zSrI62v0bbii0uSKJMeb12dy0Sh&#10;TW8TFePOAiVNem23UJ9IH4R+N+ktkdEC/uCso72sePi+F6g4M+8dabwcTadpkbMznd2MycHryPY6&#10;IpwkqIpHznpzE/vl33vUu5YqjXLvDu5oLo3OiqWZ9azOZGn3spDnd5KW+9rPWb9e8/onAAAA//8D&#10;AFBLAwQUAAYACAAAACEAfuWRquIAAAALAQAADwAAAGRycy9kb3ducmV2LnhtbEyPUUvDMBSF3wX/&#10;Q7iCL7Klm11pa9MxBJ8UZNXBfMuSa1tsbmqSbd2/Nz7p4+V8nPPdaj2ZgZ3Q+d6SgMU8AYakrO6p&#10;FfD+9jTLgfkgScvBEgq4oId1fX1VyVLbM23x1ISWxRLypRTQhTCWnHvVoZF+bkekmH1aZ2SIp2u5&#10;dvIcy83Al0mScSN7igudHPGxQ/XVHI2AuzQzerf/vriP5nm/e83V5sUrIW5vps0DsIBT+IPhVz+q&#10;Qx2dDvZI2rNBwOw+XURUwKrIgEWgyNIC2CGSq2KZA68r/v+H+gcAAP//AwBQSwECLQAUAAYACAAA&#10;ACEAtoM4kv4AAADhAQAAEwAAAAAAAAAAAAAAAAAAAAAAW0NvbnRlbnRfVHlwZXNdLnhtbFBLAQIt&#10;ABQABgAIAAAAIQA4/SH/1gAAAJQBAAALAAAAAAAAAAAAAAAAAC8BAABfcmVscy8ucmVsc1BLAQIt&#10;ABQABgAIAAAAIQCb82LcGwIAABUEAAAOAAAAAAAAAAAAAAAAAC4CAABkcnMvZTJvRG9jLnhtbFBL&#10;AQItABQABgAIAAAAIQB+5ZGq4gAAAAsBAAAPAAAAAAAAAAAAAAAAAHUEAABkcnMvZG93bnJldi54&#10;bWxQSwUGAAAAAAQABADzAAAAhA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E7E66"/>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5B3B0F"/>
    <w:multiLevelType w:val="hybridMultilevel"/>
    <w:tmpl w:val="F620DE2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38909FE"/>
    <w:multiLevelType w:val="hybridMultilevel"/>
    <w:tmpl w:val="2FA42880"/>
    <w:lvl w:ilvl="0" w:tplc="454E4A82">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3E4176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9626110"/>
    <w:multiLevelType w:val="hybridMultilevel"/>
    <w:tmpl w:val="B83C7D3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A0298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A6107AE"/>
    <w:multiLevelType w:val="hybridMultilevel"/>
    <w:tmpl w:val="496078FA"/>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363540F7"/>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4"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1032373"/>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7C2931"/>
    <w:multiLevelType w:val="hybridMultilevel"/>
    <w:tmpl w:val="FF00539A"/>
    <w:lvl w:ilvl="0" w:tplc="240A0017">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5C1441A4"/>
    <w:multiLevelType w:val="hybridMultilevel"/>
    <w:tmpl w:val="6868BDB4"/>
    <w:lvl w:ilvl="0" w:tplc="0B10D5CA">
      <w:start w:val="1"/>
      <w:numFmt w:val="lowerLetter"/>
      <w:lvlText w:val="%1)"/>
      <w:lvlJc w:val="left"/>
      <w:pPr>
        <w:ind w:left="106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2ED5C1D"/>
    <w:multiLevelType w:val="hybridMultilevel"/>
    <w:tmpl w:val="2860631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34188F"/>
    <w:multiLevelType w:val="hybridMultilevel"/>
    <w:tmpl w:val="A288B12C"/>
    <w:lvl w:ilvl="0" w:tplc="CF0483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0118BB"/>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0BB18EC"/>
    <w:multiLevelType w:val="hybridMultilevel"/>
    <w:tmpl w:val="6868BDB4"/>
    <w:lvl w:ilvl="0" w:tplc="0B10D5CA">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373481B"/>
    <w:multiLevelType w:val="hybridMultilevel"/>
    <w:tmpl w:val="7F7C3B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4"/>
  </w:num>
  <w:num w:numId="6">
    <w:abstractNumId w:val="10"/>
  </w:num>
  <w:num w:numId="7">
    <w:abstractNumId w:val="25"/>
  </w:num>
  <w:num w:numId="8">
    <w:abstractNumId w:val="17"/>
  </w:num>
  <w:num w:numId="9">
    <w:abstractNumId w:val="18"/>
  </w:num>
  <w:num w:numId="10">
    <w:abstractNumId w:val="24"/>
  </w:num>
  <w:num w:numId="11">
    <w:abstractNumId w:val="9"/>
  </w:num>
  <w:num w:numId="12">
    <w:abstractNumId w:val="15"/>
  </w:num>
  <w:num w:numId="13">
    <w:abstractNumId w:val="3"/>
  </w:num>
  <w:num w:numId="14">
    <w:abstractNumId w:val="12"/>
  </w:num>
  <w:num w:numId="15">
    <w:abstractNumId w:val="7"/>
  </w:num>
  <w:num w:numId="16">
    <w:abstractNumId w:val="23"/>
  </w:num>
  <w:num w:numId="17">
    <w:abstractNumId w:val="4"/>
  </w:num>
  <w:num w:numId="18">
    <w:abstractNumId w:val="2"/>
  </w:num>
  <w:num w:numId="19">
    <w:abstractNumId w:val="8"/>
  </w:num>
  <w:num w:numId="20">
    <w:abstractNumId w:val="14"/>
  </w:num>
  <w:num w:numId="21">
    <w:abstractNumId w:val="27"/>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28"/>
  </w:num>
  <w:num w:numId="36">
    <w:abstractNumId w:val="6"/>
  </w:num>
  <w:num w:numId="37">
    <w:abstractNumId w:val="16"/>
  </w:num>
  <w:num w:numId="38">
    <w:abstractNumId w:val="26"/>
  </w:num>
  <w:num w:numId="3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4A8"/>
    <w:rsid w:val="0000215F"/>
    <w:rsid w:val="00005326"/>
    <w:rsid w:val="00006585"/>
    <w:rsid w:val="00006AE2"/>
    <w:rsid w:val="000076A1"/>
    <w:rsid w:val="00012259"/>
    <w:rsid w:val="00013C7C"/>
    <w:rsid w:val="00015F4C"/>
    <w:rsid w:val="00017396"/>
    <w:rsid w:val="00022832"/>
    <w:rsid w:val="0002406D"/>
    <w:rsid w:val="00025383"/>
    <w:rsid w:val="00034669"/>
    <w:rsid w:val="00034F65"/>
    <w:rsid w:val="0004295B"/>
    <w:rsid w:val="000446EC"/>
    <w:rsid w:val="00045094"/>
    <w:rsid w:val="00045D3D"/>
    <w:rsid w:val="000529CD"/>
    <w:rsid w:val="00053BE6"/>
    <w:rsid w:val="00056050"/>
    <w:rsid w:val="00063454"/>
    <w:rsid w:val="00063657"/>
    <w:rsid w:val="00064BDB"/>
    <w:rsid w:val="00072E81"/>
    <w:rsid w:val="00076680"/>
    <w:rsid w:val="00076A1D"/>
    <w:rsid w:val="0008073E"/>
    <w:rsid w:val="000837A5"/>
    <w:rsid w:val="00083AA8"/>
    <w:rsid w:val="0008776A"/>
    <w:rsid w:val="0009104E"/>
    <w:rsid w:val="0009196C"/>
    <w:rsid w:val="00091CDB"/>
    <w:rsid w:val="000A19AC"/>
    <w:rsid w:val="000A26AE"/>
    <w:rsid w:val="000A38CC"/>
    <w:rsid w:val="000B2EC9"/>
    <w:rsid w:val="000B3688"/>
    <w:rsid w:val="000C06AF"/>
    <w:rsid w:val="000C1DE0"/>
    <w:rsid w:val="000C266A"/>
    <w:rsid w:val="000C5DF4"/>
    <w:rsid w:val="000C64D6"/>
    <w:rsid w:val="000C784A"/>
    <w:rsid w:val="000D1E36"/>
    <w:rsid w:val="000D26F8"/>
    <w:rsid w:val="000D2E4F"/>
    <w:rsid w:val="000D36AF"/>
    <w:rsid w:val="000D6399"/>
    <w:rsid w:val="000E2A42"/>
    <w:rsid w:val="000E58C0"/>
    <w:rsid w:val="000F563E"/>
    <w:rsid w:val="0010101F"/>
    <w:rsid w:val="00105E02"/>
    <w:rsid w:val="0010658E"/>
    <w:rsid w:val="00106654"/>
    <w:rsid w:val="00112F16"/>
    <w:rsid w:val="001147FF"/>
    <w:rsid w:val="001177E6"/>
    <w:rsid w:val="00132FE3"/>
    <w:rsid w:val="001333FC"/>
    <w:rsid w:val="0013526C"/>
    <w:rsid w:val="001405C6"/>
    <w:rsid w:val="00140AD2"/>
    <w:rsid w:val="00141013"/>
    <w:rsid w:val="00142021"/>
    <w:rsid w:val="0014208F"/>
    <w:rsid w:val="0014363D"/>
    <w:rsid w:val="00145736"/>
    <w:rsid w:val="00152E0C"/>
    <w:rsid w:val="00154D0C"/>
    <w:rsid w:val="00166AA9"/>
    <w:rsid w:val="00177652"/>
    <w:rsid w:val="001827DF"/>
    <w:rsid w:val="00184170"/>
    <w:rsid w:val="001876F9"/>
    <w:rsid w:val="00190D1F"/>
    <w:rsid w:val="00192CBF"/>
    <w:rsid w:val="00192FF1"/>
    <w:rsid w:val="00197F32"/>
    <w:rsid w:val="001A39D5"/>
    <w:rsid w:val="001A5F1B"/>
    <w:rsid w:val="001A7613"/>
    <w:rsid w:val="001B1C22"/>
    <w:rsid w:val="001B34C6"/>
    <w:rsid w:val="001B6C64"/>
    <w:rsid w:val="001C0C42"/>
    <w:rsid w:val="001C32FD"/>
    <w:rsid w:val="001D7832"/>
    <w:rsid w:val="002038CE"/>
    <w:rsid w:val="0020533E"/>
    <w:rsid w:val="00210731"/>
    <w:rsid w:val="00210DC1"/>
    <w:rsid w:val="00211D34"/>
    <w:rsid w:val="002133FA"/>
    <w:rsid w:val="00214F04"/>
    <w:rsid w:val="00223E50"/>
    <w:rsid w:val="00224FC9"/>
    <w:rsid w:val="00233B65"/>
    <w:rsid w:val="002352B9"/>
    <w:rsid w:val="00237EDC"/>
    <w:rsid w:val="00240640"/>
    <w:rsid w:val="00242F2B"/>
    <w:rsid w:val="00243A0A"/>
    <w:rsid w:val="0024439B"/>
    <w:rsid w:val="00255960"/>
    <w:rsid w:val="002560C5"/>
    <w:rsid w:val="002579DC"/>
    <w:rsid w:val="00257A41"/>
    <w:rsid w:val="00262248"/>
    <w:rsid w:val="002631B1"/>
    <w:rsid w:val="002654BA"/>
    <w:rsid w:val="00266CD6"/>
    <w:rsid w:val="002673AC"/>
    <w:rsid w:val="00273484"/>
    <w:rsid w:val="00275DAB"/>
    <w:rsid w:val="002821BE"/>
    <w:rsid w:val="002903C0"/>
    <w:rsid w:val="002922A7"/>
    <w:rsid w:val="00295857"/>
    <w:rsid w:val="002A1E0D"/>
    <w:rsid w:val="002A3501"/>
    <w:rsid w:val="002A782A"/>
    <w:rsid w:val="002B11E2"/>
    <w:rsid w:val="002B24B8"/>
    <w:rsid w:val="002B5E3C"/>
    <w:rsid w:val="002B71B1"/>
    <w:rsid w:val="002C2313"/>
    <w:rsid w:val="002C5612"/>
    <w:rsid w:val="002C7252"/>
    <w:rsid w:val="002D17EE"/>
    <w:rsid w:val="002D3AE9"/>
    <w:rsid w:val="002D4510"/>
    <w:rsid w:val="002E09F5"/>
    <w:rsid w:val="002E1770"/>
    <w:rsid w:val="002E7997"/>
    <w:rsid w:val="002F026E"/>
    <w:rsid w:val="002F0734"/>
    <w:rsid w:val="002F3712"/>
    <w:rsid w:val="002F46E7"/>
    <w:rsid w:val="002F591B"/>
    <w:rsid w:val="002F75C0"/>
    <w:rsid w:val="003008A1"/>
    <w:rsid w:val="00307F8B"/>
    <w:rsid w:val="003101DA"/>
    <w:rsid w:val="003111C3"/>
    <w:rsid w:val="00312DDD"/>
    <w:rsid w:val="00314757"/>
    <w:rsid w:val="00315CD0"/>
    <w:rsid w:val="003163BC"/>
    <w:rsid w:val="003211CE"/>
    <w:rsid w:val="00321B6E"/>
    <w:rsid w:val="00321FBE"/>
    <w:rsid w:val="003243F4"/>
    <w:rsid w:val="0032714E"/>
    <w:rsid w:val="00327412"/>
    <w:rsid w:val="00327443"/>
    <w:rsid w:val="003473A2"/>
    <w:rsid w:val="00350DE4"/>
    <w:rsid w:val="00351737"/>
    <w:rsid w:val="0035403A"/>
    <w:rsid w:val="0036394B"/>
    <w:rsid w:val="00366DB6"/>
    <w:rsid w:val="003706AD"/>
    <w:rsid w:val="003709B5"/>
    <w:rsid w:val="003735E3"/>
    <w:rsid w:val="00374855"/>
    <w:rsid w:val="003759C2"/>
    <w:rsid w:val="00377FCD"/>
    <w:rsid w:val="00380F32"/>
    <w:rsid w:val="00381016"/>
    <w:rsid w:val="00381AAD"/>
    <w:rsid w:val="00385A73"/>
    <w:rsid w:val="00386AEA"/>
    <w:rsid w:val="0039240B"/>
    <w:rsid w:val="00393F9F"/>
    <w:rsid w:val="00396389"/>
    <w:rsid w:val="00397365"/>
    <w:rsid w:val="003A09A2"/>
    <w:rsid w:val="003A1A65"/>
    <w:rsid w:val="003A31F6"/>
    <w:rsid w:val="003A3A6C"/>
    <w:rsid w:val="003B1627"/>
    <w:rsid w:val="003B207E"/>
    <w:rsid w:val="003B2C98"/>
    <w:rsid w:val="003B4A1D"/>
    <w:rsid w:val="003B4EB5"/>
    <w:rsid w:val="003B71E5"/>
    <w:rsid w:val="003B79D4"/>
    <w:rsid w:val="003B7AE8"/>
    <w:rsid w:val="003C3447"/>
    <w:rsid w:val="003D0607"/>
    <w:rsid w:val="003D076C"/>
    <w:rsid w:val="003D1FD8"/>
    <w:rsid w:val="003D34F9"/>
    <w:rsid w:val="003D6335"/>
    <w:rsid w:val="003E0745"/>
    <w:rsid w:val="003E3442"/>
    <w:rsid w:val="003E7112"/>
    <w:rsid w:val="003E78B5"/>
    <w:rsid w:val="003F08E0"/>
    <w:rsid w:val="003F1778"/>
    <w:rsid w:val="003F6374"/>
    <w:rsid w:val="003F6929"/>
    <w:rsid w:val="003F70F2"/>
    <w:rsid w:val="003F77E3"/>
    <w:rsid w:val="00400A3D"/>
    <w:rsid w:val="0040199C"/>
    <w:rsid w:val="00402C03"/>
    <w:rsid w:val="00405029"/>
    <w:rsid w:val="00410552"/>
    <w:rsid w:val="0041597A"/>
    <w:rsid w:val="00415BAB"/>
    <w:rsid w:val="00415ED2"/>
    <w:rsid w:val="0042068C"/>
    <w:rsid w:val="00425F7D"/>
    <w:rsid w:val="004272FF"/>
    <w:rsid w:val="0043619D"/>
    <w:rsid w:val="00440DC7"/>
    <w:rsid w:val="0044318E"/>
    <w:rsid w:val="00443B35"/>
    <w:rsid w:val="00446813"/>
    <w:rsid w:val="00446BEE"/>
    <w:rsid w:val="0045009B"/>
    <w:rsid w:val="00450A9D"/>
    <w:rsid w:val="004526AC"/>
    <w:rsid w:val="00461D9A"/>
    <w:rsid w:val="00466988"/>
    <w:rsid w:val="0047122B"/>
    <w:rsid w:val="00472125"/>
    <w:rsid w:val="00473B7A"/>
    <w:rsid w:val="00474922"/>
    <w:rsid w:val="004771D9"/>
    <w:rsid w:val="004836D4"/>
    <w:rsid w:val="00485CA3"/>
    <w:rsid w:val="00490CC9"/>
    <w:rsid w:val="00492C4A"/>
    <w:rsid w:val="00495EFD"/>
    <w:rsid w:val="004960E9"/>
    <w:rsid w:val="00497DC9"/>
    <w:rsid w:val="004A2E88"/>
    <w:rsid w:val="004A5305"/>
    <w:rsid w:val="004A6D92"/>
    <w:rsid w:val="004B7FAF"/>
    <w:rsid w:val="004C3DF1"/>
    <w:rsid w:val="004D182B"/>
    <w:rsid w:val="004D5A3A"/>
    <w:rsid w:val="004D7634"/>
    <w:rsid w:val="004E410F"/>
    <w:rsid w:val="004E4EF3"/>
    <w:rsid w:val="004E611A"/>
    <w:rsid w:val="004E650C"/>
    <w:rsid w:val="004F04D7"/>
    <w:rsid w:val="004F0852"/>
    <w:rsid w:val="004F3DF8"/>
    <w:rsid w:val="004F5F72"/>
    <w:rsid w:val="004F6460"/>
    <w:rsid w:val="00506E54"/>
    <w:rsid w:val="00507B93"/>
    <w:rsid w:val="00510CFD"/>
    <w:rsid w:val="00515D56"/>
    <w:rsid w:val="00521271"/>
    <w:rsid w:val="0052168C"/>
    <w:rsid w:val="00525389"/>
    <w:rsid w:val="00525697"/>
    <w:rsid w:val="00526C8C"/>
    <w:rsid w:val="005300D3"/>
    <w:rsid w:val="0053520D"/>
    <w:rsid w:val="00542A10"/>
    <w:rsid w:val="00543B0C"/>
    <w:rsid w:val="00544F82"/>
    <w:rsid w:val="005509D2"/>
    <w:rsid w:val="005628C1"/>
    <w:rsid w:val="00564B8B"/>
    <w:rsid w:val="0056570C"/>
    <w:rsid w:val="00570CC7"/>
    <w:rsid w:val="005714A3"/>
    <w:rsid w:val="00571C46"/>
    <w:rsid w:val="005843A4"/>
    <w:rsid w:val="00586CF2"/>
    <w:rsid w:val="005912D1"/>
    <w:rsid w:val="0059145D"/>
    <w:rsid w:val="00593C4F"/>
    <w:rsid w:val="005946A8"/>
    <w:rsid w:val="00595129"/>
    <w:rsid w:val="005A01FB"/>
    <w:rsid w:val="005A4407"/>
    <w:rsid w:val="005A59EF"/>
    <w:rsid w:val="005A648D"/>
    <w:rsid w:val="005B1C7E"/>
    <w:rsid w:val="005B6CB3"/>
    <w:rsid w:val="005B6E70"/>
    <w:rsid w:val="005C00E9"/>
    <w:rsid w:val="005C2146"/>
    <w:rsid w:val="005C51B8"/>
    <w:rsid w:val="005C6976"/>
    <w:rsid w:val="005D352F"/>
    <w:rsid w:val="005D533D"/>
    <w:rsid w:val="005D5BC6"/>
    <w:rsid w:val="005E4914"/>
    <w:rsid w:val="005F3416"/>
    <w:rsid w:val="005F39CA"/>
    <w:rsid w:val="005F526D"/>
    <w:rsid w:val="005F6F41"/>
    <w:rsid w:val="00610A14"/>
    <w:rsid w:val="00614509"/>
    <w:rsid w:val="0061581B"/>
    <w:rsid w:val="006166B9"/>
    <w:rsid w:val="00623032"/>
    <w:rsid w:val="00625DC6"/>
    <w:rsid w:val="00636835"/>
    <w:rsid w:val="00641554"/>
    <w:rsid w:val="0064343E"/>
    <w:rsid w:val="0064391D"/>
    <w:rsid w:val="006441BB"/>
    <w:rsid w:val="00644E86"/>
    <w:rsid w:val="006508AB"/>
    <w:rsid w:val="00651154"/>
    <w:rsid w:val="006516F4"/>
    <w:rsid w:val="00651821"/>
    <w:rsid w:val="00651C8E"/>
    <w:rsid w:val="006528E5"/>
    <w:rsid w:val="00654384"/>
    <w:rsid w:val="00655A78"/>
    <w:rsid w:val="006622B2"/>
    <w:rsid w:val="006675CD"/>
    <w:rsid w:val="00667AD5"/>
    <w:rsid w:val="0067238D"/>
    <w:rsid w:val="00674313"/>
    <w:rsid w:val="00674CCA"/>
    <w:rsid w:val="00675985"/>
    <w:rsid w:val="006764C3"/>
    <w:rsid w:val="00680BFA"/>
    <w:rsid w:val="0068209D"/>
    <w:rsid w:val="00684D9B"/>
    <w:rsid w:val="0068510A"/>
    <w:rsid w:val="0069245B"/>
    <w:rsid w:val="006934CE"/>
    <w:rsid w:val="00694E6C"/>
    <w:rsid w:val="00697556"/>
    <w:rsid w:val="006A5E1C"/>
    <w:rsid w:val="006B4081"/>
    <w:rsid w:val="006B4647"/>
    <w:rsid w:val="006B4C2B"/>
    <w:rsid w:val="006B6139"/>
    <w:rsid w:val="006B6194"/>
    <w:rsid w:val="006B661E"/>
    <w:rsid w:val="006B6D47"/>
    <w:rsid w:val="006B719A"/>
    <w:rsid w:val="006C1FD7"/>
    <w:rsid w:val="006C3E16"/>
    <w:rsid w:val="006C4912"/>
    <w:rsid w:val="006C5AFE"/>
    <w:rsid w:val="006C7715"/>
    <w:rsid w:val="006C7AF6"/>
    <w:rsid w:val="006D30B1"/>
    <w:rsid w:val="006D5E04"/>
    <w:rsid w:val="006E0A54"/>
    <w:rsid w:val="006E155D"/>
    <w:rsid w:val="006E20E8"/>
    <w:rsid w:val="006E4298"/>
    <w:rsid w:val="006E4C15"/>
    <w:rsid w:val="006E5FC3"/>
    <w:rsid w:val="006F2EC8"/>
    <w:rsid w:val="006F3970"/>
    <w:rsid w:val="006F56D0"/>
    <w:rsid w:val="006F6D95"/>
    <w:rsid w:val="006F7CFE"/>
    <w:rsid w:val="00705F85"/>
    <w:rsid w:val="00706F13"/>
    <w:rsid w:val="007072E8"/>
    <w:rsid w:val="007127EF"/>
    <w:rsid w:val="0071618D"/>
    <w:rsid w:val="0072116F"/>
    <w:rsid w:val="00721534"/>
    <w:rsid w:val="00721A52"/>
    <w:rsid w:val="00723CF0"/>
    <w:rsid w:val="00724792"/>
    <w:rsid w:val="00724A10"/>
    <w:rsid w:val="00724C58"/>
    <w:rsid w:val="00725FA4"/>
    <w:rsid w:val="007340CC"/>
    <w:rsid w:val="00740446"/>
    <w:rsid w:val="007438A9"/>
    <w:rsid w:val="0074491E"/>
    <w:rsid w:val="0076163F"/>
    <w:rsid w:val="0076247A"/>
    <w:rsid w:val="00762FB0"/>
    <w:rsid w:val="00767391"/>
    <w:rsid w:val="00775964"/>
    <w:rsid w:val="00775AAD"/>
    <w:rsid w:val="007765FE"/>
    <w:rsid w:val="00777163"/>
    <w:rsid w:val="007910F2"/>
    <w:rsid w:val="00794E2E"/>
    <w:rsid w:val="00795BFB"/>
    <w:rsid w:val="007A060C"/>
    <w:rsid w:val="007B0FAC"/>
    <w:rsid w:val="007B100F"/>
    <w:rsid w:val="007B2327"/>
    <w:rsid w:val="007B2760"/>
    <w:rsid w:val="007B3F5F"/>
    <w:rsid w:val="007B4191"/>
    <w:rsid w:val="007B564B"/>
    <w:rsid w:val="007B64A4"/>
    <w:rsid w:val="007B77CE"/>
    <w:rsid w:val="007C4791"/>
    <w:rsid w:val="007D2C09"/>
    <w:rsid w:val="007D69D2"/>
    <w:rsid w:val="007E1452"/>
    <w:rsid w:val="007E4A8E"/>
    <w:rsid w:val="007E5B81"/>
    <w:rsid w:val="007E71A4"/>
    <w:rsid w:val="007F6527"/>
    <w:rsid w:val="00800B2B"/>
    <w:rsid w:val="00800D21"/>
    <w:rsid w:val="00801F33"/>
    <w:rsid w:val="00802E44"/>
    <w:rsid w:val="0080401E"/>
    <w:rsid w:val="00806C01"/>
    <w:rsid w:val="008074DC"/>
    <w:rsid w:val="00811D3E"/>
    <w:rsid w:val="008148CC"/>
    <w:rsid w:val="008167FC"/>
    <w:rsid w:val="008211A4"/>
    <w:rsid w:val="00821986"/>
    <w:rsid w:val="008227BE"/>
    <w:rsid w:val="0082311D"/>
    <w:rsid w:val="00827608"/>
    <w:rsid w:val="008276D9"/>
    <w:rsid w:val="00830C48"/>
    <w:rsid w:val="008318F6"/>
    <w:rsid w:val="00833E74"/>
    <w:rsid w:val="00834EFB"/>
    <w:rsid w:val="008356A4"/>
    <w:rsid w:val="00840201"/>
    <w:rsid w:val="00841D80"/>
    <w:rsid w:val="00842644"/>
    <w:rsid w:val="00845BAD"/>
    <w:rsid w:val="0084693A"/>
    <w:rsid w:val="0085640E"/>
    <w:rsid w:val="008567D4"/>
    <w:rsid w:val="008610A8"/>
    <w:rsid w:val="00862F4B"/>
    <w:rsid w:val="00864F48"/>
    <w:rsid w:val="00865BDA"/>
    <w:rsid w:val="00870417"/>
    <w:rsid w:val="00873150"/>
    <w:rsid w:val="00873FF9"/>
    <w:rsid w:val="00875B5E"/>
    <w:rsid w:val="00876557"/>
    <w:rsid w:val="0087657D"/>
    <w:rsid w:val="008807D5"/>
    <w:rsid w:val="00880832"/>
    <w:rsid w:val="00884D80"/>
    <w:rsid w:val="00886D19"/>
    <w:rsid w:val="00886EE1"/>
    <w:rsid w:val="0088727D"/>
    <w:rsid w:val="0089340F"/>
    <w:rsid w:val="00897C27"/>
    <w:rsid w:val="00897C75"/>
    <w:rsid w:val="008A0F70"/>
    <w:rsid w:val="008A1EDB"/>
    <w:rsid w:val="008A4BD9"/>
    <w:rsid w:val="008A6BE9"/>
    <w:rsid w:val="008B1869"/>
    <w:rsid w:val="008B21A6"/>
    <w:rsid w:val="008B2CEF"/>
    <w:rsid w:val="008B2EAF"/>
    <w:rsid w:val="008B6760"/>
    <w:rsid w:val="008C022D"/>
    <w:rsid w:val="008C1097"/>
    <w:rsid w:val="008C1130"/>
    <w:rsid w:val="008C4D1C"/>
    <w:rsid w:val="008C54CC"/>
    <w:rsid w:val="008C6406"/>
    <w:rsid w:val="008C6D97"/>
    <w:rsid w:val="008C7A64"/>
    <w:rsid w:val="008D0E8B"/>
    <w:rsid w:val="008D18E6"/>
    <w:rsid w:val="008D7A9B"/>
    <w:rsid w:val="008E0060"/>
    <w:rsid w:val="008E121C"/>
    <w:rsid w:val="008E4655"/>
    <w:rsid w:val="008E6687"/>
    <w:rsid w:val="008E7091"/>
    <w:rsid w:val="008E76AC"/>
    <w:rsid w:val="008F1EB1"/>
    <w:rsid w:val="008F21F6"/>
    <w:rsid w:val="008F2EB0"/>
    <w:rsid w:val="00900D5E"/>
    <w:rsid w:val="00900E75"/>
    <w:rsid w:val="00901457"/>
    <w:rsid w:val="00901DFC"/>
    <w:rsid w:val="009049C5"/>
    <w:rsid w:val="00904A12"/>
    <w:rsid w:val="00906A2D"/>
    <w:rsid w:val="00923B14"/>
    <w:rsid w:val="00927C7B"/>
    <w:rsid w:val="00931ADD"/>
    <w:rsid w:val="00932B77"/>
    <w:rsid w:val="0094513B"/>
    <w:rsid w:val="0095183F"/>
    <w:rsid w:val="00951925"/>
    <w:rsid w:val="00951F79"/>
    <w:rsid w:val="009529A6"/>
    <w:rsid w:val="00955F64"/>
    <w:rsid w:val="0096279C"/>
    <w:rsid w:val="009627D8"/>
    <w:rsid w:val="009703FA"/>
    <w:rsid w:val="00970FB1"/>
    <w:rsid w:val="0097499D"/>
    <w:rsid w:val="00974AB5"/>
    <w:rsid w:val="00975624"/>
    <w:rsid w:val="00982701"/>
    <w:rsid w:val="0098286E"/>
    <w:rsid w:val="00982A7B"/>
    <w:rsid w:val="00983B4B"/>
    <w:rsid w:val="009851BF"/>
    <w:rsid w:val="009851CD"/>
    <w:rsid w:val="00986A5E"/>
    <w:rsid w:val="0098706D"/>
    <w:rsid w:val="009935FB"/>
    <w:rsid w:val="00995FCF"/>
    <w:rsid w:val="00997DE3"/>
    <w:rsid w:val="00997E69"/>
    <w:rsid w:val="009A0748"/>
    <w:rsid w:val="009A0C47"/>
    <w:rsid w:val="009A3DAA"/>
    <w:rsid w:val="009A4F41"/>
    <w:rsid w:val="009B45B2"/>
    <w:rsid w:val="009B4F8D"/>
    <w:rsid w:val="009B5752"/>
    <w:rsid w:val="009C15AD"/>
    <w:rsid w:val="009C167B"/>
    <w:rsid w:val="009C1933"/>
    <w:rsid w:val="009C6FF8"/>
    <w:rsid w:val="009C71DA"/>
    <w:rsid w:val="009D191F"/>
    <w:rsid w:val="009D2A09"/>
    <w:rsid w:val="009D4626"/>
    <w:rsid w:val="009E1846"/>
    <w:rsid w:val="009E1EB8"/>
    <w:rsid w:val="009E25EA"/>
    <w:rsid w:val="009E3023"/>
    <w:rsid w:val="009E3D1C"/>
    <w:rsid w:val="009E7922"/>
    <w:rsid w:val="009F0489"/>
    <w:rsid w:val="009F47F4"/>
    <w:rsid w:val="009F4A54"/>
    <w:rsid w:val="009F4BEC"/>
    <w:rsid w:val="009F4F37"/>
    <w:rsid w:val="009F553B"/>
    <w:rsid w:val="009F5874"/>
    <w:rsid w:val="00A045AB"/>
    <w:rsid w:val="00A04D18"/>
    <w:rsid w:val="00A06C25"/>
    <w:rsid w:val="00A0708C"/>
    <w:rsid w:val="00A11576"/>
    <w:rsid w:val="00A23DA6"/>
    <w:rsid w:val="00A25FD7"/>
    <w:rsid w:val="00A26DEA"/>
    <w:rsid w:val="00A40880"/>
    <w:rsid w:val="00A43AFF"/>
    <w:rsid w:val="00A46303"/>
    <w:rsid w:val="00A4753C"/>
    <w:rsid w:val="00A51DA4"/>
    <w:rsid w:val="00A52D39"/>
    <w:rsid w:val="00A6411B"/>
    <w:rsid w:val="00A66313"/>
    <w:rsid w:val="00A731C3"/>
    <w:rsid w:val="00A745EC"/>
    <w:rsid w:val="00A7483F"/>
    <w:rsid w:val="00A74AD1"/>
    <w:rsid w:val="00A7793A"/>
    <w:rsid w:val="00A80C7B"/>
    <w:rsid w:val="00A83EE1"/>
    <w:rsid w:val="00A85C52"/>
    <w:rsid w:val="00A9084F"/>
    <w:rsid w:val="00AA0FA8"/>
    <w:rsid w:val="00AA115C"/>
    <w:rsid w:val="00AA14D2"/>
    <w:rsid w:val="00AA360E"/>
    <w:rsid w:val="00AA469C"/>
    <w:rsid w:val="00AA4CC7"/>
    <w:rsid w:val="00AA5E8E"/>
    <w:rsid w:val="00AB0281"/>
    <w:rsid w:val="00AB163A"/>
    <w:rsid w:val="00AB225B"/>
    <w:rsid w:val="00AB2BAD"/>
    <w:rsid w:val="00AB566F"/>
    <w:rsid w:val="00AB604C"/>
    <w:rsid w:val="00AB6CA7"/>
    <w:rsid w:val="00AC3B82"/>
    <w:rsid w:val="00AC3EF0"/>
    <w:rsid w:val="00AC45AE"/>
    <w:rsid w:val="00AD01E4"/>
    <w:rsid w:val="00AD0858"/>
    <w:rsid w:val="00AD17E6"/>
    <w:rsid w:val="00AE02E3"/>
    <w:rsid w:val="00AE2B11"/>
    <w:rsid w:val="00AE7340"/>
    <w:rsid w:val="00AF1BBD"/>
    <w:rsid w:val="00AF246E"/>
    <w:rsid w:val="00AF29D5"/>
    <w:rsid w:val="00AF53F4"/>
    <w:rsid w:val="00B06FFE"/>
    <w:rsid w:val="00B077F9"/>
    <w:rsid w:val="00B10207"/>
    <w:rsid w:val="00B11EAF"/>
    <w:rsid w:val="00B141E7"/>
    <w:rsid w:val="00B15349"/>
    <w:rsid w:val="00B225CC"/>
    <w:rsid w:val="00B25368"/>
    <w:rsid w:val="00B26957"/>
    <w:rsid w:val="00B3194B"/>
    <w:rsid w:val="00B351B4"/>
    <w:rsid w:val="00B36C1A"/>
    <w:rsid w:val="00B421DF"/>
    <w:rsid w:val="00B4503E"/>
    <w:rsid w:val="00B46BCA"/>
    <w:rsid w:val="00B478AA"/>
    <w:rsid w:val="00B51302"/>
    <w:rsid w:val="00B565C7"/>
    <w:rsid w:val="00B61D64"/>
    <w:rsid w:val="00B65F61"/>
    <w:rsid w:val="00B665CD"/>
    <w:rsid w:val="00B67676"/>
    <w:rsid w:val="00B710D7"/>
    <w:rsid w:val="00B72E5C"/>
    <w:rsid w:val="00B744B8"/>
    <w:rsid w:val="00B82619"/>
    <w:rsid w:val="00B82883"/>
    <w:rsid w:val="00B83DC3"/>
    <w:rsid w:val="00B84C00"/>
    <w:rsid w:val="00B87806"/>
    <w:rsid w:val="00B87EC9"/>
    <w:rsid w:val="00BA4427"/>
    <w:rsid w:val="00BA5CB3"/>
    <w:rsid w:val="00BA73A8"/>
    <w:rsid w:val="00BB451F"/>
    <w:rsid w:val="00BB72B7"/>
    <w:rsid w:val="00BB751A"/>
    <w:rsid w:val="00BC196A"/>
    <w:rsid w:val="00BC24A1"/>
    <w:rsid w:val="00BC38FD"/>
    <w:rsid w:val="00BC3C53"/>
    <w:rsid w:val="00BC4C9E"/>
    <w:rsid w:val="00BC5F0E"/>
    <w:rsid w:val="00BD006F"/>
    <w:rsid w:val="00BD28F0"/>
    <w:rsid w:val="00BD3EB5"/>
    <w:rsid w:val="00BD72C1"/>
    <w:rsid w:val="00BE2D85"/>
    <w:rsid w:val="00BE511F"/>
    <w:rsid w:val="00BE52B5"/>
    <w:rsid w:val="00BF2AEA"/>
    <w:rsid w:val="00BF5A0E"/>
    <w:rsid w:val="00BF737C"/>
    <w:rsid w:val="00BF7F5D"/>
    <w:rsid w:val="00C029BB"/>
    <w:rsid w:val="00C034CB"/>
    <w:rsid w:val="00C0509B"/>
    <w:rsid w:val="00C051A8"/>
    <w:rsid w:val="00C054BC"/>
    <w:rsid w:val="00C06851"/>
    <w:rsid w:val="00C1041B"/>
    <w:rsid w:val="00C158D4"/>
    <w:rsid w:val="00C17897"/>
    <w:rsid w:val="00C21A7C"/>
    <w:rsid w:val="00C22ACF"/>
    <w:rsid w:val="00C24D55"/>
    <w:rsid w:val="00C32B95"/>
    <w:rsid w:val="00C40052"/>
    <w:rsid w:val="00C409D5"/>
    <w:rsid w:val="00C435C3"/>
    <w:rsid w:val="00C43FAE"/>
    <w:rsid w:val="00C44CC9"/>
    <w:rsid w:val="00C44E5F"/>
    <w:rsid w:val="00C50334"/>
    <w:rsid w:val="00C51B7C"/>
    <w:rsid w:val="00C52727"/>
    <w:rsid w:val="00C541ED"/>
    <w:rsid w:val="00C60C51"/>
    <w:rsid w:val="00C6234B"/>
    <w:rsid w:val="00C63EAE"/>
    <w:rsid w:val="00C640A6"/>
    <w:rsid w:val="00C72613"/>
    <w:rsid w:val="00C73260"/>
    <w:rsid w:val="00C74B5F"/>
    <w:rsid w:val="00C7629F"/>
    <w:rsid w:val="00C823AC"/>
    <w:rsid w:val="00C83796"/>
    <w:rsid w:val="00C851C0"/>
    <w:rsid w:val="00C856E8"/>
    <w:rsid w:val="00C85990"/>
    <w:rsid w:val="00C8661B"/>
    <w:rsid w:val="00C91668"/>
    <w:rsid w:val="00C939C5"/>
    <w:rsid w:val="00C95040"/>
    <w:rsid w:val="00C97581"/>
    <w:rsid w:val="00C979CD"/>
    <w:rsid w:val="00CA03C8"/>
    <w:rsid w:val="00CA0630"/>
    <w:rsid w:val="00CA0DFD"/>
    <w:rsid w:val="00CA139A"/>
    <w:rsid w:val="00CA19FA"/>
    <w:rsid w:val="00CA2899"/>
    <w:rsid w:val="00CA3A3D"/>
    <w:rsid w:val="00CA3AA6"/>
    <w:rsid w:val="00CA4880"/>
    <w:rsid w:val="00CA77FB"/>
    <w:rsid w:val="00CB0C67"/>
    <w:rsid w:val="00CB379B"/>
    <w:rsid w:val="00CB3BF4"/>
    <w:rsid w:val="00CB4074"/>
    <w:rsid w:val="00CB5DD0"/>
    <w:rsid w:val="00CC06BA"/>
    <w:rsid w:val="00CC176A"/>
    <w:rsid w:val="00CC51D4"/>
    <w:rsid w:val="00CC65DA"/>
    <w:rsid w:val="00CD46B3"/>
    <w:rsid w:val="00CD6C8C"/>
    <w:rsid w:val="00CE2AA7"/>
    <w:rsid w:val="00CE4916"/>
    <w:rsid w:val="00CE7910"/>
    <w:rsid w:val="00CF0103"/>
    <w:rsid w:val="00CF174F"/>
    <w:rsid w:val="00CF18FA"/>
    <w:rsid w:val="00CF21B9"/>
    <w:rsid w:val="00CF6BF9"/>
    <w:rsid w:val="00D0285D"/>
    <w:rsid w:val="00D03800"/>
    <w:rsid w:val="00D065D3"/>
    <w:rsid w:val="00D10DD2"/>
    <w:rsid w:val="00D12AEC"/>
    <w:rsid w:val="00D13799"/>
    <w:rsid w:val="00D14C94"/>
    <w:rsid w:val="00D20C48"/>
    <w:rsid w:val="00D215E1"/>
    <w:rsid w:val="00D21DF3"/>
    <w:rsid w:val="00D231C8"/>
    <w:rsid w:val="00D272AD"/>
    <w:rsid w:val="00D27672"/>
    <w:rsid w:val="00D30A28"/>
    <w:rsid w:val="00D32F94"/>
    <w:rsid w:val="00D342A6"/>
    <w:rsid w:val="00D343C4"/>
    <w:rsid w:val="00D34440"/>
    <w:rsid w:val="00D35A33"/>
    <w:rsid w:val="00D36A6A"/>
    <w:rsid w:val="00D37634"/>
    <w:rsid w:val="00D400F9"/>
    <w:rsid w:val="00D45CA6"/>
    <w:rsid w:val="00D464BF"/>
    <w:rsid w:val="00D46635"/>
    <w:rsid w:val="00D46EDD"/>
    <w:rsid w:val="00D53E26"/>
    <w:rsid w:val="00D557EE"/>
    <w:rsid w:val="00D60EE3"/>
    <w:rsid w:val="00D62170"/>
    <w:rsid w:val="00D62F75"/>
    <w:rsid w:val="00D6322D"/>
    <w:rsid w:val="00D755F8"/>
    <w:rsid w:val="00D76592"/>
    <w:rsid w:val="00D76752"/>
    <w:rsid w:val="00D829B1"/>
    <w:rsid w:val="00D85297"/>
    <w:rsid w:val="00D87308"/>
    <w:rsid w:val="00D90912"/>
    <w:rsid w:val="00D94CCE"/>
    <w:rsid w:val="00DA5A6D"/>
    <w:rsid w:val="00DA78EC"/>
    <w:rsid w:val="00DB182C"/>
    <w:rsid w:val="00DB390F"/>
    <w:rsid w:val="00DC02C0"/>
    <w:rsid w:val="00DC0F46"/>
    <w:rsid w:val="00DC1AB9"/>
    <w:rsid w:val="00DC22D8"/>
    <w:rsid w:val="00DC756E"/>
    <w:rsid w:val="00DD236B"/>
    <w:rsid w:val="00DD3302"/>
    <w:rsid w:val="00DD3943"/>
    <w:rsid w:val="00DD4F0E"/>
    <w:rsid w:val="00DD54ED"/>
    <w:rsid w:val="00DD763B"/>
    <w:rsid w:val="00DE74ED"/>
    <w:rsid w:val="00DF0BF0"/>
    <w:rsid w:val="00DF1CB4"/>
    <w:rsid w:val="00DF3CA2"/>
    <w:rsid w:val="00DF453D"/>
    <w:rsid w:val="00DF5747"/>
    <w:rsid w:val="00DF78A4"/>
    <w:rsid w:val="00E01463"/>
    <w:rsid w:val="00E01D70"/>
    <w:rsid w:val="00E02991"/>
    <w:rsid w:val="00E05E0A"/>
    <w:rsid w:val="00E060BE"/>
    <w:rsid w:val="00E062E2"/>
    <w:rsid w:val="00E25479"/>
    <w:rsid w:val="00E26F95"/>
    <w:rsid w:val="00E3092E"/>
    <w:rsid w:val="00E40697"/>
    <w:rsid w:val="00E44594"/>
    <w:rsid w:val="00E447E2"/>
    <w:rsid w:val="00E45320"/>
    <w:rsid w:val="00E534CF"/>
    <w:rsid w:val="00E54C17"/>
    <w:rsid w:val="00E57794"/>
    <w:rsid w:val="00E611EC"/>
    <w:rsid w:val="00E61918"/>
    <w:rsid w:val="00E66A24"/>
    <w:rsid w:val="00E66EF8"/>
    <w:rsid w:val="00E70525"/>
    <w:rsid w:val="00E71CE9"/>
    <w:rsid w:val="00E72226"/>
    <w:rsid w:val="00E76552"/>
    <w:rsid w:val="00E80AA0"/>
    <w:rsid w:val="00E81AA5"/>
    <w:rsid w:val="00E81CB4"/>
    <w:rsid w:val="00E83DD8"/>
    <w:rsid w:val="00E83F58"/>
    <w:rsid w:val="00E8585B"/>
    <w:rsid w:val="00E87F41"/>
    <w:rsid w:val="00E90D40"/>
    <w:rsid w:val="00E9330F"/>
    <w:rsid w:val="00E973B0"/>
    <w:rsid w:val="00EA1B6B"/>
    <w:rsid w:val="00EA3F15"/>
    <w:rsid w:val="00EA69C9"/>
    <w:rsid w:val="00EA74E0"/>
    <w:rsid w:val="00EA7847"/>
    <w:rsid w:val="00EA7BB7"/>
    <w:rsid w:val="00EB29E1"/>
    <w:rsid w:val="00EB3442"/>
    <w:rsid w:val="00EB4C2F"/>
    <w:rsid w:val="00EB5054"/>
    <w:rsid w:val="00EC5A4B"/>
    <w:rsid w:val="00EC688C"/>
    <w:rsid w:val="00ED2AFF"/>
    <w:rsid w:val="00ED350A"/>
    <w:rsid w:val="00ED6BD7"/>
    <w:rsid w:val="00EE1951"/>
    <w:rsid w:val="00EE2E6E"/>
    <w:rsid w:val="00EE36B2"/>
    <w:rsid w:val="00EE5E86"/>
    <w:rsid w:val="00EE64AA"/>
    <w:rsid w:val="00EE76C0"/>
    <w:rsid w:val="00F00B67"/>
    <w:rsid w:val="00F018EC"/>
    <w:rsid w:val="00F01EB4"/>
    <w:rsid w:val="00F04810"/>
    <w:rsid w:val="00F04C88"/>
    <w:rsid w:val="00F0759E"/>
    <w:rsid w:val="00F16A43"/>
    <w:rsid w:val="00F17914"/>
    <w:rsid w:val="00F22226"/>
    <w:rsid w:val="00F22E6B"/>
    <w:rsid w:val="00F231C2"/>
    <w:rsid w:val="00F246AE"/>
    <w:rsid w:val="00F2718C"/>
    <w:rsid w:val="00F3147E"/>
    <w:rsid w:val="00F40882"/>
    <w:rsid w:val="00F4102D"/>
    <w:rsid w:val="00F46780"/>
    <w:rsid w:val="00F51218"/>
    <w:rsid w:val="00F55A19"/>
    <w:rsid w:val="00F6205E"/>
    <w:rsid w:val="00F678DC"/>
    <w:rsid w:val="00F721D2"/>
    <w:rsid w:val="00F74C38"/>
    <w:rsid w:val="00F77B04"/>
    <w:rsid w:val="00F77D2D"/>
    <w:rsid w:val="00F80317"/>
    <w:rsid w:val="00F821A3"/>
    <w:rsid w:val="00F82899"/>
    <w:rsid w:val="00F82C03"/>
    <w:rsid w:val="00F9314A"/>
    <w:rsid w:val="00F940B2"/>
    <w:rsid w:val="00F9551B"/>
    <w:rsid w:val="00F9742E"/>
    <w:rsid w:val="00FA1462"/>
    <w:rsid w:val="00FB1DA9"/>
    <w:rsid w:val="00FB41DE"/>
    <w:rsid w:val="00FB61D1"/>
    <w:rsid w:val="00FC58EF"/>
    <w:rsid w:val="00FC67DE"/>
    <w:rsid w:val="00FC783B"/>
    <w:rsid w:val="00FD1049"/>
    <w:rsid w:val="00FD33DF"/>
    <w:rsid w:val="00FD7291"/>
    <w:rsid w:val="00FE1B7E"/>
    <w:rsid w:val="00FE304A"/>
    <w:rsid w:val="00FE3738"/>
    <w:rsid w:val="00FE38A0"/>
    <w:rsid w:val="00FE39D7"/>
    <w:rsid w:val="00FE6205"/>
    <w:rsid w:val="00FE7EAA"/>
    <w:rsid w:val="00FF4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621170"/>
  <w15:chartTrackingRefBased/>
  <w15:docId w15:val="{A1092E98-42C8-4D36-A6C1-464B7C49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qFormat/>
    <w:rsid w:val="00F74C38"/>
    <w:pPr>
      <w:keepNext/>
      <w:numPr>
        <w:numId w:val="2"/>
      </w:numPr>
      <w:jc w:val="center"/>
      <w:outlineLvl w:val="0"/>
    </w:pPr>
    <w:rPr>
      <w:b/>
      <w:szCs w:val="20"/>
      <w:lang w:val="es-CO"/>
    </w:rPr>
  </w:style>
  <w:style w:type="paragraph" w:styleId="Ttulo2">
    <w:name w:val="heading 2"/>
    <w:basedOn w:val="Normal"/>
    <w:next w:val="Normal"/>
    <w:link w:val="Ttulo2Car"/>
    <w:uiPriority w:val="9"/>
    <w:semiHidden/>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10"/>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4"/>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hAnsi="Calibri"/>
      <w:sz w:val="24"/>
      <w:szCs w:val="24"/>
      <w:lang w:val="es-ES" w:eastAsia="es-ES"/>
    </w:rPr>
  </w:style>
  <w:style w:type="paragraph" w:styleId="Sangradetextonormal">
    <w:name w:val="Body Text Indent"/>
    <w:basedOn w:val="Normal"/>
    <w:link w:val="SangradetextonormalCar"/>
    <w:uiPriority w:val="99"/>
    <w:semiHidden/>
    <w:unhideWhenUsed/>
    <w:rsid w:val="00E01463"/>
    <w:pPr>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uiPriority w:val="9"/>
    <w:semiHidden/>
    <w:rsid w:val="00595129"/>
    <w:rPr>
      <w:rFonts w:ascii="Calibri Light" w:hAnsi="Calibri Light"/>
      <w:b/>
      <w:bCs/>
      <w:i/>
      <w:iCs/>
      <w:sz w:val="28"/>
      <w:szCs w:val="28"/>
      <w:lang w:val="es-ES" w:eastAsia="es-ES"/>
    </w:rPr>
  </w:style>
  <w:style w:type="character" w:customStyle="1" w:styleId="Ttulo8Car">
    <w:name w:val="Título 8 Car"/>
    <w:link w:val="Ttulo8"/>
    <w:uiPriority w:val="9"/>
    <w:semiHidden/>
    <w:rsid w:val="00595129"/>
    <w:rPr>
      <w:rFonts w:ascii="Calibri" w:hAnsi="Calibri"/>
      <w:i/>
      <w:iCs/>
      <w:sz w:val="24"/>
      <w:szCs w:val="24"/>
      <w:lang w:val="es-ES" w:eastAsia="es-ES"/>
    </w:rPr>
  </w:style>
  <w:style w:type="character" w:customStyle="1" w:styleId="Ttulo9Car">
    <w:name w:val="Título 9 Car"/>
    <w:link w:val="Ttulo9"/>
    <w:uiPriority w:val="9"/>
    <w:semiHidden/>
    <w:rsid w:val="00595129"/>
    <w:rPr>
      <w:rFonts w:ascii="Calibri Light" w:hAnsi="Calibri Light"/>
      <w:sz w:val="22"/>
      <w:szCs w:val="22"/>
      <w:lang w:val="es-ES" w:eastAsia="es-ES"/>
    </w:rPr>
  </w:style>
  <w:style w:type="paragraph" w:customStyle="1" w:styleId="Artculo">
    <w:name w:val="Artículo"/>
    <w:basedOn w:val="Normal"/>
    <w:link w:val="ArtculoCar"/>
    <w:qFormat/>
    <w:rsid w:val="00870417"/>
    <w:pPr>
      <w:numPr>
        <w:numId w:val="5"/>
      </w:numPr>
      <w:spacing w:before="360" w:after="360"/>
      <w:ind w:left="198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42F2B"/>
    <w:rPr>
      <w:b/>
      <w:bCs/>
    </w:rPr>
  </w:style>
  <w:style w:type="character" w:customStyle="1" w:styleId="AsuntodelcomentarioCar">
    <w:name w:val="Asunto del comentario Car"/>
    <w:link w:val="Asuntodelcomentario"/>
    <w:uiPriority w:val="99"/>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870417"/>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9C71DA"/>
    <w:pPr>
      <w:keepNext/>
      <w:widowControl w:val="0"/>
      <w:adjustRightInd w:val="0"/>
      <w:spacing w:line="360" w:lineRule="atLeast"/>
      <w:jc w:val="center"/>
      <w:textAlignment w:val="baseline"/>
    </w:pPr>
    <w:rPr>
      <w:sz w:val="22"/>
      <w:szCs w:val="20"/>
    </w:rPr>
  </w:style>
  <w:style w:type="character" w:customStyle="1" w:styleId="DescripcinCar">
    <w:name w:val="Descripción Car"/>
    <w:link w:val="Descripcin"/>
    <w:rsid w:val="009C71D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character" w:styleId="Mencinsinresolver">
    <w:name w:val="Unresolved Mention"/>
    <w:basedOn w:val="Fuentedeprrafopredeter"/>
    <w:uiPriority w:val="99"/>
    <w:semiHidden/>
    <w:unhideWhenUsed/>
    <w:rsid w:val="00CC176A"/>
    <w:rPr>
      <w:color w:val="605E5C"/>
      <w:shd w:val="clear" w:color="auto" w:fill="E1DFDD"/>
    </w:rPr>
  </w:style>
  <w:style w:type="table" w:customStyle="1" w:styleId="Tablaconcuadrcula1">
    <w:name w:val="Tabla con cuadrícula1"/>
    <w:basedOn w:val="Tablanormal"/>
    <w:next w:val="Tablaconcuadrcula"/>
    <w:uiPriority w:val="59"/>
    <w:rsid w:val="002443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00328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738FE-19D5-4A8E-B2FF-F0E45E9D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Pages>
  <Words>1170</Words>
  <Characters>6074</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7230</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2020-10-02T21:32:00Z</cp:lastPrinted>
  <dcterms:created xsi:type="dcterms:W3CDTF">2020-10-13T13:06:00Z</dcterms:created>
  <dcterms:modified xsi:type="dcterms:W3CDTF">2020-10-13T13:06:00Z</dcterms:modified>
</cp:coreProperties>
</file>