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C96A9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32038981" r:id="rId8"/>
        </w:object>
      </w: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77400F">
        <w:rPr>
          <w:rFonts w:ascii="Bookman Old Style" w:hAnsi="Bookman Old Style"/>
          <w:sz w:val="24"/>
          <w:szCs w:val="24"/>
        </w:rPr>
        <w:t>9</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B351B4" w:rsidRDefault="00B351B4" w:rsidP="00012259">
      <w:pPr>
        <w:ind w:left="0"/>
        <w:rPr>
          <w:rFonts w:ascii="Bookman Old Style" w:hAnsi="Bookman Old Style"/>
          <w:bCs/>
          <w:lang w:val="es-CO"/>
        </w:rPr>
      </w:pPr>
    </w:p>
    <w:p w:rsidR="007F6D26" w:rsidRDefault="007F6D26" w:rsidP="00012259">
      <w:pPr>
        <w:ind w:left="0"/>
        <w:rPr>
          <w:rFonts w:ascii="Bookman Old Style" w:hAnsi="Bookman Old Style"/>
          <w:bCs/>
          <w:lang w:val="es-CO"/>
        </w:rPr>
      </w:pPr>
    </w:p>
    <w:p w:rsidR="007F6D26" w:rsidRPr="00E060BE" w:rsidRDefault="007F6D26" w:rsidP="00012259">
      <w:pPr>
        <w:ind w:left="0"/>
        <w:rPr>
          <w:rFonts w:ascii="Bookman Old Style" w:hAnsi="Bookman Old Style"/>
          <w:bCs/>
          <w:lang w:val="es-CO"/>
        </w:rPr>
      </w:pPr>
    </w:p>
    <w:p w:rsidR="00045D3D" w:rsidRPr="00C435C3" w:rsidRDefault="00045D3D" w:rsidP="00045D3D">
      <w:pPr>
        <w:ind w:left="0"/>
        <w:jc w:val="center"/>
        <w:rPr>
          <w:rFonts w:ascii="Bookman Old Style" w:hAnsi="Bookman Old Style"/>
        </w:rPr>
      </w:pPr>
      <w:r w:rsidRPr="00C435C3">
        <w:rPr>
          <w:rFonts w:ascii="Bookman Old Style" w:hAnsi="Bookman Old Style"/>
        </w:rPr>
        <w:t xml:space="preserve">Por </w:t>
      </w:r>
      <w:r w:rsidR="0077400F">
        <w:rPr>
          <w:rFonts w:ascii="Bookman Old Style" w:hAnsi="Bookman Old Style"/>
        </w:rPr>
        <w:t>la cual se determina el precio máximo regulado de suministro de GLP</w:t>
      </w:r>
      <w:r w:rsidR="000105C2">
        <w:rPr>
          <w:rFonts w:ascii="Bookman Old Style" w:hAnsi="Bookman Old Style"/>
        </w:rPr>
        <w:t xml:space="preserve"> producido en el </w:t>
      </w:r>
      <w:r w:rsidR="00D273C6">
        <w:rPr>
          <w:rFonts w:ascii="Bookman Old Style" w:hAnsi="Bookman Old Style"/>
        </w:rPr>
        <w:t>CPF</w:t>
      </w:r>
      <w:r w:rsidR="000105C2">
        <w:rPr>
          <w:rFonts w:ascii="Bookman Old Style" w:hAnsi="Bookman Old Style"/>
        </w:rPr>
        <w:t xml:space="preserve"> Cupiagua</w:t>
      </w:r>
    </w:p>
    <w:p w:rsidR="00045D3D" w:rsidRPr="00C435C3" w:rsidRDefault="00045D3D" w:rsidP="0077400F">
      <w:pPr>
        <w:ind w:left="0"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045D3D" w:rsidRPr="00C435C3" w:rsidRDefault="00045D3D" w:rsidP="00045D3D">
      <w:pPr>
        <w:ind w:left="0" w:right="51"/>
        <w:rPr>
          <w:rFonts w:ascii="Bookman Old Style" w:hAnsi="Bookman Old Style"/>
        </w:rPr>
      </w:pPr>
    </w:p>
    <w:p w:rsidR="00045D3D" w:rsidRPr="00C435C3" w:rsidRDefault="00045D3D" w:rsidP="00045D3D">
      <w:pPr>
        <w:ind w:left="0" w:right="51"/>
        <w:rPr>
          <w:rFonts w:ascii="Bookman Old Style" w:hAnsi="Bookman Old Style"/>
        </w:rPr>
      </w:pPr>
    </w:p>
    <w:p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ecretos 2253 de 1994</w:t>
      </w:r>
      <w:r w:rsidR="00D0755A">
        <w:rPr>
          <w:rFonts w:ascii="Bookman Old Style" w:hAnsi="Bookman Old Style"/>
          <w:b w:val="0"/>
        </w:rPr>
        <w:t xml:space="preserve"> y 1260 de 2013, y</w:t>
      </w:r>
    </w:p>
    <w:p w:rsidR="00045D3D" w:rsidRDefault="00045D3D" w:rsidP="0077400F">
      <w:pPr>
        <w:ind w:left="0" w:right="51"/>
        <w:rPr>
          <w:rFonts w:ascii="Bookman Old Style" w:hAnsi="Bookman Old Style"/>
        </w:rPr>
      </w:pPr>
    </w:p>
    <w:p w:rsidR="00045D3D" w:rsidRDefault="00045D3D" w:rsidP="0077400F">
      <w:pPr>
        <w:ind w:left="0"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Pr="00C435C3" w:rsidRDefault="00045D3D" w:rsidP="00045D3D">
      <w:pPr>
        <w:ind w:right="51"/>
        <w:jc w:val="center"/>
        <w:rPr>
          <w:rFonts w:ascii="Bookman Old Style" w:hAnsi="Bookman Old Style"/>
          <w:b/>
        </w:rPr>
      </w:pPr>
    </w:p>
    <w:p w:rsidR="00045D3D" w:rsidRPr="00C435C3" w:rsidRDefault="00045D3D" w:rsidP="0077400F">
      <w:pPr>
        <w:ind w:left="0"/>
        <w:rPr>
          <w:rFonts w:ascii="Bookman Old Style" w:hAnsi="Bookman Old Style"/>
          <w:b/>
        </w:rPr>
      </w:pPr>
    </w:p>
    <w:p w:rsidR="00544825" w:rsidRPr="002E2585" w:rsidRDefault="00544825" w:rsidP="00544825">
      <w:pPr>
        <w:ind w:left="0"/>
        <w:contextualSpacing/>
        <w:jc w:val="both"/>
        <w:rPr>
          <w:rFonts w:ascii="Bookman Old Style" w:hAnsi="Bookman Old Style"/>
        </w:rPr>
      </w:pPr>
      <w:r w:rsidRPr="002E2585">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544825" w:rsidRDefault="00544825" w:rsidP="00D0755A">
      <w:pPr>
        <w:ind w:left="0"/>
        <w:contextualSpacing/>
        <w:jc w:val="both"/>
        <w:rPr>
          <w:rFonts w:ascii="Bookman Old Style" w:hAnsi="Bookman Old Style"/>
        </w:rPr>
      </w:pPr>
    </w:p>
    <w:p w:rsidR="00D0755A" w:rsidRPr="002E2585" w:rsidRDefault="00D0755A" w:rsidP="00D0755A">
      <w:pPr>
        <w:ind w:left="0"/>
        <w:contextualSpacing/>
        <w:jc w:val="both"/>
        <w:rPr>
          <w:rFonts w:ascii="Bookman Old Style" w:hAnsi="Bookman Old Style"/>
        </w:rPr>
      </w:pPr>
      <w:r w:rsidRPr="002E2585">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D0755A" w:rsidRDefault="00D0755A" w:rsidP="00D0755A">
      <w:pPr>
        <w:ind w:left="0"/>
        <w:contextualSpacing/>
        <w:jc w:val="both"/>
        <w:rPr>
          <w:rFonts w:ascii="Bookman Old Style" w:hAnsi="Bookman Old Style"/>
        </w:rPr>
      </w:pPr>
    </w:p>
    <w:p w:rsidR="00DF77F5" w:rsidRDefault="00DF77F5" w:rsidP="00DF77F5">
      <w:pPr>
        <w:ind w:left="0"/>
        <w:contextualSpacing/>
        <w:jc w:val="both"/>
        <w:rPr>
          <w:rFonts w:ascii="Bookman Old Style" w:hAnsi="Bookman Old Style"/>
        </w:rPr>
      </w:pPr>
      <w:r>
        <w:rPr>
          <w:rFonts w:ascii="Bookman Old Style" w:hAnsi="Bookman Old Style"/>
        </w:rPr>
        <w:t>L</w:t>
      </w:r>
      <w:r w:rsidRPr="00544825">
        <w:rPr>
          <w:rFonts w:ascii="Bookman Old Style" w:hAnsi="Bookman Old Style"/>
        </w:rPr>
        <w:t>a Comisión de Regulación de Energía y Gas tiene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w:t>
      </w:r>
      <w:r>
        <w:rPr>
          <w:rFonts w:ascii="Bookman Old Style" w:hAnsi="Bookman Old Style"/>
        </w:rPr>
        <w:t xml:space="preserve"> calidad, tal como lo prevé el a</w:t>
      </w:r>
      <w:r w:rsidRPr="00544825">
        <w:rPr>
          <w:rFonts w:ascii="Bookman Old Style" w:hAnsi="Bookman Old Style"/>
        </w:rPr>
        <w:t>rtículo 73 de la Ley 142 de 1994</w:t>
      </w:r>
      <w:r>
        <w:rPr>
          <w:rFonts w:ascii="Bookman Old Style" w:hAnsi="Bookman Old Style"/>
        </w:rPr>
        <w:t>.</w:t>
      </w:r>
    </w:p>
    <w:p w:rsidR="00DF77F5" w:rsidRDefault="00DF77F5" w:rsidP="00D0755A">
      <w:pPr>
        <w:ind w:left="0"/>
        <w:contextualSpacing/>
        <w:jc w:val="both"/>
        <w:rPr>
          <w:rFonts w:ascii="Bookman Old Style" w:hAnsi="Bookman Old Style"/>
        </w:rPr>
      </w:pPr>
    </w:p>
    <w:p w:rsidR="00DF77F5" w:rsidRDefault="00DF77F5" w:rsidP="00D0755A">
      <w:pPr>
        <w:ind w:left="0"/>
        <w:contextualSpacing/>
        <w:jc w:val="both"/>
        <w:rPr>
          <w:rFonts w:ascii="Bookman Old Style" w:hAnsi="Bookman Old Style"/>
        </w:rPr>
      </w:pPr>
      <w:r>
        <w:rPr>
          <w:rFonts w:ascii="Bookman Old Style" w:hAnsi="Bookman Old Style"/>
        </w:rPr>
        <w:t>E</w:t>
      </w:r>
      <w:r w:rsidRPr="00DF77F5">
        <w:rPr>
          <w:rFonts w:ascii="Bookman Old Style" w:hAnsi="Bookman Old Style"/>
        </w:rPr>
        <w:t>l artículo 73.11 de la Ley 142 de 1994 faculta a la CREG para establecer fórmulas para la fijación de las tarifas de los servicios públicos; y señalar cuándo hay suficiente competencia como para que la fi</w:t>
      </w:r>
      <w:r>
        <w:rPr>
          <w:rFonts w:ascii="Bookman Old Style" w:hAnsi="Bookman Old Style"/>
        </w:rPr>
        <w:t>jación de las tarifas sea libre.</w:t>
      </w:r>
    </w:p>
    <w:p w:rsidR="00DF77F5" w:rsidRPr="002E2585" w:rsidRDefault="00DF77F5" w:rsidP="00D0755A">
      <w:pPr>
        <w:ind w:left="0"/>
        <w:contextualSpacing/>
        <w:jc w:val="both"/>
        <w:rPr>
          <w:rFonts w:ascii="Bookman Old Style" w:hAnsi="Bookman Old Style"/>
        </w:rPr>
      </w:pPr>
    </w:p>
    <w:p w:rsidR="007F6D26" w:rsidRDefault="007F6D26" w:rsidP="00D0755A">
      <w:pPr>
        <w:ind w:left="0"/>
        <w:contextualSpacing/>
        <w:jc w:val="both"/>
        <w:rPr>
          <w:rFonts w:ascii="Bookman Old Style" w:hAnsi="Bookman Old Style"/>
        </w:rPr>
      </w:pPr>
    </w:p>
    <w:p w:rsidR="00D0755A" w:rsidRPr="002E2585" w:rsidRDefault="00D0755A" w:rsidP="00D0755A">
      <w:pPr>
        <w:ind w:left="0"/>
        <w:contextualSpacing/>
        <w:jc w:val="both"/>
        <w:rPr>
          <w:rFonts w:ascii="Bookman Old Style" w:hAnsi="Bookman Old Style"/>
        </w:rPr>
      </w:pPr>
      <w:r w:rsidRPr="002E2585">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544825" w:rsidRDefault="00544825" w:rsidP="00D0755A">
      <w:pPr>
        <w:ind w:left="0"/>
        <w:contextualSpacing/>
        <w:jc w:val="both"/>
        <w:rPr>
          <w:rFonts w:ascii="Bookman Old Style" w:hAnsi="Bookman Old Style"/>
        </w:rPr>
      </w:pPr>
    </w:p>
    <w:p w:rsidR="00D0755A" w:rsidRPr="002E2585" w:rsidRDefault="00D0755A" w:rsidP="00D0755A">
      <w:pPr>
        <w:ind w:left="0"/>
        <w:contextualSpacing/>
        <w:jc w:val="both"/>
        <w:rPr>
          <w:rFonts w:ascii="Bookman Old Style" w:hAnsi="Bookman Old Style"/>
        </w:rPr>
      </w:pPr>
      <w:r w:rsidRPr="002E2585">
        <w:rPr>
          <w:rFonts w:ascii="Bookman Old Style" w:hAnsi="Bookman Old Style"/>
        </w:rPr>
        <w:t>Dentro de la regulación para la comercialización mayorista de GLP, mediante Resolución CREG 066 de 2007, modificada por las resoluciones CREG 059 de 2008, 002 de 2009, 123 de 2010, 095 de 2011, la Comisión estableció “la regulación de precios de suministro de GLP de comercializadores mayoristas a distribuidores”. La resolución en mención señala la metodología para calcular el precio máximo regulado de suministro de GLP producido en las fuentes reguladas, indicando adicionalmente que las demás fuentes de producción de GLP pueden fijar libremente su tarifa.</w:t>
      </w:r>
    </w:p>
    <w:p w:rsidR="00D0755A" w:rsidRDefault="00D0755A" w:rsidP="00D0755A">
      <w:pPr>
        <w:ind w:left="0"/>
        <w:contextualSpacing/>
        <w:jc w:val="both"/>
        <w:rPr>
          <w:rFonts w:ascii="Bookman Old Style" w:hAnsi="Bookman Old Style"/>
        </w:rPr>
      </w:pPr>
    </w:p>
    <w:p w:rsidR="009958C1" w:rsidRPr="007F428A" w:rsidRDefault="009958C1" w:rsidP="009958C1">
      <w:pPr>
        <w:ind w:left="0"/>
        <w:contextualSpacing/>
        <w:jc w:val="both"/>
        <w:rPr>
          <w:rFonts w:ascii="Bookman Old Style" w:hAnsi="Bookman Old Style"/>
          <w:lang w:val="es-CO"/>
        </w:rPr>
      </w:pPr>
      <w:r>
        <w:rPr>
          <w:rFonts w:ascii="Bookman Old Style" w:hAnsi="Bookman Old Style"/>
          <w:lang w:val="es-CO"/>
        </w:rPr>
        <w:t xml:space="preserve">En la resolución CREG 066 de 2007 y el </w:t>
      </w:r>
      <w:r>
        <w:rPr>
          <w:rFonts w:ascii="Bookman Old Style" w:hAnsi="Bookman Old Style"/>
        </w:rPr>
        <w:t>documento s</w:t>
      </w:r>
      <w:r w:rsidRPr="009958C1">
        <w:rPr>
          <w:rFonts w:ascii="Bookman Old Style" w:hAnsi="Bookman Old Style"/>
        </w:rPr>
        <w:t>oporte CREG 034-2007</w:t>
      </w:r>
      <w:r>
        <w:rPr>
          <w:rFonts w:ascii="Bookman Old Style" w:hAnsi="Bookman Old Style"/>
        </w:rPr>
        <w:t xml:space="preserve">, </w:t>
      </w:r>
      <w:r w:rsidRPr="007F428A">
        <w:rPr>
          <w:rFonts w:ascii="Bookman Old Style" w:hAnsi="Bookman Old Style"/>
          <w:lang w:val="es-CO"/>
        </w:rPr>
        <w:t>se estableció por parte de la CREG la necesidad de adoptar una metodología en la cual se habría de remunerar al productor con base en el costo de oportunidad</w:t>
      </w:r>
      <w:r w:rsidRPr="007F428A">
        <w:rPr>
          <w:rStyle w:val="Refdenotaalpie"/>
          <w:rFonts w:ascii="Bookman Old Style" w:hAnsi="Bookman Old Style"/>
          <w:lang w:val="es-CO"/>
        </w:rPr>
        <w:footnoteReference w:id="1"/>
      </w:r>
      <w:r w:rsidRPr="007F428A">
        <w:rPr>
          <w:rFonts w:ascii="Bookman Old Style" w:hAnsi="Bookman Old Style"/>
          <w:lang w:val="es-CO"/>
        </w:rPr>
        <w:t xml:space="preserve">, en este caso, de acceder al mercado externo. Lo anterior se hizo con el fin de abastecer la demanda interna (esto bajo la consideración que la capacidad de </w:t>
      </w:r>
      <w:r>
        <w:rPr>
          <w:rFonts w:ascii="Bookman Old Style" w:hAnsi="Bookman Old Style"/>
          <w:lang w:val="es-CO"/>
        </w:rPr>
        <w:t>producción es</w:t>
      </w:r>
      <w:r w:rsidRPr="007F428A">
        <w:rPr>
          <w:rFonts w:ascii="Bookman Old Style" w:hAnsi="Bookman Old Style"/>
          <w:lang w:val="es-CO"/>
        </w:rPr>
        <w:t xml:space="preserve"> suficiente para atender el mercado doméstico, sin necesidad de acudir sistemáticamente a la importación de combustible), trasladando la eficiencia del mercado externo al mercado doméstico, de acuerdo con la remuneración, a través de precios internacionales. En la teoría económica esto corresponde al costo de oportunidad de “paridad exportación”.</w:t>
      </w:r>
    </w:p>
    <w:p w:rsidR="009958C1" w:rsidRPr="007F428A" w:rsidRDefault="009958C1" w:rsidP="009958C1">
      <w:pPr>
        <w:ind w:left="0"/>
        <w:contextualSpacing/>
        <w:jc w:val="both"/>
        <w:rPr>
          <w:rFonts w:ascii="Bookman Old Style" w:hAnsi="Bookman Old Style"/>
          <w:lang w:val="es-CO"/>
        </w:rPr>
      </w:pPr>
    </w:p>
    <w:p w:rsidR="009958C1" w:rsidRDefault="009958C1" w:rsidP="009958C1">
      <w:pPr>
        <w:ind w:left="0"/>
        <w:contextualSpacing/>
        <w:jc w:val="both"/>
        <w:rPr>
          <w:rFonts w:ascii="Bookman Old Style" w:hAnsi="Bookman Old Style"/>
        </w:rPr>
      </w:pPr>
      <w:r w:rsidRPr="007F428A">
        <w:rPr>
          <w:rFonts w:ascii="Bookman Old Style" w:hAnsi="Bookman Old Style"/>
          <w:lang w:val="es-CO"/>
        </w:rPr>
        <w:t>Igualmente, para adoptar dicha decisión, la CREG, dentr</w:t>
      </w:r>
      <w:r>
        <w:rPr>
          <w:rFonts w:ascii="Bookman Old Style" w:hAnsi="Bookman Old Style"/>
          <w:lang w:val="es-CO"/>
        </w:rPr>
        <w:t>o de sus consideraciones</w:t>
      </w:r>
      <w:r w:rsidRPr="007F428A">
        <w:rPr>
          <w:rFonts w:ascii="Bookman Old Style" w:hAnsi="Bookman Old Style"/>
          <w:lang w:val="es-CO"/>
        </w:rPr>
        <w:t xml:space="preserve"> realizó un balance entre oferta y demanda. Dicho análisis permitió establecer que existía una oferta mayor a la demanda y, por tanto, era viable que el productor destinara el producto excedente al mercado internacional.</w:t>
      </w:r>
      <w:r>
        <w:rPr>
          <w:rFonts w:ascii="Bookman Old Style" w:hAnsi="Bookman Old Style"/>
          <w:lang w:val="es-CO"/>
        </w:rPr>
        <w:t xml:space="preserve"> Adicionalmente se consideró la </w:t>
      </w:r>
      <w:r w:rsidRPr="009958C1">
        <w:rPr>
          <w:rFonts w:ascii="Bookman Old Style" w:hAnsi="Bookman Old Style"/>
        </w:rPr>
        <w:t>composición d</w:t>
      </w:r>
      <w:r>
        <w:rPr>
          <w:rFonts w:ascii="Bookman Old Style" w:hAnsi="Bookman Old Style"/>
        </w:rPr>
        <w:t>el combustible comercializable identificando que el mismo tenía un a</w:t>
      </w:r>
      <w:r w:rsidRPr="009958C1">
        <w:rPr>
          <w:rFonts w:ascii="Bookman Old Style" w:hAnsi="Bookman Old Style"/>
        </w:rPr>
        <w:t>lto c</w:t>
      </w:r>
      <w:r>
        <w:rPr>
          <w:rFonts w:ascii="Bookman Old Style" w:hAnsi="Bookman Old Style"/>
        </w:rPr>
        <w:t>ontenido de butanos y olefinas y finalmente se analizó la p</w:t>
      </w:r>
      <w:r w:rsidRPr="009958C1">
        <w:rPr>
          <w:rFonts w:ascii="Bookman Old Style" w:hAnsi="Bookman Old Style"/>
        </w:rPr>
        <w:t>osición dominante y promoción de la competencia</w:t>
      </w:r>
      <w:r>
        <w:rPr>
          <w:rFonts w:ascii="Bookman Old Style" w:hAnsi="Bookman Old Style"/>
        </w:rPr>
        <w:t xml:space="preserve"> puesto que e</w:t>
      </w:r>
      <w:r w:rsidRPr="009958C1">
        <w:rPr>
          <w:rFonts w:ascii="Bookman Old Style" w:hAnsi="Bookman Old Style"/>
        </w:rPr>
        <w:t>l GLP consumido en Colombia</w:t>
      </w:r>
      <w:r>
        <w:rPr>
          <w:rFonts w:ascii="Bookman Old Style" w:hAnsi="Bookman Old Style"/>
        </w:rPr>
        <w:t>,</w:t>
      </w:r>
      <w:r w:rsidRPr="009958C1">
        <w:rPr>
          <w:rFonts w:ascii="Bookman Old Style" w:hAnsi="Bookman Old Style"/>
        </w:rPr>
        <w:t xml:space="preserve"> hasta la fecha</w:t>
      </w:r>
      <w:r>
        <w:rPr>
          <w:rFonts w:ascii="Bookman Old Style" w:hAnsi="Bookman Old Style"/>
        </w:rPr>
        <w:t>,</w:t>
      </w:r>
      <w:r w:rsidRPr="009958C1">
        <w:rPr>
          <w:rFonts w:ascii="Bookman Old Style" w:hAnsi="Bookman Old Style"/>
        </w:rPr>
        <w:t xml:space="preserve"> ha</w:t>
      </w:r>
      <w:r>
        <w:rPr>
          <w:rFonts w:ascii="Bookman Old Style" w:hAnsi="Bookman Old Style"/>
        </w:rPr>
        <w:t>bía</w:t>
      </w:r>
      <w:r w:rsidRPr="009958C1">
        <w:rPr>
          <w:rFonts w:ascii="Bookman Old Style" w:hAnsi="Bookman Old Style"/>
        </w:rPr>
        <w:t xml:space="preserve"> sido únicamente proporcionado por Ecopetrol en calidad de productor y, en algunas ocasiones, de importador.</w:t>
      </w:r>
      <w:r>
        <w:rPr>
          <w:rFonts w:ascii="Bookman Old Style" w:hAnsi="Bookman Old Style"/>
        </w:rPr>
        <w:t xml:space="preserve"> </w:t>
      </w:r>
    </w:p>
    <w:p w:rsidR="009958C1" w:rsidRDefault="009958C1" w:rsidP="009958C1">
      <w:pPr>
        <w:ind w:left="0"/>
        <w:contextualSpacing/>
        <w:jc w:val="both"/>
        <w:rPr>
          <w:rFonts w:ascii="Bookman Old Style" w:hAnsi="Bookman Old Style"/>
        </w:rPr>
      </w:pPr>
    </w:p>
    <w:p w:rsidR="009958C1" w:rsidRPr="009958C1" w:rsidRDefault="009958C1" w:rsidP="009958C1">
      <w:pPr>
        <w:ind w:left="0"/>
        <w:contextualSpacing/>
        <w:jc w:val="both"/>
        <w:rPr>
          <w:rFonts w:ascii="Bookman Old Style" w:hAnsi="Bookman Old Style"/>
        </w:rPr>
      </w:pPr>
      <w:r>
        <w:rPr>
          <w:rFonts w:ascii="Bookman Old Style" w:hAnsi="Bookman Old Style"/>
        </w:rPr>
        <w:t>Por lo anterior, dicha regulación</w:t>
      </w:r>
      <w:r w:rsidRPr="009958C1">
        <w:rPr>
          <w:rFonts w:ascii="Bookman Old Style" w:hAnsi="Bookman Old Style"/>
        </w:rPr>
        <w:t xml:space="preserve"> buscaba</w:t>
      </w:r>
      <w:r>
        <w:rPr>
          <w:rFonts w:ascii="Bookman Old Style" w:hAnsi="Bookman Old Style"/>
        </w:rPr>
        <w:t xml:space="preserve">, entre otras, </w:t>
      </w:r>
      <w:r w:rsidRPr="009958C1">
        <w:rPr>
          <w:rFonts w:ascii="Bookman Old Style" w:hAnsi="Bookman Old Style"/>
        </w:rPr>
        <w:t>“</w:t>
      </w:r>
      <w:r>
        <w:rPr>
          <w:rFonts w:ascii="Bookman Old Style" w:hAnsi="Bookman Old Style"/>
        </w:rPr>
        <w:t>l</w:t>
      </w:r>
      <w:r w:rsidRPr="009958C1">
        <w:rPr>
          <w:rFonts w:ascii="Bookman Old Style" w:hAnsi="Bookman Old Style"/>
        </w:rPr>
        <w:t>imitar las rentas del proveedor dominante al costo de oportunidad que puede obtener de su producción, con lo cual también se da una señal de eficiencia frente a los usos alternos de algunas corrientes que hoy se comercializan como GLP”.</w:t>
      </w:r>
    </w:p>
    <w:p w:rsidR="009958C1" w:rsidRPr="002E2585" w:rsidRDefault="009958C1" w:rsidP="00D0755A">
      <w:pPr>
        <w:ind w:left="0"/>
        <w:contextualSpacing/>
        <w:jc w:val="both"/>
        <w:rPr>
          <w:rFonts w:ascii="Bookman Old Style" w:hAnsi="Bookman Old Style"/>
        </w:rPr>
      </w:pPr>
    </w:p>
    <w:p w:rsidR="00D0755A" w:rsidRDefault="00D0755A" w:rsidP="00D0755A">
      <w:pPr>
        <w:ind w:left="0"/>
        <w:contextualSpacing/>
        <w:jc w:val="both"/>
        <w:rPr>
          <w:rFonts w:ascii="Bookman Old Style" w:hAnsi="Bookman Old Style"/>
          <w:lang w:val="es-CO"/>
        </w:rPr>
      </w:pPr>
      <w:r w:rsidRPr="002E2585">
        <w:rPr>
          <w:rFonts w:ascii="Bookman Old Style" w:hAnsi="Bookman Old Style"/>
        </w:rPr>
        <w:t>P</w:t>
      </w:r>
      <w:r w:rsidRPr="002E2585">
        <w:rPr>
          <w:rFonts w:ascii="Bookman Old Style" w:hAnsi="Bookman Old Style"/>
          <w:lang w:val="es-CO"/>
        </w:rPr>
        <w:t xml:space="preserve">ara el caso del producto proveniente de Cusiana, mediante Resolución CREG 123 de 2010, la CREG amplió el régimen de libertad regulada para todas las fuentes comercializadas por Ecopetrol, incluidas las nuevas fuentes. A partir de dicha decisión, se estableció que el precio máximo regulado de suministro del GLP producido en el campo de Cusiana sería determinado aplicando lo dispuesto </w:t>
      </w:r>
      <w:r w:rsidRPr="002E2585">
        <w:rPr>
          <w:rFonts w:ascii="Bookman Old Style" w:hAnsi="Bookman Old Style"/>
          <w:lang w:val="es-CO"/>
        </w:rPr>
        <w:lastRenderedPageBreak/>
        <w:t>en el artículo 3 de la Resolución CREG 066 de 2007, el cual corresponde al</w:t>
      </w:r>
      <w:r w:rsidRPr="002E2585">
        <w:rPr>
          <w:rFonts w:ascii="Bookman Old Style" w:hAnsi="Bookman Old Style"/>
        </w:rPr>
        <w:t xml:space="preserve"> </w:t>
      </w:r>
      <w:r w:rsidRPr="002E2585">
        <w:rPr>
          <w:rFonts w:ascii="Bookman Old Style" w:hAnsi="Bookman Old Style"/>
          <w:lang w:val="es-CO"/>
        </w:rPr>
        <w:t>precio máximo regulado de suministro de GLP producido en la refinería de Barrancabermeja y en el campo de Apiay.</w:t>
      </w:r>
    </w:p>
    <w:p w:rsidR="00D0755A" w:rsidRDefault="00D0755A" w:rsidP="00D0755A">
      <w:pPr>
        <w:ind w:left="0"/>
        <w:contextualSpacing/>
        <w:jc w:val="both"/>
        <w:rPr>
          <w:rFonts w:ascii="Bookman Old Style" w:hAnsi="Bookman Old Style"/>
          <w:lang w:val="es-CO"/>
        </w:rPr>
      </w:pPr>
    </w:p>
    <w:p w:rsidR="009958C1" w:rsidRDefault="009958C1" w:rsidP="009958C1">
      <w:pPr>
        <w:ind w:left="0"/>
        <w:contextualSpacing/>
        <w:jc w:val="both"/>
        <w:rPr>
          <w:rFonts w:ascii="Bookman Old Style" w:hAnsi="Bookman Old Style"/>
          <w:lang w:val="es-CO"/>
        </w:rPr>
      </w:pPr>
      <w:r>
        <w:rPr>
          <w:rFonts w:ascii="Bookman Old Style" w:hAnsi="Bookman Old Style"/>
          <w:lang w:val="es-CO"/>
        </w:rPr>
        <w:t xml:space="preserve">El </w:t>
      </w:r>
      <w:r w:rsidRPr="009958C1">
        <w:rPr>
          <w:rFonts w:ascii="Bookman Old Style" w:hAnsi="Bookman Old Style"/>
          <w:lang w:val="es-CO"/>
        </w:rPr>
        <w:t>Documento CREG-095-2010</w:t>
      </w:r>
      <w:r>
        <w:rPr>
          <w:rFonts w:ascii="Bookman Old Style" w:hAnsi="Bookman Old Style"/>
          <w:lang w:val="es-CO"/>
        </w:rPr>
        <w:t xml:space="preserve">, soporte de la precitada resolución, señala que </w:t>
      </w:r>
      <w:r w:rsidRPr="009958C1">
        <w:rPr>
          <w:rFonts w:ascii="Bookman Old Style" w:hAnsi="Bookman Old Style"/>
          <w:lang w:val="es-CO"/>
        </w:rPr>
        <w:t>“</w:t>
      </w:r>
      <w:r>
        <w:rPr>
          <w:rFonts w:ascii="Bookman Old Style" w:hAnsi="Bookman Old Style"/>
          <w:lang w:val="es-CO"/>
        </w:rPr>
        <w:t>p</w:t>
      </w:r>
      <w:r w:rsidRPr="009958C1">
        <w:rPr>
          <w:rFonts w:ascii="Bookman Old Style" w:hAnsi="Bookman Old Style"/>
          <w:lang w:val="es-CO"/>
        </w:rPr>
        <w:t>ara el GLP procedente del campo Cusiana, se ha considerado que dada su situación geográfica y por lo tanto su dificultad de exportarlo, su oportunidad es colocarlo en el mercado doméstico del centro del país. Por consiguiente</w:t>
      </w:r>
      <w:r w:rsidR="00291309">
        <w:rPr>
          <w:rFonts w:ascii="Bookman Old Style" w:hAnsi="Bookman Old Style"/>
          <w:lang w:val="es-CO"/>
        </w:rPr>
        <w:t>,</w:t>
      </w:r>
      <w:r w:rsidRPr="009958C1">
        <w:rPr>
          <w:rFonts w:ascii="Bookman Old Style" w:hAnsi="Bookman Old Style"/>
          <w:lang w:val="es-CO"/>
        </w:rPr>
        <w:t xml:space="preserve"> se propone establecer para este producto, mientras sea comercializado por Ecopetrol, el precio que se forma en el mercado del interior, es decir el precio aplicable al GLP procedente de la Refinería de Barrancabermeja y establecido en el artículo 3 de la Resolución CREG 066 de 2007”. </w:t>
      </w:r>
    </w:p>
    <w:p w:rsidR="009958C1" w:rsidRDefault="009958C1" w:rsidP="00D0755A">
      <w:pPr>
        <w:ind w:left="0"/>
        <w:contextualSpacing/>
        <w:jc w:val="both"/>
        <w:rPr>
          <w:rFonts w:ascii="Bookman Old Style" w:hAnsi="Bookman Old Style"/>
          <w:lang w:val="es-CO"/>
        </w:rPr>
      </w:pPr>
    </w:p>
    <w:p w:rsidR="00D0755A" w:rsidRDefault="00D0755A" w:rsidP="00D0755A">
      <w:pPr>
        <w:ind w:left="0"/>
        <w:contextualSpacing/>
        <w:jc w:val="both"/>
        <w:rPr>
          <w:rFonts w:ascii="Bookman Old Style" w:hAnsi="Bookman Old Style"/>
          <w:lang w:val="es-CO"/>
        </w:rPr>
      </w:pPr>
      <w:r>
        <w:rPr>
          <w:rFonts w:ascii="Bookman Old Style" w:hAnsi="Bookman Old Style"/>
          <w:lang w:val="es-CO"/>
        </w:rPr>
        <w:t xml:space="preserve">Así mismo, mediante Resolución CREG 095 de 2011, la Comisión determinó el </w:t>
      </w:r>
      <w:r w:rsidRPr="00D0755A">
        <w:rPr>
          <w:rFonts w:ascii="Bookman Old Style" w:hAnsi="Bookman Old Style"/>
          <w:lang w:val="es-CO"/>
        </w:rPr>
        <w:t>precio del GLP proveniente de las plantas de gas de Dina y Gigante comercializadas por Ecopetrol S.A</w:t>
      </w:r>
      <w:r>
        <w:rPr>
          <w:rFonts w:ascii="Bookman Old Style" w:hAnsi="Bookman Old Style"/>
          <w:lang w:val="es-CO"/>
        </w:rPr>
        <w:t>. Dicha resolución establece que “</w:t>
      </w:r>
      <w:r w:rsidRPr="00D0755A">
        <w:rPr>
          <w:rFonts w:ascii="Bookman Old Style" w:hAnsi="Bookman Old Style"/>
          <w:i/>
          <w:lang w:val="es-CO"/>
        </w:rPr>
        <w:t>el precio máximo regulado de suministro del GLP proveniente de las plantas de gas de Dina y Gigante para el suministro de Comercializadores Mayoristas a Distribuidores será determinado aplicando lo dispuesto en el artículo 3 de la Resolución CREG 066 de 2007, siempre que se cumplan los supuestos señalados en el artículo 1 de la Resolución 123 de 2010</w:t>
      </w:r>
      <w:r>
        <w:rPr>
          <w:rFonts w:ascii="Bookman Old Style" w:hAnsi="Bookman Old Style"/>
          <w:lang w:val="es-CO"/>
        </w:rPr>
        <w:t>”</w:t>
      </w:r>
      <w:r w:rsidRPr="00D0755A">
        <w:rPr>
          <w:rFonts w:ascii="Bookman Old Style" w:hAnsi="Bookman Old Style"/>
          <w:lang w:val="es-CO"/>
        </w:rPr>
        <w:t>.</w:t>
      </w:r>
      <w:r>
        <w:rPr>
          <w:rFonts w:ascii="Bookman Old Style" w:hAnsi="Bookman Old Style"/>
          <w:lang w:val="es-CO"/>
        </w:rPr>
        <w:t xml:space="preserve"> </w:t>
      </w:r>
    </w:p>
    <w:p w:rsidR="00BA49ED" w:rsidRDefault="00BA49ED" w:rsidP="00D0755A">
      <w:pPr>
        <w:ind w:left="0"/>
        <w:contextualSpacing/>
        <w:jc w:val="both"/>
        <w:rPr>
          <w:rFonts w:ascii="Bookman Old Style" w:hAnsi="Bookman Old Style"/>
          <w:lang w:val="es-CO"/>
        </w:rPr>
      </w:pPr>
    </w:p>
    <w:p w:rsidR="00BA49ED" w:rsidRDefault="00BA49ED" w:rsidP="00BA49ED">
      <w:pPr>
        <w:ind w:left="0"/>
        <w:contextualSpacing/>
        <w:jc w:val="both"/>
        <w:rPr>
          <w:rFonts w:ascii="Bookman Old Style" w:hAnsi="Bookman Old Style"/>
          <w:lang w:val="es-CO"/>
        </w:rPr>
      </w:pPr>
      <w:r>
        <w:rPr>
          <w:rFonts w:ascii="Bookman Old Style" w:hAnsi="Bookman Old Style"/>
          <w:lang w:val="es-CO"/>
        </w:rPr>
        <w:t xml:space="preserve">El documento </w:t>
      </w:r>
      <w:r w:rsidRPr="00BA49ED">
        <w:rPr>
          <w:rFonts w:ascii="Bookman Old Style" w:hAnsi="Bookman Old Style"/>
          <w:lang w:val="es-CO"/>
        </w:rPr>
        <w:t>CREG-077-2011</w:t>
      </w:r>
      <w:r>
        <w:rPr>
          <w:rFonts w:ascii="Bookman Old Style" w:hAnsi="Bookman Old Style"/>
          <w:lang w:val="es-CO"/>
        </w:rPr>
        <w:t>,</w:t>
      </w:r>
      <w:r w:rsidRPr="00BA49ED">
        <w:rPr>
          <w:rFonts w:ascii="Bookman Old Style" w:hAnsi="Bookman Old Style"/>
          <w:lang w:val="es-CO"/>
        </w:rPr>
        <w:t xml:space="preserve"> </w:t>
      </w:r>
      <w:r>
        <w:rPr>
          <w:rFonts w:ascii="Bookman Old Style" w:hAnsi="Bookman Old Style"/>
          <w:lang w:val="es-CO"/>
        </w:rPr>
        <w:t xml:space="preserve">soporte de la Resolución CREG 095 de 2011, señala, dentro de las consideraciones tenidas en cuenta por la Comisión para la definición del precio de Dina y Gigante que </w:t>
      </w:r>
      <w:r w:rsidRPr="00BA49ED">
        <w:rPr>
          <w:rFonts w:ascii="Bookman Old Style" w:hAnsi="Bookman Old Style"/>
          <w:lang w:val="es-CO"/>
        </w:rPr>
        <w:t>“</w:t>
      </w:r>
      <w:r>
        <w:rPr>
          <w:rFonts w:ascii="Bookman Old Style" w:hAnsi="Bookman Old Style"/>
          <w:lang w:val="es-CO"/>
        </w:rPr>
        <w:t>e</w:t>
      </w:r>
      <w:r w:rsidRPr="00BA49ED">
        <w:rPr>
          <w:rFonts w:ascii="Bookman Old Style" w:hAnsi="Bookman Old Style"/>
          <w:lang w:val="es-CO"/>
        </w:rPr>
        <w:t>l potencial de GLP de las plantas de Dina y Gigante es relativamente pequeño (Apróx. 1,6%, 260BFP). Por lo tanto</w:t>
      </w:r>
      <w:r w:rsidR="00291309">
        <w:rPr>
          <w:rFonts w:ascii="Bookman Old Style" w:hAnsi="Bookman Old Style"/>
          <w:lang w:val="es-CO"/>
        </w:rPr>
        <w:t>,</w:t>
      </w:r>
      <w:r w:rsidRPr="00BA49ED">
        <w:rPr>
          <w:rFonts w:ascii="Bookman Old Style" w:hAnsi="Bookman Old Style"/>
          <w:lang w:val="es-CO"/>
        </w:rPr>
        <w:t xml:space="preserve"> no tendría una influencia significativa sobre los precios del mercado y la solicitud de la empresa, podría afectar negativamente el bienestar social y las señales económicas de promoción de la competencia que sea dado para esta actividad en la regulación establecida por la CREG.</w:t>
      </w:r>
      <w:r>
        <w:rPr>
          <w:rFonts w:ascii="Bookman Old Style" w:hAnsi="Bookman Old Style"/>
          <w:lang w:val="es-CO"/>
        </w:rPr>
        <w:t xml:space="preserve"> </w:t>
      </w:r>
      <w:r w:rsidRPr="00BA49ED">
        <w:rPr>
          <w:rFonts w:ascii="Bookman Old Style" w:hAnsi="Bookman Old Style"/>
          <w:lang w:val="es-CO"/>
        </w:rPr>
        <w:t xml:space="preserve">(…) Es importante conservar una misma señal de precios en mercados atendidos por el mismo comercializador, que en este caso, es el costo de oportunidad del GLP en el mercado del interior, es decir, el de paridad de Exportación del GLP de Barrancabermeja”. </w:t>
      </w:r>
    </w:p>
    <w:p w:rsidR="00BA49ED" w:rsidRDefault="00BA49ED" w:rsidP="00D0755A">
      <w:pPr>
        <w:ind w:left="0"/>
        <w:contextualSpacing/>
        <w:jc w:val="both"/>
        <w:rPr>
          <w:rFonts w:ascii="Bookman Old Style" w:hAnsi="Bookman Old Style"/>
          <w:lang w:val="es-CO"/>
        </w:rPr>
      </w:pPr>
    </w:p>
    <w:p w:rsidR="00372CFA" w:rsidRDefault="00372CFA" w:rsidP="00D0755A">
      <w:pPr>
        <w:ind w:left="0"/>
        <w:contextualSpacing/>
        <w:jc w:val="both"/>
        <w:rPr>
          <w:rFonts w:ascii="Bookman Old Style" w:hAnsi="Bookman Old Style"/>
          <w:lang w:val="es-CO"/>
        </w:rPr>
      </w:pPr>
      <w:r>
        <w:rPr>
          <w:rFonts w:ascii="Bookman Old Style" w:hAnsi="Bookman Old Style"/>
          <w:lang w:val="es-CO"/>
        </w:rPr>
        <w:t>D</w:t>
      </w:r>
      <w:r w:rsidRPr="00372CFA">
        <w:rPr>
          <w:rFonts w:ascii="Bookman Old Style" w:hAnsi="Bookman Old Style"/>
          <w:lang w:val="es-CO"/>
        </w:rPr>
        <w:t>e conformidad con lo dispuesto en el parágrafo del artículo 1 de la Resolución CREG 123 de 2010, previo a la comercialización, Ecopetrol debe solicitar a la CREG, mediante comunicación escrita, el precio regulado aplicable a la fuente de producción nacional que pretende comercializar</w:t>
      </w:r>
      <w:r>
        <w:rPr>
          <w:rFonts w:ascii="Bookman Old Style" w:hAnsi="Bookman Old Style"/>
          <w:lang w:val="es-CO"/>
        </w:rPr>
        <w:t>.</w:t>
      </w:r>
    </w:p>
    <w:p w:rsidR="00372CFA" w:rsidRPr="002E2585" w:rsidRDefault="00372CFA" w:rsidP="00D0755A">
      <w:pPr>
        <w:ind w:left="0"/>
        <w:contextualSpacing/>
        <w:jc w:val="both"/>
        <w:rPr>
          <w:rFonts w:ascii="Bookman Old Style" w:hAnsi="Bookman Old Style"/>
          <w:lang w:val="es-CO"/>
        </w:rPr>
      </w:pPr>
    </w:p>
    <w:p w:rsidR="00D0755A" w:rsidRDefault="00D0755A" w:rsidP="00D0755A">
      <w:pPr>
        <w:ind w:left="0"/>
        <w:contextualSpacing/>
        <w:jc w:val="both"/>
        <w:rPr>
          <w:rFonts w:ascii="Bookman Old Style" w:hAnsi="Bookman Old Style"/>
          <w:lang w:val="es-CO"/>
        </w:rPr>
      </w:pPr>
      <w:r w:rsidRPr="002E2585">
        <w:rPr>
          <w:rFonts w:ascii="Bookman Old Style" w:hAnsi="Bookman Old Style"/>
          <w:lang w:val="es-CO"/>
        </w:rPr>
        <w:t>Mediante comunicación 2-2019-093-2919, con radicado CREG E-2019-002597,</w:t>
      </w:r>
      <w:r w:rsidR="008E1715">
        <w:rPr>
          <w:rFonts w:ascii="Bookman Old Style" w:hAnsi="Bookman Old Style"/>
          <w:lang w:val="es-CO"/>
        </w:rPr>
        <w:t xml:space="preserve"> de fecha 26 de febrero de 2019,</w:t>
      </w:r>
      <w:r w:rsidRPr="002E2585">
        <w:rPr>
          <w:rFonts w:ascii="Bookman Old Style" w:hAnsi="Bookman Old Style"/>
          <w:lang w:val="es-CO"/>
        </w:rPr>
        <w:t xml:space="preserve"> el representante legal de Ecopetrol, con fundamento en el artículo 1 de la Resolución CREG 123 de 2010, hizo las siguientes solicitudes:</w:t>
      </w:r>
    </w:p>
    <w:p w:rsidR="00D0755A" w:rsidRPr="002E2585" w:rsidRDefault="00D0755A" w:rsidP="00D0755A">
      <w:pPr>
        <w:ind w:left="0"/>
        <w:contextualSpacing/>
        <w:jc w:val="both"/>
        <w:rPr>
          <w:rFonts w:ascii="Bookman Old Style" w:hAnsi="Bookman Old Style"/>
          <w:lang w:val="es-CO"/>
        </w:rPr>
      </w:pPr>
    </w:p>
    <w:p w:rsidR="00D0755A" w:rsidRPr="002E2585" w:rsidRDefault="00D0755A" w:rsidP="00D0755A">
      <w:pPr>
        <w:ind w:left="284" w:right="284"/>
        <w:jc w:val="both"/>
        <w:rPr>
          <w:rFonts w:ascii="Bookman Old Style" w:hAnsi="Bookman Old Style" w:cs="Arial"/>
          <w:i/>
          <w:spacing w:val="-5"/>
          <w:sz w:val="22"/>
          <w:szCs w:val="22"/>
          <w:lang w:val="es-CO"/>
        </w:rPr>
      </w:pPr>
      <w:r w:rsidRPr="002E2585">
        <w:rPr>
          <w:rFonts w:ascii="Bookman Old Style" w:hAnsi="Bookman Old Style" w:cs="Arial"/>
          <w:spacing w:val="-5"/>
          <w:sz w:val="22"/>
          <w:szCs w:val="22"/>
          <w:lang w:val="es-CO"/>
        </w:rPr>
        <w:t>“</w:t>
      </w:r>
      <w:r w:rsidRPr="002E2585">
        <w:rPr>
          <w:rFonts w:ascii="Bookman Old Style" w:hAnsi="Bookman Old Style" w:cs="Arial"/>
          <w:i/>
          <w:spacing w:val="-5"/>
          <w:sz w:val="22"/>
          <w:szCs w:val="22"/>
          <w:lang w:val="es-CO"/>
        </w:rPr>
        <w:t>1. Establezca el precio máximo regulado para el GLP de Cupiagua, nueva fuente de producción nacional a ser comercializada por Ecopetrol.</w:t>
      </w:r>
    </w:p>
    <w:p w:rsidR="00D0755A" w:rsidRPr="002E2585" w:rsidRDefault="00D0755A" w:rsidP="00D0755A">
      <w:pPr>
        <w:ind w:left="284" w:right="284"/>
        <w:jc w:val="both"/>
        <w:rPr>
          <w:rFonts w:ascii="Bookman Old Style" w:hAnsi="Bookman Old Style" w:cs="Arial"/>
          <w:i/>
          <w:spacing w:val="-5"/>
          <w:sz w:val="22"/>
          <w:szCs w:val="22"/>
          <w:lang w:val="es-CO"/>
        </w:rPr>
      </w:pPr>
    </w:p>
    <w:p w:rsidR="00D0755A" w:rsidRPr="002E2585" w:rsidRDefault="00D0755A" w:rsidP="00D0755A">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2. Establezca que Ecopetrol podrá comercializar este producto a un precio máximo regulado igual al precio de paridad de importación del GLP, referenciado al mercado de Mont Belvieu, Estados Unidos.</w:t>
      </w:r>
    </w:p>
    <w:p w:rsidR="00D0755A" w:rsidRDefault="00D0755A" w:rsidP="00D0755A">
      <w:pPr>
        <w:ind w:left="284" w:right="284"/>
        <w:jc w:val="both"/>
        <w:rPr>
          <w:rFonts w:ascii="Bookman Old Style" w:hAnsi="Bookman Old Style" w:cs="Arial"/>
          <w:i/>
          <w:spacing w:val="-5"/>
          <w:sz w:val="22"/>
          <w:szCs w:val="22"/>
          <w:lang w:val="es-CO"/>
        </w:rPr>
      </w:pPr>
    </w:p>
    <w:p w:rsidR="007F6D26" w:rsidRDefault="007F6D26" w:rsidP="00D0755A">
      <w:pPr>
        <w:ind w:left="284" w:right="284"/>
        <w:jc w:val="both"/>
        <w:rPr>
          <w:rFonts w:ascii="Bookman Old Style" w:hAnsi="Bookman Old Style" w:cs="Arial"/>
          <w:i/>
          <w:spacing w:val="-5"/>
          <w:sz w:val="22"/>
          <w:szCs w:val="22"/>
          <w:lang w:val="es-CO"/>
        </w:rPr>
      </w:pPr>
    </w:p>
    <w:p w:rsidR="007F6D26" w:rsidRPr="002E2585" w:rsidRDefault="007F6D26" w:rsidP="00D0755A">
      <w:pPr>
        <w:ind w:left="284" w:right="284"/>
        <w:jc w:val="both"/>
        <w:rPr>
          <w:rFonts w:ascii="Bookman Old Style" w:hAnsi="Bookman Old Style" w:cs="Arial"/>
          <w:i/>
          <w:spacing w:val="-5"/>
          <w:sz w:val="22"/>
          <w:szCs w:val="22"/>
          <w:lang w:val="es-CO"/>
        </w:rPr>
      </w:pPr>
    </w:p>
    <w:p w:rsidR="00D0755A" w:rsidRPr="002E2585" w:rsidRDefault="00D0755A" w:rsidP="00D0755A">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3. Adopte medidas transitorias para la comercialización del GLP producido en Cupiagua durante el segundo semestre de 2019. En específico:</w:t>
      </w:r>
    </w:p>
    <w:p w:rsidR="00D0755A" w:rsidRPr="002E2585" w:rsidRDefault="00D0755A" w:rsidP="00D0755A">
      <w:pPr>
        <w:ind w:left="284" w:right="284"/>
        <w:jc w:val="both"/>
        <w:rPr>
          <w:rFonts w:ascii="Bookman Old Style" w:hAnsi="Bookman Old Style" w:cs="Arial"/>
          <w:i/>
          <w:spacing w:val="-5"/>
          <w:sz w:val="22"/>
          <w:szCs w:val="22"/>
          <w:lang w:val="es-CO"/>
        </w:rPr>
      </w:pPr>
    </w:p>
    <w:p w:rsidR="00D0755A" w:rsidRPr="002E2585" w:rsidRDefault="00D0755A" w:rsidP="00D0755A">
      <w:pPr>
        <w:ind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a. Que le permita a Ecopetrol comercializar el GLP producido durante la etapa de comisionamiento mediante contratos interrumpibles. Durante esa etapa, programada para los meses de junio, julio y agosto de 2019. Ecopetrol espera estabilizar la producción de la planta.</w:t>
      </w:r>
    </w:p>
    <w:p w:rsidR="00D0755A" w:rsidRPr="002E2585" w:rsidRDefault="00D0755A" w:rsidP="00D0755A">
      <w:pPr>
        <w:ind w:right="284"/>
        <w:jc w:val="both"/>
        <w:rPr>
          <w:rFonts w:ascii="Bookman Old Style" w:hAnsi="Bookman Old Style" w:cs="Arial"/>
          <w:i/>
          <w:spacing w:val="-5"/>
          <w:sz w:val="22"/>
          <w:szCs w:val="22"/>
          <w:lang w:val="es-CO"/>
        </w:rPr>
      </w:pPr>
    </w:p>
    <w:p w:rsidR="00D0755A" w:rsidRPr="002E2585" w:rsidRDefault="00D0755A" w:rsidP="00D0755A">
      <w:pPr>
        <w:ind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 xml:space="preserve">b. Que le permita a Ecopetrol realizar una oferta pública de cantidades en agosto de 2019, para comercializar el GLP producido por esta fuente durante los meses de septiembre a diciembre de 2019, sin que se aplique la compensación prevista en el parágrafo 1 del artículo 13 de la Resolución CREG 053 de 2011, modificado por el artículo 1 de la Resolución CREG 064 de 2016. Lo anterior teniendo en cuenta que en agosto se tendría certidumbre de la fecha de terminación parta el resto del año” </w:t>
      </w:r>
    </w:p>
    <w:p w:rsidR="00D0755A" w:rsidRPr="002E2585" w:rsidRDefault="00D0755A" w:rsidP="00D0755A">
      <w:pPr>
        <w:ind w:left="0"/>
        <w:contextualSpacing/>
        <w:jc w:val="both"/>
        <w:rPr>
          <w:rFonts w:ascii="Bookman Old Style" w:hAnsi="Bookman Old Style"/>
          <w:lang w:val="es-CO"/>
        </w:rPr>
      </w:pPr>
    </w:p>
    <w:p w:rsidR="008E1715" w:rsidRDefault="00EC75DF" w:rsidP="00D0755A">
      <w:pPr>
        <w:ind w:left="0"/>
        <w:contextualSpacing/>
        <w:jc w:val="both"/>
        <w:rPr>
          <w:rFonts w:ascii="Bookman Old Style" w:hAnsi="Bookman Old Style"/>
          <w:lang w:val="es-CO"/>
        </w:rPr>
      </w:pPr>
      <w:r>
        <w:rPr>
          <w:rFonts w:ascii="Bookman Old Style" w:hAnsi="Bookman Old Style"/>
          <w:lang w:val="es-CO"/>
        </w:rPr>
        <w:t>Una vez analizada la comple</w:t>
      </w:r>
      <w:r w:rsidR="00291309">
        <w:rPr>
          <w:rFonts w:ascii="Bookman Old Style" w:hAnsi="Bookman Old Style"/>
          <w:lang w:val="es-CO"/>
        </w:rPr>
        <w:t>ti</w:t>
      </w:r>
      <w:r>
        <w:rPr>
          <w:rFonts w:ascii="Bookman Old Style" w:hAnsi="Bookman Old Style"/>
          <w:lang w:val="es-CO"/>
        </w:rPr>
        <w:t>tud de la información allegada con la solicitud, la Comisión consideró necesario realizar un requerimiento de información a Ec</w:t>
      </w:r>
      <w:r w:rsidR="00A855AE">
        <w:rPr>
          <w:rFonts w:ascii="Bookman Old Style" w:hAnsi="Bookman Old Style"/>
          <w:lang w:val="es-CO"/>
        </w:rPr>
        <w:t>opetrol mediante radicado CREG S</w:t>
      </w:r>
      <w:r>
        <w:rPr>
          <w:rFonts w:ascii="Bookman Old Style" w:hAnsi="Bookman Old Style"/>
          <w:lang w:val="es-CO"/>
        </w:rPr>
        <w:t>-2019-001452 del 18 de marzo de 2019.</w:t>
      </w:r>
    </w:p>
    <w:p w:rsidR="00EC75DF" w:rsidRDefault="00EC75DF" w:rsidP="00D0755A">
      <w:pPr>
        <w:ind w:left="0"/>
        <w:contextualSpacing/>
        <w:jc w:val="both"/>
        <w:rPr>
          <w:rFonts w:ascii="Bookman Old Style" w:hAnsi="Bookman Old Style"/>
          <w:lang w:val="es-CO"/>
        </w:rPr>
      </w:pPr>
    </w:p>
    <w:p w:rsidR="008E1715" w:rsidRDefault="00EC75DF" w:rsidP="00D0755A">
      <w:pPr>
        <w:ind w:left="0"/>
        <w:contextualSpacing/>
        <w:jc w:val="both"/>
        <w:rPr>
          <w:rFonts w:ascii="Bookman Old Style" w:hAnsi="Bookman Old Style"/>
          <w:lang w:val="es-CO"/>
        </w:rPr>
      </w:pPr>
      <w:r>
        <w:rPr>
          <w:rFonts w:ascii="Bookman Old Style" w:hAnsi="Bookman Old Style"/>
          <w:lang w:val="es-CO"/>
        </w:rPr>
        <w:t>Ecopetrol, mediante comunicación de 2-2019-093-5484, con radicado CREG E-2019</w:t>
      </w:r>
      <w:r w:rsidR="00F84B79">
        <w:rPr>
          <w:rFonts w:ascii="Bookman Old Style" w:hAnsi="Bookman Old Style"/>
          <w:lang w:val="es-CO"/>
        </w:rPr>
        <w:t>-003980 del 3 de abril de 2019, allegó la información solicitada.</w:t>
      </w:r>
    </w:p>
    <w:p w:rsidR="00EC75DF" w:rsidRDefault="00EC75DF" w:rsidP="00D0755A">
      <w:pPr>
        <w:ind w:left="0"/>
        <w:contextualSpacing/>
        <w:jc w:val="both"/>
        <w:rPr>
          <w:rFonts w:ascii="Bookman Old Style" w:hAnsi="Bookman Old Style"/>
          <w:lang w:val="es-CO"/>
        </w:rPr>
      </w:pPr>
    </w:p>
    <w:p w:rsidR="00EC75DF" w:rsidRDefault="00EC75DF" w:rsidP="00D0755A">
      <w:pPr>
        <w:ind w:left="0"/>
        <w:contextualSpacing/>
        <w:jc w:val="both"/>
        <w:rPr>
          <w:rFonts w:ascii="Bookman Old Style" w:hAnsi="Bookman Old Style"/>
          <w:lang w:val="es-CO"/>
        </w:rPr>
      </w:pPr>
      <w:r>
        <w:rPr>
          <w:rFonts w:ascii="Bookman Old Style" w:hAnsi="Bookman Old Style"/>
          <w:lang w:val="es-CO"/>
        </w:rPr>
        <w:t xml:space="preserve">Después de revisar la información remitida por Ecopetrol, y al verificar que la información está completa, la Comisión procedió a </w:t>
      </w:r>
      <w:r w:rsidRPr="00EC75DF">
        <w:rPr>
          <w:rFonts w:ascii="Bookman Old Style" w:hAnsi="Bookman Old Style"/>
          <w:lang w:val="es-CO"/>
        </w:rPr>
        <w:t>ordena</w:t>
      </w:r>
      <w:r>
        <w:rPr>
          <w:rFonts w:ascii="Bookman Old Style" w:hAnsi="Bookman Old Style"/>
          <w:lang w:val="es-CO"/>
        </w:rPr>
        <w:t xml:space="preserve">r </w:t>
      </w:r>
      <w:r w:rsidRPr="00EC75DF">
        <w:rPr>
          <w:rFonts w:ascii="Bookman Old Style" w:hAnsi="Bookman Old Style"/>
          <w:lang w:val="es-CO"/>
        </w:rPr>
        <w:t xml:space="preserve">la creación de un expediente administrativo y </w:t>
      </w:r>
      <w:r w:rsidR="00291309">
        <w:rPr>
          <w:rFonts w:ascii="Bookman Old Style" w:hAnsi="Bookman Old Style"/>
          <w:lang w:val="es-CO"/>
        </w:rPr>
        <w:t>desarrollar</w:t>
      </w:r>
      <w:r w:rsidRPr="00EC75DF">
        <w:rPr>
          <w:rFonts w:ascii="Bookman Old Style" w:hAnsi="Bookman Old Style"/>
          <w:lang w:val="es-CO"/>
        </w:rPr>
        <w:t xml:space="preserve"> una actuación administrativa particular con el objeto de resolver las solicitudes hechas por Ecopetrol en los numerales 1 y 2 de su comunicación.</w:t>
      </w:r>
    </w:p>
    <w:p w:rsidR="00EC75DF" w:rsidRDefault="00EC75DF" w:rsidP="00D0755A">
      <w:pPr>
        <w:ind w:left="0"/>
        <w:contextualSpacing/>
        <w:jc w:val="both"/>
        <w:rPr>
          <w:rFonts w:ascii="Bookman Old Style" w:hAnsi="Bookman Old Style"/>
          <w:lang w:val="es-CO"/>
        </w:rPr>
      </w:pPr>
    </w:p>
    <w:p w:rsidR="005F32B6" w:rsidRPr="00DE5B72" w:rsidRDefault="00D273C6" w:rsidP="005F32B6">
      <w:pPr>
        <w:ind w:left="0"/>
        <w:contextualSpacing/>
        <w:jc w:val="both"/>
        <w:rPr>
          <w:rFonts w:ascii="Bookman Old Style" w:hAnsi="Bookman Old Style"/>
          <w:lang w:val="es-CO"/>
        </w:rPr>
      </w:pPr>
      <w:r>
        <w:rPr>
          <w:rFonts w:ascii="Bookman Old Style" w:hAnsi="Bookman Old Style"/>
          <w:lang w:val="es-CO"/>
        </w:rPr>
        <w:t xml:space="preserve">Frente a la </w:t>
      </w:r>
      <w:r w:rsidR="005F32B6">
        <w:rPr>
          <w:rFonts w:ascii="Bookman Old Style" w:hAnsi="Bookman Old Style"/>
          <w:lang w:val="es-CO"/>
        </w:rPr>
        <w:t xml:space="preserve">solicitud de numeral 3 de la comunicación de radicado </w:t>
      </w:r>
      <w:r w:rsidR="005F32B6" w:rsidRPr="002E2585">
        <w:rPr>
          <w:rFonts w:ascii="Bookman Old Style" w:hAnsi="Bookman Old Style"/>
          <w:lang w:val="es-CO"/>
        </w:rPr>
        <w:t>CREG E-2019-002597</w:t>
      </w:r>
      <w:r w:rsidR="005F32B6">
        <w:rPr>
          <w:rFonts w:ascii="Bookman Old Style" w:hAnsi="Bookman Old Style"/>
          <w:lang w:val="es-CO"/>
        </w:rPr>
        <w:t>, m</w:t>
      </w:r>
      <w:r w:rsidR="005F32B6" w:rsidRPr="00A56918">
        <w:rPr>
          <w:rFonts w:ascii="Bookman Old Style" w:hAnsi="Bookman Old Style"/>
          <w:lang w:val="es-CO"/>
        </w:rPr>
        <w:t xml:space="preserve">ediante la Resolución CREG </w:t>
      </w:r>
      <w:r w:rsidR="005F32B6">
        <w:rPr>
          <w:rFonts w:ascii="Bookman Old Style" w:hAnsi="Bookman Old Style"/>
          <w:lang w:val="es-CO"/>
        </w:rPr>
        <w:t>083 de 2019</w:t>
      </w:r>
      <w:r w:rsidR="005F32B6" w:rsidRPr="00A56918">
        <w:rPr>
          <w:rFonts w:ascii="Bookman Old Style" w:hAnsi="Bookman Old Style"/>
          <w:lang w:val="es-CO"/>
        </w:rPr>
        <w:t xml:space="preserve"> la Comisión </w:t>
      </w:r>
      <w:r w:rsidR="005F32B6">
        <w:rPr>
          <w:rFonts w:ascii="Bookman Old Style" w:hAnsi="Bookman Old Style"/>
          <w:lang w:val="es-CO"/>
        </w:rPr>
        <w:t xml:space="preserve">expidió la resolución </w:t>
      </w:r>
      <w:r w:rsidR="005F32B6" w:rsidRPr="009B0E34">
        <w:rPr>
          <w:rFonts w:ascii="Bookman Old Style" w:hAnsi="Bookman Old Style"/>
          <w:i/>
          <w:lang w:val="es-CO"/>
        </w:rPr>
        <w:t>“Por la cual se adoptan medidas regulatorias para la comercialización de GLP de comisionamiento de la planta de estabilización de condensados de Cupiagua”</w:t>
      </w:r>
      <w:r w:rsidR="005F32B6">
        <w:rPr>
          <w:rFonts w:ascii="Bookman Old Style" w:hAnsi="Bookman Old Style"/>
          <w:lang w:val="es-CO"/>
        </w:rPr>
        <w:t>.</w:t>
      </w:r>
    </w:p>
    <w:p w:rsidR="00D273C6" w:rsidRDefault="00D273C6" w:rsidP="00D0755A">
      <w:pPr>
        <w:ind w:left="0"/>
        <w:contextualSpacing/>
        <w:jc w:val="both"/>
        <w:rPr>
          <w:rFonts w:ascii="Bookman Old Style" w:hAnsi="Bookman Old Style"/>
          <w:lang w:val="es-CO"/>
        </w:rPr>
      </w:pPr>
    </w:p>
    <w:p w:rsidR="00372CFA" w:rsidRDefault="005F32B6" w:rsidP="00D0755A">
      <w:pPr>
        <w:ind w:left="0"/>
        <w:contextualSpacing/>
        <w:jc w:val="both"/>
        <w:rPr>
          <w:rFonts w:ascii="Bookman Old Style" w:hAnsi="Bookman Old Style"/>
          <w:lang w:val="es-CO"/>
        </w:rPr>
      </w:pPr>
      <w:r>
        <w:rPr>
          <w:rFonts w:ascii="Bookman Old Style" w:hAnsi="Bookman Old Style"/>
          <w:lang w:val="es-CO"/>
        </w:rPr>
        <w:t>En este sentido y frente a las dos primeras solicitudes, l</w:t>
      </w:r>
      <w:r w:rsidR="00372CFA">
        <w:rPr>
          <w:rFonts w:ascii="Bookman Old Style" w:hAnsi="Bookman Old Style"/>
          <w:lang w:val="es-CO"/>
        </w:rPr>
        <w:t xml:space="preserve">a Comisión </w:t>
      </w:r>
      <w:r>
        <w:rPr>
          <w:rFonts w:ascii="Bookman Old Style" w:hAnsi="Bookman Old Style"/>
          <w:lang w:val="es-CO"/>
        </w:rPr>
        <w:t>adelantó</w:t>
      </w:r>
      <w:r w:rsidR="00372CFA" w:rsidRPr="00372CFA">
        <w:rPr>
          <w:rFonts w:ascii="Bookman Old Style" w:hAnsi="Bookman Old Style"/>
          <w:lang w:val="es-CO"/>
        </w:rPr>
        <w:t xml:space="preserve"> la correspondiente a</w:t>
      </w:r>
      <w:r>
        <w:rPr>
          <w:rFonts w:ascii="Bookman Old Style" w:hAnsi="Bookman Old Style"/>
          <w:lang w:val="es-CO"/>
        </w:rPr>
        <w:t xml:space="preserve">ctuación administrativa, </w:t>
      </w:r>
      <w:r w:rsidR="008F33D2">
        <w:rPr>
          <w:rFonts w:ascii="Bookman Old Style" w:hAnsi="Bookman Old Style"/>
          <w:lang w:val="es-CO"/>
        </w:rPr>
        <w:t xml:space="preserve">iniciada mediante el </w:t>
      </w:r>
      <w:r w:rsidR="00372CFA" w:rsidRPr="00372CFA">
        <w:rPr>
          <w:rFonts w:ascii="Bookman Old Style" w:hAnsi="Bookman Old Style"/>
          <w:lang w:val="es-CO"/>
        </w:rPr>
        <w:t xml:space="preserve">Auto con radicado </w:t>
      </w:r>
      <w:r w:rsidR="00372CFA">
        <w:rPr>
          <w:rFonts w:ascii="Bookman Old Style" w:hAnsi="Bookman Old Style"/>
          <w:lang w:val="es-CO"/>
        </w:rPr>
        <w:t xml:space="preserve">CREG </w:t>
      </w:r>
      <w:r w:rsidR="00372CFA" w:rsidRPr="002E2585">
        <w:rPr>
          <w:rFonts w:ascii="Bookman Old Style" w:hAnsi="Bookman Old Style"/>
          <w:lang w:val="es-CO"/>
        </w:rPr>
        <w:t>I-2019-002617</w:t>
      </w:r>
      <w:r w:rsidR="008F33D2">
        <w:rPr>
          <w:rFonts w:ascii="Bookman Old Style" w:hAnsi="Bookman Old Style"/>
          <w:lang w:val="es-CO"/>
        </w:rPr>
        <w:t xml:space="preserve"> </w:t>
      </w:r>
      <w:r w:rsidR="00372CFA" w:rsidRPr="00372CFA">
        <w:rPr>
          <w:rFonts w:ascii="Bookman Old Style" w:hAnsi="Bookman Old Style"/>
          <w:lang w:val="es-CO"/>
        </w:rPr>
        <w:t>de</w:t>
      </w:r>
      <w:r w:rsidR="00372CFA">
        <w:rPr>
          <w:rFonts w:ascii="Bookman Old Style" w:hAnsi="Bookman Old Style"/>
          <w:lang w:val="es-CO"/>
        </w:rPr>
        <w:t>l</w:t>
      </w:r>
      <w:r w:rsidR="00372CFA" w:rsidRPr="00372CFA">
        <w:rPr>
          <w:rFonts w:ascii="Bookman Old Style" w:hAnsi="Bookman Old Style"/>
          <w:lang w:val="es-CO"/>
        </w:rPr>
        <w:t xml:space="preserve"> </w:t>
      </w:r>
      <w:r w:rsidR="00372CFA">
        <w:rPr>
          <w:rFonts w:ascii="Bookman Old Style" w:hAnsi="Bookman Old Style"/>
          <w:lang w:val="es-CO"/>
        </w:rPr>
        <w:t>10 de abril de 2019</w:t>
      </w:r>
      <w:r w:rsidR="00372CFA" w:rsidRPr="00372CFA">
        <w:rPr>
          <w:rFonts w:ascii="Bookman Old Style" w:hAnsi="Bookman Old Style"/>
          <w:lang w:val="es-CO"/>
        </w:rPr>
        <w:t xml:space="preserve">, </w:t>
      </w:r>
      <w:r w:rsidR="00F46107" w:rsidRPr="002E2585">
        <w:rPr>
          <w:rFonts w:ascii="Bookman Old Style" w:hAnsi="Bookman Old Style"/>
          <w:lang w:val="es-CO"/>
        </w:rPr>
        <w:t>el cual hace parte de la actuación administrativa del expediente 2019-0034</w:t>
      </w:r>
      <w:r w:rsidR="008F33D2">
        <w:rPr>
          <w:rFonts w:ascii="Bookman Old Style" w:hAnsi="Bookman Old Style"/>
          <w:lang w:val="es-CO"/>
        </w:rPr>
        <w:t>. El citado auto fue comunicado a</w:t>
      </w:r>
      <w:r w:rsidR="00372CFA" w:rsidRPr="00372CFA">
        <w:rPr>
          <w:rFonts w:ascii="Bookman Old Style" w:hAnsi="Bookman Old Style"/>
          <w:lang w:val="es-CO"/>
        </w:rPr>
        <w:t xml:space="preserve"> Ecopetrol </w:t>
      </w:r>
      <w:r w:rsidR="008F33D2">
        <w:rPr>
          <w:rFonts w:ascii="Bookman Old Style" w:hAnsi="Bookman Old Style"/>
          <w:lang w:val="es-CO"/>
        </w:rPr>
        <w:t>co</w:t>
      </w:r>
      <w:r w:rsidR="00372CFA">
        <w:rPr>
          <w:rFonts w:ascii="Bookman Old Style" w:hAnsi="Bookman Old Style"/>
          <w:lang w:val="es-CO"/>
        </w:rPr>
        <w:t xml:space="preserve">n radicado CREG </w:t>
      </w:r>
      <w:r w:rsidR="00015CDF">
        <w:rPr>
          <w:rFonts w:ascii="Bookman Old Style" w:hAnsi="Bookman Old Style"/>
          <w:lang w:val="es-CO"/>
        </w:rPr>
        <w:t xml:space="preserve">S-2019-001902 </w:t>
      </w:r>
      <w:r w:rsidR="00372CFA" w:rsidRPr="00361114">
        <w:rPr>
          <w:rFonts w:ascii="Bookman Old Style" w:hAnsi="Bookman Old Style"/>
          <w:lang w:val="es-CO"/>
        </w:rPr>
        <w:t xml:space="preserve">del </w:t>
      </w:r>
      <w:r w:rsidR="00015CDF">
        <w:rPr>
          <w:rFonts w:ascii="Bookman Old Style" w:hAnsi="Bookman Old Style"/>
          <w:lang w:val="es-CO"/>
        </w:rPr>
        <w:t>10 de abril de 2019</w:t>
      </w:r>
      <w:r w:rsidR="008F33D2">
        <w:rPr>
          <w:rFonts w:ascii="Bookman Old Style" w:hAnsi="Bookman Old Style"/>
          <w:lang w:val="es-CO"/>
        </w:rPr>
        <w:t xml:space="preserve"> y </w:t>
      </w:r>
      <w:r w:rsidR="00500CC8">
        <w:rPr>
          <w:rFonts w:ascii="Bookman Old Style" w:hAnsi="Bookman Old Style"/>
          <w:lang w:val="es-CO"/>
        </w:rPr>
        <w:t xml:space="preserve">fue </w:t>
      </w:r>
      <w:r w:rsidR="008F33D2">
        <w:rPr>
          <w:rFonts w:ascii="Bookman Old Style" w:hAnsi="Bookman Old Style"/>
          <w:lang w:val="es-CO"/>
        </w:rPr>
        <w:t xml:space="preserve">publicado en </w:t>
      </w:r>
      <w:r w:rsidR="00372CFA">
        <w:rPr>
          <w:rFonts w:ascii="Bookman Old Style" w:hAnsi="Bookman Old Style"/>
          <w:lang w:val="es-CO"/>
        </w:rPr>
        <w:t xml:space="preserve">el </w:t>
      </w:r>
      <w:r w:rsidR="00372CFA" w:rsidRPr="00372CFA">
        <w:rPr>
          <w:rFonts w:ascii="Bookman Old Style" w:hAnsi="Bookman Old Style"/>
          <w:i/>
          <w:lang w:val="es-CO"/>
        </w:rPr>
        <w:t>Diario Oficial</w:t>
      </w:r>
      <w:r w:rsidR="00372CFA">
        <w:rPr>
          <w:rFonts w:ascii="Bookman Old Style" w:hAnsi="Bookman Old Style"/>
          <w:lang w:val="es-CO"/>
        </w:rPr>
        <w:t xml:space="preserve"> el día 12 de abril de 2019</w:t>
      </w:r>
      <w:r w:rsidR="00F46107">
        <w:rPr>
          <w:rFonts w:ascii="Bookman Old Style" w:hAnsi="Bookman Old Style"/>
          <w:lang w:val="es-CO"/>
        </w:rPr>
        <w:t>.</w:t>
      </w:r>
    </w:p>
    <w:p w:rsidR="00372CFA" w:rsidRDefault="00372CFA" w:rsidP="00D0755A">
      <w:pPr>
        <w:ind w:left="0"/>
        <w:contextualSpacing/>
        <w:jc w:val="both"/>
        <w:rPr>
          <w:rFonts w:ascii="Bookman Old Style" w:hAnsi="Bookman Old Style"/>
          <w:lang w:val="es-CO"/>
        </w:rPr>
      </w:pPr>
    </w:p>
    <w:p w:rsidR="00D0755A" w:rsidRPr="002E2585" w:rsidRDefault="00F46107" w:rsidP="00D0755A">
      <w:pPr>
        <w:ind w:left="0"/>
        <w:contextualSpacing/>
        <w:jc w:val="both"/>
        <w:rPr>
          <w:rFonts w:ascii="Bookman Old Style" w:hAnsi="Bookman Old Style"/>
          <w:lang w:val="es-CO"/>
        </w:rPr>
      </w:pPr>
      <w:r>
        <w:rPr>
          <w:rFonts w:ascii="Bookman Old Style" w:hAnsi="Bookman Old Style"/>
          <w:lang w:val="es-CO"/>
        </w:rPr>
        <w:t xml:space="preserve">En el precitado Auto </w:t>
      </w:r>
      <w:r w:rsidR="00D0755A" w:rsidRPr="002E2585">
        <w:rPr>
          <w:rFonts w:ascii="Bookman Old Style" w:hAnsi="Bookman Old Style"/>
          <w:lang w:val="es-CO"/>
        </w:rPr>
        <w:t>esta Comisión precisó lo siguiente:</w:t>
      </w:r>
    </w:p>
    <w:p w:rsidR="00D0755A" w:rsidRPr="002E2585" w:rsidRDefault="00D0755A" w:rsidP="00D0755A">
      <w:pPr>
        <w:ind w:left="0"/>
        <w:jc w:val="both"/>
        <w:rPr>
          <w:rFonts w:ascii="Arial" w:hAnsi="Arial" w:cs="Arial"/>
          <w:spacing w:val="-5"/>
          <w:szCs w:val="20"/>
          <w:lang w:val="es-CO" w:eastAsia="en-US"/>
        </w:rPr>
      </w:pPr>
    </w:p>
    <w:p w:rsidR="00D0755A" w:rsidRPr="002E2585" w:rsidRDefault="00D0755A" w:rsidP="00D0755A">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“Teniendo en cuenta que el fundamento de su solicitud es el artículo 1 de la Resolución CREG 123 de 2010, el objeto de la actuación administrativa particular es definir el precio máximo regulado para el GLP de una fuente de producción nacional comercializada por Ecopetrol, toda vez que la regulación ya tiene previstos los mecanismos y disposiciones aplicables para la comercialización de GLP de precio regulado.</w:t>
      </w:r>
    </w:p>
    <w:p w:rsidR="00D0755A" w:rsidRPr="002E2585" w:rsidRDefault="00D0755A" w:rsidP="00D0755A">
      <w:pPr>
        <w:ind w:left="284" w:right="284"/>
        <w:jc w:val="both"/>
        <w:rPr>
          <w:rFonts w:ascii="Bookman Old Style" w:hAnsi="Bookman Old Style" w:cs="Arial"/>
          <w:i/>
          <w:spacing w:val="-5"/>
          <w:sz w:val="22"/>
          <w:szCs w:val="22"/>
          <w:lang w:val="es-CO"/>
        </w:rPr>
      </w:pPr>
    </w:p>
    <w:p w:rsidR="00D0755A" w:rsidRPr="002E2585" w:rsidRDefault="00D0755A" w:rsidP="00D0755A">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u w:val="single"/>
          <w:lang w:val="es-CO"/>
        </w:rPr>
        <w:t xml:space="preserve">Las solicitudes del numeral tercero hacen referencia al esquema de comercialización de GLP de precio regulado. Efectuar modificaciones o excepciones del reglamento de comercialización mayorista no hace parte de la actuación administrativa particular. No obstante, la Comisión, en caso de encontrarlo procedente, llevará a cabo dichas </w:t>
      </w:r>
      <w:r w:rsidRPr="002E2585">
        <w:rPr>
          <w:rFonts w:ascii="Bookman Old Style" w:hAnsi="Bookman Old Style" w:cs="Arial"/>
          <w:i/>
          <w:spacing w:val="-5"/>
          <w:sz w:val="22"/>
          <w:szCs w:val="22"/>
          <w:u w:val="single"/>
          <w:lang w:val="es-CO"/>
        </w:rPr>
        <w:lastRenderedPageBreak/>
        <w:t>modificaciones en resolución de carácter general, la cual surtirá el proceso de consulta correspondiente</w:t>
      </w:r>
      <w:r w:rsidRPr="002E2585">
        <w:rPr>
          <w:rFonts w:ascii="Bookman Old Style" w:hAnsi="Bookman Old Style" w:cs="Arial"/>
          <w:i/>
          <w:spacing w:val="-5"/>
          <w:sz w:val="22"/>
          <w:szCs w:val="22"/>
          <w:lang w:val="es-CO"/>
        </w:rPr>
        <w:t>.” (Resaltado fuera de texto)</w:t>
      </w:r>
    </w:p>
    <w:p w:rsidR="00DE5B72" w:rsidRDefault="00DE5B72" w:rsidP="00DE5B72">
      <w:pPr>
        <w:ind w:left="0"/>
        <w:contextualSpacing/>
        <w:jc w:val="both"/>
        <w:rPr>
          <w:rFonts w:ascii="Bookman Old Style" w:hAnsi="Bookman Old Style"/>
          <w:lang w:val="es-CO"/>
        </w:rPr>
      </w:pPr>
    </w:p>
    <w:p w:rsidR="00DE5B72" w:rsidRDefault="00A07212" w:rsidP="00A07212">
      <w:pPr>
        <w:ind w:left="0"/>
        <w:contextualSpacing/>
        <w:jc w:val="both"/>
        <w:rPr>
          <w:rFonts w:ascii="Bookman Old Style" w:hAnsi="Bookman Old Style"/>
          <w:lang w:val="es-CO"/>
        </w:rPr>
      </w:pPr>
      <w:r>
        <w:rPr>
          <w:rFonts w:ascii="Bookman Old Style" w:hAnsi="Bookman Old Style"/>
          <w:lang w:val="es-CO"/>
        </w:rPr>
        <w:t>De otro lado, m</w:t>
      </w:r>
      <w:r w:rsidRPr="00A07212">
        <w:rPr>
          <w:rFonts w:ascii="Bookman Old Style" w:hAnsi="Bookman Old Style"/>
          <w:lang w:val="es-CO"/>
        </w:rPr>
        <w:t xml:space="preserve">ediante </w:t>
      </w:r>
      <w:r w:rsidR="00ED08A8">
        <w:rPr>
          <w:rFonts w:ascii="Bookman Old Style" w:hAnsi="Bookman Old Style"/>
          <w:lang w:val="es-CO"/>
        </w:rPr>
        <w:t>a</w:t>
      </w:r>
      <w:r w:rsidRPr="00A07212">
        <w:rPr>
          <w:rFonts w:ascii="Bookman Old Style" w:hAnsi="Bookman Old Style"/>
          <w:lang w:val="es-CO"/>
        </w:rPr>
        <w:t>uto</w:t>
      </w:r>
      <w:r w:rsidR="00ED08A8">
        <w:rPr>
          <w:rFonts w:ascii="Bookman Old Style" w:hAnsi="Bookman Old Style"/>
          <w:lang w:val="es-CO"/>
        </w:rPr>
        <w:t>s</w:t>
      </w:r>
      <w:r w:rsidRPr="00A07212">
        <w:rPr>
          <w:rFonts w:ascii="Bookman Old Style" w:hAnsi="Bookman Old Style"/>
          <w:lang w:val="es-CO"/>
        </w:rPr>
        <w:t xml:space="preserve"> del </w:t>
      </w:r>
      <w:r w:rsidR="00E7365D">
        <w:rPr>
          <w:rFonts w:ascii="Bookman Old Style" w:hAnsi="Bookman Old Style"/>
          <w:lang w:val="es-CO"/>
        </w:rPr>
        <w:t xml:space="preserve">24 de julio </w:t>
      </w:r>
      <w:r w:rsidR="00ED08A8">
        <w:rPr>
          <w:rFonts w:ascii="Bookman Old Style" w:hAnsi="Bookman Old Style"/>
          <w:lang w:val="es-CO"/>
        </w:rPr>
        <w:t xml:space="preserve">y 16 de agosto </w:t>
      </w:r>
      <w:r w:rsidR="00E7365D">
        <w:rPr>
          <w:rFonts w:ascii="Bookman Old Style" w:hAnsi="Bookman Old Style"/>
          <w:lang w:val="es-CO"/>
        </w:rPr>
        <w:t>de 2019, se resolvió</w:t>
      </w:r>
      <w:r w:rsidR="00964796">
        <w:rPr>
          <w:rFonts w:ascii="Bookman Old Style" w:hAnsi="Bookman Old Style"/>
          <w:lang w:val="es-CO"/>
        </w:rPr>
        <w:t xml:space="preserve"> vincular</w:t>
      </w:r>
      <w:r w:rsidRPr="00A07212">
        <w:rPr>
          <w:rFonts w:ascii="Bookman Old Style" w:hAnsi="Bookman Old Style"/>
          <w:lang w:val="es-CO"/>
        </w:rPr>
        <w:t xml:space="preserve"> den</w:t>
      </w:r>
      <w:r w:rsidR="00E7365D">
        <w:rPr>
          <w:rFonts w:ascii="Bookman Old Style" w:hAnsi="Bookman Old Style"/>
          <w:lang w:val="es-CO"/>
        </w:rPr>
        <w:t>tro del trámite de la actuación a</w:t>
      </w:r>
      <w:r w:rsidRPr="00A07212">
        <w:rPr>
          <w:rFonts w:ascii="Bookman Old Style" w:hAnsi="Bookman Old Style"/>
          <w:lang w:val="es-CO"/>
        </w:rPr>
        <w:t>dministra</w:t>
      </w:r>
      <w:r>
        <w:rPr>
          <w:rFonts w:ascii="Bookman Old Style" w:hAnsi="Bookman Old Style"/>
          <w:lang w:val="es-CO"/>
        </w:rPr>
        <w:t>tiva</w:t>
      </w:r>
      <w:r w:rsidR="005F32B6">
        <w:rPr>
          <w:rFonts w:ascii="Bookman Old Style" w:hAnsi="Bookman Old Style"/>
          <w:lang w:val="es-CO"/>
        </w:rPr>
        <w:t xml:space="preserve"> en calidad de terceros interesados</w:t>
      </w:r>
      <w:r>
        <w:rPr>
          <w:rFonts w:ascii="Bookman Old Style" w:hAnsi="Bookman Old Style"/>
          <w:lang w:val="es-CO"/>
        </w:rPr>
        <w:t xml:space="preserve"> a las siguientes empresas, las cuales realizaron solicitud de vinculación a la respectiva actuación: C</w:t>
      </w:r>
      <w:r w:rsidRPr="00A07212">
        <w:rPr>
          <w:rFonts w:ascii="Bookman Old Style" w:hAnsi="Bookman Old Style"/>
          <w:lang w:val="es-CO"/>
        </w:rPr>
        <w:t>ompañía de Almacenamiento de Gas - Almagas S.A. E.S.P.</w:t>
      </w:r>
      <w:r>
        <w:rPr>
          <w:rFonts w:ascii="Bookman Old Style" w:hAnsi="Bookman Old Style"/>
          <w:lang w:val="es-CO"/>
        </w:rPr>
        <w:t xml:space="preserve"> (</w:t>
      </w:r>
      <w:r w:rsidRPr="00A07212">
        <w:rPr>
          <w:rFonts w:ascii="Bookman Old Style" w:hAnsi="Bookman Old Style"/>
          <w:lang w:val="es-CO"/>
        </w:rPr>
        <w:t>E-2019-006232</w:t>
      </w:r>
      <w:r>
        <w:rPr>
          <w:rFonts w:ascii="Bookman Old Style" w:hAnsi="Bookman Old Style"/>
          <w:lang w:val="es-CO"/>
        </w:rPr>
        <w:t xml:space="preserve">), </w:t>
      </w:r>
      <w:r w:rsidRPr="00A07212">
        <w:rPr>
          <w:rFonts w:ascii="Bookman Old Style" w:hAnsi="Bookman Old Style"/>
          <w:lang w:val="es-CO"/>
        </w:rPr>
        <w:t>Norte</w:t>
      </w:r>
      <w:r w:rsidR="00517FC0">
        <w:rPr>
          <w:rFonts w:ascii="Bookman Old Style" w:hAnsi="Bookman Old Style"/>
          <w:lang w:val="es-CO"/>
        </w:rPr>
        <w:t>s</w:t>
      </w:r>
      <w:r w:rsidRPr="00A07212">
        <w:rPr>
          <w:rFonts w:ascii="Bookman Old Style" w:hAnsi="Bookman Old Style"/>
          <w:lang w:val="es-CO"/>
        </w:rPr>
        <w:t>antandereana de Gas – Norgas S.A. E.S.P.</w:t>
      </w:r>
      <w:r>
        <w:rPr>
          <w:rFonts w:ascii="Bookman Old Style" w:hAnsi="Bookman Old Style"/>
          <w:lang w:val="es-CO"/>
        </w:rPr>
        <w:t xml:space="preserve"> (</w:t>
      </w:r>
      <w:r w:rsidRPr="00A07212">
        <w:rPr>
          <w:rFonts w:ascii="Bookman Old Style" w:hAnsi="Bookman Old Style"/>
          <w:lang w:val="es-CO"/>
        </w:rPr>
        <w:t>E-2019-007342</w:t>
      </w:r>
      <w:r>
        <w:rPr>
          <w:rFonts w:ascii="Bookman Old Style" w:hAnsi="Bookman Old Style"/>
          <w:lang w:val="es-CO"/>
        </w:rPr>
        <w:t xml:space="preserve"> y </w:t>
      </w:r>
      <w:r w:rsidRPr="00A07212">
        <w:rPr>
          <w:rFonts w:ascii="Bookman Old Style" w:hAnsi="Bookman Old Style"/>
          <w:lang w:val="es-CO"/>
        </w:rPr>
        <w:t>E-2019-007418</w:t>
      </w:r>
      <w:r>
        <w:rPr>
          <w:rFonts w:ascii="Bookman Old Style" w:hAnsi="Bookman Old Style"/>
          <w:lang w:val="es-CO"/>
        </w:rPr>
        <w:t xml:space="preserve">), </w:t>
      </w:r>
      <w:r w:rsidRPr="00A07212">
        <w:rPr>
          <w:rFonts w:ascii="Bookman Old Style" w:hAnsi="Bookman Old Style"/>
          <w:lang w:val="es-CO"/>
        </w:rPr>
        <w:t>Colgas de Occidente S.A. E.S.P.</w:t>
      </w:r>
      <w:r>
        <w:rPr>
          <w:rFonts w:ascii="Bookman Old Style" w:hAnsi="Bookman Old Style"/>
          <w:lang w:val="es-CO"/>
        </w:rPr>
        <w:t xml:space="preserve"> (</w:t>
      </w:r>
      <w:r w:rsidRPr="00A07212">
        <w:rPr>
          <w:rFonts w:ascii="Bookman Old Style" w:hAnsi="Bookman Old Style"/>
          <w:lang w:val="es-CO"/>
        </w:rPr>
        <w:t>E-2019-007451</w:t>
      </w:r>
      <w:r>
        <w:rPr>
          <w:rFonts w:ascii="Bookman Old Style" w:hAnsi="Bookman Old Style"/>
          <w:lang w:val="es-CO"/>
        </w:rPr>
        <w:t xml:space="preserve">), </w:t>
      </w:r>
      <w:r w:rsidRPr="00A07212">
        <w:rPr>
          <w:rFonts w:ascii="Bookman Old Style" w:hAnsi="Bookman Old Style"/>
          <w:lang w:val="es-CO"/>
        </w:rPr>
        <w:t>Gases de Antioquia S.A. E.S.P.</w:t>
      </w:r>
      <w:r>
        <w:rPr>
          <w:rFonts w:ascii="Bookman Old Style" w:hAnsi="Bookman Old Style"/>
          <w:lang w:val="es-CO"/>
        </w:rPr>
        <w:t xml:space="preserve"> (</w:t>
      </w:r>
      <w:r w:rsidRPr="00A07212">
        <w:rPr>
          <w:rFonts w:ascii="Bookman Old Style" w:hAnsi="Bookman Old Style"/>
          <w:lang w:val="es-CO"/>
        </w:rPr>
        <w:t>E-2019-007399</w:t>
      </w:r>
      <w:r>
        <w:rPr>
          <w:rFonts w:ascii="Bookman Old Style" w:hAnsi="Bookman Old Style"/>
          <w:lang w:val="es-CO"/>
        </w:rPr>
        <w:t xml:space="preserve"> y </w:t>
      </w:r>
      <w:r w:rsidRPr="00A07212">
        <w:rPr>
          <w:rFonts w:ascii="Bookman Old Style" w:hAnsi="Bookman Old Style"/>
          <w:lang w:val="es-CO"/>
        </w:rPr>
        <w:t>E-2019-007411</w:t>
      </w:r>
      <w:r>
        <w:rPr>
          <w:rFonts w:ascii="Bookman Old Style" w:hAnsi="Bookman Old Style"/>
          <w:lang w:val="es-CO"/>
        </w:rPr>
        <w:t xml:space="preserve">), </w:t>
      </w:r>
      <w:r w:rsidRPr="00A07212">
        <w:rPr>
          <w:rFonts w:ascii="Bookman Old Style" w:hAnsi="Bookman Old Style"/>
          <w:lang w:val="es-CO"/>
        </w:rPr>
        <w:t>Compañías Asociadas de Gas S.A. E.S.P.</w:t>
      </w:r>
      <w:r>
        <w:rPr>
          <w:rFonts w:ascii="Bookman Old Style" w:hAnsi="Bookman Old Style"/>
          <w:lang w:val="es-CO"/>
        </w:rPr>
        <w:t xml:space="preserve"> (</w:t>
      </w:r>
      <w:r w:rsidRPr="00A07212">
        <w:rPr>
          <w:rFonts w:ascii="Bookman Old Style" w:hAnsi="Bookman Old Style"/>
          <w:lang w:val="es-CO"/>
        </w:rPr>
        <w:t>E-2019-007539</w:t>
      </w:r>
      <w:r>
        <w:rPr>
          <w:rFonts w:ascii="Bookman Old Style" w:hAnsi="Bookman Old Style"/>
          <w:lang w:val="es-CO"/>
        </w:rPr>
        <w:t xml:space="preserve">), </w:t>
      </w:r>
      <w:r w:rsidR="00372CFA">
        <w:rPr>
          <w:rFonts w:ascii="Bookman Old Style" w:hAnsi="Bookman Old Style"/>
          <w:lang w:val="es-CO"/>
        </w:rPr>
        <w:t xml:space="preserve">y </w:t>
      </w:r>
      <w:r w:rsidRPr="00A07212">
        <w:rPr>
          <w:rFonts w:ascii="Bookman Old Style" w:hAnsi="Bookman Old Style"/>
          <w:lang w:val="es-CO"/>
        </w:rPr>
        <w:t>Gas Gombel S.A. E.S.P.</w:t>
      </w:r>
      <w:r>
        <w:rPr>
          <w:rFonts w:ascii="Bookman Old Style" w:hAnsi="Bookman Old Style"/>
          <w:lang w:val="es-CO"/>
        </w:rPr>
        <w:t xml:space="preserve"> (</w:t>
      </w:r>
      <w:r w:rsidRPr="00A07212">
        <w:rPr>
          <w:rFonts w:ascii="Bookman Old Style" w:hAnsi="Bookman Old Style"/>
          <w:lang w:val="es-CO"/>
        </w:rPr>
        <w:t>E-2019-008232</w:t>
      </w:r>
      <w:r>
        <w:rPr>
          <w:rFonts w:ascii="Bookman Old Style" w:hAnsi="Bookman Old Style"/>
          <w:lang w:val="es-CO"/>
        </w:rPr>
        <w:t>).</w:t>
      </w:r>
      <w:r w:rsidR="005F32B6">
        <w:rPr>
          <w:rFonts w:ascii="Bookman Old Style" w:hAnsi="Bookman Old Style"/>
          <w:lang w:val="es-CO"/>
        </w:rPr>
        <w:t xml:space="preserve"> Esto ateniendo lo dispuesto en el artículo 37 de la Ley 1437 de 2011, sustituido por el artí</w:t>
      </w:r>
      <w:r w:rsidR="00BE355B">
        <w:rPr>
          <w:rFonts w:ascii="Bookman Old Style" w:hAnsi="Bookman Old Style"/>
          <w:lang w:val="es-CO"/>
        </w:rPr>
        <w:t>culo 1 de la Ley 1755 de 2015.</w:t>
      </w:r>
    </w:p>
    <w:p w:rsidR="00FA3D28" w:rsidRDefault="00FA3D28" w:rsidP="00A07212">
      <w:pPr>
        <w:ind w:left="0"/>
        <w:contextualSpacing/>
        <w:jc w:val="both"/>
        <w:rPr>
          <w:rFonts w:ascii="Bookman Old Style" w:hAnsi="Bookman Old Style"/>
          <w:lang w:val="es-CO"/>
        </w:rPr>
      </w:pPr>
    </w:p>
    <w:p w:rsidR="00FA3D28" w:rsidRDefault="00FA3D28" w:rsidP="00A07212">
      <w:pPr>
        <w:ind w:left="0"/>
        <w:contextualSpacing/>
        <w:jc w:val="both"/>
        <w:rPr>
          <w:rFonts w:ascii="Bookman Old Style" w:hAnsi="Bookman Old Style"/>
          <w:lang w:val="es-CO"/>
        </w:rPr>
      </w:pPr>
      <w:r>
        <w:rPr>
          <w:rFonts w:ascii="Bookman Old Style" w:hAnsi="Bookman Old Style"/>
          <w:lang w:val="es-CO"/>
        </w:rPr>
        <w:t>La Comisión comunic</w:t>
      </w:r>
      <w:r w:rsidR="009B61EE">
        <w:rPr>
          <w:rFonts w:ascii="Bookman Old Style" w:hAnsi="Bookman Old Style"/>
          <w:lang w:val="es-CO"/>
        </w:rPr>
        <w:t>ó a Ecopetrol el contenido de los autos citados</w:t>
      </w:r>
      <w:r>
        <w:rPr>
          <w:rFonts w:ascii="Bookman Old Style" w:hAnsi="Bookman Old Style"/>
          <w:lang w:val="es-CO"/>
        </w:rPr>
        <w:t>, mediante radicado</w:t>
      </w:r>
      <w:r w:rsidR="00376A01">
        <w:rPr>
          <w:rFonts w:ascii="Bookman Old Style" w:hAnsi="Bookman Old Style"/>
          <w:lang w:val="es-CO"/>
        </w:rPr>
        <w:t>s</w:t>
      </w:r>
      <w:r>
        <w:rPr>
          <w:rFonts w:ascii="Bookman Old Style" w:hAnsi="Bookman Old Style"/>
          <w:lang w:val="es-CO"/>
        </w:rPr>
        <w:t xml:space="preserve"> S-2019-00</w:t>
      </w:r>
      <w:r w:rsidR="00D011FD">
        <w:rPr>
          <w:rFonts w:ascii="Bookman Old Style" w:hAnsi="Bookman Old Style"/>
          <w:lang w:val="es-CO"/>
        </w:rPr>
        <w:t>4177 y S-2019-004607</w:t>
      </w:r>
      <w:r w:rsidR="00376A01">
        <w:rPr>
          <w:rFonts w:ascii="Bookman Old Style" w:hAnsi="Bookman Old Style"/>
          <w:lang w:val="es-CO"/>
        </w:rPr>
        <w:t>.</w:t>
      </w:r>
    </w:p>
    <w:p w:rsidR="00D03CA4" w:rsidRDefault="00D03CA4" w:rsidP="00A07212">
      <w:pPr>
        <w:ind w:left="0"/>
        <w:contextualSpacing/>
        <w:jc w:val="both"/>
        <w:rPr>
          <w:rFonts w:ascii="Bookman Old Style" w:hAnsi="Bookman Old Style"/>
          <w:lang w:val="es-CO"/>
        </w:rPr>
      </w:pPr>
    </w:p>
    <w:p w:rsidR="00BE355B" w:rsidRDefault="00BE355B" w:rsidP="00A07212">
      <w:pPr>
        <w:ind w:left="0"/>
        <w:contextualSpacing/>
        <w:jc w:val="both"/>
        <w:rPr>
          <w:rFonts w:ascii="Bookman Old Style" w:hAnsi="Bookman Old Style"/>
          <w:lang w:val="es-CO"/>
        </w:rPr>
      </w:pPr>
      <w:r>
        <w:rPr>
          <w:rFonts w:ascii="Bookman Old Style" w:hAnsi="Bookman Old Style"/>
          <w:lang w:val="es-CO"/>
        </w:rPr>
        <w:t xml:space="preserve">Mediante comunicación </w:t>
      </w:r>
      <w:r w:rsidR="00FA3D28">
        <w:rPr>
          <w:rFonts w:ascii="Bookman Old Style" w:hAnsi="Bookman Old Style"/>
          <w:lang w:val="es-CO"/>
        </w:rPr>
        <w:t>con</w:t>
      </w:r>
      <w:r>
        <w:rPr>
          <w:rFonts w:ascii="Bookman Old Style" w:hAnsi="Bookman Old Style"/>
          <w:lang w:val="es-CO"/>
        </w:rPr>
        <w:t xml:space="preserve"> radicado CREG E-2019-008879 del 22 de agosto de 2019, Ecopetrol remite sus comentarios a </w:t>
      </w:r>
      <w:r w:rsidR="006C2A2C">
        <w:rPr>
          <w:rFonts w:ascii="Bookman Old Style" w:hAnsi="Bookman Old Style"/>
          <w:lang w:val="es-CO"/>
        </w:rPr>
        <w:t xml:space="preserve">los argumentos contenidos en las solicitudes de vinculación como tercero interesado </w:t>
      </w:r>
      <w:r>
        <w:rPr>
          <w:rFonts w:ascii="Bookman Old Style" w:hAnsi="Bookman Old Style"/>
          <w:lang w:val="es-CO"/>
        </w:rPr>
        <w:t xml:space="preserve">por las partes que </w:t>
      </w:r>
      <w:r w:rsidR="006C2A2C">
        <w:rPr>
          <w:rFonts w:ascii="Bookman Old Style" w:hAnsi="Bookman Old Style"/>
          <w:lang w:val="es-CO"/>
        </w:rPr>
        <w:t>se adhirieron a la actuación administrativa, expediente 2019–0034.</w:t>
      </w:r>
    </w:p>
    <w:p w:rsidR="00BE355B" w:rsidRDefault="00BE355B" w:rsidP="00A07212">
      <w:pPr>
        <w:ind w:left="0"/>
        <w:contextualSpacing/>
        <w:jc w:val="both"/>
        <w:rPr>
          <w:rFonts w:ascii="Bookman Old Style" w:hAnsi="Bookman Old Style"/>
          <w:lang w:val="es-CO"/>
        </w:rPr>
      </w:pPr>
    </w:p>
    <w:p w:rsidR="00964796" w:rsidRDefault="00D03CA4" w:rsidP="00A07212">
      <w:pPr>
        <w:ind w:left="0"/>
        <w:contextualSpacing/>
        <w:jc w:val="both"/>
        <w:rPr>
          <w:rFonts w:ascii="Bookman Old Style" w:hAnsi="Bookman Old Style"/>
          <w:lang w:val="es-CO"/>
        </w:rPr>
      </w:pPr>
      <w:r>
        <w:rPr>
          <w:rFonts w:ascii="Bookman Old Style" w:hAnsi="Bookman Old Style"/>
          <w:lang w:val="es-CO"/>
        </w:rPr>
        <w:t xml:space="preserve">De acuerdo con lo anterior, la Comisión llevó a cabo un análisis del comportamiento </w:t>
      </w:r>
      <w:r w:rsidR="0023469A">
        <w:rPr>
          <w:rFonts w:ascii="Bookman Old Style" w:hAnsi="Bookman Old Style"/>
          <w:lang w:val="es-CO"/>
        </w:rPr>
        <w:t xml:space="preserve">histórico </w:t>
      </w:r>
      <w:r>
        <w:rPr>
          <w:rFonts w:ascii="Bookman Old Style" w:hAnsi="Bookman Old Style"/>
          <w:lang w:val="es-CO"/>
        </w:rPr>
        <w:t>de la oferta de precio regulado y del comportamiento del consumo de los usuarios frente a la señal de precio</w:t>
      </w:r>
      <w:r w:rsidR="00307CCE">
        <w:rPr>
          <w:rFonts w:ascii="Bookman Old Style" w:hAnsi="Bookman Old Style"/>
          <w:lang w:val="es-CO"/>
        </w:rPr>
        <w:t xml:space="preserve">, el cual no permite evidenciar que el precio, como variable independiente, sea explicativa del comportamiento de las cantidades ofrecidas </w:t>
      </w:r>
      <w:r w:rsidR="005F32B6">
        <w:rPr>
          <w:rFonts w:ascii="Bookman Old Style" w:hAnsi="Bookman Old Style"/>
          <w:lang w:val="es-CO"/>
        </w:rPr>
        <w:t xml:space="preserve">por Ecopetrol como comercializador mayorista de precio regulado </w:t>
      </w:r>
      <w:r w:rsidR="00307CCE">
        <w:rPr>
          <w:rFonts w:ascii="Bookman Old Style" w:hAnsi="Bookman Old Style"/>
          <w:lang w:val="es-CO"/>
        </w:rPr>
        <w:t>o de las cantidades consumidas</w:t>
      </w:r>
      <w:r w:rsidR="0023469A">
        <w:rPr>
          <w:rFonts w:ascii="Bookman Old Style" w:hAnsi="Bookman Old Style"/>
          <w:lang w:val="es-CO"/>
        </w:rPr>
        <w:t>. Este</w:t>
      </w:r>
      <w:r w:rsidR="00964796">
        <w:rPr>
          <w:rFonts w:ascii="Bookman Old Style" w:hAnsi="Bookman Old Style"/>
          <w:lang w:val="es-CO"/>
        </w:rPr>
        <w:t xml:space="preserve"> análisis sugiere que no se cumplen los supuestos sobre oferta y demanda </w:t>
      </w:r>
      <w:r w:rsidR="00307CCE">
        <w:rPr>
          <w:rFonts w:ascii="Bookman Old Style" w:hAnsi="Bookman Old Style"/>
          <w:lang w:val="es-CO"/>
        </w:rPr>
        <w:t xml:space="preserve">planteados por Ecopetrol en su solicitud </w:t>
      </w:r>
      <w:r w:rsidR="00964796">
        <w:rPr>
          <w:rFonts w:ascii="Bookman Old Style" w:hAnsi="Bookman Old Style"/>
          <w:lang w:val="es-CO"/>
        </w:rPr>
        <w:t xml:space="preserve">para que se </w:t>
      </w:r>
      <w:r w:rsidR="00307CCE">
        <w:rPr>
          <w:rFonts w:ascii="Bookman Old Style" w:hAnsi="Bookman Old Style"/>
          <w:lang w:val="es-CO"/>
        </w:rPr>
        <w:t>presente</w:t>
      </w:r>
      <w:r w:rsidR="00964796">
        <w:rPr>
          <w:rFonts w:ascii="Bookman Old Style" w:hAnsi="Bookman Old Style"/>
          <w:lang w:val="es-CO"/>
        </w:rPr>
        <w:t xml:space="preserve"> una p</w:t>
      </w:r>
      <w:r w:rsidR="00307CCE">
        <w:rPr>
          <w:rFonts w:ascii="Bookman Old Style" w:hAnsi="Bookman Old Style"/>
          <w:lang w:val="es-CO"/>
        </w:rPr>
        <w:t>érdida de bienestar con precios diferentes al de paridad importación.</w:t>
      </w:r>
      <w:r w:rsidR="00E7365D">
        <w:rPr>
          <w:rFonts w:ascii="Bookman Old Style" w:hAnsi="Bookman Old Style"/>
          <w:lang w:val="es-CO"/>
        </w:rPr>
        <w:t xml:space="preserve"> </w:t>
      </w:r>
    </w:p>
    <w:p w:rsidR="0023469A" w:rsidRDefault="0023469A" w:rsidP="00A07212">
      <w:pPr>
        <w:ind w:left="0"/>
        <w:contextualSpacing/>
        <w:jc w:val="both"/>
        <w:rPr>
          <w:rFonts w:ascii="Bookman Old Style" w:hAnsi="Bookman Old Style"/>
          <w:lang w:val="es-CO"/>
        </w:rPr>
      </w:pPr>
    </w:p>
    <w:p w:rsidR="0023469A" w:rsidRDefault="0023469A" w:rsidP="00A07212">
      <w:pPr>
        <w:ind w:left="0"/>
        <w:contextualSpacing/>
        <w:jc w:val="both"/>
        <w:rPr>
          <w:rFonts w:ascii="Bookman Old Style" w:hAnsi="Bookman Old Style"/>
          <w:lang w:val="es-CO"/>
        </w:rPr>
      </w:pPr>
      <w:r>
        <w:rPr>
          <w:rFonts w:ascii="Bookman Old Style" w:hAnsi="Bookman Old Style"/>
          <w:lang w:val="es-CO"/>
        </w:rPr>
        <w:t xml:space="preserve">Así mismo, se debe tener en cuenta </w:t>
      </w:r>
      <w:r w:rsidRPr="0023469A">
        <w:rPr>
          <w:rFonts w:ascii="Bookman Old Style" w:hAnsi="Bookman Old Style"/>
          <w:lang w:val="es-CO"/>
        </w:rPr>
        <w:t>que el mismo Ecopetrol menciona que la oferta de GLP</w:t>
      </w:r>
      <w:r>
        <w:rPr>
          <w:rFonts w:ascii="Bookman Old Style" w:hAnsi="Bookman Old Style"/>
          <w:lang w:val="es-CO"/>
        </w:rPr>
        <w:t xml:space="preserve"> no está relacionada con un proceso directo y único de producción de este combustible, sino que esta </w:t>
      </w:r>
      <w:r w:rsidRPr="0023469A">
        <w:rPr>
          <w:rFonts w:ascii="Bookman Old Style" w:hAnsi="Bookman Old Style"/>
          <w:lang w:val="es-CO"/>
        </w:rPr>
        <w:t>se ve</w:t>
      </w:r>
      <w:r>
        <w:rPr>
          <w:rFonts w:ascii="Bookman Old Style" w:hAnsi="Bookman Old Style"/>
          <w:lang w:val="es-CO"/>
        </w:rPr>
        <w:t xml:space="preserve"> afectada es por</w:t>
      </w:r>
      <w:r w:rsidRPr="0023469A">
        <w:rPr>
          <w:rFonts w:ascii="Bookman Old Style" w:hAnsi="Bookman Old Style"/>
          <w:lang w:val="es-CO"/>
        </w:rPr>
        <w:t xml:space="preserve"> los fenómenos de: “i) optimización del proceso de refinación para maximizar la producción de combustibles que generan mayor valor; ii) autoconsumos de este energético para procesos térmicos, tanto en las refinerías como en un campo de producción; y iii) usos alternativos del GLP en procesos propios de la cadena de producción y transporte de hidrocarburos”, que como se expone por parte de dicha empresa “tienen impacto sobre las cantidades ofrecidas para cada nivel de precio, es decir desplazan la curva de oferta”.</w:t>
      </w:r>
    </w:p>
    <w:p w:rsidR="0023469A" w:rsidRDefault="0023469A" w:rsidP="00A07212">
      <w:pPr>
        <w:ind w:left="0"/>
        <w:contextualSpacing/>
        <w:jc w:val="both"/>
        <w:rPr>
          <w:rFonts w:ascii="Bookman Old Style" w:hAnsi="Bookman Old Style"/>
          <w:lang w:val="es-CO"/>
        </w:rPr>
      </w:pPr>
    </w:p>
    <w:p w:rsidR="00BB30EC" w:rsidRDefault="003076CD" w:rsidP="00BB30EC">
      <w:pPr>
        <w:ind w:left="0"/>
        <w:contextualSpacing/>
        <w:jc w:val="both"/>
        <w:rPr>
          <w:rFonts w:ascii="Bookman Old Style" w:hAnsi="Bookman Old Style"/>
          <w:lang w:val="es-CO"/>
        </w:rPr>
      </w:pPr>
      <w:r>
        <w:rPr>
          <w:rFonts w:ascii="Bookman Old Style" w:hAnsi="Bookman Old Style"/>
          <w:lang w:val="es-CO"/>
        </w:rPr>
        <w:t>Se entiende que las cantidades de GLP que son consecuencia de d</w:t>
      </w:r>
      <w:r w:rsidR="00BB30EC">
        <w:rPr>
          <w:rFonts w:ascii="Bookman Old Style" w:hAnsi="Bookman Old Style"/>
          <w:lang w:val="es-CO"/>
        </w:rPr>
        <w:t>ichos procesos buscan ser aprovechadas al máximo por</w:t>
      </w:r>
      <w:r>
        <w:rPr>
          <w:rFonts w:ascii="Bookman Old Style" w:hAnsi="Bookman Old Style"/>
          <w:lang w:val="es-CO"/>
        </w:rPr>
        <w:t xml:space="preserve"> Ecopetrol</w:t>
      </w:r>
      <w:r w:rsidR="00BB30EC">
        <w:rPr>
          <w:rFonts w:ascii="Bookman Old Style" w:hAnsi="Bookman Old Style"/>
          <w:lang w:val="es-CO"/>
        </w:rPr>
        <w:t xml:space="preserve">, toda vez que la valoración del uso como combustible en el servicio público domiciliario, inclusive con una señal de precio de paridad importación, como precio máximo eficiente, es menor que la valoración del GLP por parte de Ecopetrol en cualquiera de esos otros usos alternativos a las que puede destinarlas. </w:t>
      </w:r>
    </w:p>
    <w:p w:rsidR="00BB30EC" w:rsidRDefault="00BB30EC" w:rsidP="00BB30EC">
      <w:pPr>
        <w:ind w:left="0"/>
        <w:contextualSpacing/>
        <w:jc w:val="both"/>
        <w:rPr>
          <w:rFonts w:ascii="Bookman Old Style" w:hAnsi="Bookman Old Style"/>
          <w:lang w:val="es-CO"/>
        </w:rPr>
      </w:pPr>
    </w:p>
    <w:p w:rsidR="00E7365D" w:rsidRDefault="00BB30EC" w:rsidP="00A07212">
      <w:pPr>
        <w:ind w:left="0"/>
        <w:contextualSpacing/>
        <w:jc w:val="both"/>
        <w:rPr>
          <w:rFonts w:ascii="Bookman Old Style" w:hAnsi="Bookman Old Style"/>
          <w:lang w:val="es-CO"/>
        </w:rPr>
      </w:pPr>
      <w:r>
        <w:rPr>
          <w:rFonts w:ascii="Bookman Old Style" w:hAnsi="Bookman Old Style"/>
          <w:lang w:val="es-CO"/>
        </w:rPr>
        <w:t>Es por esto que</w:t>
      </w:r>
      <w:r w:rsidR="003076CD">
        <w:rPr>
          <w:rFonts w:ascii="Bookman Old Style" w:hAnsi="Bookman Old Style"/>
          <w:lang w:val="es-CO"/>
        </w:rPr>
        <w:t xml:space="preserve"> </w:t>
      </w:r>
      <w:r>
        <w:rPr>
          <w:rFonts w:ascii="Bookman Old Style" w:hAnsi="Bookman Old Style"/>
          <w:lang w:val="es-CO"/>
        </w:rPr>
        <w:t xml:space="preserve">las cantidades disponibles u ofrecidas por Ecopetrol al servicio público domiciliario son todas aquellas a las que no se les ha podido dar un </w:t>
      </w:r>
      <w:r>
        <w:rPr>
          <w:rFonts w:ascii="Bookman Old Style" w:hAnsi="Bookman Old Style"/>
          <w:lang w:val="es-CO"/>
        </w:rPr>
        <w:lastRenderedPageBreak/>
        <w:t>mejor aprovechamiento al interior de la empresa.</w:t>
      </w:r>
      <w:r w:rsidR="000A6A17">
        <w:rPr>
          <w:rFonts w:ascii="Bookman Old Style" w:hAnsi="Bookman Old Style"/>
          <w:lang w:val="es-CO"/>
        </w:rPr>
        <w:t xml:space="preserve"> Adicionalmente, </w:t>
      </w:r>
      <w:r w:rsidR="00E7365D">
        <w:rPr>
          <w:rFonts w:ascii="Bookman Old Style" w:hAnsi="Bookman Old Style"/>
          <w:lang w:val="es-CO"/>
        </w:rPr>
        <w:t xml:space="preserve">la condición relativa </w:t>
      </w:r>
      <w:r w:rsidR="000A6A17">
        <w:rPr>
          <w:rFonts w:ascii="Bookman Old Style" w:hAnsi="Bookman Old Style"/>
          <w:lang w:val="es-CO"/>
        </w:rPr>
        <w:t>a</w:t>
      </w:r>
      <w:r w:rsidR="00E7365D">
        <w:rPr>
          <w:rFonts w:ascii="Bookman Old Style" w:hAnsi="Bookman Old Style"/>
          <w:lang w:val="es-CO"/>
        </w:rPr>
        <w:t xml:space="preserve"> la</w:t>
      </w:r>
      <w:r w:rsidR="00E7365D" w:rsidRPr="00E7365D">
        <w:rPr>
          <w:rFonts w:ascii="Bookman Old Style" w:hAnsi="Bookman Old Style"/>
          <w:lang w:val="es-CO"/>
        </w:rPr>
        <w:t xml:space="preserve"> situación geográfica</w:t>
      </w:r>
      <w:r>
        <w:rPr>
          <w:rFonts w:ascii="Bookman Old Style" w:hAnsi="Bookman Old Style"/>
          <w:lang w:val="es-CO"/>
        </w:rPr>
        <w:t xml:space="preserve"> de</w:t>
      </w:r>
      <w:r w:rsidR="000A6A17">
        <w:rPr>
          <w:rFonts w:ascii="Bookman Old Style" w:hAnsi="Bookman Old Style"/>
          <w:lang w:val="es-CO"/>
        </w:rPr>
        <w:t>l</w:t>
      </w:r>
      <w:r>
        <w:rPr>
          <w:rFonts w:ascii="Bookman Old Style" w:hAnsi="Bookman Old Style"/>
          <w:lang w:val="es-CO"/>
        </w:rPr>
        <w:t xml:space="preserve"> CPF de C</w:t>
      </w:r>
      <w:r w:rsidR="00E7365D">
        <w:rPr>
          <w:rFonts w:ascii="Bookman Old Style" w:hAnsi="Bookman Old Style"/>
          <w:lang w:val="es-CO"/>
        </w:rPr>
        <w:t>upiagua</w:t>
      </w:r>
      <w:r w:rsidR="00E7365D" w:rsidRPr="00E7365D">
        <w:rPr>
          <w:rFonts w:ascii="Bookman Old Style" w:hAnsi="Bookman Old Style"/>
          <w:lang w:val="es-CO"/>
        </w:rPr>
        <w:t xml:space="preserve"> y por lo tanto su dificultad </w:t>
      </w:r>
      <w:r w:rsidR="000A6A17">
        <w:rPr>
          <w:rFonts w:ascii="Bookman Old Style" w:hAnsi="Bookman Old Style"/>
          <w:lang w:val="es-CO"/>
        </w:rPr>
        <w:t xml:space="preserve">de exportarlo, permite concluir que </w:t>
      </w:r>
      <w:r>
        <w:rPr>
          <w:rFonts w:ascii="Bookman Old Style" w:hAnsi="Bookman Old Style"/>
          <w:lang w:val="es-CO"/>
        </w:rPr>
        <w:t>su oportunidad es</w:t>
      </w:r>
      <w:r w:rsidR="00E7365D" w:rsidRPr="00E7365D">
        <w:rPr>
          <w:rFonts w:ascii="Bookman Old Style" w:hAnsi="Bookman Old Style"/>
          <w:lang w:val="es-CO"/>
        </w:rPr>
        <w:t xml:space="preserve"> colocarlo en el merca</w:t>
      </w:r>
      <w:r w:rsidR="00E7365D">
        <w:rPr>
          <w:rFonts w:ascii="Bookman Old Style" w:hAnsi="Bookman Old Style"/>
          <w:lang w:val="es-CO"/>
        </w:rPr>
        <w:t>do doméstico</w:t>
      </w:r>
      <w:r>
        <w:rPr>
          <w:rFonts w:ascii="Bookman Old Style" w:hAnsi="Bookman Old Style"/>
          <w:lang w:val="es-CO"/>
        </w:rPr>
        <w:t xml:space="preserve"> y en consecuencia</w:t>
      </w:r>
      <w:r w:rsidR="000A6A17">
        <w:rPr>
          <w:rFonts w:ascii="Bookman Old Style" w:hAnsi="Bookman Old Style"/>
          <w:lang w:val="es-CO"/>
        </w:rPr>
        <w:t>,</w:t>
      </w:r>
      <w:r>
        <w:rPr>
          <w:rFonts w:ascii="Bookman Old Style" w:hAnsi="Bookman Old Style"/>
          <w:lang w:val="es-CO"/>
        </w:rPr>
        <w:t xml:space="preserve"> el precio aplicable corresponde a</w:t>
      </w:r>
      <w:r w:rsidR="000A6A17">
        <w:rPr>
          <w:rFonts w:ascii="Bookman Old Style" w:hAnsi="Bookman Old Style"/>
          <w:lang w:val="es-CO"/>
        </w:rPr>
        <w:t>l precio interno</w:t>
      </w:r>
      <w:r>
        <w:rPr>
          <w:rFonts w:ascii="Bookman Old Style" w:hAnsi="Bookman Old Style"/>
          <w:lang w:val="es-CO"/>
        </w:rPr>
        <w:t xml:space="preserve"> definido actualmente para el GLP de producción nacional de precio regulado.</w:t>
      </w:r>
    </w:p>
    <w:p w:rsidR="005F32B6" w:rsidRDefault="005F32B6" w:rsidP="00A07212">
      <w:pPr>
        <w:ind w:left="0"/>
        <w:contextualSpacing/>
        <w:jc w:val="both"/>
        <w:rPr>
          <w:rFonts w:ascii="Bookman Old Style" w:hAnsi="Bookman Old Style"/>
          <w:lang w:val="es-CO"/>
        </w:rPr>
      </w:pPr>
    </w:p>
    <w:p w:rsidR="000A6A17" w:rsidRDefault="005F32B6" w:rsidP="00A07212">
      <w:pPr>
        <w:ind w:left="0"/>
        <w:contextualSpacing/>
        <w:jc w:val="both"/>
        <w:rPr>
          <w:rFonts w:ascii="Bookman Old Style" w:hAnsi="Bookman Old Style"/>
          <w:lang w:val="es-CO"/>
        </w:rPr>
      </w:pPr>
      <w:r>
        <w:rPr>
          <w:rFonts w:ascii="Bookman Old Style" w:hAnsi="Bookman Old Style"/>
          <w:lang w:val="es-CO"/>
        </w:rPr>
        <w:t>Adicionalmente</w:t>
      </w:r>
      <w:r w:rsidR="004C3E3E">
        <w:rPr>
          <w:rFonts w:ascii="Bookman Old Style" w:hAnsi="Bookman Old Style"/>
          <w:lang w:val="es-CO"/>
        </w:rPr>
        <w:t>,</w:t>
      </w:r>
      <w:r>
        <w:rPr>
          <w:rFonts w:ascii="Bookman Old Style" w:hAnsi="Bookman Old Style"/>
          <w:lang w:val="es-CO"/>
        </w:rPr>
        <w:t xml:space="preserve"> frente a los argumentos de las empresas distribuidoras de GLP,</w:t>
      </w:r>
      <w:r w:rsidR="00787669">
        <w:rPr>
          <w:rFonts w:ascii="Bookman Old Style" w:hAnsi="Bookman Old Style"/>
          <w:lang w:val="es-CO"/>
        </w:rPr>
        <w:t xml:space="preserve"> se establece que los mismos difieren de un análisis válido a efectos de establecer el precio máximo regulado para </w:t>
      </w:r>
      <w:r>
        <w:rPr>
          <w:rFonts w:ascii="Bookman Old Style" w:hAnsi="Bookman Old Style"/>
          <w:lang w:val="es-CO"/>
        </w:rPr>
        <w:t>el CPF de Cupiagua</w:t>
      </w:r>
      <w:r w:rsidR="00787669">
        <w:rPr>
          <w:rFonts w:ascii="Bookman Old Style" w:hAnsi="Bookman Old Style"/>
          <w:lang w:val="es-CO"/>
        </w:rPr>
        <w:t xml:space="preserve">, toda vez que los mismos se sustentan en aspectos no </w:t>
      </w:r>
      <w:r w:rsidR="003E1C3B">
        <w:rPr>
          <w:rFonts w:ascii="Bookman Old Style" w:hAnsi="Bookman Old Style"/>
          <w:lang w:val="es-CO"/>
        </w:rPr>
        <w:t>relacionados con la metodología vigente</w:t>
      </w:r>
      <w:r w:rsidR="00787669">
        <w:rPr>
          <w:rFonts w:ascii="Bookman Old Style" w:hAnsi="Bookman Old Style"/>
          <w:lang w:val="es-CO"/>
        </w:rPr>
        <w:t xml:space="preserve">, sino principalmente de conveniencia como lo es </w:t>
      </w:r>
      <w:r>
        <w:rPr>
          <w:rFonts w:ascii="Bookman Old Style" w:hAnsi="Bookman Old Style"/>
          <w:lang w:val="es-CO"/>
        </w:rPr>
        <w:t xml:space="preserve">la “pérdida de competitividad de los importadores” </w:t>
      </w:r>
      <w:r w:rsidR="00787669">
        <w:rPr>
          <w:rFonts w:ascii="Bookman Old Style" w:hAnsi="Bookman Old Style"/>
          <w:lang w:val="es-CO"/>
        </w:rPr>
        <w:t>o el “enriquecimiento injustificado de Ecopetrol”</w:t>
      </w:r>
      <w:r w:rsidR="003E1C3B">
        <w:rPr>
          <w:rFonts w:ascii="Bookman Old Style" w:hAnsi="Bookman Old Style"/>
          <w:lang w:val="es-CO"/>
        </w:rPr>
        <w:t>.</w:t>
      </w:r>
    </w:p>
    <w:p w:rsidR="00787669" w:rsidRDefault="00787669" w:rsidP="00A07212">
      <w:pPr>
        <w:ind w:left="0"/>
        <w:contextualSpacing/>
        <w:jc w:val="both"/>
        <w:rPr>
          <w:rFonts w:ascii="Bookman Old Style" w:hAnsi="Bookman Old Style"/>
          <w:lang w:val="es-CO"/>
        </w:rPr>
      </w:pPr>
    </w:p>
    <w:p w:rsidR="000A6A17" w:rsidRPr="000A6A17" w:rsidRDefault="000A6A17" w:rsidP="00787669">
      <w:pPr>
        <w:ind w:left="0"/>
        <w:jc w:val="both"/>
        <w:rPr>
          <w:rFonts w:ascii="Bookman Old Style" w:hAnsi="Bookman Old Style" w:cs="Arial"/>
          <w:lang w:val="es-CO" w:eastAsia="es-CO"/>
        </w:rPr>
      </w:pPr>
      <w:r w:rsidRPr="000A6A17">
        <w:rPr>
          <w:rFonts w:ascii="Bookman Old Style" w:hAnsi="Bookman Old Style" w:cs="Arial"/>
          <w:lang w:val="es-CO" w:eastAsia="es-CO"/>
        </w:rPr>
        <w:t>En desarrollo de lo establecido en el artículo 7 de la Ley 1340 de 2009, el Ministerio de Comercio, Industria y Turismo expidió el Decreto 2897 de fecha 5 de agosto de 2010</w:t>
      </w:r>
      <w:r w:rsidRPr="000A6A17">
        <w:rPr>
          <w:rFonts w:ascii="Bookman Old Style" w:hAnsi="Bookman Old Style" w:cs="Arial"/>
          <w:vertAlign w:val="superscript"/>
          <w:lang w:val="es-CO" w:eastAsia="es-CO"/>
        </w:rPr>
        <w:footnoteReference w:id="2"/>
      </w:r>
      <w:r w:rsidRPr="000A6A17">
        <w:rPr>
          <w:rFonts w:ascii="Bookman Old Style" w:hAnsi="Bookman Old Style" w:cs="Arial"/>
          <w:lang w:val="es-CO" w:eastAsia="es-CO"/>
        </w:rPr>
        <w:t xml:space="preserve">, en el que determinó que las autoridades deben informar a la Superintendencia de </w:t>
      </w:r>
      <w:r w:rsidRPr="000A6A17">
        <w:rPr>
          <w:rFonts w:ascii="Bookman Old Style" w:hAnsi="Bookman Old Style"/>
        </w:rPr>
        <w:t>Industria</w:t>
      </w:r>
      <w:r w:rsidRPr="000A6A17">
        <w:rPr>
          <w:rFonts w:ascii="Bookman Old Style" w:hAnsi="Bookman Old Style" w:cs="Arial"/>
          <w:lang w:val="es-CO" w:eastAsia="es-CO"/>
        </w:rPr>
        <w:t xml:space="preserve"> y Comercio, SIC, sobre los proyectos de acto administrativo que se proponen expedir con fines de regulación, así como las reglas aplicables para la rendición por parte de esa Superintendencia del concepto previo a que hace referencia el artículo 7 de la Ley 1340 de 2009. En desarrollo de lo establecido por el artículo 5° del Decreto 2897 de 2010, la SIC adoptó mediante Resolución 44649 de 2010 el cuestionario para la evaluación de la incidencia sobre la libre competencia de los proyectos de actos administrativos expedidos con fines regulatorios a que hace referencia el citado artículo del Decreto 2897 de 2010.</w:t>
      </w:r>
    </w:p>
    <w:p w:rsidR="000A6A17" w:rsidRPr="000A6A17" w:rsidRDefault="000A6A17" w:rsidP="000A6A17">
      <w:pPr>
        <w:ind w:left="-142" w:right="-142"/>
        <w:jc w:val="both"/>
        <w:rPr>
          <w:rFonts w:ascii="Bookman Old Style" w:hAnsi="Bookman Old Style" w:cs="Arial"/>
          <w:lang w:val="es-CO" w:eastAsia="es-CO"/>
        </w:rPr>
      </w:pPr>
    </w:p>
    <w:p w:rsidR="00D0755A" w:rsidRPr="00D273C6" w:rsidRDefault="000A6A17" w:rsidP="00787669">
      <w:pPr>
        <w:ind w:left="0"/>
        <w:jc w:val="both"/>
        <w:rPr>
          <w:rFonts w:ascii="Bookman Old Style" w:hAnsi="Bookman Old Style" w:cs="Arial"/>
          <w:lang w:val="es-CO" w:eastAsia="es-CO"/>
        </w:rPr>
      </w:pPr>
      <w:r w:rsidRPr="000A6A17">
        <w:rPr>
          <w:rFonts w:ascii="Bookman Old Style" w:hAnsi="Bookman Old Style" w:cs="Arial"/>
          <w:lang w:val="es-CO" w:eastAsia="es-CO"/>
        </w:rPr>
        <w:t>Conforme al Decreto 2897 de 2010</w:t>
      </w:r>
      <w:r w:rsidRPr="000A6A17">
        <w:rPr>
          <w:rFonts w:ascii="Bookman Old Style" w:hAnsi="Bookman Old Style" w:cs="Arial"/>
          <w:vertAlign w:val="superscript"/>
          <w:lang w:val="es-CO" w:eastAsia="es-CO"/>
        </w:rPr>
        <w:footnoteReference w:id="3"/>
      </w:r>
      <w:r w:rsidRPr="000A6A17">
        <w:rPr>
          <w:rFonts w:ascii="Bookman Old Style" w:hAnsi="Bookman Old Style" w:cs="Arial"/>
          <w:lang w:val="es-CO" w:eastAsia="es-CO"/>
        </w:rPr>
        <w:t xml:space="preserve"> y la Resolución SIC 44649 de 2010, la Comisión de Regulación de Energía y Gas dio respuesta al cuestionario adoptado por la SIC para la </w:t>
      </w:r>
      <w:r w:rsidRPr="000A6A17">
        <w:rPr>
          <w:rFonts w:ascii="Bookman Old Style" w:hAnsi="Bookman Old Style"/>
        </w:rPr>
        <w:t>evaluación</w:t>
      </w:r>
      <w:r w:rsidRPr="000A6A17">
        <w:rPr>
          <w:rFonts w:ascii="Bookman Old Style" w:hAnsi="Bookman Old Style" w:cs="Arial"/>
          <w:lang w:val="es-CO" w:eastAsia="es-CO"/>
        </w:rPr>
        <w:t xml:space="preserve"> de la incidencia sobre la libre competencia del presente acto administrativo.</w:t>
      </w:r>
      <w:r w:rsidR="00D273C6">
        <w:rPr>
          <w:rFonts w:ascii="Bookman Old Style" w:hAnsi="Bookman Old Style" w:cs="Arial"/>
          <w:lang w:val="es-CO" w:eastAsia="es-CO"/>
        </w:rPr>
        <w:t xml:space="preserve"> </w:t>
      </w:r>
      <w:r w:rsidR="00D0755A" w:rsidRPr="00A56918">
        <w:rPr>
          <w:rFonts w:ascii="Bookman Old Style" w:hAnsi="Bookman Old Style"/>
          <w:lang w:val="es-CO"/>
        </w:rPr>
        <w:t xml:space="preserve">En el </w:t>
      </w:r>
      <w:r w:rsidR="00D0755A" w:rsidRPr="0057629A">
        <w:rPr>
          <w:rFonts w:ascii="Bookman Old Style" w:hAnsi="Bookman Old Style"/>
          <w:lang w:val="es-CO"/>
        </w:rPr>
        <w:t xml:space="preserve">Documento CREG </w:t>
      </w:r>
      <w:r w:rsidR="00754F1D">
        <w:rPr>
          <w:rFonts w:ascii="Bookman Old Style" w:hAnsi="Bookman Old Style"/>
          <w:lang w:val="es-CO"/>
        </w:rPr>
        <w:t>075</w:t>
      </w:r>
      <w:r w:rsidR="00BE355B">
        <w:rPr>
          <w:rFonts w:ascii="Bookman Old Style" w:hAnsi="Bookman Old Style"/>
          <w:lang w:val="es-CO"/>
        </w:rPr>
        <w:t xml:space="preserve"> de 2019 </w:t>
      </w:r>
      <w:r w:rsidR="00D0755A" w:rsidRPr="0057629A">
        <w:rPr>
          <w:rFonts w:ascii="Bookman Old Style" w:hAnsi="Bookman Old Style"/>
          <w:lang w:val="es-CO"/>
        </w:rPr>
        <w:t>se</w:t>
      </w:r>
      <w:r w:rsidR="00D0755A" w:rsidRPr="00A56918">
        <w:rPr>
          <w:rFonts w:ascii="Bookman Old Style" w:hAnsi="Bookman Old Style"/>
          <w:lang w:val="es-CO"/>
        </w:rPr>
        <w:t xml:space="preserve"> transcribe el cuestionario</w:t>
      </w:r>
      <w:r w:rsidR="00D0755A">
        <w:rPr>
          <w:rFonts w:ascii="Bookman Old Style" w:hAnsi="Bookman Old Style"/>
          <w:lang w:val="es-CO"/>
        </w:rPr>
        <w:t xml:space="preserve">, se consignan </w:t>
      </w:r>
      <w:r w:rsidR="00156506">
        <w:rPr>
          <w:rFonts w:ascii="Bookman Old Style" w:hAnsi="Bookman Old Style"/>
          <w:lang w:val="es-CO"/>
        </w:rPr>
        <w:t xml:space="preserve">el análisis completo de la actuación administrativa </w:t>
      </w:r>
      <w:r w:rsidR="00D0755A">
        <w:rPr>
          <w:rFonts w:ascii="Bookman Old Style" w:hAnsi="Bookman Old Style"/>
          <w:lang w:val="es-CO"/>
        </w:rPr>
        <w:t xml:space="preserve">y </w:t>
      </w:r>
      <w:r w:rsidR="00156506">
        <w:rPr>
          <w:rFonts w:ascii="Bookman Old Style" w:hAnsi="Bookman Old Style"/>
          <w:lang w:val="es-CO"/>
        </w:rPr>
        <w:t xml:space="preserve">las </w:t>
      </w:r>
      <w:r w:rsidR="00D0755A">
        <w:rPr>
          <w:rFonts w:ascii="Bookman Old Style" w:hAnsi="Bookman Old Style"/>
          <w:lang w:val="es-CO"/>
        </w:rPr>
        <w:t>justificaciones de la presente propuesta regulatoria</w:t>
      </w:r>
      <w:r w:rsidR="00DE5B72">
        <w:rPr>
          <w:rFonts w:ascii="Bookman Old Style" w:hAnsi="Bookman Old Style"/>
          <w:lang w:val="es-CO"/>
        </w:rPr>
        <w:t>.</w:t>
      </w:r>
    </w:p>
    <w:p w:rsidR="00DE5B72" w:rsidRDefault="00DE5B72" w:rsidP="00D0755A">
      <w:pPr>
        <w:ind w:left="0"/>
        <w:contextualSpacing/>
        <w:jc w:val="both"/>
        <w:rPr>
          <w:rFonts w:ascii="Bookman Old Style" w:hAnsi="Bookman Old Style"/>
          <w:lang w:val="es-CO"/>
        </w:rPr>
      </w:pPr>
    </w:p>
    <w:p w:rsidR="00045D3D" w:rsidRPr="00C435C3" w:rsidRDefault="00045D3D" w:rsidP="00D273C6">
      <w:pPr>
        <w:ind w:left="0"/>
        <w:jc w:val="both"/>
        <w:rPr>
          <w:rFonts w:ascii="Bookman Old Style" w:hAnsi="Bookman Old Style"/>
        </w:rPr>
      </w:pPr>
      <w:r>
        <w:rPr>
          <w:rFonts w:ascii="Bookman Old Style" w:hAnsi="Bookman Old Style"/>
        </w:rPr>
        <w:t xml:space="preserve">La Comisión de Regulación de Energía y Gas, en su Sesión </w:t>
      </w:r>
      <w:r w:rsidR="00BE355B">
        <w:rPr>
          <w:rFonts w:ascii="Bookman Old Style" w:hAnsi="Bookman Old Style"/>
        </w:rPr>
        <w:t xml:space="preserve">945 </w:t>
      </w:r>
      <w:r w:rsidR="00DF3CA2">
        <w:rPr>
          <w:rFonts w:ascii="Bookman Old Style" w:hAnsi="Bookman Old Style"/>
        </w:rPr>
        <w:t xml:space="preserve">del </w:t>
      </w:r>
      <w:r w:rsidR="00BE355B">
        <w:rPr>
          <w:rFonts w:ascii="Bookman Old Style" w:hAnsi="Bookman Old Style"/>
        </w:rPr>
        <w:t xml:space="preserve">18 </w:t>
      </w:r>
      <w:r>
        <w:rPr>
          <w:rFonts w:ascii="Bookman Old Style" w:hAnsi="Bookman Old Style"/>
        </w:rPr>
        <w:t xml:space="preserve">de </w:t>
      </w:r>
      <w:r w:rsidR="00D0755A">
        <w:rPr>
          <w:rFonts w:ascii="Bookman Old Style" w:hAnsi="Bookman Old Style"/>
        </w:rPr>
        <w:t>septiembre</w:t>
      </w:r>
      <w:r>
        <w:rPr>
          <w:rFonts w:ascii="Bookman Old Style" w:hAnsi="Bookman Old Style"/>
        </w:rPr>
        <w:t xml:space="preserve"> de 20</w:t>
      </w:r>
      <w:r w:rsidR="00D0755A">
        <w:rPr>
          <w:rFonts w:ascii="Bookman Old Style" w:hAnsi="Bookman Old Style"/>
        </w:rPr>
        <w:t>19</w:t>
      </w:r>
      <w:r>
        <w:rPr>
          <w:rFonts w:ascii="Bookman Old Style" w:hAnsi="Bookman Old Style"/>
        </w:rPr>
        <w:t xml:space="preserve">, </w:t>
      </w:r>
      <w:r w:rsidR="00D273C6">
        <w:rPr>
          <w:rFonts w:ascii="Bookman Old Style" w:hAnsi="Bookman Old Style"/>
        </w:rPr>
        <w:t>acordó expedir esta resolución.</w:t>
      </w:r>
    </w:p>
    <w:p w:rsidR="00045D3D" w:rsidRDefault="00045D3D" w:rsidP="00045D3D">
      <w:pPr>
        <w:suppressAutoHyphens/>
        <w:jc w:val="center"/>
        <w:rPr>
          <w:rFonts w:ascii="Bookman Old Style" w:hAnsi="Bookman Old Style"/>
          <w:b/>
          <w:spacing w:val="-3"/>
        </w:rPr>
      </w:pPr>
    </w:p>
    <w:p w:rsidR="00D273C6" w:rsidRDefault="00D273C6" w:rsidP="00045D3D">
      <w:pPr>
        <w:suppressAutoHyphens/>
        <w:jc w:val="center"/>
        <w:rPr>
          <w:rFonts w:ascii="Bookman Old Style" w:hAnsi="Bookman Old Style"/>
          <w:b/>
          <w:spacing w:val="-3"/>
        </w:rPr>
      </w:pPr>
    </w:p>
    <w:p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rsidR="00045D3D" w:rsidRDefault="00045D3D" w:rsidP="00045D3D">
      <w:pPr>
        <w:jc w:val="center"/>
        <w:rPr>
          <w:rFonts w:ascii="Bookman Old Style" w:hAnsi="Bookman Old Style"/>
        </w:rPr>
      </w:pPr>
    </w:p>
    <w:p w:rsidR="007F6D26" w:rsidRDefault="007F6D26" w:rsidP="00045D3D">
      <w:pPr>
        <w:jc w:val="center"/>
        <w:rPr>
          <w:rFonts w:ascii="Bookman Old Style" w:hAnsi="Bookman Old Style"/>
        </w:rPr>
      </w:pPr>
    </w:p>
    <w:p w:rsidR="0077400F" w:rsidRDefault="00045D3D" w:rsidP="0077400F">
      <w:pPr>
        <w:ind w:left="0"/>
        <w:jc w:val="both"/>
        <w:rPr>
          <w:rFonts w:ascii="Bookman Old Style" w:hAnsi="Bookman Old Style"/>
        </w:rPr>
      </w:pPr>
      <w:r w:rsidRPr="002A782A">
        <w:rPr>
          <w:rFonts w:ascii="Bookman Old Style" w:hAnsi="Bookman Old Style"/>
          <w:b/>
        </w:rPr>
        <w:t xml:space="preserve">ARTÍCULO </w:t>
      </w:r>
      <w:r w:rsidR="0077400F">
        <w:rPr>
          <w:rFonts w:ascii="Bookman Old Style" w:hAnsi="Bookman Old Style"/>
          <w:b/>
        </w:rPr>
        <w:t>1</w:t>
      </w:r>
      <w:r w:rsidRPr="002A782A">
        <w:rPr>
          <w:rFonts w:ascii="Bookman Old Style" w:hAnsi="Bookman Old Style"/>
          <w:b/>
        </w:rPr>
        <w:t>.</w:t>
      </w:r>
      <w:r w:rsidR="0077400F" w:rsidRPr="0077400F">
        <w:t xml:space="preserve"> </w:t>
      </w:r>
      <w:r w:rsidR="0077400F" w:rsidRPr="0077400F">
        <w:rPr>
          <w:rFonts w:ascii="Bookman Old Style" w:hAnsi="Bookman Old Style"/>
          <w:b/>
        </w:rPr>
        <w:t>PRECIO MÁXIMO REGULADO DE SUMINIS</w:t>
      </w:r>
      <w:r w:rsidR="00D273C6">
        <w:rPr>
          <w:rFonts w:ascii="Bookman Old Style" w:hAnsi="Bookman Old Style"/>
          <w:b/>
        </w:rPr>
        <w:t>TRO DE GLP PRODUCIDO EN EL CPF</w:t>
      </w:r>
      <w:r w:rsidR="0077400F" w:rsidRPr="0077400F">
        <w:rPr>
          <w:rFonts w:ascii="Bookman Old Style" w:hAnsi="Bookman Old Style"/>
          <w:b/>
        </w:rPr>
        <w:t xml:space="preserve"> CU</w:t>
      </w:r>
      <w:r w:rsidR="0077400F">
        <w:rPr>
          <w:rFonts w:ascii="Bookman Old Style" w:hAnsi="Bookman Old Style"/>
          <w:b/>
        </w:rPr>
        <w:t>PIAGUA</w:t>
      </w:r>
      <w:r w:rsidR="0077400F" w:rsidRPr="0077400F">
        <w:rPr>
          <w:rFonts w:ascii="Bookman Old Style" w:hAnsi="Bookman Old Style"/>
          <w:b/>
        </w:rPr>
        <w:t xml:space="preserve">. </w:t>
      </w:r>
      <w:r w:rsidR="0077400F" w:rsidRPr="0077400F">
        <w:rPr>
          <w:rFonts w:ascii="Bookman Old Style" w:hAnsi="Bookman Old Style"/>
        </w:rPr>
        <w:t>El precio máximo regulado de suminist</w:t>
      </w:r>
      <w:r w:rsidR="00D273C6">
        <w:rPr>
          <w:rFonts w:ascii="Bookman Old Style" w:hAnsi="Bookman Old Style"/>
        </w:rPr>
        <w:t>ro de Comercializadores Mayoristas a Distribuidores del GLP producido en el CPF</w:t>
      </w:r>
      <w:r w:rsidR="0077400F" w:rsidRPr="0077400F">
        <w:rPr>
          <w:rFonts w:ascii="Bookman Old Style" w:hAnsi="Bookman Old Style"/>
        </w:rPr>
        <w:t xml:space="preserve"> </w:t>
      </w:r>
      <w:r w:rsidR="0077400F">
        <w:rPr>
          <w:rFonts w:ascii="Bookman Old Style" w:hAnsi="Bookman Old Style"/>
        </w:rPr>
        <w:t>Cupiagua</w:t>
      </w:r>
      <w:r w:rsidR="0077400F" w:rsidRPr="0077400F">
        <w:rPr>
          <w:rFonts w:ascii="Bookman Old Style" w:hAnsi="Bookman Old Style"/>
        </w:rPr>
        <w:t xml:space="preserve"> será determinado aplicando lo dispuesto en el artículo 3 de la Resolución CREG 066 de 2007, siempre que se cumplan los supuestos señalados en el artículo 1 de la Resolución </w:t>
      </w:r>
      <w:r w:rsidR="00D273C6">
        <w:rPr>
          <w:rFonts w:ascii="Bookman Old Style" w:hAnsi="Bookman Old Style"/>
        </w:rPr>
        <w:t>CREG</w:t>
      </w:r>
      <w:r w:rsidR="00A55DF7">
        <w:rPr>
          <w:rFonts w:ascii="Bookman Old Style" w:hAnsi="Bookman Old Style"/>
        </w:rPr>
        <w:t xml:space="preserve"> </w:t>
      </w:r>
      <w:r w:rsidR="0077400F" w:rsidRPr="0077400F">
        <w:rPr>
          <w:rFonts w:ascii="Bookman Old Style" w:hAnsi="Bookman Old Style"/>
        </w:rPr>
        <w:t>123 de 2010.</w:t>
      </w:r>
    </w:p>
    <w:p w:rsidR="0077400F" w:rsidRPr="0077400F" w:rsidRDefault="0077400F" w:rsidP="0077400F">
      <w:pPr>
        <w:ind w:left="0"/>
        <w:jc w:val="both"/>
        <w:rPr>
          <w:rFonts w:ascii="Bookman Old Style" w:hAnsi="Bookman Old Style"/>
        </w:rPr>
      </w:pPr>
    </w:p>
    <w:p w:rsidR="007F6D26" w:rsidRDefault="007F6D26" w:rsidP="0077400F">
      <w:pPr>
        <w:ind w:left="0"/>
        <w:jc w:val="both"/>
        <w:rPr>
          <w:rFonts w:ascii="Bookman Old Style" w:hAnsi="Bookman Old Style"/>
          <w:b/>
        </w:rPr>
      </w:pPr>
    </w:p>
    <w:p w:rsidR="007F6D26" w:rsidRDefault="007F6D26" w:rsidP="0077400F">
      <w:pPr>
        <w:ind w:left="0"/>
        <w:jc w:val="both"/>
        <w:rPr>
          <w:rFonts w:ascii="Bookman Old Style" w:hAnsi="Bookman Old Style"/>
          <w:b/>
        </w:rPr>
      </w:pPr>
    </w:p>
    <w:p w:rsidR="0077400F" w:rsidRDefault="0077400F" w:rsidP="0077400F">
      <w:pPr>
        <w:ind w:left="0"/>
        <w:jc w:val="both"/>
        <w:rPr>
          <w:rFonts w:ascii="Bookman Old Style" w:hAnsi="Bookman Old Style"/>
        </w:rPr>
      </w:pPr>
      <w:r w:rsidRPr="0077400F">
        <w:rPr>
          <w:rFonts w:ascii="Bookman Old Style" w:hAnsi="Bookman Old Style"/>
          <w:b/>
        </w:rPr>
        <w:t>Parágrafo.</w:t>
      </w:r>
      <w:r w:rsidRPr="0077400F">
        <w:rPr>
          <w:rFonts w:ascii="Bookman Old Style" w:hAnsi="Bookman Old Style"/>
        </w:rPr>
        <w:t xml:space="preserve"> Las disposiciones de la Resolución CREG 066 de 2007 aplicables a precios máximos regulados le son también aplicables al precio máximo regula</w:t>
      </w:r>
      <w:r w:rsidR="00D273C6">
        <w:rPr>
          <w:rFonts w:ascii="Bookman Old Style" w:hAnsi="Bookman Old Style"/>
        </w:rPr>
        <w:t>do del GLP producido en el CPF</w:t>
      </w:r>
      <w:r w:rsidRPr="0077400F">
        <w:rPr>
          <w:rFonts w:ascii="Bookman Old Style" w:hAnsi="Bookman Old Style"/>
        </w:rPr>
        <w:t xml:space="preserve"> </w:t>
      </w:r>
      <w:r>
        <w:rPr>
          <w:rFonts w:ascii="Bookman Old Style" w:hAnsi="Bookman Old Style"/>
        </w:rPr>
        <w:t>Cupiagua.</w:t>
      </w:r>
    </w:p>
    <w:p w:rsidR="0077400F" w:rsidRDefault="0077400F" w:rsidP="0077400F">
      <w:pPr>
        <w:ind w:left="0"/>
        <w:jc w:val="both"/>
        <w:rPr>
          <w:rFonts w:ascii="Bookman Old Style" w:hAnsi="Bookman Old Style"/>
        </w:rPr>
      </w:pPr>
    </w:p>
    <w:p w:rsidR="0077400F" w:rsidRPr="0077400F" w:rsidRDefault="0077400F" w:rsidP="0077400F">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 xml:space="preserve">. </w:t>
      </w:r>
      <w:r w:rsidRPr="0077400F">
        <w:rPr>
          <w:rFonts w:ascii="Bookman Old Style" w:hAnsi="Bookman Old Style"/>
          <w:b/>
        </w:rPr>
        <w:t xml:space="preserve">VIGENCIA. </w:t>
      </w:r>
      <w:r w:rsidRPr="0077400F">
        <w:rPr>
          <w:rFonts w:ascii="Bookman Old Style" w:hAnsi="Bookman Old Style"/>
        </w:rPr>
        <w:t>La presente Resolución rige mientras se encuentre vigente la Resolución CREG 066 de 2007.</w:t>
      </w:r>
    </w:p>
    <w:p w:rsidR="0077400F" w:rsidRPr="0077400F" w:rsidRDefault="0077400F" w:rsidP="0077400F">
      <w:pPr>
        <w:ind w:left="0"/>
        <w:jc w:val="both"/>
        <w:rPr>
          <w:rFonts w:ascii="Bookman Old Style" w:hAnsi="Bookman Old Style"/>
          <w:b/>
        </w:rPr>
      </w:pPr>
    </w:p>
    <w:p w:rsidR="0077400F" w:rsidRPr="0077400F" w:rsidRDefault="0077400F" w:rsidP="0077400F">
      <w:pPr>
        <w:ind w:left="0"/>
        <w:jc w:val="both"/>
        <w:rPr>
          <w:rFonts w:ascii="Bookman Old Style" w:hAnsi="Bookman Old Style"/>
          <w:i/>
          <w:sz w:val="22"/>
        </w:rPr>
      </w:pPr>
      <w:r w:rsidRPr="0077400F">
        <w:rPr>
          <w:rFonts w:ascii="Bookman Old Style" w:hAnsi="Bookman Old Style"/>
          <w:b/>
        </w:rPr>
        <w:t>ART</w:t>
      </w:r>
      <w:r w:rsidR="007F6D26">
        <w:rPr>
          <w:rFonts w:ascii="Bookman Old Style" w:hAnsi="Bookman Old Style"/>
          <w:b/>
        </w:rPr>
        <w:t>Í</w:t>
      </w:r>
      <w:r w:rsidRPr="0077400F">
        <w:rPr>
          <w:rFonts w:ascii="Bookman Old Style" w:hAnsi="Bookman Old Style"/>
          <w:b/>
        </w:rPr>
        <w:t xml:space="preserve">CULO 3. </w:t>
      </w:r>
      <w:r w:rsidRPr="0077400F">
        <w:rPr>
          <w:rFonts w:ascii="Bookman Old Style" w:hAnsi="Bookman Old Style"/>
        </w:rPr>
        <w:t>Notifíquese personalmente a</w:t>
      </w:r>
      <w:r w:rsidR="00D273C6">
        <w:rPr>
          <w:rFonts w:ascii="Bookman Old Style" w:hAnsi="Bookman Old Style"/>
        </w:rPr>
        <w:t xml:space="preserve"> </w:t>
      </w:r>
      <w:r w:rsidRPr="0077400F">
        <w:rPr>
          <w:rFonts w:ascii="Bookman Old Style" w:hAnsi="Bookman Old Style"/>
        </w:rPr>
        <w:t>l</w:t>
      </w:r>
      <w:r w:rsidR="00D273C6">
        <w:rPr>
          <w:rFonts w:ascii="Bookman Old Style" w:hAnsi="Bookman Old Style"/>
        </w:rPr>
        <w:t>os</w:t>
      </w:r>
      <w:r w:rsidRPr="0077400F">
        <w:rPr>
          <w:rFonts w:ascii="Bookman Old Style" w:hAnsi="Bookman Old Style"/>
        </w:rPr>
        <w:t xml:space="preserve"> representante</w:t>
      </w:r>
      <w:r w:rsidR="00D273C6">
        <w:rPr>
          <w:rFonts w:ascii="Bookman Old Style" w:hAnsi="Bookman Old Style"/>
        </w:rPr>
        <w:t>s</w:t>
      </w:r>
      <w:r w:rsidRPr="0077400F">
        <w:rPr>
          <w:rFonts w:ascii="Bookman Old Style" w:hAnsi="Bookman Old Style"/>
        </w:rPr>
        <w:t xml:space="preserve"> legal</w:t>
      </w:r>
      <w:r w:rsidR="00D273C6">
        <w:rPr>
          <w:rFonts w:ascii="Bookman Old Style" w:hAnsi="Bookman Old Style"/>
        </w:rPr>
        <w:t>es de Ecopetrol,</w:t>
      </w:r>
      <w:r w:rsidRPr="0077400F">
        <w:rPr>
          <w:rFonts w:ascii="Bookman Old Style" w:hAnsi="Bookman Old Style"/>
        </w:rPr>
        <w:t xml:space="preserve"> </w:t>
      </w:r>
      <w:r w:rsidR="00D273C6" w:rsidRPr="00D273C6">
        <w:rPr>
          <w:rFonts w:ascii="Bookman Old Style" w:hAnsi="Bookman Old Style"/>
        </w:rPr>
        <w:t>Compañía de Almacenamiento de Gas - Alm</w:t>
      </w:r>
      <w:r w:rsidR="00D273C6">
        <w:rPr>
          <w:rFonts w:ascii="Bookman Old Style" w:hAnsi="Bookman Old Style"/>
        </w:rPr>
        <w:t>agas S.A. E.S.P</w:t>
      </w:r>
      <w:r w:rsidR="00D273C6" w:rsidRPr="00D273C6">
        <w:rPr>
          <w:rFonts w:ascii="Bookman Old Style" w:hAnsi="Bookman Old Style"/>
        </w:rPr>
        <w:t>, Norte</w:t>
      </w:r>
      <w:r w:rsidR="00517FC0">
        <w:rPr>
          <w:rFonts w:ascii="Bookman Old Style" w:hAnsi="Bookman Old Style"/>
        </w:rPr>
        <w:t>s</w:t>
      </w:r>
      <w:r w:rsidR="00D273C6" w:rsidRPr="00D273C6">
        <w:rPr>
          <w:rFonts w:ascii="Bookman Old Style" w:hAnsi="Bookman Old Style"/>
        </w:rPr>
        <w:t>antandereana de Gas – Norgas S.A. E.S.P., Colgas de Occid</w:t>
      </w:r>
      <w:r w:rsidR="00D273C6">
        <w:rPr>
          <w:rFonts w:ascii="Bookman Old Style" w:hAnsi="Bookman Old Style"/>
        </w:rPr>
        <w:t>ente S.A. E.S.P.</w:t>
      </w:r>
      <w:r w:rsidR="00D273C6" w:rsidRPr="00D273C6">
        <w:rPr>
          <w:rFonts w:ascii="Bookman Old Style" w:hAnsi="Bookman Old Style"/>
        </w:rPr>
        <w:t>, Gases de Antioquia S.A. E.S.P., Compañías Asociadas de</w:t>
      </w:r>
      <w:r w:rsidR="00D273C6">
        <w:rPr>
          <w:rFonts w:ascii="Bookman Old Style" w:hAnsi="Bookman Old Style"/>
        </w:rPr>
        <w:t xml:space="preserve"> Gas S.A. E.S.P.</w:t>
      </w:r>
      <w:r w:rsidR="00D273C6" w:rsidRPr="00D273C6">
        <w:rPr>
          <w:rFonts w:ascii="Bookman Old Style" w:hAnsi="Bookman Old Style"/>
        </w:rPr>
        <w:t xml:space="preserve">, y Gas Gombel S.A. E.S.P. </w:t>
      </w:r>
      <w:r w:rsidRPr="0077400F">
        <w:rPr>
          <w:rFonts w:ascii="Bookman Old Style" w:hAnsi="Bookman Old Style"/>
        </w:rPr>
        <w:t>el contenido de la presente resolución. Contra lo dispuesto en este acto procede el recurso de reposición, el cual se podrá interponer ante la Dirección Ejecutiva de la CREG dentro de los cinco (5) días hábiles siguientes a la fecha de su notificación.</w:t>
      </w:r>
    </w:p>
    <w:p w:rsidR="0077400F" w:rsidRPr="0077400F" w:rsidRDefault="0077400F" w:rsidP="0077400F">
      <w:pPr>
        <w:ind w:left="0"/>
        <w:rPr>
          <w:rFonts w:ascii="Bookman Old Style" w:hAnsi="Bookman Old Style"/>
        </w:rPr>
      </w:pPr>
    </w:p>
    <w:p w:rsidR="00045D3D" w:rsidRPr="00C435C3" w:rsidRDefault="00045D3D" w:rsidP="00045D3D">
      <w:pPr>
        <w:ind w:left="0"/>
        <w:rPr>
          <w:rFonts w:ascii="Bookman Old Style" w:hAnsi="Bookman Old Style"/>
        </w:rPr>
      </w:pPr>
    </w:p>
    <w:p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rsidR="00045D3D" w:rsidRDefault="00045D3D" w:rsidP="007D3857">
      <w:pPr>
        <w:ind w:left="0"/>
        <w:rPr>
          <w:rFonts w:ascii="Bookman Old Style" w:hAnsi="Bookman Old Style"/>
        </w:rPr>
      </w:pPr>
    </w:p>
    <w:p w:rsidR="00D273C6" w:rsidRPr="00C435C3" w:rsidRDefault="00D273C6" w:rsidP="007D3857">
      <w:pPr>
        <w:ind w:left="0"/>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rsidR="00D0755A" w:rsidRDefault="00D0755A" w:rsidP="00D0755A">
      <w:pPr>
        <w:ind w:left="0"/>
        <w:jc w:val="both"/>
        <w:rPr>
          <w:rFonts w:ascii="Bookman Old Style" w:hAnsi="Bookman Old Style"/>
        </w:rPr>
      </w:pPr>
    </w:p>
    <w:p w:rsidR="00D0755A" w:rsidRDefault="00D0755A" w:rsidP="00D0755A">
      <w:pPr>
        <w:ind w:left="0"/>
        <w:jc w:val="both"/>
        <w:rPr>
          <w:rFonts w:ascii="Bookman Old Style" w:hAnsi="Bookman Old Style"/>
        </w:rPr>
      </w:pPr>
    </w:p>
    <w:p w:rsidR="00787669" w:rsidRDefault="00787669" w:rsidP="00D0755A">
      <w:pPr>
        <w:ind w:left="0"/>
        <w:jc w:val="both"/>
        <w:rPr>
          <w:rFonts w:ascii="Bookman Old Style" w:hAnsi="Bookman Old Style"/>
        </w:rPr>
      </w:pPr>
    </w:p>
    <w:p w:rsidR="007F6D26" w:rsidRDefault="007F6D26" w:rsidP="00D0755A">
      <w:pPr>
        <w:ind w:left="0"/>
        <w:jc w:val="both"/>
        <w:rPr>
          <w:rFonts w:ascii="Bookman Old Style" w:hAnsi="Bookman Old Style"/>
        </w:rPr>
      </w:pPr>
    </w:p>
    <w:p w:rsidR="00D0755A" w:rsidRPr="000B73A9" w:rsidRDefault="00D0755A" w:rsidP="00D0755A">
      <w:pPr>
        <w:ind w:left="0"/>
        <w:jc w:val="both"/>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D0755A" w:rsidRPr="00B64D62" w:rsidTr="00BB30EC">
        <w:trPr>
          <w:tblCellSpacing w:w="0" w:type="dxa"/>
        </w:trPr>
        <w:tc>
          <w:tcPr>
            <w:tcW w:w="5104" w:type="dxa"/>
            <w:shd w:val="clear" w:color="auto" w:fill="FFFFFF"/>
            <w:hideMark/>
          </w:tcPr>
          <w:p w:rsidR="00D0755A" w:rsidRPr="00B64D62" w:rsidRDefault="00D0755A" w:rsidP="00BB30EC">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D0755A" w:rsidRPr="00B64D62" w:rsidRDefault="00D0755A" w:rsidP="00BB30EC">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D0755A" w:rsidRPr="00B64D62" w:rsidTr="00BB30EC">
        <w:trPr>
          <w:tblCellSpacing w:w="0" w:type="dxa"/>
        </w:trPr>
        <w:tc>
          <w:tcPr>
            <w:tcW w:w="5104" w:type="dxa"/>
            <w:shd w:val="clear" w:color="auto" w:fill="FFFFFF"/>
            <w:hideMark/>
          </w:tcPr>
          <w:p w:rsidR="00D0755A" w:rsidRPr="00B64D62" w:rsidRDefault="00D0755A" w:rsidP="00BB30EC">
            <w:pPr>
              <w:ind w:left="0"/>
              <w:jc w:val="center"/>
              <w:rPr>
                <w:rFonts w:ascii="Bookman Old Style" w:hAnsi="Bookman Old Style" w:cs="Arial"/>
                <w:lang w:val="es-CO" w:eastAsia="es-CO"/>
              </w:rPr>
            </w:pPr>
            <w:r w:rsidRPr="00B64D62">
              <w:rPr>
                <w:rFonts w:ascii="Bookman Old Style" w:hAnsi="Bookman Old Style"/>
              </w:rPr>
              <w:t xml:space="preserve">Viceministro </w:t>
            </w:r>
            <w:r w:rsidR="00230F46">
              <w:rPr>
                <w:rFonts w:ascii="Bookman Old Style" w:hAnsi="Bookman Old Style"/>
              </w:rPr>
              <w:t>de Energía, D</w:t>
            </w:r>
            <w:r w:rsidRPr="00B64D62">
              <w:rPr>
                <w:rFonts w:ascii="Bookman Old Style" w:hAnsi="Bookman Old Style"/>
              </w:rPr>
              <w:t>elegado de la Ministra de Minas y Energía</w:t>
            </w:r>
          </w:p>
        </w:tc>
        <w:tc>
          <w:tcPr>
            <w:tcW w:w="4536" w:type="dxa"/>
            <w:shd w:val="clear" w:color="auto" w:fill="FFFFFF"/>
            <w:hideMark/>
          </w:tcPr>
          <w:p w:rsidR="00D0755A" w:rsidRPr="00B64D62" w:rsidRDefault="00D0755A" w:rsidP="00BB30EC">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D0755A" w:rsidRPr="00B64D62" w:rsidTr="00BB30EC">
        <w:trPr>
          <w:tblCellSpacing w:w="0" w:type="dxa"/>
        </w:trPr>
        <w:tc>
          <w:tcPr>
            <w:tcW w:w="5104" w:type="dxa"/>
            <w:shd w:val="clear" w:color="auto" w:fill="FFFFFF"/>
            <w:hideMark/>
          </w:tcPr>
          <w:p w:rsidR="00D0755A" w:rsidRPr="00B64D62" w:rsidRDefault="00D0755A" w:rsidP="00BB30EC">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D0755A" w:rsidRPr="00B64D62" w:rsidRDefault="00D0755A" w:rsidP="00BB30EC">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5F5D76AE" wp14:editId="1F9EEC8C">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0755A" w:rsidRDefault="00D0755A" w:rsidP="00045D3D">
      <w:pPr>
        <w:ind w:left="0"/>
        <w:rPr>
          <w:rFonts w:ascii="Bookman Old Style" w:hAnsi="Bookman Old Style"/>
        </w:rPr>
      </w:pPr>
    </w:p>
    <w:sectPr w:rsidR="00D0755A"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0D" w:rsidRDefault="000A680D">
      <w:r>
        <w:separator/>
      </w:r>
    </w:p>
  </w:endnote>
  <w:endnote w:type="continuationSeparator" w:id="0">
    <w:p w:rsidR="000A680D" w:rsidRDefault="000A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0D" w:rsidRDefault="000A680D">
      <w:r>
        <w:separator/>
      </w:r>
    </w:p>
  </w:footnote>
  <w:footnote w:type="continuationSeparator" w:id="0">
    <w:p w:rsidR="000A680D" w:rsidRDefault="000A680D">
      <w:r>
        <w:continuationSeparator/>
      </w:r>
    </w:p>
  </w:footnote>
  <w:footnote w:id="1">
    <w:p w:rsidR="00BB30EC" w:rsidRPr="00A51EFB" w:rsidRDefault="00BB30EC" w:rsidP="009958C1">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2">
    <w:p w:rsidR="000A6A17" w:rsidRPr="00DA7BBB" w:rsidRDefault="000A6A17" w:rsidP="000A6A17">
      <w:pPr>
        <w:pStyle w:val="Textonotapie"/>
        <w:ind w:left="0"/>
        <w:rPr>
          <w:rFonts w:ascii="Bookman Old Style" w:hAnsi="Bookman Old Style"/>
          <w:sz w:val="16"/>
          <w:szCs w:val="16"/>
          <w:lang w:val="es-CO"/>
        </w:rPr>
      </w:pPr>
      <w:r w:rsidRPr="00DA7BBB">
        <w:rPr>
          <w:rStyle w:val="Refdenotaalpie"/>
          <w:rFonts w:ascii="Bookman Old Style" w:hAnsi="Bookman Old Style"/>
          <w:sz w:val="16"/>
          <w:szCs w:val="16"/>
        </w:rPr>
        <w:footnoteRef/>
      </w:r>
      <w:r w:rsidRPr="00DA7BBB">
        <w:rPr>
          <w:rFonts w:ascii="Bookman Old Style" w:hAnsi="Bookman Old Style"/>
          <w:sz w:val="16"/>
          <w:szCs w:val="16"/>
        </w:rPr>
        <w:t xml:space="preserve"> Se debe precisar que estas disposiciones se encuentran recogidas actualmente en los numerales 2.2.2.30 y siguientes del Decreto 1074 de 2015.</w:t>
      </w:r>
    </w:p>
  </w:footnote>
  <w:footnote w:id="3">
    <w:p w:rsidR="000A6A17" w:rsidRPr="00157758" w:rsidRDefault="000A6A17" w:rsidP="001F5E9B">
      <w:pPr>
        <w:pStyle w:val="Textonotapie"/>
        <w:ind w:left="0"/>
        <w:rPr>
          <w:rFonts w:ascii="Bookman Old Style" w:hAnsi="Bookman Old Style"/>
          <w:sz w:val="16"/>
          <w:szCs w:val="16"/>
          <w:lang w:val="es-CO"/>
        </w:rPr>
      </w:pPr>
      <w:r w:rsidRPr="00157758">
        <w:rPr>
          <w:rStyle w:val="Refdenotaalpie"/>
          <w:rFonts w:ascii="Bookman Old Style" w:hAnsi="Bookman Old Style"/>
          <w:sz w:val="16"/>
          <w:szCs w:val="16"/>
        </w:rPr>
        <w:footnoteRef/>
      </w:r>
      <w:r w:rsidRPr="00157758">
        <w:rPr>
          <w:rFonts w:ascii="Bookman Old Style" w:hAnsi="Bookman Old Style"/>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C" w:rsidRDefault="00BB30EC" w:rsidP="00951F79">
    <w:pPr>
      <w:pStyle w:val="Ttulo1"/>
      <w:ind w:right="6"/>
      <w:jc w:val="left"/>
      <w:rPr>
        <w:rFonts w:ascii="Bookman Old Style" w:hAnsi="Bookman Old Style" w:cs="Arial"/>
        <w:b w:val="0"/>
        <w:sz w:val="22"/>
        <w:szCs w:val="22"/>
      </w:rPr>
    </w:pPr>
  </w:p>
  <w:p w:rsidR="00BB30EC" w:rsidRPr="00951F79" w:rsidRDefault="00BB30E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96A97">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96A97">
      <w:fldChar w:fldCharType="begin"/>
    </w:r>
    <w:r w:rsidR="00C96A97">
      <w:instrText xml:space="preserve"> NUMPAGES  \* MERGEFORMAT </w:instrText>
    </w:r>
    <w:r w:rsidR="00C96A97">
      <w:fldChar w:fldCharType="separate"/>
    </w:r>
    <w:r w:rsidR="00C96A97" w:rsidRPr="00C96A97">
      <w:rPr>
        <w:rFonts w:ascii="Bookman Old Style" w:hAnsi="Bookman Old Style" w:cs="Arial"/>
        <w:b w:val="0"/>
        <w:noProof/>
        <w:sz w:val="22"/>
        <w:szCs w:val="22"/>
      </w:rPr>
      <w:t>7</w:t>
    </w:r>
    <w:r w:rsidR="00C96A97">
      <w:rPr>
        <w:rFonts w:ascii="Bookman Old Style" w:hAnsi="Bookman Old Style" w:cs="Arial"/>
        <w:b w:val="0"/>
        <w:noProof/>
        <w:sz w:val="22"/>
        <w:szCs w:val="22"/>
      </w:rPr>
      <w:fldChar w:fldCharType="end"/>
    </w:r>
  </w:p>
  <w:p w:rsidR="00BB30EC" w:rsidRDefault="00BB30E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5AC6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B30EC" w:rsidRPr="00045D3D" w:rsidRDefault="00BB30EC" w:rsidP="00045D3D">
    <w:pPr>
      <w:ind w:left="0"/>
      <w:jc w:val="both"/>
      <w:rPr>
        <w:rFonts w:ascii="Bookman Old Style" w:hAnsi="Bookman Old Style"/>
        <w:sz w:val="22"/>
        <w:szCs w:val="22"/>
      </w:rPr>
    </w:pPr>
    <w:r w:rsidRPr="00372CFA">
      <w:rPr>
        <w:rFonts w:ascii="Bookman Old Style" w:hAnsi="Bookman Old Style"/>
        <w:sz w:val="22"/>
        <w:szCs w:val="22"/>
      </w:rPr>
      <w:t>Por la cual se determina el precio máximo regulado de suministro de GLP</w:t>
    </w:r>
    <w:r>
      <w:rPr>
        <w:rFonts w:ascii="Bookman Old Style" w:hAnsi="Bookman Old Style"/>
        <w:sz w:val="22"/>
        <w:szCs w:val="22"/>
      </w:rPr>
      <w:t xml:space="preserve"> producido en el </w:t>
    </w:r>
    <w:r w:rsidR="00D273C6">
      <w:rPr>
        <w:rFonts w:ascii="Bookman Old Style" w:hAnsi="Bookman Old Style"/>
        <w:sz w:val="22"/>
        <w:szCs w:val="22"/>
      </w:rPr>
      <w:t>CPF</w:t>
    </w:r>
    <w:r>
      <w:rPr>
        <w:rFonts w:ascii="Bookman Old Style" w:hAnsi="Bookman Old Style"/>
        <w:sz w:val="22"/>
        <w:szCs w:val="22"/>
      </w:rPr>
      <w:t xml:space="preserve"> Cupiagua</w:t>
    </w:r>
  </w:p>
  <w:p w:rsidR="00BB30EC" w:rsidRPr="00045D3D" w:rsidRDefault="00BB30EC"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C" w:rsidRDefault="00BB30E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B30EC" w:rsidRDefault="00BB30EC">
    <w:pPr>
      <w:pStyle w:val="Encabezado"/>
      <w:jc w:val="center"/>
      <w:rPr>
        <w:rFonts w:ascii="Arial" w:hAnsi="Arial" w:cs="Arial"/>
        <w:spacing w:val="20"/>
        <w:sz w:val="20"/>
      </w:rPr>
    </w:pPr>
  </w:p>
  <w:p w:rsidR="00BB30EC" w:rsidRDefault="00BB30E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EE97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1"/>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05C2"/>
    <w:rsid w:val="00012259"/>
    <w:rsid w:val="00015CDF"/>
    <w:rsid w:val="0002107C"/>
    <w:rsid w:val="00025383"/>
    <w:rsid w:val="00045D3D"/>
    <w:rsid w:val="00063657"/>
    <w:rsid w:val="00076680"/>
    <w:rsid w:val="00076A1D"/>
    <w:rsid w:val="0008073E"/>
    <w:rsid w:val="00091CDB"/>
    <w:rsid w:val="00092AFB"/>
    <w:rsid w:val="000A19AC"/>
    <w:rsid w:val="000A680D"/>
    <w:rsid w:val="000A6A17"/>
    <w:rsid w:val="000B2EC9"/>
    <w:rsid w:val="000C133A"/>
    <w:rsid w:val="000C336F"/>
    <w:rsid w:val="000D26F8"/>
    <w:rsid w:val="00106654"/>
    <w:rsid w:val="00124B50"/>
    <w:rsid w:val="0013526C"/>
    <w:rsid w:val="001405C6"/>
    <w:rsid w:val="00141013"/>
    <w:rsid w:val="00156506"/>
    <w:rsid w:val="00192CBF"/>
    <w:rsid w:val="00192FF1"/>
    <w:rsid w:val="001A5F1B"/>
    <w:rsid w:val="001B1C22"/>
    <w:rsid w:val="001B34C6"/>
    <w:rsid w:val="001D7832"/>
    <w:rsid w:val="001F5E9B"/>
    <w:rsid w:val="00210DC1"/>
    <w:rsid w:val="00211D34"/>
    <w:rsid w:val="00214F04"/>
    <w:rsid w:val="00230F46"/>
    <w:rsid w:val="0023469A"/>
    <w:rsid w:val="002352B9"/>
    <w:rsid w:val="002419F5"/>
    <w:rsid w:val="002525A1"/>
    <w:rsid w:val="00266CD6"/>
    <w:rsid w:val="002673AC"/>
    <w:rsid w:val="00275DAB"/>
    <w:rsid w:val="002903C0"/>
    <w:rsid w:val="00291309"/>
    <w:rsid w:val="002A782A"/>
    <w:rsid w:val="002B11E2"/>
    <w:rsid w:val="002B13CB"/>
    <w:rsid w:val="002B24B8"/>
    <w:rsid w:val="002D3AE9"/>
    <w:rsid w:val="002D4510"/>
    <w:rsid w:val="002F0734"/>
    <w:rsid w:val="002F46E7"/>
    <w:rsid w:val="002F6161"/>
    <w:rsid w:val="003076CD"/>
    <w:rsid w:val="00307CCE"/>
    <w:rsid w:val="003101DA"/>
    <w:rsid w:val="003111C3"/>
    <w:rsid w:val="00314757"/>
    <w:rsid w:val="003163BC"/>
    <w:rsid w:val="003211CE"/>
    <w:rsid w:val="0035403A"/>
    <w:rsid w:val="00361114"/>
    <w:rsid w:val="0036394B"/>
    <w:rsid w:val="00366DB6"/>
    <w:rsid w:val="003709B5"/>
    <w:rsid w:val="00372CFA"/>
    <w:rsid w:val="003759C2"/>
    <w:rsid w:val="00376A01"/>
    <w:rsid w:val="00387C15"/>
    <w:rsid w:val="00397365"/>
    <w:rsid w:val="003A31F6"/>
    <w:rsid w:val="003C3447"/>
    <w:rsid w:val="003D076C"/>
    <w:rsid w:val="003E1C3B"/>
    <w:rsid w:val="003E78B5"/>
    <w:rsid w:val="004123E0"/>
    <w:rsid w:val="00415BAB"/>
    <w:rsid w:val="00415ED2"/>
    <w:rsid w:val="0042068C"/>
    <w:rsid w:val="0044318E"/>
    <w:rsid w:val="00443B35"/>
    <w:rsid w:val="0046715B"/>
    <w:rsid w:val="0047122B"/>
    <w:rsid w:val="00473B7A"/>
    <w:rsid w:val="004960E9"/>
    <w:rsid w:val="004A2E88"/>
    <w:rsid w:val="004A5305"/>
    <w:rsid w:val="004C3E3E"/>
    <w:rsid w:val="004D2067"/>
    <w:rsid w:val="004D7634"/>
    <w:rsid w:val="004E611A"/>
    <w:rsid w:val="004F6460"/>
    <w:rsid w:val="00500CC8"/>
    <w:rsid w:val="00517FC0"/>
    <w:rsid w:val="005300D3"/>
    <w:rsid w:val="00542A10"/>
    <w:rsid w:val="00544825"/>
    <w:rsid w:val="00544F82"/>
    <w:rsid w:val="005509D2"/>
    <w:rsid w:val="00577B84"/>
    <w:rsid w:val="00590B69"/>
    <w:rsid w:val="00593C4F"/>
    <w:rsid w:val="005946A8"/>
    <w:rsid w:val="005A4407"/>
    <w:rsid w:val="005A59EF"/>
    <w:rsid w:val="005B1C7E"/>
    <w:rsid w:val="005C0EA9"/>
    <w:rsid w:val="005C19CC"/>
    <w:rsid w:val="005C6976"/>
    <w:rsid w:val="005E2840"/>
    <w:rsid w:val="005F32B6"/>
    <w:rsid w:val="005F6F41"/>
    <w:rsid w:val="00621F2C"/>
    <w:rsid w:val="00625DC6"/>
    <w:rsid w:val="0064391D"/>
    <w:rsid w:val="00651821"/>
    <w:rsid w:val="00654384"/>
    <w:rsid w:val="006675CD"/>
    <w:rsid w:val="00684D9B"/>
    <w:rsid w:val="0068510A"/>
    <w:rsid w:val="00697556"/>
    <w:rsid w:val="006A38BB"/>
    <w:rsid w:val="006B4647"/>
    <w:rsid w:val="006B4C2B"/>
    <w:rsid w:val="006B6194"/>
    <w:rsid w:val="006B6D47"/>
    <w:rsid w:val="006C2A2C"/>
    <w:rsid w:val="006C5AFE"/>
    <w:rsid w:val="006E1CCF"/>
    <w:rsid w:val="006F2EC8"/>
    <w:rsid w:val="006F6D95"/>
    <w:rsid w:val="00706F13"/>
    <w:rsid w:val="007072E8"/>
    <w:rsid w:val="0071618D"/>
    <w:rsid w:val="00725FA4"/>
    <w:rsid w:val="00740446"/>
    <w:rsid w:val="007438A9"/>
    <w:rsid w:val="0074491E"/>
    <w:rsid w:val="00754F1D"/>
    <w:rsid w:val="0076247A"/>
    <w:rsid w:val="0077400F"/>
    <w:rsid w:val="00775964"/>
    <w:rsid w:val="007760BD"/>
    <w:rsid w:val="007765FE"/>
    <w:rsid w:val="00787669"/>
    <w:rsid w:val="00794E2E"/>
    <w:rsid w:val="00795BFB"/>
    <w:rsid w:val="007B2760"/>
    <w:rsid w:val="007D3857"/>
    <w:rsid w:val="007F6D26"/>
    <w:rsid w:val="00806C01"/>
    <w:rsid w:val="008148CC"/>
    <w:rsid w:val="008211A4"/>
    <w:rsid w:val="008324D0"/>
    <w:rsid w:val="0084693A"/>
    <w:rsid w:val="00873150"/>
    <w:rsid w:val="0087657D"/>
    <w:rsid w:val="008807D5"/>
    <w:rsid w:val="00880832"/>
    <w:rsid w:val="00886EE1"/>
    <w:rsid w:val="0088727D"/>
    <w:rsid w:val="00897C75"/>
    <w:rsid w:val="008A1F1C"/>
    <w:rsid w:val="008C1130"/>
    <w:rsid w:val="008D18E6"/>
    <w:rsid w:val="008D7A9B"/>
    <w:rsid w:val="008E0060"/>
    <w:rsid w:val="008E1715"/>
    <w:rsid w:val="008E7091"/>
    <w:rsid w:val="008E76AC"/>
    <w:rsid w:val="008F21F6"/>
    <w:rsid w:val="008F33D2"/>
    <w:rsid w:val="008F75F2"/>
    <w:rsid w:val="009009E9"/>
    <w:rsid w:val="00951F79"/>
    <w:rsid w:val="00964796"/>
    <w:rsid w:val="00974AB5"/>
    <w:rsid w:val="0098706D"/>
    <w:rsid w:val="009935FB"/>
    <w:rsid w:val="009958C1"/>
    <w:rsid w:val="009B61EE"/>
    <w:rsid w:val="009E2845"/>
    <w:rsid w:val="009F4A54"/>
    <w:rsid w:val="009F4BEC"/>
    <w:rsid w:val="009F5874"/>
    <w:rsid w:val="00A07212"/>
    <w:rsid w:val="00A25FD7"/>
    <w:rsid w:val="00A43AFF"/>
    <w:rsid w:val="00A55DF7"/>
    <w:rsid w:val="00A601DE"/>
    <w:rsid w:val="00A7793A"/>
    <w:rsid w:val="00A855AE"/>
    <w:rsid w:val="00A920B0"/>
    <w:rsid w:val="00AA4CC7"/>
    <w:rsid w:val="00AA5E8E"/>
    <w:rsid w:val="00AB2BAD"/>
    <w:rsid w:val="00AB569D"/>
    <w:rsid w:val="00AB6CA7"/>
    <w:rsid w:val="00AD01E4"/>
    <w:rsid w:val="00AD0858"/>
    <w:rsid w:val="00AE02E3"/>
    <w:rsid w:val="00AE7340"/>
    <w:rsid w:val="00AF1BBD"/>
    <w:rsid w:val="00B10207"/>
    <w:rsid w:val="00B141E7"/>
    <w:rsid w:val="00B225BE"/>
    <w:rsid w:val="00B351B4"/>
    <w:rsid w:val="00B46BCA"/>
    <w:rsid w:val="00B478AA"/>
    <w:rsid w:val="00B538C3"/>
    <w:rsid w:val="00B8710A"/>
    <w:rsid w:val="00B87806"/>
    <w:rsid w:val="00B87EC9"/>
    <w:rsid w:val="00BA49ED"/>
    <w:rsid w:val="00BB30EC"/>
    <w:rsid w:val="00BC38FD"/>
    <w:rsid w:val="00BE27A4"/>
    <w:rsid w:val="00BE355B"/>
    <w:rsid w:val="00C034CB"/>
    <w:rsid w:val="00C051A8"/>
    <w:rsid w:val="00C054BC"/>
    <w:rsid w:val="00C17897"/>
    <w:rsid w:val="00C218AA"/>
    <w:rsid w:val="00C32E04"/>
    <w:rsid w:val="00C409D5"/>
    <w:rsid w:val="00C435C3"/>
    <w:rsid w:val="00C44E5F"/>
    <w:rsid w:val="00C51B7C"/>
    <w:rsid w:val="00C6234B"/>
    <w:rsid w:val="00C63EAE"/>
    <w:rsid w:val="00C73260"/>
    <w:rsid w:val="00C7629F"/>
    <w:rsid w:val="00C8661B"/>
    <w:rsid w:val="00C96A97"/>
    <w:rsid w:val="00CA03C8"/>
    <w:rsid w:val="00CA139A"/>
    <w:rsid w:val="00CA2899"/>
    <w:rsid w:val="00CA3A3D"/>
    <w:rsid w:val="00CA3AA6"/>
    <w:rsid w:val="00CA4B8F"/>
    <w:rsid w:val="00CA77FB"/>
    <w:rsid w:val="00CB379B"/>
    <w:rsid w:val="00CB5DD0"/>
    <w:rsid w:val="00CC2803"/>
    <w:rsid w:val="00CC51D4"/>
    <w:rsid w:val="00CC65DA"/>
    <w:rsid w:val="00CF21B9"/>
    <w:rsid w:val="00CF6BF9"/>
    <w:rsid w:val="00D011FD"/>
    <w:rsid w:val="00D03800"/>
    <w:rsid w:val="00D03CA4"/>
    <w:rsid w:val="00D065D3"/>
    <w:rsid w:val="00D0755A"/>
    <w:rsid w:val="00D14C94"/>
    <w:rsid w:val="00D273C6"/>
    <w:rsid w:val="00D342A6"/>
    <w:rsid w:val="00D45CA6"/>
    <w:rsid w:val="00D464BF"/>
    <w:rsid w:val="00D53E26"/>
    <w:rsid w:val="00D940DF"/>
    <w:rsid w:val="00DB182C"/>
    <w:rsid w:val="00DD4F0E"/>
    <w:rsid w:val="00DE5B72"/>
    <w:rsid w:val="00DF0BF0"/>
    <w:rsid w:val="00DF3CA2"/>
    <w:rsid w:val="00DF4357"/>
    <w:rsid w:val="00DF77F5"/>
    <w:rsid w:val="00E01463"/>
    <w:rsid w:val="00E05E0A"/>
    <w:rsid w:val="00E060BE"/>
    <w:rsid w:val="00E534CF"/>
    <w:rsid w:val="00E541AD"/>
    <w:rsid w:val="00E57BB4"/>
    <w:rsid w:val="00E7365D"/>
    <w:rsid w:val="00E81CB4"/>
    <w:rsid w:val="00E8585B"/>
    <w:rsid w:val="00E87F41"/>
    <w:rsid w:val="00EA3F15"/>
    <w:rsid w:val="00EA7847"/>
    <w:rsid w:val="00EB4C2F"/>
    <w:rsid w:val="00EC75DF"/>
    <w:rsid w:val="00ED08A8"/>
    <w:rsid w:val="00ED7377"/>
    <w:rsid w:val="00EE2E6E"/>
    <w:rsid w:val="00F0759E"/>
    <w:rsid w:val="00F16A43"/>
    <w:rsid w:val="00F46107"/>
    <w:rsid w:val="00F46780"/>
    <w:rsid w:val="00F73372"/>
    <w:rsid w:val="00F77D2D"/>
    <w:rsid w:val="00F821A3"/>
    <w:rsid w:val="00F84B79"/>
    <w:rsid w:val="00F9314A"/>
    <w:rsid w:val="00F940B2"/>
    <w:rsid w:val="00FA3D28"/>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6D708B1-27F4-48C2-992D-2DB2500C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9958C1"/>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9958C1"/>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95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649">
      <w:bodyDiv w:val="1"/>
      <w:marLeft w:val="0"/>
      <w:marRight w:val="0"/>
      <w:marTop w:val="0"/>
      <w:marBottom w:val="0"/>
      <w:divBdr>
        <w:top w:val="none" w:sz="0" w:space="0" w:color="auto"/>
        <w:left w:val="none" w:sz="0" w:space="0" w:color="auto"/>
        <w:bottom w:val="none" w:sz="0" w:space="0" w:color="auto"/>
        <w:right w:val="none" w:sz="0" w:space="0" w:color="auto"/>
      </w:divBdr>
    </w:div>
    <w:div w:id="153423510">
      <w:bodyDiv w:val="1"/>
      <w:marLeft w:val="0"/>
      <w:marRight w:val="0"/>
      <w:marTop w:val="0"/>
      <w:marBottom w:val="0"/>
      <w:divBdr>
        <w:top w:val="none" w:sz="0" w:space="0" w:color="auto"/>
        <w:left w:val="none" w:sz="0" w:space="0" w:color="auto"/>
        <w:bottom w:val="none" w:sz="0" w:space="0" w:color="auto"/>
        <w:right w:val="none" w:sz="0" w:space="0" w:color="auto"/>
      </w:divBdr>
    </w:div>
    <w:div w:id="393821364">
      <w:bodyDiv w:val="1"/>
      <w:marLeft w:val="0"/>
      <w:marRight w:val="0"/>
      <w:marTop w:val="0"/>
      <w:marBottom w:val="0"/>
      <w:divBdr>
        <w:top w:val="none" w:sz="0" w:space="0" w:color="auto"/>
        <w:left w:val="none" w:sz="0" w:space="0" w:color="auto"/>
        <w:bottom w:val="none" w:sz="0" w:space="0" w:color="auto"/>
        <w:right w:val="none" w:sz="0" w:space="0" w:color="auto"/>
      </w:divBdr>
    </w:div>
    <w:div w:id="527332413">
      <w:bodyDiv w:val="1"/>
      <w:marLeft w:val="0"/>
      <w:marRight w:val="0"/>
      <w:marTop w:val="0"/>
      <w:marBottom w:val="0"/>
      <w:divBdr>
        <w:top w:val="none" w:sz="0" w:space="0" w:color="auto"/>
        <w:left w:val="none" w:sz="0" w:space="0" w:color="auto"/>
        <w:bottom w:val="none" w:sz="0" w:space="0" w:color="auto"/>
        <w:right w:val="none" w:sz="0" w:space="0" w:color="auto"/>
      </w:divBdr>
      <w:divsChild>
        <w:div w:id="1017006270">
          <w:marLeft w:val="360"/>
          <w:marRight w:val="0"/>
          <w:marTop w:val="200"/>
          <w:marBottom w:val="0"/>
          <w:divBdr>
            <w:top w:val="none" w:sz="0" w:space="0" w:color="auto"/>
            <w:left w:val="none" w:sz="0" w:space="0" w:color="auto"/>
            <w:bottom w:val="none" w:sz="0" w:space="0" w:color="auto"/>
            <w:right w:val="none" w:sz="0" w:space="0" w:color="auto"/>
          </w:divBdr>
        </w:div>
        <w:div w:id="95291013">
          <w:marLeft w:val="360"/>
          <w:marRight w:val="0"/>
          <w:marTop w:val="200"/>
          <w:marBottom w:val="0"/>
          <w:divBdr>
            <w:top w:val="none" w:sz="0" w:space="0" w:color="auto"/>
            <w:left w:val="none" w:sz="0" w:space="0" w:color="auto"/>
            <w:bottom w:val="none" w:sz="0" w:space="0" w:color="auto"/>
            <w:right w:val="none" w:sz="0" w:space="0" w:color="auto"/>
          </w:divBdr>
        </w:div>
        <w:div w:id="1528955641">
          <w:marLeft w:val="360"/>
          <w:marRight w:val="0"/>
          <w:marTop w:val="200"/>
          <w:marBottom w:val="0"/>
          <w:divBdr>
            <w:top w:val="none" w:sz="0" w:space="0" w:color="auto"/>
            <w:left w:val="none" w:sz="0" w:space="0" w:color="auto"/>
            <w:bottom w:val="none" w:sz="0" w:space="0" w:color="auto"/>
            <w:right w:val="none" w:sz="0" w:space="0" w:color="auto"/>
          </w:divBdr>
        </w:div>
      </w:divsChild>
    </w:div>
    <w:div w:id="530731783">
      <w:bodyDiv w:val="1"/>
      <w:marLeft w:val="0"/>
      <w:marRight w:val="0"/>
      <w:marTop w:val="0"/>
      <w:marBottom w:val="0"/>
      <w:divBdr>
        <w:top w:val="none" w:sz="0" w:space="0" w:color="auto"/>
        <w:left w:val="none" w:sz="0" w:space="0" w:color="auto"/>
        <w:bottom w:val="none" w:sz="0" w:space="0" w:color="auto"/>
        <w:right w:val="none" w:sz="0" w:space="0" w:color="auto"/>
      </w:divBdr>
    </w:div>
    <w:div w:id="557784348">
      <w:bodyDiv w:val="1"/>
      <w:marLeft w:val="0"/>
      <w:marRight w:val="0"/>
      <w:marTop w:val="0"/>
      <w:marBottom w:val="0"/>
      <w:divBdr>
        <w:top w:val="none" w:sz="0" w:space="0" w:color="auto"/>
        <w:left w:val="none" w:sz="0" w:space="0" w:color="auto"/>
        <w:bottom w:val="none" w:sz="0" w:space="0" w:color="auto"/>
        <w:right w:val="none" w:sz="0" w:space="0" w:color="auto"/>
      </w:divBdr>
    </w:div>
    <w:div w:id="558519743">
      <w:bodyDiv w:val="1"/>
      <w:marLeft w:val="0"/>
      <w:marRight w:val="0"/>
      <w:marTop w:val="0"/>
      <w:marBottom w:val="0"/>
      <w:divBdr>
        <w:top w:val="none" w:sz="0" w:space="0" w:color="auto"/>
        <w:left w:val="none" w:sz="0" w:space="0" w:color="auto"/>
        <w:bottom w:val="none" w:sz="0" w:space="0" w:color="auto"/>
        <w:right w:val="none" w:sz="0" w:space="0" w:color="auto"/>
      </w:divBdr>
      <w:divsChild>
        <w:div w:id="78524190">
          <w:marLeft w:val="547"/>
          <w:marRight w:val="0"/>
          <w:marTop w:val="0"/>
          <w:marBottom w:val="0"/>
          <w:divBdr>
            <w:top w:val="none" w:sz="0" w:space="0" w:color="auto"/>
            <w:left w:val="none" w:sz="0" w:space="0" w:color="auto"/>
            <w:bottom w:val="none" w:sz="0" w:space="0" w:color="auto"/>
            <w:right w:val="none" w:sz="0" w:space="0" w:color="auto"/>
          </w:divBdr>
        </w:div>
      </w:divsChild>
    </w:div>
    <w:div w:id="600524949">
      <w:bodyDiv w:val="1"/>
      <w:marLeft w:val="0"/>
      <w:marRight w:val="0"/>
      <w:marTop w:val="0"/>
      <w:marBottom w:val="0"/>
      <w:divBdr>
        <w:top w:val="none" w:sz="0" w:space="0" w:color="auto"/>
        <w:left w:val="none" w:sz="0" w:space="0" w:color="auto"/>
        <w:bottom w:val="none" w:sz="0" w:space="0" w:color="auto"/>
        <w:right w:val="none" w:sz="0" w:space="0" w:color="auto"/>
      </w:divBdr>
    </w:div>
    <w:div w:id="747965289">
      <w:bodyDiv w:val="1"/>
      <w:marLeft w:val="0"/>
      <w:marRight w:val="0"/>
      <w:marTop w:val="0"/>
      <w:marBottom w:val="0"/>
      <w:divBdr>
        <w:top w:val="none" w:sz="0" w:space="0" w:color="auto"/>
        <w:left w:val="none" w:sz="0" w:space="0" w:color="auto"/>
        <w:bottom w:val="none" w:sz="0" w:space="0" w:color="auto"/>
        <w:right w:val="none" w:sz="0" w:space="0" w:color="auto"/>
      </w:divBdr>
    </w:div>
    <w:div w:id="774666067">
      <w:bodyDiv w:val="1"/>
      <w:marLeft w:val="0"/>
      <w:marRight w:val="0"/>
      <w:marTop w:val="0"/>
      <w:marBottom w:val="0"/>
      <w:divBdr>
        <w:top w:val="none" w:sz="0" w:space="0" w:color="auto"/>
        <w:left w:val="none" w:sz="0" w:space="0" w:color="auto"/>
        <w:bottom w:val="none" w:sz="0" w:space="0" w:color="auto"/>
        <w:right w:val="none" w:sz="0" w:space="0" w:color="auto"/>
      </w:divBdr>
    </w:div>
    <w:div w:id="879702499">
      <w:bodyDiv w:val="1"/>
      <w:marLeft w:val="0"/>
      <w:marRight w:val="0"/>
      <w:marTop w:val="0"/>
      <w:marBottom w:val="0"/>
      <w:divBdr>
        <w:top w:val="none" w:sz="0" w:space="0" w:color="auto"/>
        <w:left w:val="none" w:sz="0" w:space="0" w:color="auto"/>
        <w:bottom w:val="none" w:sz="0" w:space="0" w:color="auto"/>
        <w:right w:val="none" w:sz="0" w:space="0" w:color="auto"/>
      </w:divBdr>
    </w:div>
    <w:div w:id="955453530">
      <w:bodyDiv w:val="1"/>
      <w:marLeft w:val="0"/>
      <w:marRight w:val="0"/>
      <w:marTop w:val="0"/>
      <w:marBottom w:val="0"/>
      <w:divBdr>
        <w:top w:val="none" w:sz="0" w:space="0" w:color="auto"/>
        <w:left w:val="none" w:sz="0" w:space="0" w:color="auto"/>
        <w:bottom w:val="none" w:sz="0" w:space="0" w:color="auto"/>
        <w:right w:val="none" w:sz="0" w:space="0" w:color="auto"/>
      </w:divBdr>
    </w:div>
    <w:div w:id="1265453675">
      <w:bodyDiv w:val="1"/>
      <w:marLeft w:val="0"/>
      <w:marRight w:val="0"/>
      <w:marTop w:val="0"/>
      <w:marBottom w:val="0"/>
      <w:divBdr>
        <w:top w:val="none" w:sz="0" w:space="0" w:color="auto"/>
        <w:left w:val="none" w:sz="0" w:space="0" w:color="auto"/>
        <w:bottom w:val="none" w:sz="0" w:space="0" w:color="auto"/>
        <w:right w:val="none" w:sz="0" w:space="0" w:color="auto"/>
      </w:divBdr>
    </w:div>
    <w:div w:id="1625966370">
      <w:bodyDiv w:val="1"/>
      <w:marLeft w:val="0"/>
      <w:marRight w:val="0"/>
      <w:marTop w:val="0"/>
      <w:marBottom w:val="0"/>
      <w:divBdr>
        <w:top w:val="none" w:sz="0" w:space="0" w:color="auto"/>
        <w:left w:val="none" w:sz="0" w:space="0" w:color="auto"/>
        <w:bottom w:val="none" w:sz="0" w:space="0" w:color="auto"/>
        <w:right w:val="none" w:sz="0" w:space="0" w:color="auto"/>
      </w:divBdr>
    </w:div>
    <w:div w:id="1634826793">
      <w:bodyDiv w:val="1"/>
      <w:marLeft w:val="0"/>
      <w:marRight w:val="0"/>
      <w:marTop w:val="0"/>
      <w:marBottom w:val="0"/>
      <w:divBdr>
        <w:top w:val="none" w:sz="0" w:space="0" w:color="auto"/>
        <w:left w:val="none" w:sz="0" w:space="0" w:color="auto"/>
        <w:bottom w:val="none" w:sz="0" w:space="0" w:color="auto"/>
        <w:right w:val="none" w:sz="0" w:space="0" w:color="auto"/>
      </w:divBdr>
    </w:div>
    <w:div w:id="1784809828">
      <w:bodyDiv w:val="1"/>
      <w:marLeft w:val="0"/>
      <w:marRight w:val="0"/>
      <w:marTop w:val="0"/>
      <w:marBottom w:val="0"/>
      <w:divBdr>
        <w:top w:val="none" w:sz="0" w:space="0" w:color="auto"/>
        <w:left w:val="none" w:sz="0" w:space="0" w:color="auto"/>
        <w:bottom w:val="none" w:sz="0" w:space="0" w:color="auto"/>
        <w:right w:val="none" w:sz="0" w:space="0" w:color="auto"/>
      </w:divBdr>
    </w:div>
    <w:div w:id="1967395950">
      <w:bodyDiv w:val="1"/>
      <w:marLeft w:val="0"/>
      <w:marRight w:val="0"/>
      <w:marTop w:val="0"/>
      <w:marBottom w:val="0"/>
      <w:divBdr>
        <w:top w:val="none" w:sz="0" w:space="0" w:color="auto"/>
        <w:left w:val="none" w:sz="0" w:space="0" w:color="auto"/>
        <w:bottom w:val="none" w:sz="0" w:space="0" w:color="auto"/>
        <w:right w:val="none" w:sz="0" w:space="0" w:color="auto"/>
      </w:divBdr>
    </w:div>
    <w:div w:id="20375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PLANTILLA1.dotx</Template>
  <TotalTime>0</TotalTime>
  <Pages>7</Pages>
  <Words>2938</Words>
  <Characters>15623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2011-07-21T13:53:00Z</cp:lastPrinted>
  <dcterms:created xsi:type="dcterms:W3CDTF">2019-10-08T16:23:00Z</dcterms:created>
  <dcterms:modified xsi:type="dcterms:W3CDTF">2019-10-08T16:23:00Z</dcterms:modified>
</cp:coreProperties>
</file>