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F69" w:rsidRDefault="00FC6364" w:rsidP="00FB7F69">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7.15pt;margin-top:-53.35pt;width:52.5pt;height:48.75pt;z-index:251659264" fillcolor="#0c9">
            <v:imagedata r:id="rId9" o:title=""/>
          </v:shape>
          <o:OLEObject Type="Embed" ProgID="PBrush" ShapeID="_x0000_s1027" DrawAspect="Content" ObjectID="_1431182959" r:id="rId10"/>
        </w:pict>
      </w:r>
    </w:p>
    <w:p w:rsidR="00FB7F69" w:rsidRDefault="00FB7F69" w:rsidP="00FB7F69">
      <w:pPr>
        <w:pStyle w:val="Ttulo4"/>
        <w:tabs>
          <w:tab w:val="left" w:pos="0"/>
          <w:tab w:val="right" w:pos="9356"/>
        </w:tabs>
        <w:ind w:left="0"/>
        <w:rPr>
          <w:rFonts w:ascii="Bookman Old Style" w:hAnsi="Bookman Old Style"/>
          <w:b w:val="0"/>
          <w:bCs/>
          <w:sz w:val="24"/>
          <w:szCs w:val="24"/>
        </w:rPr>
      </w:pPr>
    </w:p>
    <w:p w:rsidR="00FB7F69" w:rsidRPr="00D03800" w:rsidRDefault="00FB7F69" w:rsidP="00627C78">
      <w:pPr>
        <w:pStyle w:val="Ttulo4"/>
        <w:tabs>
          <w:tab w:val="left" w:pos="0"/>
          <w:tab w:val="right" w:pos="9356"/>
        </w:tabs>
        <w:ind w:left="0"/>
        <w:rPr>
          <w:rFonts w:ascii="Bookman Old Style" w:hAnsi="Bookman Old Style"/>
          <w:b w:val="0"/>
          <w:bCs/>
          <w:noProof/>
          <w:sz w:val="24"/>
          <w:szCs w:val="24"/>
          <w:lang w:val="es-ES"/>
        </w:rPr>
      </w:pPr>
      <w:r w:rsidRPr="00D03800">
        <w:rPr>
          <w:rFonts w:ascii="Bookman Old Style" w:hAnsi="Bookman Old Style"/>
          <w:b w:val="0"/>
          <w:bCs/>
          <w:sz w:val="24"/>
          <w:szCs w:val="24"/>
        </w:rPr>
        <w:t>Ministerio de Minas y Energía</w:t>
      </w:r>
    </w:p>
    <w:p w:rsidR="00FB7F69" w:rsidRPr="00D03800" w:rsidRDefault="00FB7F69" w:rsidP="00FB7F69">
      <w:pPr>
        <w:pStyle w:val="Ttulo4"/>
        <w:tabs>
          <w:tab w:val="left" w:pos="0"/>
          <w:tab w:val="right" w:pos="9356"/>
        </w:tabs>
        <w:ind w:left="0"/>
        <w:rPr>
          <w:rFonts w:ascii="Bookman Old Style" w:hAnsi="Bookman Old Style"/>
          <w:b w:val="0"/>
          <w:bCs/>
          <w:sz w:val="24"/>
          <w:szCs w:val="24"/>
        </w:rPr>
      </w:pPr>
    </w:p>
    <w:p w:rsidR="00FB7F69" w:rsidRPr="00397365" w:rsidRDefault="00FB7F69" w:rsidP="00FB7F69">
      <w:pPr>
        <w:pStyle w:val="Ttulo3"/>
        <w:tabs>
          <w:tab w:val="left" w:pos="0"/>
          <w:tab w:val="right" w:pos="9356"/>
        </w:tabs>
        <w:ind w:left="0"/>
        <w:rPr>
          <w:rFonts w:ascii="Bookman Old Style" w:hAnsi="Bookman Old Style" w:cs="Arial"/>
          <w:spacing w:val="20"/>
          <w:szCs w:val="24"/>
        </w:rPr>
      </w:pPr>
      <w:r>
        <w:rPr>
          <w:rFonts w:ascii="Bookman Old Style" w:hAnsi="Bookman Old Style" w:cs="Arial"/>
          <w:spacing w:val="20"/>
          <w:szCs w:val="24"/>
        </w:rPr>
        <w:t>COMISIÓN DE REGULACIÓN DE ENERGÍA Y GAS -CREG-</w:t>
      </w:r>
    </w:p>
    <w:p w:rsidR="00FB7F69" w:rsidRPr="00397365" w:rsidRDefault="00FB7F69" w:rsidP="00FB7F69">
      <w:pPr>
        <w:pStyle w:val="Ttulo5"/>
        <w:tabs>
          <w:tab w:val="left" w:pos="0"/>
          <w:tab w:val="right" w:pos="9356"/>
        </w:tabs>
        <w:ind w:left="0"/>
        <w:rPr>
          <w:rFonts w:ascii="Bookman Old Style" w:hAnsi="Bookman Old Style"/>
          <w:sz w:val="24"/>
          <w:szCs w:val="24"/>
        </w:rPr>
      </w:pPr>
    </w:p>
    <w:p w:rsidR="00FB7F69" w:rsidRPr="00397365" w:rsidRDefault="00FB7F69" w:rsidP="00FB7F69">
      <w:pPr>
        <w:pStyle w:val="Ttulo5"/>
        <w:tabs>
          <w:tab w:val="left" w:pos="0"/>
          <w:tab w:val="right" w:pos="9356"/>
        </w:tabs>
        <w:ind w:left="0"/>
        <w:rPr>
          <w:rFonts w:ascii="Bookman Old Style" w:hAnsi="Bookman Old Style"/>
          <w:sz w:val="24"/>
          <w:szCs w:val="24"/>
        </w:rPr>
      </w:pPr>
    </w:p>
    <w:p w:rsidR="00FB7F69" w:rsidRPr="00397365" w:rsidRDefault="00FB7F69" w:rsidP="00FB7F69">
      <w:pPr>
        <w:pStyle w:val="Ttulo5"/>
        <w:tabs>
          <w:tab w:val="left" w:pos="0"/>
          <w:tab w:val="right" w:pos="9356"/>
        </w:tabs>
        <w:ind w:left="0"/>
        <w:rPr>
          <w:rFonts w:ascii="Bookman Old Style" w:hAnsi="Bookman Old Style"/>
          <w:sz w:val="24"/>
          <w:szCs w:val="24"/>
        </w:rPr>
      </w:pPr>
      <w:r w:rsidRPr="00397365">
        <w:rPr>
          <w:rFonts w:ascii="Bookman Old Style" w:hAnsi="Bookman Old Style"/>
          <w:sz w:val="24"/>
          <w:szCs w:val="24"/>
        </w:rPr>
        <w:t>RESOLUCIÓN No.                   DE 201</w:t>
      </w:r>
      <w:r w:rsidR="005F05E0">
        <w:rPr>
          <w:rFonts w:ascii="Bookman Old Style" w:hAnsi="Bookman Old Style"/>
          <w:sz w:val="24"/>
          <w:szCs w:val="24"/>
        </w:rPr>
        <w:t>3</w:t>
      </w:r>
    </w:p>
    <w:p w:rsidR="00FB7F69" w:rsidRPr="00D03800" w:rsidRDefault="00FB7F69" w:rsidP="00FB7F69">
      <w:pPr>
        <w:tabs>
          <w:tab w:val="left" w:pos="0"/>
          <w:tab w:val="right" w:pos="9356"/>
        </w:tabs>
        <w:ind w:left="0"/>
        <w:jc w:val="center"/>
        <w:rPr>
          <w:rFonts w:ascii="Bookman Old Style" w:hAnsi="Bookman Old Style" w:cs="Arial"/>
          <w:b/>
          <w:snapToGrid w:val="0"/>
          <w:color w:val="000000"/>
          <w:lang w:val="es-ES_tradnl"/>
        </w:rPr>
      </w:pPr>
    </w:p>
    <w:p w:rsidR="00FB7F69" w:rsidRPr="00D03800" w:rsidRDefault="00FB7F69" w:rsidP="00FB7F69">
      <w:pPr>
        <w:pStyle w:val="Ttulo3"/>
        <w:tabs>
          <w:tab w:val="left" w:pos="0"/>
          <w:tab w:val="right" w:pos="9356"/>
        </w:tabs>
        <w:ind w:left="0"/>
        <w:rPr>
          <w:rFonts w:ascii="Bookman Old Style" w:hAnsi="Bookman Old Style"/>
          <w:b w:val="0"/>
          <w:szCs w:val="24"/>
        </w:rPr>
      </w:pPr>
      <w:r w:rsidRPr="00D03800">
        <w:rPr>
          <w:rFonts w:ascii="Bookman Old Style" w:hAnsi="Bookman Old Style"/>
          <w:b w:val="0"/>
          <w:szCs w:val="24"/>
        </w:rPr>
        <w:t>(                                  )</w:t>
      </w:r>
    </w:p>
    <w:p w:rsidR="00FB7F69" w:rsidRPr="00D03800" w:rsidRDefault="00FB7F69" w:rsidP="00FB7F69">
      <w:pPr>
        <w:tabs>
          <w:tab w:val="left" w:pos="0"/>
          <w:tab w:val="right" w:pos="9356"/>
        </w:tabs>
        <w:ind w:left="0"/>
        <w:jc w:val="center"/>
        <w:rPr>
          <w:rFonts w:ascii="Bookman Old Style" w:hAnsi="Bookman Old Style"/>
          <w:lang w:val="es-ES_tradnl"/>
        </w:rPr>
      </w:pPr>
    </w:p>
    <w:p w:rsidR="00FB7F69" w:rsidRDefault="00FB7F69" w:rsidP="00FB7F69">
      <w:pPr>
        <w:ind w:left="0"/>
        <w:rPr>
          <w:rFonts w:ascii="Bookman Old Style" w:hAnsi="Bookman Old Style"/>
          <w:bCs/>
          <w:lang w:val="es-ES_tradnl"/>
        </w:rPr>
      </w:pPr>
    </w:p>
    <w:p w:rsidR="00BC28AA" w:rsidRPr="00F0218F" w:rsidRDefault="00BC28AA" w:rsidP="0060237D">
      <w:pPr>
        <w:ind w:left="0"/>
        <w:jc w:val="center"/>
        <w:rPr>
          <w:rFonts w:ascii="Bookman Old Style" w:hAnsi="Bookman Old Style"/>
          <w:bCs/>
          <w:lang w:val="es-ES_tradnl"/>
        </w:rPr>
      </w:pPr>
    </w:p>
    <w:p w:rsidR="00FB7F69" w:rsidRPr="00617704" w:rsidRDefault="00FB7F69" w:rsidP="002B45E3">
      <w:pPr>
        <w:tabs>
          <w:tab w:val="left" w:pos="709"/>
          <w:tab w:val="left" w:pos="1134"/>
        </w:tabs>
        <w:ind w:left="227" w:right="567"/>
        <w:jc w:val="center"/>
        <w:rPr>
          <w:rFonts w:ascii="Bookman Old Style" w:hAnsi="Bookman Old Style"/>
        </w:rPr>
      </w:pPr>
      <w:r w:rsidRPr="00617704">
        <w:rPr>
          <w:rFonts w:ascii="Bookman Old Style" w:hAnsi="Bookman Old Style"/>
        </w:rPr>
        <w:t>Por medio de la cual se resuelve un recurso de reposición en contra de la Resolución CREG 1</w:t>
      </w:r>
      <w:r w:rsidR="0060237D">
        <w:rPr>
          <w:rFonts w:ascii="Bookman Old Style" w:hAnsi="Bookman Old Style"/>
        </w:rPr>
        <w:t>19</w:t>
      </w:r>
      <w:r w:rsidRPr="00617704">
        <w:rPr>
          <w:rFonts w:ascii="Bookman Old Style" w:hAnsi="Bookman Old Style"/>
        </w:rPr>
        <w:t xml:space="preserve"> de 201</w:t>
      </w:r>
      <w:r w:rsidR="0060237D">
        <w:rPr>
          <w:rFonts w:ascii="Bookman Old Style" w:hAnsi="Bookman Old Style"/>
        </w:rPr>
        <w:t>2</w:t>
      </w:r>
    </w:p>
    <w:p w:rsidR="00FB7F69" w:rsidRDefault="00FB7F69" w:rsidP="00FB7F69">
      <w:pPr>
        <w:ind w:left="227" w:right="-454"/>
        <w:jc w:val="both"/>
        <w:rPr>
          <w:sz w:val="23"/>
        </w:rPr>
      </w:pPr>
    </w:p>
    <w:p w:rsidR="00FB7F69" w:rsidRDefault="00FB7F69" w:rsidP="00FB7F69">
      <w:pPr>
        <w:ind w:left="170" w:right="-454"/>
        <w:jc w:val="both"/>
        <w:rPr>
          <w:sz w:val="23"/>
        </w:rPr>
      </w:pPr>
    </w:p>
    <w:p w:rsidR="00FB7F69" w:rsidRPr="00C051A8" w:rsidRDefault="00FB7F69" w:rsidP="00FB7F69">
      <w:pPr>
        <w:ind w:left="170" w:right="-454"/>
        <w:jc w:val="center"/>
        <w:rPr>
          <w:rFonts w:ascii="Bookman Old Style" w:hAnsi="Bookman Old Style"/>
          <w:b/>
        </w:rPr>
      </w:pPr>
      <w:r w:rsidRPr="00C051A8">
        <w:rPr>
          <w:rFonts w:ascii="Bookman Old Style" w:hAnsi="Bookman Old Style"/>
          <w:b/>
        </w:rPr>
        <w:t xml:space="preserve">LA </w:t>
      </w:r>
      <w:r>
        <w:rPr>
          <w:rFonts w:ascii="Bookman Old Style" w:hAnsi="Bookman Old Style"/>
          <w:b/>
        </w:rPr>
        <w:t>COMISIÓN DE REGULACIÓN DE ENERGÍA Y GAS -CREG-</w:t>
      </w:r>
    </w:p>
    <w:p w:rsidR="00FB7F69" w:rsidRPr="00C051A8" w:rsidRDefault="00FB7F69" w:rsidP="00FB7F69">
      <w:pPr>
        <w:ind w:left="170" w:right="-454"/>
        <w:jc w:val="both"/>
        <w:rPr>
          <w:rFonts w:ascii="Bookman Old Style" w:hAnsi="Bookman Old Style"/>
        </w:rPr>
      </w:pPr>
    </w:p>
    <w:p w:rsidR="00FB7F69" w:rsidRPr="00C051A8" w:rsidRDefault="00FB7F69" w:rsidP="00FB7F69">
      <w:pPr>
        <w:ind w:left="170" w:right="-454"/>
        <w:jc w:val="both"/>
        <w:rPr>
          <w:rFonts w:ascii="Bookman Old Style" w:hAnsi="Bookman Old Style"/>
        </w:rPr>
      </w:pPr>
    </w:p>
    <w:p w:rsidR="00FB7F69" w:rsidRPr="00C051A8" w:rsidRDefault="00FB7F69" w:rsidP="00FB7F69">
      <w:pPr>
        <w:ind w:left="170"/>
        <w:jc w:val="both"/>
        <w:rPr>
          <w:rFonts w:ascii="Bookman Old Style" w:hAnsi="Bookman Old Style"/>
        </w:rPr>
      </w:pPr>
      <w:r w:rsidRPr="00C051A8">
        <w:rPr>
          <w:rFonts w:ascii="Bookman Old Style" w:hAnsi="Bookman Old Style"/>
        </w:rPr>
        <w:t>En uso de sus facultades legales, en especial las conferidas por la</w:t>
      </w:r>
      <w:r>
        <w:rPr>
          <w:rFonts w:ascii="Bookman Old Style" w:hAnsi="Bookman Old Style"/>
        </w:rPr>
        <w:t>s</w:t>
      </w:r>
      <w:r w:rsidRPr="00C051A8">
        <w:rPr>
          <w:rFonts w:ascii="Bookman Old Style" w:hAnsi="Bookman Old Style"/>
        </w:rPr>
        <w:t xml:space="preserve"> Ley</w:t>
      </w:r>
      <w:r>
        <w:rPr>
          <w:rFonts w:ascii="Bookman Old Style" w:hAnsi="Bookman Old Style"/>
        </w:rPr>
        <w:t>es</w:t>
      </w:r>
      <w:r w:rsidRPr="00C051A8">
        <w:rPr>
          <w:rFonts w:ascii="Bookman Old Style" w:hAnsi="Bookman Old Style"/>
        </w:rPr>
        <w:t xml:space="preserve"> 142 de 1994</w:t>
      </w:r>
      <w:r>
        <w:rPr>
          <w:rFonts w:ascii="Bookman Old Style" w:hAnsi="Bookman Old Style"/>
        </w:rPr>
        <w:t xml:space="preserve"> y 143 de 1994</w:t>
      </w:r>
      <w:r w:rsidRPr="00C051A8">
        <w:rPr>
          <w:rFonts w:ascii="Bookman Old Style" w:hAnsi="Bookman Old Style"/>
        </w:rPr>
        <w:t>, y en desarrollo de los</w:t>
      </w:r>
      <w:r>
        <w:rPr>
          <w:rFonts w:ascii="Bookman Old Style" w:hAnsi="Bookman Old Style"/>
        </w:rPr>
        <w:t xml:space="preserve"> decretos 1524 y 2253 de 1994, </w:t>
      </w:r>
    </w:p>
    <w:p w:rsidR="00FB7F69" w:rsidRPr="00C051A8" w:rsidRDefault="00FB7F69" w:rsidP="00FB7F69">
      <w:pPr>
        <w:ind w:left="0" w:right="-454"/>
        <w:jc w:val="both"/>
        <w:rPr>
          <w:rFonts w:ascii="Bookman Old Style" w:hAnsi="Bookman Old Style"/>
        </w:rPr>
      </w:pPr>
    </w:p>
    <w:p w:rsidR="00FB7F69" w:rsidRPr="00C051A8" w:rsidRDefault="00FB7F69" w:rsidP="00FB7F69">
      <w:pPr>
        <w:ind w:left="170" w:right="-454"/>
        <w:jc w:val="both"/>
        <w:rPr>
          <w:rFonts w:ascii="Bookman Old Style" w:hAnsi="Bookman Old Style"/>
        </w:rPr>
      </w:pPr>
    </w:p>
    <w:p w:rsidR="00FB7F69" w:rsidRPr="00F763C8" w:rsidRDefault="00FB7F69" w:rsidP="00FB7F69">
      <w:pPr>
        <w:tabs>
          <w:tab w:val="center" w:pos="4512"/>
        </w:tabs>
        <w:suppressAutoHyphens/>
        <w:ind w:left="170" w:right="-454"/>
        <w:jc w:val="center"/>
        <w:rPr>
          <w:rFonts w:ascii="Bookman Old Style" w:hAnsi="Bookman Old Style"/>
          <w:b/>
          <w:spacing w:val="-3"/>
        </w:rPr>
      </w:pPr>
      <w:r w:rsidRPr="00C051A8">
        <w:rPr>
          <w:rFonts w:ascii="Bookman Old Style" w:hAnsi="Bookman Old Style"/>
          <w:b/>
          <w:spacing w:val="-3"/>
        </w:rPr>
        <w:t>C O N S I D E R A N D O:</w:t>
      </w:r>
    </w:p>
    <w:p w:rsidR="00FB7F69" w:rsidRDefault="00FB7F69" w:rsidP="00FB7F69">
      <w:pPr>
        <w:ind w:left="0"/>
        <w:jc w:val="both"/>
        <w:rPr>
          <w:rFonts w:ascii="Bookman Old Style" w:hAnsi="Bookman Old Style"/>
        </w:rPr>
      </w:pPr>
    </w:p>
    <w:p w:rsidR="00617704" w:rsidRPr="00C051A8" w:rsidRDefault="00617704" w:rsidP="00FB7F69">
      <w:pPr>
        <w:ind w:left="0"/>
        <w:jc w:val="both"/>
        <w:rPr>
          <w:rFonts w:ascii="Bookman Old Style" w:hAnsi="Bookman Old Style"/>
        </w:rPr>
      </w:pPr>
    </w:p>
    <w:p w:rsidR="00FB7F69" w:rsidRDefault="00FB7F69" w:rsidP="00FB7F69">
      <w:pPr>
        <w:ind w:left="0"/>
        <w:jc w:val="both"/>
        <w:rPr>
          <w:rFonts w:ascii="Bookman Old Style" w:hAnsi="Bookman Old Style" w:cs="Arial"/>
        </w:rPr>
      </w:pPr>
      <w:r>
        <w:rPr>
          <w:rFonts w:ascii="Bookman Old Style" w:hAnsi="Bookman Old Style" w:cs="Arial"/>
        </w:rPr>
        <w:t>Que de acuerdo con el artículo 85 de la Ley 142 de 1994, c</w:t>
      </w:r>
      <w:r w:rsidRPr="00A666D2">
        <w:rPr>
          <w:rFonts w:ascii="Bookman Old Style" w:hAnsi="Bookman Old Style" w:cs="Arial"/>
        </w:rPr>
        <w:t xml:space="preserve">on el fin de recuperar los costos del servicio de regulación que preste cada comisión </w:t>
      </w:r>
      <w:r>
        <w:rPr>
          <w:rFonts w:ascii="Bookman Old Style" w:hAnsi="Bookman Old Style" w:cs="Arial"/>
        </w:rPr>
        <w:t xml:space="preserve">a </w:t>
      </w:r>
      <w:r w:rsidRPr="00A666D2">
        <w:rPr>
          <w:rFonts w:ascii="Bookman Old Style" w:hAnsi="Bookman Old Style" w:cs="Arial"/>
        </w:rPr>
        <w:t xml:space="preserve">las entidades sometidas a su regulación, </w:t>
      </w:r>
      <w:r w:rsidR="00ED28F7">
        <w:rPr>
          <w:rFonts w:ascii="Bookman Old Style" w:hAnsi="Bookman Old Style" w:cs="Arial"/>
        </w:rPr>
        <w:t>las mismas</w:t>
      </w:r>
      <w:r w:rsidRPr="00A666D2">
        <w:rPr>
          <w:rFonts w:ascii="Bookman Old Style" w:hAnsi="Bookman Old Style" w:cs="Arial"/>
        </w:rPr>
        <w:t xml:space="preserve"> estarán sujetas </w:t>
      </w:r>
      <w:r>
        <w:rPr>
          <w:rFonts w:ascii="Bookman Old Style" w:hAnsi="Bookman Old Style" w:cs="Arial"/>
        </w:rPr>
        <w:t>a una contribución que se liquidará</w:t>
      </w:r>
      <w:r w:rsidRPr="00A666D2">
        <w:rPr>
          <w:rFonts w:ascii="Bookman Old Style" w:hAnsi="Bookman Old Style" w:cs="Arial"/>
        </w:rPr>
        <w:t xml:space="preserve"> y p</w:t>
      </w:r>
      <w:r>
        <w:rPr>
          <w:rFonts w:ascii="Bookman Old Style" w:hAnsi="Bookman Old Style" w:cs="Arial"/>
        </w:rPr>
        <w:t>agará</w:t>
      </w:r>
      <w:r w:rsidRPr="00A666D2">
        <w:rPr>
          <w:rFonts w:ascii="Bookman Old Style" w:hAnsi="Bookman Old Style" w:cs="Arial"/>
        </w:rPr>
        <w:t xml:space="preserve"> cada año conforme a las reglas</w:t>
      </w:r>
      <w:r>
        <w:rPr>
          <w:rFonts w:ascii="Bookman Old Style" w:hAnsi="Bookman Old Style" w:cs="Arial"/>
        </w:rPr>
        <w:t xml:space="preserve"> establecidas, en el n</w:t>
      </w:r>
      <w:r w:rsidR="00ED28F7">
        <w:rPr>
          <w:rFonts w:ascii="Bookman Old Style" w:hAnsi="Bookman Old Style" w:cs="Arial"/>
        </w:rPr>
        <w:t>umeral 2 y el parágrafo 2 de es</w:t>
      </w:r>
      <w:r>
        <w:rPr>
          <w:rFonts w:ascii="Bookman Old Style" w:hAnsi="Bookman Old Style" w:cs="Arial"/>
        </w:rPr>
        <w:t>a misma disposición</w:t>
      </w:r>
      <w:r w:rsidR="00617704">
        <w:rPr>
          <w:rFonts w:ascii="Bookman Old Style" w:hAnsi="Bookman Old Style" w:cs="Arial"/>
        </w:rPr>
        <w:t>;</w:t>
      </w:r>
    </w:p>
    <w:p w:rsidR="00FB7F69" w:rsidRDefault="00FB7F69" w:rsidP="00FB7F69">
      <w:pPr>
        <w:ind w:left="0"/>
        <w:jc w:val="both"/>
        <w:rPr>
          <w:rFonts w:ascii="Bookman Old Style" w:hAnsi="Bookman Old Style" w:cs="Arial"/>
        </w:rPr>
      </w:pPr>
    </w:p>
    <w:p w:rsidR="00FB7F69" w:rsidRPr="00F763C8" w:rsidRDefault="00FB7F69" w:rsidP="00FB7F69">
      <w:pPr>
        <w:ind w:left="0"/>
        <w:jc w:val="both"/>
        <w:rPr>
          <w:rFonts w:ascii="Bookman Old Style" w:hAnsi="Bookman Old Style" w:cs="Arial"/>
        </w:rPr>
      </w:pPr>
      <w:r w:rsidRPr="00F763C8">
        <w:rPr>
          <w:rFonts w:ascii="Bookman Old Style" w:hAnsi="Bookman Old Style" w:cs="Arial"/>
        </w:rPr>
        <w:t xml:space="preserve">Que la </w:t>
      </w:r>
      <w:r>
        <w:rPr>
          <w:rFonts w:ascii="Bookman Old Style" w:hAnsi="Bookman Old Style" w:cs="Arial"/>
        </w:rPr>
        <w:t>Comisión de Regulación de Energía y Gas -CREG-</w:t>
      </w:r>
      <w:r w:rsidRPr="00F763C8">
        <w:rPr>
          <w:rFonts w:ascii="Bookman Old Style" w:hAnsi="Bookman Old Style" w:cs="Arial"/>
        </w:rPr>
        <w:t xml:space="preserve"> tiene a su cargo la liquidación del monto de la contribución que se aplica a cada una de las entidades sujetas a su regulación, de acuerdo con lo señalado en</w:t>
      </w:r>
      <w:r>
        <w:rPr>
          <w:rFonts w:ascii="Bookman Old Style" w:hAnsi="Bookman Old Style" w:cs="Arial"/>
        </w:rPr>
        <w:t xml:space="preserve"> el artículo 85 de la Ley 142 de 1994 y en</w:t>
      </w:r>
      <w:r w:rsidRPr="00F763C8">
        <w:rPr>
          <w:rFonts w:ascii="Bookman Old Style" w:hAnsi="Bookman Old Style" w:cs="Arial"/>
        </w:rPr>
        <w:t xml:space="preserve"> los Artículos 20 y 21 del Decreto 2461 de 1999, para los subsectores de energía eléctrica y de gas combustible, cuya tarifa máxima no puede ser superior al uno por ciento (1%) del valor de los gastos de funcionamiento de la entidad contribuyente, con exclusión de los factores s</w:t>
      </w:r>
      <w:r>
        <w:rPr>
          <w:rFonts w:ascii="Bookman Old Style" w:hAnsi="Bookman Old Style" w:cs="Arial"/>
        </w:rPr>
        <w:t xml:space="preserve">eñalados en las Leyes 142 y 143 </w:t>
      </w:r>
      <w:r w:rsidRPr="00F763C8">
        <w:rPr>
          <w:rFonts w:ascii="Bookman Old Style" w:hAnsi="Bookman Old Style" w:cs="Arial"/>
        </w:rPr>
        <w:t>de 1994</w:t>
      </w:r>
      <w:r w:rsidR="00617704">
        <w:rPr>
          <w:rFonts w:ascii="Bookman Old Style" w:hAnsi="Bookman Old Style" w:cs="Arial"/>
        </w:rPr>
        <w:t>;</w:t>
      </w:r>
    </w:p>
    <w:p w:rsidR="00FB7F69" w:rsidRDefault="00FB7F69" w:rsidP="00FB7F69">
      <w:pPr>
        <w:pStyle w:val="Prrafodelista"/>
        <w:ind w:left="720"/>
        <w:jc w:val="both"/>
        <w:rPr>
          <w:rFonts w:ascii="Bookman Old Style" w:hAnsi="Bookman Old Style" w:cs="Arial"/>
          <w:sz w:val="24"/>
          <w:szCs w:val="24"/>
        </w:rPr>
      </w:pPr>
    </w:p>
    <w:p w:rsidR="0060237D" w:rsidRPr="0060237D" w:rsidRDefault="00FB7F69" w:rsidP="0060237D">
      <w:pPr>
        <w:ind w:left="0"/>
        <w:jc w:val="both"/>
        <w:rPr>
          <w:rFonts w:ascii="Bookman Old Style" w:hAnsi="Bookman Old Style" w:cs="Arial"/>
        </w:rPr>
      </w:pPr>
      <w:r w:rsidRPr="00F763C8">
        <w:rPr>
          <w:rFonts w:ascii="Bookman Old Style" w:hAnsi="Bookman Old Style" w:cs="Arial"/>
        </w:rPr>
        <w:t>Que mediante resolución CREG-1</w:t>
      </w:r>
      <w:r w:rsidR="0060237D">
        <w:rPr>
          <w:rFonts w:ascii="Bookman Old Style" w:hAnsi="Bookman Old Style" w:cs="Arial"/>
        </w:rPr>
        <w:t>19</w:t>
      </w:r>
      <w:r w:rsidRPr="00F763C8">
        <w:rPr>
          <w:rFonts w:ascii="Bookman Old Style" w:hAnsi="Bookman Old Style" w:cs="Arial"/>
        </w:rPr>
        <w:t xml:space="preserve"> del </w:t>
      </w:r>
      <w:r w:rsidR="0060237D">
        <w:rPr>
          <w:rFonts w:ascii="Bookman Old Style" w:hAnsi="Bookman Old Style" w:cs="Arial"/>
        </w:rPr>
        <w:t>19</w:t>
      </w:r>
      <w:r w:rsidRPr="00F763C8">
        <w:rPr>
          <w:rFonts w:ascii="Bookman Old Style" w:hAnsi="Bookman Old Style" w:cs="Arial"/>
        </w:rPr>
        <w:t xml:space="preserve"> de </w:t>
      </w:r>
      <w:r w:rsidR="0060237D">
        <w:rPr>
          <w:rFonts w:ascii="Bookman Old Style" w:hAnsi="Bookman Old Style" w:cs="Arial"/>
        </w:rPr>
        <w:t>octubre</w:t>
      </w:r>
      <w:r w:rsidRPr="00F763C8">
        <w:rPr>
          <w:rFonts w:ascii="Bookman Old Style" w:hAnsi="Bookman Old Style" w:cs="Arial"/>
        </w:rPr>
        <w:t xml:space="preserve"> de 201</w:t>
      </w:r>
      <w:r>
        <w:rPr>
          <w:rFonts w:ascii="Bookman Old Style" w:hAnsi="Bookman Old Style" w:cs="Arial"/>
        </w:rPr>
        <w:t>2</w:t>
      </w:r>
      <w:r w:rsidRPr="00F763C8">
        <w:rPr>
          <w:rFonts w:ascii="Bookman Old Style" w:hAnsi="Bookman Old Style" w:cs="Arial"/>
        </w:rPr>
        <w:t xml:space="preserve">, se </w:t>
      </w:r>
      <w:r w:rsidR="0060237D">
        <w:rPr>
          <w:rFonts w:ascii="Bookman Old Style" w:hAnsi="Bookman Old Style" w:cs="Arial"/>
        </w:rPr>
        <w:t xml:space="preserve"> s</w:t>
      </w:r>
      <w:r w:rsidR="0060237D" w:rsidRPr="00284404">
        <w:rPr>
          <w:rFonts w:ascii="Bookman Old Style" w:hAnsi="Bookman Old Style" w:cs="Arial"/>
        </w:rPr>
        <w:t>eñal</w:t>
      </w:r>
      <w:r w:rsidR="0060237D">
        <w:rPr>
          <w:rFonts w:ascii="Bookman Old Style" w:hAnsi="Bookman Old Style" w:cs="Arial"/>
        </w:rPr>
        <w:t xml:space="preserve">ó </w:t>
      </w:r>
      <w:r w:rsidR="0060237D" w:rsidRPr="00284404">
        <w:rPr>
          <w:rFonts w:ascii="Bookman Old Style" w:hAnsi="Bookman Old Style" w:cs="Arial"/>
        </w:rPr>
        <w:t xml:space="preserve">la contribución que debe pagar a la Comisión de Regulación de Energía y Gas </w:t>
      </w:r>
      <w:r w:rsidR="0060237D">
        <w:rPr>
          <w:rFonts w:ascii="Bookman Old Style" w:hAnsi="Bookman Old Style" w:cs="Arial"/>
        </w:rPr>
        <w:t xml:space="preserve">–CREG- </w:t>
      </w:r>
      <w:r w:rsidR="0060237D" w:rsidRPr="00284404">
        <w:rPr>
          <w:rFonts w:ascii="Bookman Old Style" w:hAnsi="Bookman Old Style" w:cs="Arial"/>
        </w:rPr>
        <w:t>cada una de las entidades reguladas por el año  201</w:t>
      </w:r>
      <w:r w:rsidR="0060237D">
        <w:rPr>
          <w:rFonts w:ascii="Bookman Old Style" w:hAnsi="Bookman Old Style" w:cs="Arial"/>
        </w:rPr>
        <w:t>2</w:t>
      </w:r>
      <w:r w:rsidR="005F05E0">
        <w:rPr>
          <w:rFonts w:ascii="Bookman Old Style" w:hAnsi="Bookman Old Style" w:cs="Arial"/>
        </w:rPr>
        <w:t>;</w:t>
      </w:r>
    </w:p>
    <w:p w:rsidR="0060237D" w:rsidRDefault="0060237D" w:rsidP="00FB7F69">
      <w:pPr>
        <w:ind w:left="0"/>
        <w:jc w:val="both"/>
        <w:rPr>
          <w:rFonts w:ascii="Bookman Old Style" w:hAnsi="Bookman Old Style" w:cs="Arial"/>
        </w:rPr>
      </w:pPr>
    </w:p>
    <w:p w:rsidR="002B45E3" w:rsidRDefault="00FB7F69" w:rsidP="00FB7F69">
      <w:pPr>
        <w:ind w:left="0"/>
        <w:jc w:val="both"/>
        <w:rPr>
          <w:rFonts w:ascii="Bookman Old Style" w:hAnsi="Bookman Old Style" w:cs="Arial"/>
        </w:rPr>
      </w:pPr>
      <w:r w:rsidRPr="00F763C8">
        <w:rPr>
          <w:rFonts w:ascii="Bookman Old Style" w:hAnsi="Bookman Old Style" w:cs="Arial"/>
        </w:rPr>
        <w:t xml:space="preserve">Que </w:t>
      </w:r>
      <w:r>
        <w:rPr>
          <w:rFonts w:ascii="Bookman Old Style" w:hAnsi="Bookman Old Style" w:cs="Arial"/>
        </w:rPr>
        <w:t xml:space="preserve">el artículo </w:t>
      </w:r>
      <w:r w:rsidR="005372D5">
        <w:rPr>
          <w:rFonts w:ascii="Bookman Old Style" w:hAnsi="Bookman Old Style" w:cs="Arial"/>
        </w:rPr>
        <w:t>2</w:t>
      </w:r>
      <w:r>
        <w:rPr>
          <w:rFonts w:ascii="Bookman Old Style" w:hAnsi="Bookman Old Style" w:cs="Arial"/>
        </w:rPr>
        <w:t xml:space="preserve"> de</w:t>
      </w:r>
      <w:r w:rsidRPr="00F763C8">
        <w:rPr>
          <w:rFonts w:ascii="Bookman Old Style" w:hAnsi="Bookman Old Style" w:cs="Arial"/>
        </w:rPr>
        <w:t xml:space="preserve"> la resolución </w:t>
      </w:r>
      <w:r w:rsidR="0060237D" w:rsidRPr="00F763C8">
        <w:rPr>
          <w:rFonts w:ascii="Bookman Old Style" w:hAnsi="Bookman Old Style" w:cs="Arial"/>
        </w:rPr>
        <w:t>CREG-1</w:t>
      </w:r>
      <w:r w:rsidR="0060237D">
        <w:rPr>
          <w:rFonts w:ascii="Bookman Old Style" w:hAnsi="Bookman Old Style" w:cs="Arial"/>
        </w:rPr>
        <w:t>19</w:t>
      </w:r>
      <w:r w:rsidR="0060237D" w:rsidRPr="00F763C8">
        <w:rPr>
          <w:rFonts w:ascii="Bookman Old Style" w:hAnsi="Bookman Old Style" w:cs="Arial"/>
        </w:rPr>
        <w:t xml:space="preserve"> del </w:t>
      </w:r>
      <w:r w:rsidR="0060237D">
        <w:rPr>
          <w:rFonts w:ascii="Bookman Old Style" w:hAnsi="Bookman Old Style" w:cs="Arial"/>
        </w:rPr>
        <w:t>19</w:t>
      </w:r>
      <w:r w:rsidR="0060237D" w:rsidRPr="00F763C8">
        <w:rPr>
          <w:rFonts w:ascii="Bookman Old Style" w:hAnsi="Bookman Old Style" w:cs="Arial"/>
        </w:rPr>
        <w:t xml:space="preserve"> de </w:t>
      </w:r>
      <w:r w:rsidR="0060237D">
        <w:rPr>
          <w:rFonts w:ascii="Bookman Old Style" w:hAnsi="Bookman Old Style" w:cs="Arial"/>
        </w:rPr>
        <w:t>octubre</w:t>
      </w:r>
      <w:r w:rsidR="0060237D" w:rsidRPr="00F763C8">
        <w:rPr>
          <w:rFonts w:ascii="Bookman Old Style" w:hAnsi="Bookman Old Style" w:cs="Arial"/>
        </w:rPr>
        <w:t xml:space="preserve"> de 201</w:t>
      </w:r>
      <w:r w:rsidR="0060237D">
        <w:rPr>
          <w:rFonts w:ascii="Bookman Old Style" w:hAnsi="Bookman Old Style" w:cs="Arial"/>
        </w:rPr>
        <w:t>2</w:t>
      </w:r>
      <w:r w:rsidRPr="00F763C8">
        <w:rPr>
          <w:rFonts w:ascii="Bookman Old Style" w:hAnsi="Bookman Old Style" w:cs="Arial"/>
        </w:rPr>
        <w:t xml:space="preserve">, </w:t>
      </w:r>
      <w:r w:rsidR="0060237D">
        <w:rPr>
          <w:rFonts w:ascii="Bookman Old Style" w:hAnsi="Bookman Old Style" w:cs="Arial"/>
        </w:rPr>
        <w:t xml:space="preserve">señaló </w:t>
      </w:r>
      <w:r w:rsidRPr="00F763C8">
        <w:rPr>
          <w:rFonts w:ascii="Bookman Old Style" w:hAnsi="Bookman Old Style" w:cs="Arial"/>
        </w:rPr>
        <w:t>que</w:t>
      </w:r>
      <w:r>
        <w:rPr>
          <w:rFonts w:ascii="Bookman Old Style" w:hAnsi="Bookman Old Style" w:cs="Arial"/>
        </w:rPr>
        <w:t xml:space="preserve"> la</w:t>
      </w:r>
      <w:r w:rsidR="00ED28F7">
        <w:rPr>
          <w:rFonts w:ascii="Bookman Old Style" w:hAnsi="Bookman Old Style" w:cs="Arial"/>
        </w:rPr>
        <w:t xml:space="preserve"> </w:t>
      </w:r>
      <w:r w:rsidR="009F0269">
        <w:rPr>
          <w:rFonts w:ascii="Bookman Old Style" w:hAnsi="Bookman Old Style" w:cs="Arial"/>
        </w:rPr>
        <w:t>empresa PLUS S.A E.S.P</w:t>
      </w:r>
      <w:r w:rsidR="00ED28F7" w:rsidRPr="00ED28F7">
        <w:rPr>
          <w:rFonts w:ascii="Calibri" w:hAnsi="Calibri" w:cs="Calibri"/>
          <w:color w:val="000000"/>
          <w:lang w:val="es-CO" w:eastAsia="es-CO"/>
        </w:rPr>
        <w:t>.</w:t>
      </w:r>
      <w:r w:rsidR="009F0269">
        <w:rPr>
          <w:rFonts w:ascii="Calibri" w:hAnsi="Calibri" w:cs="Calibri"/>
          <w:color w:val="000000"/>
          <w:lang w:val="es-CO" w:eastAsia="es-CO"/>
        </w:rPr>
        <w:t xml:space="preserve">, </w:t>
      </w:r>
      <w:r>
        <w:rPr>
          <w:rFonts w:ascii="Bookman Old Style" w:hAnsi="Bookman Old Style" w:cs="Arial"/>
        </w:rPr>
        <w:t>debía</w:t>
      </w:r>
      <w:r w:rsidR="00ED28F7">
        <w:rPr>
          <w:rFonts w:ascii="Bookman Old Style" w:hAnsi="Bookman Old Style" w:cs="Arial"/>
        </w:rPr>
        <w:t xml:space="preserve"> </w:t>
      </w:r>
      <w:r>
        <w:rPr>
          <w:rFonts w:ascii="Bookman Old Style" w:hAnsi="Bookman Old Style" w:cs="Arial"/>
        </w:rPr>
        <w:t xml:space="preserve">pagar la suma </w:t>
      </w:r>
      <w:r w:rsidRPr="00ED28F7">
        <w:rPr>
          <w:rFonts w:ascii="Bookman Old Style" w:hAnsi="Bookman Old Style" w:cs="Arial"/>
        </w:rPr>
        <w:t>de</w:t>
      </w:r>
      <w:r w:rsidR="002F05A4">
        <w:rPr>
          <w:rFonts w:ascii="Bookman Old Style" w:hAnsi="Bookman Old Style" w:cs="Arial"/>
        </w:rPr>
        <w:t xml:space="preserve"> </w:t>
      </w:r>
      <w:r w:rsidR="009F0269">
        <w:rPr>
          <w:rFonts w:ascii="Bookman Old Style" w:hAnsi="Bookman Old Style" w:cs="Arial"/>
        </w:rPr>
        <w:t>DOCE</w:t>
      </w:r>
      <w:r w:rsidR="002F05A4">
        <w:rPr>
          <w:rFonts w:ascii="Bookman Old Style" w:hAnsi="Bookman Old Style" w:cs="Arial"/>
        </w:rPr>
        <w:t xml:space="preserve"> MILLONES </w:t>
      </w:r>
      <w:r w:rsidR="009F0269">
        <w:rPr>
          <w:rFonts w:ascii="Bookman Old Style" w:hAnsi="Bookman Old Style" w:cs="Arial"/>
        </w:rPr>
        <w:t xml:space="preserve">TRESCIENTOS TREINTA </w:t>
      </w:r>
      <w:r w:rsidR="002F05A4">
        <w:rPr>
          <w:rFonts w:ascii="Bookman Old Style" w:hAnsi="Bookman Old Style" w:cs="Arial"/>
        </w:rPr>
        <w:t xml:space="preserve">MIL </w:t>
      </w:r>
      <w:r w:rsidR="009F0269">
        <w:rPr>
          <w:rFonts w:ascii="Bookman Old Style" w:hAnsi="Bookman Old Style" w:cs="Arial"/>
        </w:rPr>
        <w:t>DOSCIENTOS CINCUENTA Y UN</w:t>
      </w:r>
      <w:r w:rsidR="002F05A4">
        <w:rPr>
          <w:rFonts w:ascii="Bookman Old Style" w:hAnsi="Bookman Old Style" w:cs="Arial"/>
        </w:rPr>
        <w:t xml:space="preserve"> PESOS</w:t>
      </w:r>
      <w:r w:rsidRPr="00ED28F7">
        <w:rPr>
          <w:rFonts w:ascii="Bookman Old Style" w:hAnsi="Bookman Old Style" w:cs="Arial"/>
        </w:rPr>
        <w:t xml:space="preserve"> </w:t>
      </w:r>
      <w:r w:rsidR="002F05A4">
        <w:rPr>
          <w:rFonts w:ascii="Bookman Old Style" w:hAnsi="Bookman Old Style" w:cs="Arial"/>
        </w:rPr>
        <w:t>(</w:t>
      </w:r>
      <w:r w:rsidRPr="00ED28F7">
        <w:rPr>
          <w:rFonts w:ascii="Bookman Old Style" w:hAnsi="Bookman Old Style" w:cs="Arial"/>
        </w:rPr>
        <w:t>$</w:t>
      </w:r>
      <w:r w:rsidR="009F0269">
        <w:rPr>
          <w:rFonts w:ascii="Bookman Old Style" w:hAnsi="Bookman Old Style" w:cs="Calibri"/>
          <w:color w:val="000000"/>
          <w:lang w:val="es-CO" w:eastAsia="es-CO"/>
        </w:rPr>
        <w:t>1</w:t>
      </w:r>
      <w:r w:rsidR="00ED28F7" w:rsidRPr="00ED28F7">
        <w:rPr>
          <w:rFonts w:ascii="Bookman Old Style" w:hAnsi="Bookman Old Style" w:cs="Calibri"/>
          <w:color w:val="000000"/>
          <w:lang w:val="es-CO" w:eastAsia="es-CO"/>
        </w:rPr>
        <w:t>2.</w:t>
      </w:r>
      <w:r w:rsidR="009F0269">
        <w:rPr>
          <w:rFonts w:ascii="Bookman Old Style" w:hAnsi="Bookman Old Style" w:cs="Calibri"/>
          <w:color w:val="000000"/>
          <w:lang w:val="es-CO" w:eastAsia="es-CO"/>
        </w:rPr>
        <w:t>330</w:t>
      </w:r>
      <w:r w:rsidR="00ED28F7" w:rsidRPr="00ED28F7">
        <w:rPr>
          <w:rFonts w:ascii="Bookman Old Style" w:hAnsi="Bookman Old Style" w:cs="Calibri"/>
          <w:color w:val="000000"/>
          <w:lang w:val="es-CO" w:eastAsia="es-CO"/>
        </w:rPr>
        <w:t>.</w:t>
      </w:r>
      <w:r w:rsidR="009F0269">
        <w:rPr>
          <w:rFonts w:ascii="Bookman Old Style" w:hAnsi="Bookman Old Style" w:cs="Calibri"/>
          <w:color w:val="000000"/>
          <w:lang w:val="es-CO" w:eastAsia="es-CO"/>
        </w:rPr>
        <w:t>251</w:t>
      </w:r>
      <w:r w:rsidR="002F05A4">
        <w:rPr>
          <w:rFonts w:ascii="Bookman Old Style" w:hAnsi="Bookman Old Style" w:cs="Calibri"/>
          <w:color w:val="000000"/>
          <w:lang w:val="es-CO" w:eastAsia="es-CO"/>
        </w:rPr>
        <w:t>) M/CTE,</w:t>
      </w:r>
      <w:r w:rsidR="00ED28F7" w:rsidRPr="006F6AF2">
        <w:rPr>
          <w:rFonts w:ascii="Calibri" w:hAnsi="Calibri" w:cs="Calibri"/>
          <w:color w:val="000000"/>
          <w:sz w:val="22"/>
          <w:szCs w:val="22"/>
          <w:lang w:val="es-CO" w:eastAsia="es-CO"/>
        </w:rPr>
        <w:t xml:space="preserve"> </w:t>
      </w:r>
      <w:r>
        <w:rPr>
          <w:rFonts w:ascii="Bookman Old Style" w:hAnsi="Bookman Old Style" w:cs="Arial"/>
        </w:rPr>
        <w:t>por concepto de</w:t>
      </w:r>
      <w:r w:rsidR="002F05A4">
        <w:rPr>
          <w:rFonts w:ascii="Bookman Old Style" w:hAnsi="Bookman Old Style" w:cs="Arial"/>
        </w:rPr>
        <w:t xml:space="preserve"> la</w:t>
      </w:r>
      <w:r>
        <w:rPr>
          <w:rFonts w:ascii="Bookman Old Style" w:hAnsi="Bookman Old Style" w:cs="Arial"/>
        </w:rPr>
        <w:t xml:space="preserve"> contribución especial para el año 201</w:t>
      </w:r>
      <w:r w:rsidR="00ED28F7">
        <w:rPr>
          <w:rFonts w:ascii="Bookman Old Style" w:hAnsi="Bookman Old Style" w:cs="Arial"/>
        </w:rPr>
        <w:t>2</w:t>
      </w:r>
      <w:r w:rsidR="00617704">
        <w:rPr>
          <w:rFonts w:ascii="Bookman Old Style" w:hAnsi="Bookman Old Style" w:cs="Arial"/>
        </w:rPr>
        <w:t>;</w:t>
      </w:r>
    </w:p>
    <w:p w:rsidR="005F05E0" w:rsidRDefault="005F05E0" w:rsidP="009F0269">
      <w:pPr>
        <w:ind w:left="0"/>
        <w:jc w:val="both"/>
        <w:rPr>
          <w:rFonts w:ascii="Bookman Old Style" w:hAnsi="Bookman Old Style" w:cs="Arial"/>
        </w:rPr>
      </w:pPr>
    </w:p>
    <w:p w:rsidR="009F0269" w:rsidRDefault="009F0269" w:rsidP="009F0269">
      <w:pPr>
        <w:ind w:left="0"/>
        <w:jc w:val="both"/>
        <w:rPr>
          <w:rFonts w:ascii="Bookman Old Style" w:hAnsi="Bookman Old Style" w:cs="Arial"/>
        </w:rPr>
      </w:pPr>
      <w:r w:rsidRPr="00F763C8">
        <w:rPr>
          <w:rFonts w:ascii="Bookman Old Style" w:hAnsi="Bookman Old Style" w:cs="Arial"/>
        </w:rPr>
        <w:t xml:space="preserve">Que </w:t>
      </w:r>
      <w:r>
        <w:rPr>
          <w:rFonts w:ascii="Bookman Old Style" w:hAnsi="Bookman Old Style" w:cs="Arial"/>
        </w:rPr>
        <w:t>el artículo 2 de</w:t>
      </w:r>
      <w:r w:rsidRPr="00F763C8">
        <w:rPr>
          <w:rFonts w:ascii="Bookman Old Style" w:hAnsi="Bookman Old Style" w:cs="Arial"/>
        </w:rPr>
        <w:t xml:space="preserve"> la resolución CREG-1</w:t>
      </w:r>
      <w:r>
        <w:rPr>
          <w:rFonts w:ascii="Bookman Old Style" w:hAnsi="Bookman Old Style" w:cs="Arial"/>
        </w:rPr>
        <w:t>19</w:t>
      </w:r>
      <w:r w:rsidRPr="00F763C8">
        <w:rPr>
          <w:rFonts w:ascii="Bookman Old Style" w:hAnsi="Bookman Old Style" w:cs="Arial"/>
        </w:rPr>
        <w:t xml:space="preserve"> del </w:t>
      </w:r>
      <w:r>
        <w:rPr>
          <w:rFonts w:ascii="Bookman Old Style" w:hAnsi="Bookman Old Style" w:cs="Arial"/>
        </w:rPr>
        <w:t>19</w:t>
      </w:r>
      <w:r w:rsidRPr="00F763C8">
        <w:rPr>
          <w:rFonts w:ascii="Bookman Old Style" w:hAnsi="Bookman Old Style" w:cs="Arial"/>
        </w:rPr>
        <w:t xml:space="preserve"> de </w:t>
      </w:r>
      <w:r>
        <w:rPr>
          <w:rFonts w:ascii="Bookman Old Style" w:hAnsi="Bookman Old Style" w:cs="Arial"/>
        </w:rPr>
        <w:t>octubre</w:t>
      </w:r>
      <w:r w:rsidRPr="00F763C8">
        <w:rPr>
          <w:rFonts w:ascii="Bookman Old Style" w:hAnsi="Bookman Old Style" w:cs="Arial"/>
        </w:rPr>
        <w:t xml:space="preserve"> de 201</w:t>
      </w:r>
      <w:r>
        <w:rPr>
          <w:rFonts w:ascii="Bookman Old Style" w:hAnsi="Bookman Old Style" w:cs="Arial"/>
        </w:rPr>
        <w:t>2</w:t>
      </w:r>
      <w:r w:rsidRPr="00F763C8">
        <w:rPr>
          <w:rFonts w:ascii="Bookman Old Style" w:hAnsi="Bookman Old Style" w:cs="Arial"/>
        </w:rPr>
        <w:t xml:space="preserve">, </w:t>
      </w:r>
      <w:r>
        <w:rPr>
          <w:rFonts w:ascii="Bookman Old Style" w:hAnsi="Bookman Old Style" w:cs="Arial"/>
        </w:rPr>
        <w:t xml:space="preserve">señaló </w:t>
      </w:r>
      <w:r w:rsidRPr="00F763C8">
        <w:rPr>
          <w:rFonts w:ascii="Bookman Old Style" w:hAnsi="Bookman Old Style" w:cs="Arial"/>
        </w:rPr>
        <w:t>que</w:t>
      </w:r>
      <w:r>
        <w:rPr>
          <w:rFonts w:ascii="Bookman Old Style" w:hAnsi="Bookman Old Style" w:cs="Arial"/>
        </w:rPr>
        <w:t xml:space="preserve"> la empresa SIVA S.A E.S.P</w:t>
      </w:r>
      <w:r w:rsidRPr="00ED28F7">
        <w:rPr>
          <w:rFonts w:ascii="Calibri" w:hAnsi="Calibri" w:cs="Calibri"/>
          <w:color w:val="000000"/>
          <w:lang w:val="es-CO" w:eastAsia="es-CO"/>
        </w:rPr>
        <w:t>.</w:t>
      </w:r>
      <w:r>
        <w:rPr>
          <w:rFonts w:ascii="Calibri" w:hAnsi="Calibri" w:cs="Calibri"/>
          <w:color w:val="000000"/>
          <w:lang w:val="es-CO" w:eastAsia="es-CO"/>
        </w:rPr>
        <w:t xml:space="preserve">, </w:t>
      </w:r>
      <w:r>
        <w:rPr>
          <w:rFonts w:ascii="Bookman Old Style" w:hAnsi="Bookman Old Style" w:cs="Arial"/>
        </w:rPr>
        <w:t xml:space="preserve">debía pagar la suma </w:t>
      </w:r>
      <w:r w:rsidRPr="00ED28F7">
        <w:rPr>
          <w:rFonts w:ascii="Bookman Old Style" w:hAnsi="Bookman Old Style" w:cs="Arial"/>
        </w:rPr>
        <w:t>de</w:t>
      </w:r>
      <w:r>
        <w:rPr>
          <w:rFonts w:ascii="Bookman Old Style" w:hAnsi="Bookman Old Style" w:cs="Arial"/>
        </w:rPr>
        <w:t xml:space="preserve"> NUEVE MILLONES OCHOCIENTOS SETENTA Y CINCO MIL QUINIENTOS VEINTE PESOS</w:t>
      </w:r>
      <w:r w:rsidRPr="00ED28F7">
        <w:rPr>
          <w:rFonts w:ascii="Bookman Old Style" w:hAnsi="Bookman Old Style" w:cs="Arial"/>
        </w:rPr>
        <w:t xml:space="preserve"> </w:t>
      </w:r>
      <w:r>
        <w:rPr>
          <w:rFonts w:ascii="Bookman Old Style" w:hAnsi="Bookman Old Style" w:cs="Arial"/>
        </w:rPr>
        <w:t>(</w:t>
      </w:r>
      <w:r w:rsidRPr="00ED28F7">
        <w:rPr>
          <w:rFonts w:ascii="Bookman Old Style" w:hAnsi="Bookman Old Style" w:cs="Arial"/>
        </w:rPr>
        <w:t>$</w:t>
      </w:r>
      <w:r>
        <w:rPr>
          <w:rFonts w:ascii="Bookman Old Style" w:hAnsi="Bookman Old Style" w:cs="Calibri"/>
          <w:color w:val="000000"/>
          <w:lang w:val="es-CO" w:eastAsia="es-CO"/>
        </w:rPr>
        <w:t>9.875.520) M/CTE,</w:t>
      </w:r>
      <w:r w:rsidRPr="006F6AF2">
        <w:rPr>
          <w:rFonts w:ascii="Calibri" w:hAnsi="Calibri" w:cs="Calibri"/>
          <w:color w:val="000000"/>
          <w:sz w:val="22"/>
          <w:szCs w:val="22"/>
          <w:lang w:val="es-CO" w:eastAsia="es-CO"/>
        </w:rPr>
        <w:t xml:space="preserve"> </w:t>
      </w:r>
      <w:r>
        <w:rPr>
          <w:rFonts w:ascii="Bookman Old Style" w:hAnsi="Bookman Old Style" w:cs="Arial"/>
        </w:rPr>
        <w:t>por concepto de la contribución especial para el año 2012;</w:t>
      </w:r>
    </w:p>
    <w:p w:rsidR="009F0269" w:rsidRDefault="009F0269" w:rsidP="00FB7F69">
      <w:pPr>
        <w:ind w:left="0"/>
        <w:jc w:val="both"/>
        <w:rPr>
          <w:rFonts w:ascii="Bookman Old Style" w:hAnsi="Bookman Old Style" w:cs="Arial"/>
        </w:rPr>
      </w:pPr>
    </w:p>
    <w:p w:rsidR="00A2078C" w:rsidRDefault="00A2078C" w:rsidP="00FB7F69">
      <w:pPr>
        <w:ind w:left="0"/>
        <w:jc w:val="both"/>
        <w:rPr>
          <w:rFonts w:ascii="Bookman Old Style" w:hAnsi="Bookman Old Style" w:cs="Arial"/>
        </w:rPr>
      </w:pPr>
      <w:r>
        <w:rPr>
          <w:rFonts w:ascii="Bookman Old Style" w:hAnsi="Bookman Old Style" w:cs="Arial"/>
        </w:rPr>
        <w:t>Que en cumplimiento de lo establecido en el artí</w:t>
      </w:r>
      <w:r w:rsidR="002F05A4">
        <w:rPr>
          <w:rFonts w:ascii="Bookman Old Style" w:hAnsi="Bookman Old Style" w:cs="Arial"/>
        </w:rPr>
        <w:t xml:space="preserve">culo 68 de la Ley 1437 de 2011 “Por la cual se expide el </w:t>
      </w:r>
      <w:r>
        <w:rPr>
          <w:rFonts w:ascii="Bookman Old Style" w:hAnsi="Bookman Old Style" w:cs="Arial"/>
        </w:rPr>
        <w:t>Código de Procedimiento Administrativo y de lo Contencioso Administrativo</w:t>
      </w:r>
      <w:r w:rsidR="002F05A4">
        <w:rPr>
          <w:rFonts w:ascii="Bookman Old Style" w:hAnsi="Bookman Old Style" w:cs="Arial"/>
        </w:rPr>
        <w:t>”</w:t>
      </w:r>
      <w:r w:rsidR="00E2754D">
        <w:rPr>
          <w:rFonts w:ascii="Bookman Old Style" w:hAnsi="Bookman Old Style" w:cs="Arial"/>
        </w:rPr>
        <w:t>, la CREG mediante comunicación radicada bajo el número S-2012-0050</w:t>
      </w:r>
      <w:r w:rsidR="003B25BC">
        <w:rPr>
          <w:rFonts w:ascii="Bookman Old Style" w:hAnsi="Bookman Old Style" w:cs="Arial"/>
        </w:rPr>
        <w:t>05</w:t>
      </w:r>
      <w:r w:rsidR="00E2754D">
        <w:rPr>
          <w:rFonts w:ascii="Bookman Old Style" w:hAnsi="Bookman Old Style" w:cs="Arial"/>
        </w:rPr>
        <w:t xml:space="preserve">, citó al doctor </w:t>
      </w:r>
      <w:r w:rsidR="003B25BC">
        <w:rPr>
          <w:rFonts w:ascii="Bookman Old Style" w:hAnsi="Bookman Old Style" w:cs="Arial"/>
        </w:rPr>
        <w:t xml:space="preserve">Jorge </w:t>
      </w:r>
      <w:r w:rsidR="001009B4">
        <w:rPr>
          <w:rFonts w:ascii="Bookman Old Style" w:hAnsi="Bookman Old Style" w:cs="Arial"/>
        </w:rPr>
        <w:t>P</w:t>
      </w:r>
      <w:r w:rsidR="003B25BC">
        <w:rPr>
          <w:rFonts w:ascii="Bookman Old Style" w:hAnsi="Bookman Old Style" w:cs="Arial"/>
        </w:rPr>
        <w:t>olo Vela Bustamante</w:t>
      </w:r>
      <w:r w:rsidR="00E2754D">
        <w:rPr>
          <w:rFonts w:ascii="Bookman Old Style" w:hAnsi="Bookman Old Style" w:cs="Arial"/>
        </w:rPr>
        <w:t xml:space="preserve">, Gerente General de </w:t>
      </w:r>
      <w:r w:rsidR="003B25BC">
        <w:rPr>
          <w:rFonts w:ascii="Bookman Old Style" w:hAnsi="Bookman Old Style" w:cs="Arial"/>
        </w:rPr>
        <w:t>la empresa PLUS S.A E.S.P</w:t>
      </w:r>
      <w:r w:rsidR="003B25BC">
        <w:rPr>
          <w:rFonts w:ascii="Bookman Old Style" w:hAnsi="Bookman Old Style" w:cs="Arial"/>
          <w:color w:val="000000"/>
          <w:lang w:val="es-CO" w:eastAsia="es-CO"/>
        </w:rPr>
        <w:t xml:space="preserve"> </w:t>
      </w:r>
      <w:r w:rsidR="00E2754D">
        <w:rPr>
          <w:rFonts w:ascii="Bookman Old Style" w:hAnsi="Bookman Old Style" w:cs="Arial"/>
          <w:color w:val="000000"/>
          <w:lang w:val="es-CO" w:eastAsia="es-CO"/>
        </w:rPr>
        <w:t>para que se notificara personalmente de la Resolución CREG-119 de 2012</w:t>
      </w:r>
      <w:r w:rsidR="005F05E0">
        <w:rPr>
          <w:rFonts w:ascii="Bookman Old Style" w:hAnsi="Bookman Old Style" w:cs="Arial"/>
          <w:color w:val="000000"/>
          <w:lang w:val="es-CO" w:eastAsia="es-CO"/>
        </w:rPr>
        <w:t>;</w:t>
      </w:r>
    </w:p>
    <w:p w:rsidR="00A2078C" w:rsidRDefault="00A2078C" w:rsidP="00FB7F69">
      <w:pPr>
        <w:ind w:left="0"/>
        <w:jc w:val="both"/>
        <w:rPr>
          <w:rFonts w:ascii="Bookman Old Style" w:hAnsi="Bookman Old Style" w:cs="Arial"/>
        </w:rPr>
      </w:pPr>
    </w:p>
    <w:p w:rsidR="00FB7F69" w:rsidRDefault="00FB7F69" w:rsidP="00FB7F69">
      <w:pPr>
        <w:ind w:left="0"/>
        <w:jc w:val="both"/>
        <w:rPr>
          <w:rFonts w:ascii="Bookman Old Style" w:hAnsi="Bookman Old Style" w:cs="Arial"/>
        </w:rPr>
      </w:pPr>
      <w:r w:rsidRPr="00F763C8">
        <w:rPr>
          <w:rFonts w:ascii="Bookman Old Style" w:hAnsi="Bookman Old Style" w:cs="Arial"/>
        </w:rPr>
        <w:t>Que</w:t>
      </w:r>
      <w:r w:rsidR="00751664">
        <w:rPr>
          <w:rFonts w:ascii="Bookman Old Style" w:hAnsi="Bookman Old Style" w:cs="Arial"/>
        </w:rPr>
        <w:t xml:space="preserve"> transcurridos cinco (5) días desde la fecha de envío de la citación,</w:t>
      </w:r>
      <w:r w:rsidRPr="00F763C8">
        <w:rPr>
          <w:rFonts w:ascii="Bookman Old Style" w:hAnsi="Bookman Old Style" w:cs="Arial"/>
        </w:rPr>
        <w:t xml:space="preserve"> </w:t>
      </w:r>
      <w:r w:rsidR="00ED28F7">
        <w:rPr>
          <w:rFonts w:ascii="Bookman Old Style" w:hAnsi="Bookman Old Style" w:cs="Arial"/>
        </w:rPr>
        <w:t>la</w:t>
      </w:r>
      <w:r w:rsidR="003B25BC">
        <w:rPr>
          <w:rFonts w:ascii="Bookman Old Style" w:hAnsi="Bookman Old Style" w:cs="Arial"/>
        </w:rPr>
        <w:t xml:space="preserve"> empresa PLUS S.A E.S.P</w:t>
      </w:r>
      <w:r w:rsidR="003B25BC">
        <w:rPr>
          <w:rFonts w:ascii="Bookman Old Style" w:hAnsi="Bookman Old Style" w:cs="Arial"/>
          <w:color w:val="000000"/>
          <w:lang w:val="es-CO" w:eastAsia="es-CO"/>
        </w:rPr>
        <w:t xml:space="preserve"> </w:t>
      </w:r>
      <w:r w:rsidR="00751664">
        <w:rPr>
          <w:rFonts w:ascii="Bookman Old Style" w:hAnsi="Bookman Old Style" w:cs="Arial"/>
          <w:color w:val="000000"/>
          <w:lang w:val="es-CO" w:eastAsia="es-CO"/>
        </w:rPr>
        <w:t>no compareció a notificarse personalmente y por lo tanto, en cumplimiento de lo previsto en el artículo 69 de</w:t>
      </w:r>
      <w:r w:rsidR="002F05A4">
        <w:rPr>
          <w:rFonts w:ascii="Bookman Old Style" w:hAnsi="Bookman Old Style" w:cs="Arial"/>
          <w:color w:val="000000"/>
          <w:lang w:val="es-CO" w:eastAsia="es-CO"/>
        </w:rPr>
        <w:t xml:space="preserve">l </w:t>
      </w:r>
      <w:r w:rsidR="002F05A4">
        <w:rPr>
          <w:rFonts w:ascii="Bookman Old Style" w:hAnsi="Bookman Old Style" w:cs="Arial"/>
        </w:rPr>
        <w:t>Código de Procedimiento Administrativo y de lo Contencioso Administrativo</w:t>
      </w:r>
      <w:r w:rsidR="002F05A4">
        <w:rPr>
          <w:rFonts w:ascii="Bookman Old Style" w:hAnsi="Bookman Old Style" w:cs="Arial"/>
          <w:color w:val="000000"/>
          <w:lang w:val="es-CO" w:eastAsia="es-CO"/>
        </w:rPr>
        <w:t>,</w:t>
      </w:r>
      <w:r w:rsidR="00ED28F7">
        <w:rPr>
          <w:rFonts w:ascii="Bookman Old Style" w:hAnsi="Bookman Old Style" w:cs="Arial"/>
        </w:rPr>
        <w:t xml:space="preserve"> </w:t>
      </w:r>
      <w:r>
        <w:rPr>
          <w:rFonts w:ascii="Bookman Old Style" w:hAnsi="Bookman Old Style" w:cs="Arial"/>
        </w:rPr>
        <w:t>fue notificada</w:t>
      </w:r>
      <w:r w:rsidR="00751664">
        <w:rPr>
          <w:rFonts w:ascii="Bookman Old Style" w:hAnsi="Bookman Old Style" w:cs="Arial"/>
        </w:rPr>
        <w:t xml:space="preserve"> de la Resolución CREG 119 de 2012 mediante</w:t>
      </w:r>
      <w:r w:rsidR="00ED28F7">
        <w:rPr>
          <w:rFonts w:ascii="Bookman Old Style" w:hAnsi="Bookman Old Style" w:cs="Arial"/>
        </w:rPr>
        <w:t xml:space="preserve"> aviso,</w:t>
      </w:r>
      <w:r w:rsidR="00751664">
        <w:rPr>
          <w:rFonts w:ascii="Bookman Old Style" w:hAnsi="Bookman Old Style" w:cs="Arial"/>
        </w:rPr>
        <w:t xml:space="preserve"> el cual fue recibido en la empresa el día </w:t>
      </w:r>
      <w:r w:rsidR="001B1752">
        <w:rPr>
          <w:rFonts w:ascii="Bookman Old Style" w:hAnsi="Bookman Old Style" w:cs="Arial"/>
        </w:rPr>
        <w:t>3</w:t>
      </w:r>
      <w:r w:rsidR="00751664">
        <w:rPr>
          <w:rFonts w:ascii="Bookman Old Style" w:hAnsi="Bookman Old Style" w:cs="Arial"/>
        </w:rPr>
        <w:t xml:space="preserve"> de diciembre de 2012, quedando por lo tanto notificada al finalizar el día siguiente al de la entrega, esto es, el </w:t>
      </w:r>
      <w:r w:rsidR="001B1752">
        <w:rPr>
          <w:rFonts w:ascii="Bookman Old Style" w:hAnsi="Bookman Old Style" w:cs="Arial"/>
        </w:rPr>
        <w:t>4</w:t>
      </w:r>
      <w:r w:rsidR="00751664">
        <w:rPr>
          <w:rFonts w:ascii="Bookman Old Style" w:hAnsi="Bookman Old Style" w:cs="Arial"/>
        </w:rPr>
        <w:t xml:space="preserve"> de diciembre de 2012</w:t>
      </w:r>
      <w:r w:rsidR="00617704">
        <w:rPr>
          <w:rFonts w:ascii="Bookman Old Style" w:hAnsi="Bookman Old Style" w:cs="Arial"/>
        </w:rPr>
        <w:t>;</w:t>
      </w:r>
    </w:p>
    <w:p w:rsidR="003B25BC" w:rsidRDefault="003B25BC" w:rsidP="00FB7F69">
      <w:pPr>
        <w:ind w:left="0"/>
        <w:jc w:val="both"/>
        <w:rPr>
          <w:rFonts w:ascii="Bookman Old Style" w:hAnsi="Bookman Old Style" w:cs="Arial"/>
        </w:rPr>
      </w:pPr>
    </w:p>
    <w:p w:rsidR="003B25BC" w:rsidRDefault="003B25BC" w:rsidP="003B25BC">
      <w:pPr>
        <w:ind w:left="0"/>
        <w:jc w:val="both"/>
        <w:rPr>
          <w:rFonts w:ascii="Bookman Old Style" w:hAnsi="Bookman Old Style" w:cs="Arial"/>
        </w:rPr>
      </w:pPr>
      <w:r>
        <w:rPr>
          <w:rFonts w:ascii="Bookman Old Style" w:hAnsi="Bookman Old Style" w:cs="Arial"/>
        </w:rPr>
        <w:t xml:space="preserve">Que en cumplimiento de lo establecido en el artículo 68 de la Ley 1437 de 2011 “Por la cual se expide el Código de Procedimiento Administrativo y de lo Contencioso Administrativo”, la CREG mediante comunicación radicada bajo el número S-2012-005004, citó al doctor Jorge </w:t>
      </w:r>
      <w:r w:rsidR="001009B4">
        <w:rPr>
          <w:rFonts w:ascii="Bookman Old Style" w:hAnsi="Bookman Old Style" w:cs="Arial"/>
        </w:rPr>
        <w:t>P</w:t>
      </w:r>
      <w:r>
        <w:rPr>
          <w:rFonts w:ascii="Bookman Old Style" w:hAnsi="Bookman Old Style" w:cs="Arial"/>
        </w:rPr>
        <w:t>olo Vela Bustamante, Gerente General de la empresa SIVA S.A E.S.P</w:t>
      </w:r>
      <w:r>
        <w:rPr>
          <w:rFonts w:ascii="Bookman Old Style" w:hAnsi="Bookman Old Style" w:cs="Arial"/>
          <w:color w:val="000000"/>
          <w:lang w:val="es-CO" w:eastAsia="es-CO"/>
        </w:rPr>
        <w:t xml:space="preserve"> para que se notificara personalmente de la Resolución CREG-119 de 2012</w:t>
      </w:r>
      <w:r w:rsidR="005F05E0">
        <w:rPr>
          <w:rFonts w:ascii="Bookman Old Style" w:hAnsi="Bookman Old Style" w:cs="Arial"/>
          <w:color w:val="000000"/>
          <w:lang w:val="es-CO" w:eastAsia="es-CO"/>
        </w:rPr>
        <w:t>;</w:t>
      </w:r>
    </w:p>
    <w:p w:rsidR="003B25BC" w:rsidRDefault="003B25BC" w:rsidP="003B25BC">
      <w:pPr>
        <w:ind w:left="0"/>
        <w:jc w:val="both"/>
        <w:rPr>
          <w:rFonts w:ascii="Bookman Old Style" w:hAnsi="Bookman Old Style" w:cs="Arial"/>
        </w:rPr>
      </w:pPr>
    </w:p>
    <w:p w:rsidR="003B25BC" w:rsidRPr="00F763C8" w:rsidRDefault="003B25BC" w:rsidP="003B25BC">
      <w:pPr>
        <w:ind w:left="0"/>
        <w:jc w:val="both"/>
        <w:rPr>
          <w:rFonts w:ascii="Bookman Old Style" w:hAnsi="Bookman Old Style" w:cs="Arial"/>
        </w:rPr>
      </w:pPr>
      <w:r w:rsidRPr="00F763C8">
        <w:rPr>
          <w:rFonts w:ascii="Bookman Old Style" w:hAnsi="Bookman Old Style" w:cs="Arial"/>
        </w:rPr>
        <w:t>Que</w:t>
      </w:r>
      <w:r>
        <w:rPr>
          <w:rFonts w:ascii="Bookman Old Style" w:hAnsi="Bookman Old Style" w:cs="Arial"/>
        </w:rPr>
        <w:t xml:space="preserve"> transcurridos cinco (5) días desde la fecha de envío de la citación,</w:t>
      </w:r>
      <w:r w:rsidRPr="00F763C8">
        <w:rPr>
          <w:rFonts w:ascii="Bookman Old Style" w:hAnsi="Bookman Old Style" w:cs="Arial"/>
        </w:rPr>
        <w:t xml:space="preserve"> </w:t>
      </w:r>
      <w:r>
        <w:rPr>
          <w:rFonts w:ascii="Bookman Old Style" w:hAnsi="Bookman Old Style" w:cs="Arial"/>
        </w:rPr>
        <w:t>la empresa SIVA S.A E.S.P</w:t>
      </w:r>
      <w:r>
        <w:rPr>
          <w:rFonts w:ascii="Bookman Old Style" w:hAnsi="Bookman Old Style" w:cs="Arial"/>
          <w:color w:val="000000"/>
          <w:lang w:val="es-CO" w:eastAsia="es-CO"/>
        </w:rPr>
        <w:t xml:space="preserve"> no compareció a notificarse personalmente y por lo tanto, en cumplimiento de lo previsto en el artículo 69 del </w:t>
      </w:r>
      <w:r>
        <w:rPr>
          <w:rFonts w:ascii="Bookman Old Style" w:hAnsi="Bookman Old Style" w:cs="Arial"/>
        </w:rPr>
        <w:t>Código de Procedimiento Administrativo y de lo Contencioso Administrativo</w:t>
      </w:r>
      <w:r>
        <w:rPr>
          <w:rFonts w:ascii="Bookman Old Style" w:hAnsi="Bookman Old Style" w:cs="Arial"/>
          <w:color w:val="000000"/>
          <w:lang w:val="es-CO" w:eastAsia="es-CO"/>
        </w:rPr>
        <w:t>,</w:t>
      </w:r>
      <w:r>
        <w:rPr>
          <w:rFonts w:ascii="Bookman Old Style" w:hAnsi="Bookman Old Style" w:cs="Arial"/>
        </w:rPr>
        <w:t xml:space="preserve"> fue notificada de la Resolución CREG 119 de 2012 mediante aviso, el cual fue recibido en la empresa el día 3 de diciembre de 2012, quedando por lo tanto notificada al finalizar el día siguiente al de la entrega, esto es, el 4 de diciembre de 2012;</w:t>
      </w:r>
    </w:p>
    <w:p w:rsidR="003B25BC" w:rsidRPr="00F763C8" w:rsidRDefault="003B25BC" w:rsidP="00FB7F69">
      <w:pPr>
        <w:ind w:left="0"/>
        <w:jc w:val="both"/>
        <w:rPr>
          <w:rFonts w:ascii="Bookman Old Style" w:hAnsi="Bookman Old Style" w:cs="Arial"/>
        </w:rPr>
      </w:pPr>
    </w:p>
    <w:p w:rsidR="00FB7F69" w:rsidRDefault="00FB7F69" w:rsidP="00FB7F69">
      <w:pPr>
        <w:ind w:left="0"/>
        <w:jc w:val="both"/>
        <w:rPr>
          <w:rFonts w:ascii="Bookman Old Style" w:hAnsi="Bookman Old Style" w:cs="Arial"/>
        </w:rPr>
      </w:pPr>
      <w:r w:rsidRPr="00F763C8">
        <w:rPr>
          <w:rFonts w:ascii="Bookman Old Style" w:hAnsi="Bookman Old Style" w:cs="Arial"/>
        </w:rPr>
        <w:t xml:space="preserve">Que </w:t>
      </w:r>
      <w:r>
        <w:rPr>
          <w:rFonts w:ascii="Bookman Old Style" w:hAnsi="Bookman Old Style" w:cs="Arial"/>
        </w:rPr>
        <w:t xml:space="preserve">encontrándose dentro del término legal, </w:t>
      </w:r>
      <w:r w:rsidRPr="00F763C8">
        <w:rPr>
          <w:rFonts w:ascii="Bookman Old Style" w:hAnsi="Bookman Old Style" w:cs="Arial"/>
        </w:rPr>
        <w:t xml:space="preserve">mediante escrito presentado en la </w:t>
      </w:r>
      <w:r>
        <w:rPr>
          <w:rFonts w:ascii="Bookman Old Style" w:hAnsi="Bookman Old Style" w:cs="Arial"/>
        </w:rPr>
        <w:t>Comisión de Regulación de Energía y Gas -CREG- bajo radicado número E-2012-0</w:t>
      </w:r>
      <w:r w:rsidR="00A2078C">
        <w:rPr>
          <w:rFonts w:ascii="Bookman Old Style" w:hAnsi="Bookman Old Style" w:cs="Arial"/>
        </w:rPr>
        <w:t>11</w:t>
      </w:r>
      <w:r w:rsidR="003B25BC">
        <w:rPr>
          <w:rFonts w:ascii="Bookman Old Style" w:hAnsi="Bookman Old Style" w:cs="Arial"/>
        </w:rPr>
        <w:t>85</w:t>
      </w:r>
      <w:r w:rsidR="00A2078C">
        <w:rPr>
          <w:rFonts w:ascii="Bookman Old Style" w:hAnsi="Bookman Old Style" w:cs="Arial"/>
        </w:rPr>
        <w:t>7</w:t>
      </w:r>
      <w:r w:rsidRPr="00F763C8">
        <w:rPr>
          <w:rFonts w:ascii="Bookman Old Style" w:hAnsi="Bookman Old Style" w:cs="Arial"/>
        </w:rPr>
        <w:t xml:space="preserve"> el día 1</w:t>
      </w:r>
      <w:r w:rsidR="003B25BC">
        <w:rPr>
          <w:rFonts w:ascii="Bookman Old Style" w:hAnsi="Bookman Old Style" w:cs="Arial"/>
        </w:rPr>
        <w:t>3</w:t>
      </w:r>
      <w:r w:rsidRPr="00F763C8">
        <w:rPr>
          <w:rFonts w:ascii="Bookman Old Style" w:hAnsi="Bookman Old Style" w:cs="Arial"/>
        </w:rPr>
        <w:t xml:space="preserve"> de </w:t>
      </w:r>
      <w:r w:rsidR="00A2078C">
        <w:rPr>
          <w:rFonts w:ascii="Bookman Old Style" w:hAnsi="Bookman Old Style" w:cs="Arial"/>
        </w:rPr>
        <w:t>diciembre</w:t>
      </w:r>
      <w:r w:rsidRPr="00F763C8">
        <w:rPr>
          <w:rFonts w:ascii="Bookman Old Style" w:hAnsi="Bookman Old Style" w:cs="Arial"/>
        </w:rPr>
        <w:t xml:space="preserve"> de 201</w:t>
      </w:r>
      <w:r>
        <w:rPr>
          <w:rFonts w:ascii="Bookman Old Style" w:hAnsi="Bookman Old Style" w:cs="Arial"/>
        </w:rPr>
        <w:t>2</w:t>
      </w:r>
      <w:r w:rsidRPr="00F763C8">
        <w:rPr>
          <w:rFonts w:ascii="Bookman Old Style" w:hAnsi="Bookman Old Style" w:cs="Arial"/>
        </w:rPr>
        <w:t xml:space="preserve">, </w:t>
      </w:r>
      <w:r w:rsidR="00F26D5B">
        <w:rPr>
          <w:rFonts w:ascii="Bookman Old Style" w:hAnsi="Bookman Old Style" w:cs="Arial"/>
        </w:rPr>
        <w:t>la representante legal de la empresa COMBUSTIBLES LÍQUIDOS DE COLOMBIA S.A E.S.P -CLC</w:t>
      </w:r>
      <w:r w:rsidR="00A2078C">
        <w:rPr>
          <w:rFonts w:ascii="Bookman Old Style" w:hAnsi="Bookman Old Style" w:cs="Arial"/>
          <w:color w:val="000000"/>
          <w:lang w:val="es-CO" w:eastAsia="es-CO"/>
        </w:rPr>
        <w:t>,</w:t>
      </w:r>
      <w:r w:rsidRPr="00F763C8">
        <w:rPr>
          <w:rFonts w:ascii="Bookman Old Style" w:hAnsi="Bookman Old Style" w:cs="Arial"/>
        </w:rPr>
        <w:t xml:space="preserve"> presentó recurso de reposición contra la resolución CREG-1</w:t>
      </w:r>
      <w:r w:rsidR="00A2078C">
        <w:rPr>
          <w:rFonts w:ascii="Bookman Old Style" w:hAnsi="Bookman Old Style" w:cs="Arial"/>
        </w:rPr>
        <w:t>19</w:t>
      </w:r>
      <w:r>
        <w:rPr>
          <w:rFonts w:ascii="Bookman Old Style" w:hAnsi="Bookman Old Style" w:cs="Arial"/>
        </w:rPr>
        <w:t xml:space="preserve"> de 201</w:t>
      </w:r>
      <w:r w:rsidR="00A2078C">
        <w:rPr>
          <w:rFonts w:ascii="Bookman Old Style" w:hAnsi="Bookman Old Style" w:cs="Arial"/>
        </w:rPr>
        <w:t>2</w:t>
      </w:r>
      <w:r w:rsidR="00617704">
        <w:rPr>
          <w:rFonts w:ascii="Bookman Old Style" w:hAnsi="Bookman Old Style" w:cs="Arial"/>
        </w:rPr>
        <w:t>;</w:t>
      </w:r>
    </w:p>
    <w:p w:rsidR="00FB7F69" w:rsidRDefault="00FB7F69" w:rsidP="00FB7F69">
      <w:pPr>
        <w:ind w:left="0"/>
        <w:jc w:val="both"/>
        <w:rPr>
          <w:rFonts w:ascii="Bookman Old Style" w:hAnsi="Bookman Old Style" w:cs="Arial"/>
        </w:rPr>
      </w:pPr>
    </w:p>
    <w:p w:rsidR="00FB7F69" w:rsidRDefault="00FB7F69" w:rsidP="000C6857">
      <w:pPr>
        <w:ind w:left="0"/>
        <w:jc w:val="both"/>
        <w:rPr>
          <w:rFonts w:ascii="Bookman Old Style" w:hAnsi="Bookman Old Style" w:cs="Arial"/>
        </w:rPr>
      </w:pPr>
      <w:r>
        <w:rPr>
          <w:rFonts w:ascii="Bookman Old Style" w:hAnsi="Bookman Old Style" w:cs="Arial"/>
        </w:rPr>
        <w:t xml:space="preserve">Que mediante la presente resolución, procede esta Comisión a resolver </w:t>
      </w:r>
      <w:r w:rsidR="00751664">
        <w:rPr>
          <w:rFonts w:ascii="Bookman Old Style" w:hAnsi="Bookman Old Style" w:cs="Arial"/>
        </w:rPr>
        <w:t>el</w:t>
      </w:r>
      <w:r>
        <w:rPr>
          <w:rFonts w:ascii="Bookman Old Style" w:hAnsi="Bookman Old Style" w:cs="Arial"/>
        </w:rPr>
        <w:t xml:space="preserve"> recurso</w:t>
      </w:r>
      <w:r w:rsidR="00751664">
        <w:rPr>
          <w:rFonts w:ascii="Bookman Old Style" w:hAnsi="Bookman Old Style" w:cs="Arial"/>
        </w:rPr>
        <w:t xml:space="preserve"> de reposición interpuesto</w:t>
      </w:r>
      <w:r>
        <w:rPr>
          <w:rFonts w:ascii="Bookman Old Style" w:hAnsi="Bookman Old Style" w:cs="Arial"/>
        </w:rPr>
        <w:t xml:space="preserve"> en contra de la Resolución CREG </w:t>
      </w:r>
      <w:r w:rsidR="00A2078C">
        <w:rPr>
          <w:rFonts w:ascii="Bookman Old Style" w:hAnsi="Bookman Old Style" w:cs="Arial"/>
        </w:rPr>
        <w:t>119</w:t>
      </w:r>
      <w:r>
        <w:rPr>
          <w:rFonts w:ascii="Bookman Old Style" w:hAnsi="Bookman Old Style" w:cs="Arial"/>
        </w:rPr>
        <w:t xml:space="preserve"> de 201</w:t>
      </w:r>
      <w:r w:rsidR="00A2078C">
        <w:rPr>
          <w:rFonts w:ascii="Bookman Old Style" w:hAnsi="Bookman Old Style" w:cs="Arial"/>
        </w:rPr>
        <w:t>2</w:t>
      </w:r>
      <w:r>
        <w:rPr>
          <w:rFonts w:ascii="Bookman Old Style" w:hAnsi="Bookman Old Style" w:cs="Arial"/>
        </w:rPr>
        <w:t xml:space="preserve"> con base en las siguientes consideraciones</w:t>
      </w:r>
      <w:r w:rsidR="00617704">
        <w:rPr>
          <w:rFonts w:ascii="Bookman Old Style" w:hAnsi="Bookman Old Style" w:cs="Arial"/>
        </w:rPr>
        <w:t>;</w:t>
      </w:r>
    </w:p>
    <w:p w:rsidR="005F05E0" w:rsidRDefault="005F05E0" w:rsidP="000C6857">
      <w:pPr>
        <w:ind w:left="0"/>
        <w:jc w:val="both"/>
        <w:rPr>
          <w:rFonts w:ascii="Bookman Old Style" w:hAnsi="Bookman Old Style" w:cs="Arial"/>
        </w:rPr>
      </w:pPr>
    </w:p>
    <w:p w:rsidR="005F05E0" w:rsidRDefault="005F05E0" w:rsidP="000C6857">
      <w:pPr>
        <w:ind w:left="0"/>
        <w:jc w:val="both"/>
        <w:rPr>
          <w:rFonts w:ascii="Bookman Old Style" w:hAnsi="Bookman Old Style" w:cs="Arial"/>
        </w:rPr>
      </w:pPr>
    </w:p>
    <w:p w:rsidR="005F05E0" w:rsidRDefault="005F05E0" w:rsidP="000C6857">
      <w:pPr>
        <w:ind w:left="0"/>
        <w:jc w:val="both"/>
        <w:rPr>
          <w:rFonts w:ascii="Bookman Old Style" w:hAnsi="Bookman Old Style" w:cs="Arial"/>
        </w:rPr>
      </w:pPr>
    </w:p>
    <w:p w:rsidR="00F26D5B" w:rsidRDefault="00F26D5B" w:rsidP="000C6857">
      <w:pPr>
        <w:ind w:left="0"/>
        <w:jc w:val="both"/>
        <w:rPr>
          <w:rFonts w:ascii="Bookman Old Style" w:hAnsi="Bookman Old Style" w:cs="Arial"/>
        </w:rPr>
      </w:pPr>
    </w:p>
    <w:p w:rsidR="00FB7F69" w:rsidRPr="00E21B11" w:rsidRDefault="00FB7F69" w:rsidP="00FB7F69">
      <w:pPr>
        <w:pStyle w:val="Prrafodelista"/>
        <w:numPr>
          <w:ilvl w:val="0"/>
          <w:numId w:val="31"/>
        </w:numPr>
        <w:jc w:val="both"/>
        <w:rPr>
          <w:rFonts w:ascii="Bookman Old Style" w:hAnsi="Bookman Old Style" w:cs="Arial"/>
          <w:b/>
          <w:sz w:val="24"/>
          <w:szCs w:val="24"/>
        </w:rPr>
      </w:pPr>
      <w:r w:rsidRPr="00E21B11">
        <w:rPr>
          <w:rFonts w:ascii="Bookman Old Style" w:hAnsi="Bookman Old Style" w:cs="Arial"/>
          <w:b/>
          <w:sz w:val="24"/>
          <w:szCs w:val="24"/>
        </w:rPr>
        <w:t>EL RECURSO DE REPOSICIÓN</w:t>
      </w:r>
    </w:p>
    <w:p w:rsidR="00FB7F69" w:rsidRPr="00F763C8" w:rsidRDefault="00FB7F69" w:rsidP="00FB7F69">
      <w:pPr>
        <w:ind w:left="0"/>
        <w:jc w:val="both"/>
        <w:rPr>
          <w:rFonts w:ascii="Bookman Old Style" w:hAnsi="Bookman Old Style" w:cs="Arial"/>
        </w:rPr>
      </w:pPr>
    </w:p>
    <w:p w:rsidR="00FB7F69" w:rsidRDefault="00FB7F69" w:rsidP="00FB7F69">
      <w:pPr>
        <w:pStyle w:val="Prrafodelista"/>
        <w:numPr>
          <w:ilvl w:val="0"/>
          <w:numId w:val="17"/>
        </w:numPr>
        <w:rPr>
          <w:rFonts w:ascii="Bookman Old Style" w:hAnsi="Bookman Old Style" w:cs="Arial"/>
          <w:b/>
          <w:sz w:val="24"/>
          <w:szCs w:val="24"/>
        </w:rPr>
      </w:pPr>
      <w:r>
        <w:rPr>
          <w:rFonts w:ascii="Bookman Old Style" w:hAnsi="Bookman Old Style" w:cs="Arial"/>
          <w:b/>
          <w:sz w:val="24"/>
          <w:szCs w:val="24"/>
        </w:rPr>
        <w:t>PROCEDENCIA DEL RECURSO</w:t>
      </w:r>
    </w:p>
    <w:p w:rsidR="00FB7F69" w:rsidRDefault="00FB7F69" w:rsidP="00FB7F69">
      <w:pPr>
        <w:pStyle w:val="Prrafodelista"/>
        <w:ind w:left="720"/>
        <w:rPr>
          <w:rFonts w:ascii="Bookman Old Style" w:hAnsi="Bookman Old Style" w:cs="Arial"/>
          <w:b/>
          <w:sz w:val="24"/>
          <w:szCs w:val="24"/>
        </w:rPr>
      </w:pPr>
    </w:p>
    <w:p w:rsidR="005748E9" w:rsidRDefault="005748E9" w:rsidP="005748E9">
      <w:pPr>
        <w:ind w:left="0"/>
        <w:jc w:val="both"/>
        <w:rPr>
          <w:rFonts w:ascii="Bookman Old Style" w:hAnsi="Bookman Old Style" w:cs="Arial"/>
        </w:rPr>
      </w:pPr>
      <w:r>
        <w:rPr>
          <w:rFonts w:ascii="Bookman Old Style" w:hAnsi="Bookman Old Style"/>
        </w:rPr>
        <w:t>El artículo 74 del Código de Procedimiento Administrativo y de lo Contencioso Administrativo</w:t>
      </w:r>
      <w:r w:rsidR="002F05A4">
        <w:rPr>
          <w:rFonts w:ascii="Bookman Old Style" w:hAnsi="Bookman Old Style"/>
        </w:rPr>
        <w:t>,</w:t>
      </w:r>
      <w:r>
        <w:rPr>
          <w:rFonts w:ascii="Bookman Old Style" w:hAnsi="Bookman Old Style"/>
        </w:rPr>
        <w:t xml:space="preserve"> señala que contra los actos definitivos proceden los recursos de apelación, reposición y queja. El recurso de reposición </w:t>
      </w:r>
      <w:r>
        <w:rPr>
          <w:rFonts w:ascii="Arial" w:hAnsi="Arial" w:cs="Arial"/>
        </w:rPr>
        <w:t xml:space="preserve">deberá presentarse ante </w:t>
      </w:r>
      <w:r w:rsidRPr="003A18EB">
        <w:rPr>
          <w:rFonts w:ascii="Bookman Old Style" w:hAnsi="Bookman Old Style" w:cs="Arial"/>
        </w:rPr>
        <w:t>quien expidió la decisión para que la aclare, modifique, adicione o revoque</w:t>
      </w:r>
      <w:r>
        <w:rPr>
          <w:rFonts w:ascii="Bookman Old Style" w:hAnsi="Bookman Old Style" w:cs="Arial"/>
        </w:rPr>
        <w:t>.</w:t>
      </w:r>
    </w:p>
    <w:p w:rsidR="005748E9" w:rsidRPr="005748E9" w:rsidRDefault="005748E9" w:rsidP="00FB7F69">
      <w:pPr>
        <w:pStyle w:val="Prrafodelista"/>
        <w:ind w:left="0"/>
        <w:jc w:val="both"/>
        <w:rPr>
          <w:rFonts w:ascii="Bookman Old Style" w:hAnsi="Bookman Old Style" w:cs="Arial"/>
          <w:sz w:val="24"/>
          <w:szCs w:val="24"/>
          <w:lang w:val="es-ES"/>
        </w:rPr>
      </w:pPr>
    </w:p>
    <w:p w:rsidR="00FB7F69" w:rsidRDefault="00FB7F69" w:rsidP="00FB7F69">
      <w:pPr>
        <w:pStyle w:val="Prrafodelista"/>
        <w:ind w:left="0"/>
        <w:jc w:val="both"/>
        <w:rPr>
          <w:rFonts w:ascii="Bookman Old Style" w:hAnsi="Bookman Old Style" w:cs="Arial"/>
          <w:sz w:val="24"/>
          <w:szCs w:val="24"/>
        </w:rPr>
      </w:pPr>
      <w:r w:rsidRPr="00C00B83">
        <w:rPr>
          <w:rFonts w:ascii="Bookman Old Style" w:hAnsi="Bookman Old Style" w:cs="Arial"/>
          <w:sz w:val="24"/>
          <w:szCs w:val="24"/>
        </w:rPr>
        <w:t xml:space="preserve">El recurrente presentó recurso de reposición contra </w:t>
      </w:r>
      <w:r w:rsidR="00A2078C">
        <w:rPr>
          <w:rFonts w:ascii="Bookman Old Style" w:hAnsi="Bookman Old Style" w:cs="Arial"/>
          <w:sz w:val="24"/>
          <w:szCs w:val="24"/>
        </w:rPr>
        <w:t>la R</w:t>
      </w:r>
      <w:r w:rsidRPr="00C00B83">
        <w:rPr>
          <w:rFonts w:ascii="Bookman Old Style" w:hAnsi="Bookman Old Style" w:cs="Arial"/>
          <w:sz w:val="24"/>
          <w:szCs w:val="24"/>
        </w:rPr>
        <w:t>esolución CREG-1</w:t>
      </w:r>
      <w:r w:rsidR="00A2078C">
        <w:rPr>
          <w:rFonts w:ascii="Bookman Old Style" w:hAnsi="Bookman Old Style" w:cs="Arial"/>
          <w:sz w:val="24"/>
          <w:szCs w:val="24"/>
        </w:rPr>
        <w:t xml:space="preserve">19 </w:t>
      </w:r>
      <w:r w:rsidRPr="00C00B83">
        <w:rPr>
          <w:rFonts w:ascii="Bookman Old Style" w:hAnsi="Bookman Old Style" w:cs="Arial"/>
          <w:sz w:val="24"/>
          <w:szCs w:val="24"/>
        </w:rPr>
        <w:t>de 201</w:t>
      </w:r>
      <w:r w:rsidR="00A2078C">
        <w:rPr>
          <w:rFonts w:ascii="Bookman Old Style" w:hAnsi="Bookman Old Style" w:cs="Arial"/>
          <w:sz w:val="24"/>
          <w:szCs w:val="24"/>
        </w:rPr>
        <w:t>2 “</w:t>
      </w:r>
      <w:r w:rsidR="00A2078C" w:rsidRPr="00A2078C">
        <w:rPr>
          <w:rFonts w:ascii="Bookman Old Style" w:hAnsi="Bookman Old Style" w:cs="Arial"/>
          <w:i/>
          <w:sz w:val="24"/>
          <w:szCs w:val="24"/>
        </w:rPr>
        <w:t>Por la cual se señala la contribución que debe pagar a la Comisión de Regulación de Energía y Gas –CREG- cada una de las entidades reguladas por el año  2012.”</w:t>
      </w:r>
      <w:r w:rsidRPr="00C00B83">
        <w:rPr>
          <w:rFonts w:ascii="Bookman Old Style" w:hAnsi="Bookman Old Style" w:cs="Arial"/>
          <w:sz w:val="24"/>
          <w:szCs w:val="24"/>
        </w:rPr>
        <w:t xml:space="preserve">, proferida por la Comisión de Regulación de Energía y Gas –CREG-, </w:t>
      </w:r>
    </w:p>
    <w:p w:rsidR="00A2078C" w:rsidRDefault="00A2078C" w:rsidP="00FB7F69">
      <w:pPr>
        <w:pStyle w:val="Prrafodelista"/>
        <w:ind w:left="0"/>
        <w:jc w:val="both"/>
        <w:rPr>
          <w:rFonts w:ascii="Bookman Old Style" w:hAnsi="Bookman Old Style" w:cs="Arial"/>
          <w:sz w:val="24"/>
          <w:szCs w:val="24"/>
        </w:rPr>
      </w:pPr>
    </w:p>
    <w:p w:rsidR="00FB7F69" w:rsidRDefault="00FB7F69" w:rsidP="00FB7F69">
      <w:pPr>
        <w:pStyle w:val="Prrafodelista"/>
        <w:ind w:left="0"/>
        <w:jc w:val="both"/>
        <w:rPr>
          <w:rFonts w:ascii="Bookman Old Style" w:hAnsi="Bookman Old Style" w:cs="Arial"/>
          <w:sz w:val="24"/>
          <w:szCs w:val="24"/>
        </w:rPr>
      </w:pPr>
      <w:r>
        <w:rPr>
          <w:rFonts w:ascii="Bookman Old Style" w:hAnsi="Bookman Old Style" w:cs="Arial"/>
          <w:sz w:val="24"/>
          <w:szCs w:val="24"/>
        </w:rPr>
        <w:t xml:space="preserve">El recurso fue interpuesto dentro del término legal, esto es, dentro de los </w:t>
      </w:r>
      <w:r w:rsidR="00772693">
        <w:rPr>
          <w:rFonts w:ascii="Bookman Old Style" w:hAnsi="Bookman Old Style" w:cs="Arial"/>
          <w:sz w:val="24"/>
          <w:szCs w:val="24"/>
        </w:rPr>
        <w:t>diez</w:t>
      </w:r>
      <w:r>
        <w:rPr>
          <w:rFonts w:ascii="Bookman Old Style" w:hAnsi="Bookman Old Style" w:cs="Arial"/>
          <w:sz w:val="24"/>
          <w:szCs w:val="24"/>
        </w:rPr>
        <w:t xml:space="preserve"> (</w:t>
      </w:r>
      <w:r w:rsidR="00772693">
        <w:rPr>
          <w:rFonts w:ascii="Bookman Old Style" w:hAnsi="Bookman Old Style" w:cs="Arial"/>
          <w:sz w:val="24"/>
          <w:szCs w:val="24"/>
        </w:rPr>
        <w:t>10</w:t>
      </w:r>
      <w:r>
        <w:rPr>
          <w:rFonts w:ascii="Bookman Old Style" w:hAnsi="Bookman Old Style" w:cs="Arial"/>
          <w:sz w:val="24"/>
          <w:szCs w:val="24"/>
        </w:rPr>
        <w:t xml:space="preserve">) días hábiles siguientes a la notificación, de acuerdo con </w:t>
      </w:r>
      <w:r w:rsidRPr="00E21B11">
        <w:rPr>
          <w:rFonts w:ascii="Bookman Old Style" w:hAnsi="Bookman Old Style" w:cs="Arial"/>
          <w:sz w:val="24"/>
          <w:szCs w:val="24"/>
        </w:rPr>
        <w:t xml:space="preserve">el </w:t>
      </w:r>
      <w:r w:rsidR="00772693">
        <w:rPr>
          <w:rFonts w:ascii="Bookman Old Style" w:hAnsi="Bookman Old Style" w:cs="Arial"/>
          <w:sz w:val="24"/>
          <w:szCs w:val="24"/>
        </w:rPr>
        <w:t>término</w:t>
      </w:r>
      <w:r w:rsidRPr="00E21B11">
        <w:rPr>
          <w:rFonts w:ascii="Bookman Old Style" w:hAnsi="Bookman Old Style" w:cs="Arial"/>
          <w:sz w:val="24"/>
          <w:szCs w:val="24"/>
        </w:rPr>
        <w:t xml:space="preserve"> establecido en el artículo </w:t>
      </w:r>
      <w:r w:rsidR="00772693">
        <w:rPr>
          <w:rFonts w:ascii="Bookman Old Style" w:hAnsi="Bookman Old Style" w:cs="Arial"/>
          <w:sz w:val="24"/>
          <w:szCs w:val="24"/>
        </w:rPr>
        <w:t>76</w:t>
      </w:r>
      <w:r w:rsidRPr="00E21B11">
        <w:rPr>
          <w:rFonts w:ascii="Bookman Old Style" w:hAnsi="Bookman Old Style" w:cs="Arial"/>
          <w:sz w:val="24"/>
          <w:szCs w:val="24"/>
        </w:rPr>
        <w:t xml:space="preserve"> del Código </w:t>
      </w:r>
      <w:r w:rsidR="00772693">
        <w:rPr>
          <w:rFonts w:ascii="Bookman Old Style" w:hAnsi="Bookman Old Style" w:cs="Arial"/>
          <w:sz w:val="24"/>
          <w:szCs w:val="24"/>
        </w:rPr>
        <w:t xml:space="preserve">de Procedimiento Administrativo y de lo </w:t>
      </w:r>
      <w:r w:rsidRPr="00E21B11">
        <w:rPr>
          <w:rFonts w:ascii="Bookman Old Style" w:hAnsi="Bookman Old Style" w:cs="Arial"/>
          <w:sz w:val="24"/>
          <w:szCs w:val="24"/>
        </w:rPr>
        <w:t>Contencioso Administrativo</w:t>
      </w:r>
      <w:r w:rsidR="005748E9">
        <w:rPr>
          <w:rFonts w:ascii="Bookman Old Style" w:hAnsi="Bookman Old Style" w:cs="Arial"/>
          <w:sz w:val="24"/>
          <w:szCs w:val="24"/>
        </w:rPr>
        <w:t>.</w:t>
      </w:r>
    </w:p>
    <w:p w:rsidR="00F26D5B" w:rsidRPr="00E21B11" w:rsidRDefault="00F26D5B" w:rsidP="00FB7F69">
      <w:pPr>
        <w:pStyle w:val="Prrafodelista"/>
        <w:ind w:left="0"/>
        <w:jc w:val="both"/>
        <w:rPr>
          <w:rFonts w:ascii="Bookman Old Style" w:hAnsi="Bookman Old Style" w:cs="Arial"/>
          <w:sz w:val="24"/>
          <w:szCs w:val="24"/>
        </w:rPr>
      </w:pPr>
    </w:p>
    <w:p w:rsidR="00FB7F69" w:rsidRDefault="002F05A4" w:rsidP="00FB7F69">
      <w:pPr>
        <w:pStyle w:val="Prrafodelista"/>
        <w:ind w:left="0"/>
        <w:jc w:val="both"/>
        <w:rPr>
          <w:rFonts w:ascii="Bookman Old Style" w:hAnsi="Bookman Old Style" w:cs="Arial"/>
          <w:sz w:val="24"/>
          <w:szCs w:val="24"/>
        </w:rPr>
      </w:pPr>
      <w:r>
        <w:rPr>
          <w:rFonts w:ascii="Bookman Old Style" w:hAnsi="Bookman Old Style" w:cs="Arial"/>
          <w:sz w:val="24"/>
          <w:szCs w:val="24"/>
        </w:rPr>
        <w:t xml:space="preserve">Al verificarse la oportunidad y el </w:t>
      </w:r>
      <w:r w:rsidR="00FB7F69" w:rsidRPr="00E21B11">
        <w:rPr>
          <w:rFonts w:ascii="Bookman Old Style" w:hAnsi="Bookman Old Style" w:cs="Arial"/>
          <w:sz w:val="24"/>
          <w:szCs w:val="24"/>
        </w:rPr>
        <w:t xml:space="preserve">cumplimiento </w:t>
      </w:r>
      <w:r>
        <w:rPr>
          <w:rFonts w:ascii="Bookman Old Style" w:hAnsi="Bookman Old Style" w:cs="Arial"/>
          <w:sz w:val="24"/>
          <w:szCs w:val="24"/>
        </w:rPr>
        <w:t>de</w:t>
      </w:r>
      <w:r w:rsidR="00FB7F69" w:rsidRPr="00E21B11">
        <w:rPr>
          <w:rFonts w:ascii="Bookman Old Style" w:hAnsi="Bookman Old Style" w:cs="Arial"/>
          <w:sz w:val="24"/>
          <w:szCs w:val="24"/>
        </w:rPr>
        <w:t xml:space="preserve"> los requisitos previstos en el artículo </w:t>
      </w:r>
      <w:r w:rsidR="00772693">
        <w:rPr>
          <w:rFonts w:ascii="Bookman Old Style" w:hAnsi="Bookman Old Style" w:cs="Arial"/>
          <w:sz w:val="24"/>
          <w:szCs w:val="24"/>
        </w:rPr>
        <w:t>77</w:t>
      </w:r>
      <w:r w:rsidR="00FB7F69" w:rsidRPr="00E21B11">
        <w:rPr>
          <w:rFonts w:ascii="Bookman Old Style" w:hAnsi="Bookman Old Style" w:cs="Arial"/>
          <w:sz w:val="24"/>
          <w:szCs w:val="24"/>
        </w:rPr>
        <w:t xml:space="preserve"> del Código</w:t>
      </w:r>
      <w:r w:rsidR="00C90E95">
        <w:rPr>
          <w:rFonts w:ascii="Bookman Old Style" w:hAnsi="Bookman Old Style" w:cs="Arial"/>
          <w:sz w:val="24"/>
          <w:szCs w:val="24"/>
        </w:rPr>
        <w:t xml:space="preserve"> de Procedimiento Administrativo y de lo</w:t>
      </w:r>
      <w:r w:rsidR="00FB7F69" w:rsidRPr="00E21B11">
        <w:rPr>
          <w:rFonts w:ascii="Bookman Old Style" w:hAnsi="Bookman Old Style" w:cs="Arial"/>
          <w:sz w:val="24"/>
          <w:szCs w:val="24"/>
        </w:rPr>
        <w:t xml:space="preserve"> Contencioso Administrativo, se admite este recurso, por lo que se procede a resolver de fondo y pronunciarse respecto de las inconformidades planteadas por el recurrente, motivando los aspectos de hecho y de derecho que la sustentan.</w:t>
      </w:r>
      <w:r w:rsidR="00C90E95">
        <w:rPr>
          <w:rFonts w:ascii="Bookman Old Style" w:hAnsi="Bookman Old Style" w:cs="Arial"/>
          <w:sz w:val="24"/>
          <w:szCs w:val="24"/>
        </w:rPr>
        <w:t xml:space="preserve"> </w:t>
      </w:r>
    </w:p>
    <w:p w:rsidR="00FB7F69" w:rsidRPr="00C00B83" w:rsidRDefault="00FB7F69" w:rsidP="00FB7F69">
      <w:pPr>
        <w:pStyle w:val="Prrafodelista"/>
        <w:ind w:left="0"/>
        <w:jc w:val="both"/>
        <w:rPr>
          <w:rFonts w:ascii="Bookman Old Style" w:hAnsi="Bookman Old Style" w:cs="Arial"/>
          <w:sz w:val="24"/>
          <w:szCs w:val="24"/>
        </w:rPr>
      </w:pPr>
    </w:p>
    <w:p w:rsidR="00FB7F69" w:rsidRPr="00F763C8" w:rsidRDefault="00FB7F69" w:rsidP="00FB7F69">
      <w:pPr>
        <w:pStyle w:val="Prrafodelista"/>
        <w:numPr>
          <w:ilvl w:val="0"/>
          <w:numId w:val="17"/>
        </w:numPr>
        <w:rPr>
          <w:rFonts w:ascii="Bookman Old Style" w:hAnsi="Bookman Old Style" w:cs="Arial"/>
          <w:b/>
          <w:sz w:val="24"/>
          <w:szCs w:val="24"/>
        </w:rPr>
      </w:pPr>
      <w:r>
        <w:rPr>
          <w:rFonts w:ascii="Bookman Old Style" w:hAnsi="Bookman Old Style" w:cs="Arial"/>
          <w:b/>
          <w:sz w:val="24"/>
          <w:szCs w:val="24"/>
        </w:rPr>
        <w:t>RAZ</w:t>
      </w:r>
      <w:r w:rsidRPr="00F763C8">
        <w:rPr>
          <w:rFonts w:ascii="Bookman Old Style" w:hAnsi="Bookman Old Style" w:cs="Arial"/>
          <w:b/>
          <w:sz w:val="24"/>
          <w:szCs w:val="24"/>
        </w:rPr>
        <w:t>ONES Y FUNDAMENTOS DEL RECURSO DE REPOSICIÓN</w:t>
      </w:r>
    </w:p>
    <w:p w:rsidR="00445707" w:rsidRDefault="00445707" w:rsidP="00FB7F69">
      <w:pPr>
        <w:ind w:left="0"/>
        <w:jc w:val="both"/>
        <w:rPr>
          <w:rFonts w:ascii="Bookman Old Style" w:hAnsi="Bookman Old Style"/>
        </w:rPr>
      </w:pPr>
    </w:p>
    <w:p w:rsidR="00772693" w:rsidRDefault="00FB7F69" w:rsidP="00772693">
      <w:pPr>
        <w:ind w:left="0"/>
        <w:jc w:val="both"/>
        <w:rPr>
          <w:rFonts w:ascii="Bookman Old Style" w:hAnsi="Bookman Old Style"/>
        </w:rPr>
      </w:pPr>
      <w:r>
        <w:rPr>
          <w:rFonts w:ascii="Bookman Old Style" w:hAnsi="Bookman Old Style"/>
        </w:rPr>
        <w:t xml:space="preserve">Los fundamentos que soportan el recurso de reposición son presentados por el recurrente </w:t>
      </w:r>
      <w:r w:rsidR="00EF401F">
        <w:rPr>
          <w:rFonts w:ascii="Bookman Old Style" w:hAnsi="Bookman Old Style"/>
        </w:rPr>
        <w:t xml:space="preserve">con </w:t>
      </w:r>
      <w:r>
        <w:rPr>
          <w:rFonts w:ascii="Bookman Old Style" w:hAnsi="Bookman Old Style"/>
        </w:rPr>
        <w:t>fin</w:t>
      </w:r>
      <w:r w:rsidR="008E76E0">
        <w:rPr>
          <w:rFonts w:ascii="Bookman Old Style" w:hAnsi="Bookman Old Style"/>
        </w:rPr>
        <w:t xml:space="preserve"> de que la Resolución CREG-119 de 2012, sea revocada parcialmente en lo atinente a la contribución impuesta a SIVA S.A E.S.P y PLUS S.A E.S.P.</w:t>
      </w:r>
    </w:p>
    <w:p w:rsidR="00772693" w:rsidRDefault="00772693" w:rsidP="00772693">
      <w:pPr>
        <w:ind w:left="0"/>
        <w:jc w:val="both"/>
        <w:rPr>
          <w:rFonts w:ascii="Bookman Old Style" w:hAnsi="Bookman Old Style"/>
        </w:rPr>
      </w:pPr>
    </w:p>
    <w:p w:rsidR="00FB7F69" w:rsidRPr="00D70055" w:rsidRDefault="00FB7F69" w:rsidP="00FB7F69">
      <w:pPr>
        <w:ind w:left="0"/>
        <w:jc w:val="both"/>
        <w:rPr>
          <w:rFonts w:ascii="Bookman Old Style" w:hAnsi="Bookman Old Style"/>
        </w:rPr>
      </w:pPr>
      <w:r w:rsidRPr="00D70055">
        <w:rPr>
          <w:rFonts w:ascii="Bookman Old Style" w:hAnsi="Bookman Old Style"/>
        </w:rPr>
        <w:t>Los fundamentos del recurrente se exponen a continuación:</w:t>
      </w:r>
    </w:p>
    <w:p w:rsidR="00FB7F69" w:rsidRPr="00D70055" w:rsidRDefault="00FB7F69" w:rsidP="00FB7F69">
      <w:pPr>
        <w:ind w:left="170"/>
        <w:jc w:val="both"/>
        <w:rPr>
          <w:rFonts w:ascii="Bookman Old Style" w:hAnsi="Bookman Old Style"/>
        </w:rPr>
      </w:pPr>
    </w:p>
    <w:p w:rsidR="00FB7F69" w:rsidRPr="00D70055" w:rsidRDefault="00CD4C08" w:rsidP="00FB7F69">
      <w:pPr>
        <w:ind w:left="0"/>
        <w:jc w:val="both"/>
        <w:rPr>
          <w:rFonts w:ascii="Bookman Old Style" w:hAnsi="Bookman Old Style"/>
        </w:rPr>
      </w:pPr>
      <w:r>
        <w:rPr>
          <w:rFonts w:ascii="Bookman Old Style" w:hAnsi="Bookman Old Style"/>
        </w:rPr>
        <w:t>“</w:t>
      </w:r>
    </w:p>
    <w:p w:rsidR="00D70055" w:rsidRPr="00D70055" w:rsidRDefault="00A657E2" w:rsidP="00A657E2">
      <w:pPr>
        <w:pStyle w:val="Prrafodelista"/>
        <w:numPr>
          <w:ilvl w:val="0"/>
          <w:numId w:val="16"/>
        </w:numPr>
        <w:jc w:val="both"/>
        <w:rPr>
          <w:rFonts w:ascii="Bookman Old Style" w:hAnsi="Bookman Old Style" w:cs="Arial"/>
          <w:color w:val="000000"/>
          <w:sz w:val="24"/>
          <w:szCs w:val="24"/>
          <w:lang w:eastAsia="es-CO"/>
        </w:rPr>
      </w:pPr>
      <w:r>
        <w:rPr>
          <w:rFonts w:ascii="Bookman Old Style" w:hAnsi="Bookman Old Style"/>
          <w:sz w:val="24"/>
          <w:szCs w:val="24"/>
        </w:rPr>
        <w:t xml:space="preserve">El primero (1) de septiembre  de 2011, </w:t>
      </w:r>
      <w:r w:rsidRPr="00A657E2">
        <w:rPr>
          <w:rFonts w:ascii="Bookman Old Style" w:hAnsi="Bookman Old Style"/>
          <w:b/>
          <w:sz w:val="24"/>
          <w:szCs w:val="24"/>
        </w:rPr>
        <w:t>CLC S.A E.S.P</w:t>
      </w:r>
      <w:r>
        <w:rPr>
          <w:rFonts w:ascii="Bookman Old Style" w:hAnsi="Bookman Old Style"/>
          <w:sz w:val="24"/>
          <w:szCs w:val="24"/>
        </w:rPr>
        <w:t>, absorbió mediante proceso de fusión debidamente autorizado por la entidad competente a las compañías SIVA S.A E.S.P y PLUS S.A E.S.P y por consiguiente estas se disolvieron sin liquidarse, de conformidad con lo dispuesto en el artículo172 del Código de Comercio.</w:t>
      </w:r>
      <w:r>
        <w:rPr>
          <w:rFonts w:ascii="Bookman Old Style" w:hAnsi="Bookman Old Style" w:cs="Arial"/>
          <w:color w:val="000000"/>
          <w:sz w:val="24"/>
          <w:szCs w:val="24"/>
          <w:lang w:eastAsia="es-CO"/>
        </w:rPr>
        <w:tab/>
      </w:r>
    </w:p>
    <w:p w:rsidR="00AB1B29" w:rsidRPr="00D70055" w:rsidRDefault="00AB1B29" w:rsidP="00AB1B29">
      <w:pPr>
        <w:pStyle w:val="Prrafodelista"/>
        <w:ind w:left="530"/>
        <w:jc w:val="both"/>
        <w:rPr>
          <w:rFonts w:ascii="Bookman Old Style" w:hAnsi="Bookman Old Style"/>
          <w:sz w:val="24"/>
          <w:szCs w:val="24"/>
        </w:rPr>
      </w:pPr>
    </w:p>
    <w:p w:rsidR="00AB1B29" w:rsidRDefault="00D70055" w:rsidP="00FB7F69">
      <w:pPr>
        <w:pStyle w:val="Prrafodelista"/>
        <w:numPr>
          <w:ilvl w:val="0"/>
          <w:numId w:val="16"/>
        </w:numPr>
        <w:jc w:val="both"/>
        <w:rPr>
          <w:rFonts w:ascii="Bookman Old Style" w:hAnsi="Bookman Old Style"/>
          <w:sz w:val="24"/>
          <w:szCs w:val="24"/>
        </w:rPr>
      </w:pPr>
      <w:r>
        <w:rPr>
          <w:rFonts w:ascii="Bookman Old Style" w:hAnsi="Bookman Old Style"/>
          <w:sz w:val="24"/>
          <w:szCs w:val="24"/>
        </w:rPr>
        <w:t xml:space="preserve">El </w:t>
      </w:r>
      <w:r w:rsidR="00A657E2">
        <w:rPr>
          <w:rFonts w:ascii="Bookman Old Style" w:hAnsi="Bookman Old Style"/>
          <w:sz w:val="24"/>
          <w:szCs w:val="24"/>
        </w:rPr>
        <w:t xml:space="preserve">siete (7) siete de septiembre de 2011, </w:t>
      </w:r>
      <w:r w:rsidR="00A657E2" w:rsidRPr="00A657E2">
        <w:rPr>
          <w:rFonts w:ascii="Bookman Old Style" w:hAnsi="Bookman Old Style"/>
          <w:b/>
          <w:sz w:val="24"/>
          <w:szCs w:val="24"/>
        </w:rPr>
        <w:t>CLC S.A E.S.P</w:t>
      </w:r>
      <w:r w:rsidR="00A657E2">
        <w:rPr>
          <w:rFonts w:ascii="Bookman Old Style" w:hAnsi="Bookman Old Style"/>
          <w:sz w:val="24"/>
          <w:szCs w:val="24"/>
        </w:rPr>
        <w:t>, informó a la CREG mediante comunicación escrita con radicado E-2011-00840, la formalización del referido proceso de fusión por absorción.</w:t>
      </w:r>
    </w:p>
    <w:p w:rsidR="00D70055" w:rsidRDefault="00D70055" w:rsidP="00D70055">
      <w:pPr>
        <w:pStyle w:val="Prrafodelista"/>
        <w:ind w:left="530"/>
        <w:jc w:val="both"/>
        <w:rPr>
          <w:rFonts w:ascii="Bookman Old Style" w:hAnsi="Bookman Old Style"/>
          <w:sz w:val="24"/>
          <w:szCs w:val="24"/>
        </w:rPr>
      </w:pPr>
    </w:p>
    <w:p w:rsidR="00D70055" w:rsidRDefault="005D5486" w:rsidP="00FB7F69">
      <w:pPr>
        <w:pStyle w:val="Prrafodelista"/>
        <w:numPr>
          <w:ilvl w:val="0"/>
          <w:numId w:val="16"/>
        </w:numPr>
        <w:jc w:val="both"/>
        <w:rPr>
          <w:rFonts w:ascii="Bookman Old Style" w:hAnsi="Bookman Old Style"/>
          <w:sz w:val="24"/>
          <w:szCs w:val="24"/>
        </w:rPr>
      </w:pPr>
      <w:r>
        <w:rPr>
          <w:rFonts w:ascii="Bookman Old Style" w:hAnsi="Bookman Old Style"/>
          <w:sz w:val="24"/>
          <w:szCs w:val="24"/>
        </w:rPr>
        <w:t xml:space="preserve">Como consecuencia del mencionado proceso de fusión, </w:t>
      </w:r>
      <w:r w:rsidRPr="00A657E2">
        <w:rPr>
          <w:rFonts w:ascii="Bookman Old Style" w:hAnsi="Bookman Old Style"/>
          <w:b/>
          <w:sz w:val="24"/>
          <w:szCs w:val="24"/>
        </w:rPr>
        <w:t>CLC S.A E.S.P</w:t>
      </w:r>
      <w:r w:rsidRPr="005D5486">
        <w:rPr>
          <w:rFonts w:ascii="Bookman Old Style" w:hAnsi="Bookman Old Style"/>
          <w:sz w:val="24"/>
          <w:szCs w:val="24"/>
        </w:rPr>
        <w:t xml:space="preserve">, </w:t>
      </w:r>
      <w:r>
        <w:rPr>
          <w:rFonts w:ascii="Bookman Old Style" w:hAnsi="Bookman Old Style"/>
          <w:sz w:val="24"/>
          <w:szCs w:val="24"/>
        </w:rPr>
        <w:t xml:space="preserve">solicitó a la Superintendencia de Servicios Públicos Domiciliarios, la cancelación de Registro único de prestadores de servicios públicos –RUPS- correspondientes a las empresas SIVA S.A E.S.P y PLUS S.A E.S.P, </w:t>
      </w:r>
      <w:r>
        <w:rPr>
          <w:rFonts w:ascii="Bookman Old Style" w:hAnsi="Bookman Old Style"/>
          <w:sz w:val="24"/>
          <w:szCs w:val="24"/>
        </w:rPr>
        <w:lastRenderedPageBreak/>
        <w:t>solicitud que fue aprobada mediante radicados Nos. 2012122299329757 y 201213229339797 del 26 de enero de 2012, respectivamente</w:t>
      </w:r>
      <w:r w:rsidR="00D70055" w:rsidRPr="00D70055">
        <w:rPr>
          <w:rFonts w:ascii="Bookman Old Style" w:hAnsi="Bookman Old Style"/>
          <w:sz w:val="24"/>
          <w:szCs w:val="24"/>
        </w:rPr>
        <w:t>.</w:t>
      </w:r>
    </w:p>
    <w:p w:rsidR="00D70055" w:rsidRPr="00D70055" w:rsidRDefault="00D70055" w:rsidP="00D70055">
      <w:pPr>
        <w:pStyle w:val="Prrafodelista"/>
        <w:rPr>
          <w:rFonts w:ascii="Bookman Old Style" w:hAnsi="Bookman Old Style"/>
          <w:sz w:val="24"/>
          <w:szCs w:val="24"/>
        </w:rPr>
      </w:pPr>
    </w:p>
    <w:p w:rsidR="00D70055" w:rsidRPr="00CD4C08" w:rsidRDefault="005D5486" w:rsidP="00FB7F69">
      <w:pPr>
        <w:pStyle w:val="Prrafodelista"/>
        <w:numPr>
          <w:ilvl w:val="0"/>
          <w:numId w:val="16"/>
        </w:numPr>
        <w:jc w:val="both"/>
        <w:rPr>
          <w:rFonts w:ascii="Bookman Old Style" w:hAnsi="Bookman Old Style"/>
          <w:sz w:val="24"/>
          <w:szCs w:val="24"/>
        </w:rPr>
      </w:pPr>
      <w:r>
        <w:rPr>
          <w:rFonts w:ascii="Bookman Old Style" w:hAnsi="Bookman Old Style"/>
          <w:sz w:val="24"/>
          <w:szCs w:val="24"/>
        </w:rPr>
        <w:t xml:space="preserve">El día doce (12) de junio, </w:t>
      </w:r>
      <w:r w:rsidRPr="00A657E2">
        <w:rPr>
          <w:rFonts w:ascii="Bookman Old Style" w:hAnsi="Bookman Old Style"/>
          <w:b/>
          <w:sz w:val="24"/>
          <w:szCs w:val="24"/>
        </w:rPr>
        <w:t>CLC S.A E.S.P</w:t>
      </w:r>
      <w:r>
        <w:rPr>
          <w:rFonts w:ascii="Bookman Old Style" w:hAnsi="Bookman Old Style"/>
          <w:b/>
          <w:sz w:val="24"/>
          <w:szCs w:val="24"/>
        </w:rPr>
        <w:t xml:space="preserve">, </w:t>
      </w:r>
      <w:r>
        <w:rPr>
          <w:rFonts w:ascii="Bookman Old Style" w:hAnsi="Bookman Old Style"/>
          <w:sz w:val="24"/>
          <w:szCs w:val="24"/>
        </w:rPr>
        <w:t>pagó a la CREG a título de anticipo para (Sic) la suma de DIEZ MILLONES SEISCIENTOS VEINTIDOS MIL TRESCIENTOS VEINTE PESOS ($10.622.320.oo)</w:t>
      </w:r>
      <w:r w:rsidR="002A19A0">
        <w:rPr>
          <w:rFonts w:ascii="Bookman Old Style" w:hAnsi="Bookman Old Style"/>
          <w:sz w:val="24"/>
          <w:szCs w:val="24"/>
        </w:rPr>
        <w:t xml:space="preserve">, </w:t>
      </w:r>
      <w:r>
        <w:rPr>
          <w:rFonts w:ascii="Bookman Old Style" w:hAnsi="Bookman Old Style"/>
          <w:sz w:val="24"/>
          <w:szCs w:val="24"/>
        </w:rPr>
        <w:t>suma</w:t>
      </w:r>
      <w:r w:rsidR="002A19A0">
        <w:rPr>
          <w:rFonts w:ascii="Bookman Old Style" w:hAnsi="Bookman Old Style"/>
          <w:sz w:val="24"/>
          <w:szCs w:val="24"/>
        </w:rPr>
        <w:t xml:space="preserve"> que corresponde al 60% del valor de la contribución liquidada a SIVA S.A E.S.P y PLUS S.A E.S.P, para el año 2011 con base en los estados financieros del año 2010</w:t>
      </w:r>
      <w:r w:rsidR="00CD4C08">
        <w:rPr>
          <w:rFonts w:ascii="Bookman Old Style" w:hAnsi="Bookman Old Style" w:cs="Arial"/>
          <w:color w:val="000000"/>
          <w:sz w:val="24"/>
          <w:szCs w:val="24"/>
          <w:lang w:eastAsia="es-CO"/>
        </w:rPr>
        <w:t>.</w:t>
      </w:r>
    </w:p>
    <w:p w:rsidR="00CD4C08" w:rsidRPr="00CD4C08" w:rsidRDefault="00CD4C08" w:rsidP="00CD4C08">
      <w:pPr>
        <w:pStyle w:val="Prrafodelista"/>
        <w:rPr>
          <w:rFonts w:ascii="Bookman Old Style" w:hAnsi="Bookman Old Style"/>
          <w:sz w:val="24"/>
          <w:szCs w:val="24"/>
        </w:rPr>
      </w:pPr>
    </w:p>
    <w:p w:rsidR="00CD4C08" w:rsidRPr="00CD4C08" w:rsidRDefault="001B1752" w:rsidP="00FB7F69">
      <w:pPr>
        <w:pStyle w:val="Prrafodelista"/>
        <w:numPr>
          <w:ilvl w:val="0"/>
          <w:numId w:val="16"/>
        </w:numPr>
        <w:jc w:val="both"/>
        <w:rPr>
          <w:rFonts w:ascii="Bookman Old Style" w:hAnsi="Bookman Old Style"/>
          <w:sz w:val="24"/>
          <w:szCs w:val="24"/>
        </w:rPr>
      </w:pPr>
      <w:r>
        <w:rPr>
          <w:rFonts w:ascii="Bookman Old Style" w:hAnsi="Bookman Old Style"/>
          <w:sz w:val="24"/>
          <w:szCs w:val="24"/>
        </w:rPr>
        <w:t>Mediante resolución 119 de 2012, la CREG fijó a</w:t>
      </w:r>
      <w:r w:rsidRPr="001B1752">
        <w:rPr>
          <w:rFonts w:ascii="Bookman Old Style" w:hAnsi="Bookman Old Style"/>
          <w:b/>
          <w:sz w:val="24"/>
          <w:szCs w:val="24"/>
        </w:rPr>
        <w:t xml:space="preserve"> </w:t>
      </w:r>
      <w:r w:rsidRPr="001B1752">
        <w:rPr>
          <w:rFonts w:ascii="Bookman Old Style" w:hAnsi="Bookman Old Style"/>
          <w:sz w:val="24"/>
          <w:szCs w:val="24"/>
        </w:rPr>
        <w:t>CLC S.A E.S.P,</w:t>
      </w:r>
      <w:r>
        <w:rPr>
          <w:rFonts w:ascii="Bookman Old Style" w:hAnsi="Bookman Old Style"/>
          <w:b/>
          <w:sz w:val="24"/>
          <w:szCs w:val="24"/>
        </w:rPr>
        <w:t xml:space="preserve"> </w:t>
      </w:r>
      <w:r>
        <w:rPr>
          <w:rFonts w:ascii="Bookman Old Style" w:hAnsi="Bookman Old Style"/>
          <w:sz w:val="24"/>
          <w:szCs w:val="24"/>
        </w:rPr>
        <w:t>SIVA S.A E.S.P y PLUS S.A E.S.P</w:t>
      </w:r>
      <w:r w:rsidR="00CD4C08">
        <w:rPr>
          <w:rFonts w:ascii="Bookman Old Style" w:hAnsi="Bookman Old Style" w:cs="Arial"/>
          <w:color w:val="000000"/>
          <w:sz w:val="24"/>
          <w:szCs w:val="24"/>
          <w:lang w:eastAsia="es-CO"/>
        </w:rPr>
        <w:t>.</w:t>
      </w:r>
      <w:r>
        <w:rPr>
          <w:rFonts w:ascii="Bookman Old Style" w:hAnsi="Bookman Old Style" w:cs="Arial"/>
          <w:color w:val="000000"/>
          <w:sz w:val="24"/>
          <w:szCs w:val="24"/>
          <w:lang w:eastAsia="es-CO"/>
        </w:rPr>
        <w:t xml:space="preserve"> por concepto de contribución para el año 2012, las siguientes sumas de dinero, las que en su orden se relacionan a continuación: $14.200.877.oo, $9.875.520.oo y 12.330.251.oo</w:t>
      </w:r>
    </w:p>
    <w:p w:rsidR="00CD4C08" w:rsidRPr="00CD4C08" w:rsidRDefault="00CD4C08" w:rsidP="00CD4C08">
      <w:pPr>
        <w:pStyle w:val="Prrafodelista"/>
        <w:rPr>
          <w:rFonts w:ascii="Bookman Old Style" w:hAnsi="Bookman Old Style"/>
          <w:sz w:val="24"/>
          <w:szCs w:val="24"/>
        </w:rPr>
      </w:pPr>
    </w:p>
    <w:p w:rsidR="00CD4C08" w:rsidRPr="00CD4C08" w:rsidRDefault="001B1752" w:rsidP="00FB7F69">
      <w:pPr>
        <w:pStyle w:val="Prrafodelista"/>
        <w:numPr>
          <w:ilvl w:val="0"/>
          <w:numId w:val="16"/>
        </w:numPr>
        <w:jc w:val="both"/>
        <w:rPr>
          <w:rFonts w:ascii="Bookman Old Style" w:hAnsi="Bookman Old Style"/>
          <w:sz w:val="24"/>
          <w:szCs w:val="24"/>
        </w:rPr>
      </w:pPr>
      <w:r>
        <w:rPr>
          <w:rFonts w:ascii="Bookman Old Style" w:hAnsi="Bookman Old Style"/>
          <w:sz w:val="24"/>
          <w:szCs w:val="24"/>
        </w:rPr>
        <w:t xml:space="preserve">La CREG mediante comunicaciones con radicados Nos. S-2012-005692, S-2012-005590 y S-2012-005518 de fecha 26 de noviembre del año en curso, enviadas a las empresas </w:t>
      </w:r>
      <w:r w:rsidRPr="001B1752">
        <w:rPr>
          <w:rFonts w:ascii="Bookman Old Style" w:hAnsi="Bookman Old Style"/>
          <w:sz w:val="24"/>
          <w:szCs w:val="24"/>
        </w:rPr>
        <w:t>CLC S.A E.S.P,</w:t>
      </w:r>
      <w:r>
        <w:rPr>
          <w:rFonts w:ascii="Bookman Old Style" w:hAnsi="Bookman Old Style"/>
          <w:b/>
          <w:sz w:val="24"/>
          <w:szCs w:val="24"/>
        </w:rPr>
        <w:t xml:space="preserve"> </w:t>
      </w:r>
      <w:r>
        <w:rPr>
          <w:rFonts w:ascii="Bookman Old Style" w:hAnsi="Bookman Old Style"/>
          <w:sz w:val="24"/>
          <w:szCs w:val="24"/>
        </w:rPr>
        <w:t>SIVA S.A E.S.P y PLUS S.A E.S.P</w:t>
      </w:r>
      <w:r>
        <w:rPr>
          <w:rFonts w:ascii="Bookman Old Style" w:hAnsi="Bookman Old Style" w:cs="Arial"/>
          <w:color w:val="000000"/>
          <w:sz w:val="24"/>
          <w:szCs w:val="24"/>
          <w:lang w:eastAsia="es-CO"/>
        </w:rPr>
        <w:t>, respectivamente, notificó por aviso el contenido de la Resolución CREG 119 de 2012.dichas comunicaciones (notificación por aviso) fueron recibidas el día tres (3) de Diciembre de 2012, en las diferentes oficinas de propiedad de CLC S.A E.S.P</w:t>
      </w:r>
      <w:r w:rsidR="00CD4C08">
        <w:rPr>
          <w:rFonts w:ascii="Bookman Old Style" w:hAnsi="Bookman Old Style" w:cs="Arial"/>
          <w:color w:val="000000"/>
          <w:sz w:val="24"/>
          <w:szCs w:val="24"/>
          <w:lang w:eastAsia="es-CO"/>
        </w:rPr>
        <w:t>.</w:t>
      </w:r>
    </w:p>
    <w:p w:rsidR="00FB7F69" w:rsidRPr="001B1752" w:rsidRDefault="00FB7F69" w:rsidP="001B1752">
      <w:pPr>
        <w:tabs>
          <w:tab w:val="left" w:pos="3975"/>
        </w:tabs>
        <w:ind w:left="0"/>
        <w:jc w:val="both"/>
        <w:rPr>
          <w:rFonts w:ascii="Bookman Old Style" w:hAnsi="Bookman Old Style"/>
        </w:rPr>
      </w:pPr>
    </w:p>
    <w:p w:rsidR="00FB7F69" w:rsidRPr="0026257D" w:rsidRDefault="00FB7F69" w:rsidP="00FB7F69">
      <w:pPr>
        <w:pStyle w:val="Prrafodelista"/>
        <w:numPr>
          <w:ilvl w:val="0"/>
          <w:numId w:val="31"/>
        </w:numPr>
        <w:jc w:val="both"/>
        <w:rPr>
          <w:rFonts w:ascii="Bookman Old Style" w:hAnsi="Bookman Old Style"/>
          <w:b/>
          <w:sz w:val="24"/>
          <w:szCs w:val="24"/>
        </w:rPr>
      </w:pPr>
      <w:r>
        <w:rPr>
          <w:rFonts w:ascii="Bookman Old Style" w:hAnsi="Bookman Old Style"/>
          <w:b/>
          <w:sz w:val="24"/>
          <w:szCs w:val="24"/>
        </w:rPr>
        <w:t xml:space="preserve">CONSIDERACIONES DE LA </w:t>
      </w:r>
      <w:r w:rsidR="00653557">
        <w:rPr>
          <w:rFonts w:ascii="Bookman Old Style" w:hAnsi="Bookman Old Style"/>
          <w:b/>
          <w:sz w:val="24"/>
          <w:szCs w:val="24"/>
        </w:rPr>
        <w:t>COMISIÓN DE REGULACIÓN DE ENERGÍA Y GAS -</w:t>
      </w:r>
      <w:r>
        <w:rPr>
          <w:rFonts w:ascii="Bookman Old Style" w:hAnsi="Bookman Old Style"/>
          <w:b/>
          <w:sz w:val="24"/>
          <w:szCs w:val="24"/>
        </w:rPr>
        <w:t>CREG</w:t>
      </w:r>
    </w:p>
    <w:p w:rsidR="00FB7F69" w:rsidRDefault="00FB7F69" w:rsidP="00FB7F69">
      <w:pPr>
        <w:ind w:left="0"/>
        <w:jc w:val="both"/>
        <w:rPr>
          <w:rFonts w:ascii="Bookman Old Style" w:hAnsi="Bookman Old Style"/>
        </w:rPr>
      </w:pPr>
    </w:p>
    <w:p w:rsidR="00FB7F69" w:rsidRDefault="00FB7F69" w:rsidP="00241FF5">
      <w:pPr>
        <w:ind w:left="0"/>
        <w:jc w:val="both"/>
        <w:rPr>
          <w:rFonts w:ascii="Bookman Old Style" w:hAnsi="Bookman Old Style" w:cs="Arial"/>
          <w:color w:val="000000"/>
          <w:lang w:eastAsia="es-CO"/>
        </w:rPr>
      </w:pPr>
      <w:r>
        <w:rPr>
          <w:rFonts w:ascii="Bookman Old Style" w:hAnsi="Bookman Old Style"/>
        </w:rPr>
        <w:t>De acuerdo con los argumentos del recur</w:t>
      </w:r>
      <w:r w:rsidR="00241FF5">
        <w:rPr>
          <w:rFonts w:ascii="Bookman Old Style" w:hAnsi="Bookman Old Style"/>
        </w:rPr>
        <w:t>rente, estos se circunscriben a que l</w:t>
      </w:r>
      <w:r w:rsidR="0092615A" w:rsidRPr="00241FF5">
        <w:rPr>
          <w:rFonts w:ascii="Bookman Old Style" w:hAnsi="Bookman Old Style"/>
        </w:rPr>
        <w:t>a</w:t>
      </w:r>
      <w:r w:rsidR="001B1752">
        <w:rPr>
          <w:rFonts w:ascii="Bookman Old Style" w:hAnsi="Bookman Old Style"/>
        </w:rPr>
        <w:t>s</w:t>
      </w:r>
      <w:r w:rsidR="0092615A" w:rsidRPr="00241FF5">
        <w:rPr>
          <w:rFonts w:ascii="Bookman Old Style" w:hAnsi="Bookman Old Style"/>
        </w:rPr>
        <w:t xml:space="preserve"> </w:t>
      </w:r>
      <w:r w:rsidR="001B1752">
        <w:rPr>
          <w:rFonts w:ascii="Bookman Old Style" w:hAnsi="Bookman Old Style"/>
        </w:rPr>
        <w:t>empresas SIVA S.A E.S.P y PLUS S.A E.S.P,</w:t>
      </w:r>
      <w:r w:rsidR="001B1752">
        <w:rPr>
          <w:rFonts w:ascii="Bookman Old Style" w:hAnsi="Bookman Old Style" w:cs="Arial"/>
          <w:color w:val="000000"/>
          <w:lang w:eastAsia="es-CO"/>
        </w:rPr>
        <w:t xml:space="preserve"> se disolvieron</w:t>
      </w:r>
      <w:r w:rsidR="0092615A" w:rsidRPr="00241FF5">
        <w:rPr>
          <w:rFonts w:ascii="Bookman Old Style" w:hAnsi="Bookman Old Style" w:cs="Arial"/>
          <w:color w:val="000000"/>
          <w:lang w:eastAsia="es-CO"/>
        </w:rPr>
        <w:t xml:space="preserve"> sin liquidarse</w:t>
      </w:r>
      <w:r w:rsidR="0081464F" w:rsidRPr="00241FF5">
        <w:rPr>
          <w:rFonts w:ascii="Bookman Old Style" w:hAnsi="Bookman Old Style" w:cs="Arial"/>
          <w:color w:val="000000"/>
          <w:lang w:eastAsia="es-CO"/>
        </w:rPr>
        <w:t xml:space="preserve"> y fue</w:t>
      </w:r>
      <w:r w:rsidR="001B1752">
        <w:rPr>
          <w:rFonts w:ascii="Bookman Old Style" w:hAnsi="Bookman Old Style" w:cs="Arial"/>
          <w:color w:val="000000"/>
          <w:lang w:eastAsia="es-CO"/>
        </w:rPr>
        <w:t>ron</w:t>
      </w:r>
      <w:r w:rsidR="0081464F" w:rsidRPr="00241FF5">
        <w:rPr>
          <w:rFonts w:ascii="Bookman Old Style" w:hAnsi="Bookman Old Style" w:cs="Arial"/>
          <w:color w:val="000000"/>
          <w:lang w:eastAsia="es-CO"/>
        </w:rPr>
        <w:t xml:space="preserve"> absorbida</w:t>
      </w:r>
      <w:r w:rsidR="001B1752">
        <w:rPr>
          <w:rFonts w:ascii="Bookman Old Style" w:hAnsi="Bookman Old Style" w:cs="Arial"/>
          <w:color w:val="000000"/>
          <w:lang w:eastAsia="es-CO"/>
        </w:rPr>
        <w:t>s</w:t>
      </w:r>
      <w:r w:rsidR="0081464F" w:rsidRPr="00241FF5">
        <w:rPr>
          <w:rFonts w:ascii="Bookman Old Style" w:hAnsi="Bookman Old Style" w:cs="Arial"/>
          <w:color w:val="000000"/>
          <w:lang w:eastAsia="es-CO"/>
        </w:rPr>
        <w:t xml:space="preserve"> por </w:t>
      </w:r>
      <w:r w:rsidR="001B1752">
        <w:rPr>
          <w:rFonts w:ascii="Bookman Old Style" w:hAnsi="Bookman Old Style" w:cs="Arial"/>
        </w:rPr>
        <w:t>COMBUSTIBLES LÍQUIDOS DE COLOMBIA S.A E.S.P -</w:t>
      </w:r>
      <w:r w:rsidR="00262013">
        <w:rPr>
          <w:rFonts w:ascii="Bookman Old Style" w:hAnsi="Bookman Old Style" w:cs="Arial"/>
        </w:rPr>
        <w:t>CLC</w:t>
      </w:r>
      <w:r w:rsidR="00262013" w:rsidRPr="00241FF5">
        <w:rPr>
          <w:rFonts w:ascii="Bookman Old Style" w:hAnsi="Bookman Old Style" w:cs="Arial"/>
          <w:color w:val="000000"/>
          <w:lang w:eastAsia="es-CO"/>
        </w:rPr>
        <w:t>,</w:t>
      </w:r>
      <w:r w:rsidR="001B1752">
        <w:rPr>
          <w:rFonts w:ascii="Bookman Old Style" w:hAnsi="Bookman Old Style" w:cs="Arial"/>
          <w:color w:val="000000"/>
          <w:lang w:eastAsia="es-CO"/>
        </w:rPr>
        <w:t xml:space="preserve"> lo que trajo como consecuencia que ésta última empresa reportara sus estados financieros con corte a 31 de diciembre de 2011 y en donde se consolidaron las operaciones realizadas con anterioridad por las empresas absorbidas en el proceso de fusión</w:t>
      </w:r>
      <w:r w:rsidR="00241FF5">
        <w:rPr>
          <w:rFonts w:ascii="Bookman Old Style" w:hAnsi="Bookman Old Style" w:cs="Arial"/>
          <w:color w:val="000000"/>
          <w:lang w:eastAsia="es-CO"/>
        </w:rPr>
        <w:t>.</w:t>
      </w:r>
      <w:r w:rsidR="001B1752">
        <w:rPr>
          <w:rFonts w:ascii="Bookman Old Style" w:hAnsi="Bookman Old Style" w:cs="Arial"/>
          <w:color w:val="000000"/>
          <w:lang w:eastAsia="es-CO"/>
        </w:rPr>
        <w:t xml:space="preserve"> </w:t>
      </w:r>
    </w:p>
    <w:p w:rsidR="00AE6EBB" w:rsidRDefault="00AE6EBB" w:rsidP="00241FF5">
      <w:pPr>
        <w:ind w:left="0"/>
        <w:jc w:val="both"/>
        <w:rPr>
          <w:rFonts w:ascii="Bookman Old Style" w:hAnsi="Bookman Old Style" w:cs="Arial"/>
          <w:color w:val="000000"/>
          <w:lang w:eastAsia="es-CO"/>
        </w:rPr>
      </w:pPr>
    </w:p>
    <w:p w:rsidR="00AE6EBB" w:rsidRPr="00241FF5" w:rsidRDefault="00AE6EBB" w:rsidP="00241FF5">
      <w:pPr>
        <w:ind w:left="0"/>
        <w:jc w:val="both"/>
        <w:rPr>
          <w:rFonts w:ascii="Bookman Old Style" w:hAnsi="Bookman Old Style"/>
        </w:rPr>
      </w:pPr>
      <w:r>
        <w:rPr>
          <w:rFonts w:ascii="Bookman Old Style" w:hAnsi="Bookman Old Style" w:cs="Arial"/>
          <w:color w:val="000000"/>
          <w:lang w:eastAsia="es-CO"/>
        </w:rPr>
        <w:t xml:space="preserve">Por lo anterior, considera el recurrente </w:t>
      </w:r>
      <w:r>
        <w:rPr>
          <w:rFonts w:ascii="Bookman Old Style" w:hAnsi="Bookman Old Style" w:cs="Arial"/>
        </w:rPr>
        <w:t xml:space="preserve">que lo que resulta ajustado a derecho es que la contribución sea fijada única y exclusivamente a </w:t>
      </w:r>
      <w:r>
        <w:rPr>
          <w:rFonts w:ascii="Bookman Old Style" w:hAnsi="Bookman Old Style" w:cs="Arial"/>
          <w:color w:val="000000"/>
          <w:lang w:eastAsia="es-CO"/>
        </w:rPr>
        <w:t xml:space="preserve">la empresa </w:t>
      </w:r>
      <w:r>
        <w:rPr>
          <w:rFonts w:ascii="Bookman Old Style" w:hAnsi="Bookman Old Style" w:cs="Arial"/>
        </w:rPr>
        <w:t xml:space="preserve">COMBUSTIBLES LÍQUIDOS DE COLOMBIA S.A E.S.P –CLC, con base en la información obrante en los estados financieros reportados con corte a 31 de diciembre de 2011, ya que de lo contrario se estaría generando un doble cobro, toda vez, que adicional a la contribución impuesta a CLC S.A E.S.P, como resultado del proceso de fusión, debería sufragar las contribuciones asignadas a </w:t>
      </w:r>
      <w:r>
        <w:rPr>
          <w:rFonts w:ascii="Bookman Old Style" w:hAnsi="Bookman Old Style"/>
        </w:rPr>
        <w:t xml:space="preserve">SIVA S.A E.S.P y PLUS S.A E.S.P, las cuales, supone el recurrente, fueron liquidadas con base en la información que se encuentra consolidada en los estados financieros reportados por </w:t>
      </w:r>
      <w:r>
        <w:rPr>
          <w:rFonts w:ascii="Bookman Old Style" w:hAnsi="Bookman Old Style" w:cs="Arial"/>
        </w:rPr>
        <w:t>CLC S.A E.S.P.</w:t>
      </w:r>
    </w:p>
    <w:p w:rsidR="00FB7F69" w:rsidRPr="001B1752" w:rsidRDefault="00FB7F69" w:rsidP="00FB7F69">
      <w:pPr>
        <w:pStyle w:val="Prrafodelista"/>
        <w:ind w:left="720"/>
        <w:jc w:val="both"/>
        <w:rPr>
          <w:rFonts w:ascii="Bookman Old Style" w:hAnsi="Bookman Old Style"/>
          <w:sz w:val="24"/>
          <w:szCs w:val="24"/>
          <w:lang w:val="es-ES"/>
        </w:rPr>
      </w:pPr>
    </w:p>
    <w:p w:rsidR="00165352" w:rsidRDefault="00165352" w:rsidP="00277793">
      <w:pPr>
        <w:pStyle w:val="Prrafodelista"/>
        <w:numPr>
          <w:ilvl w:val="0"/>
          <w:numId w:val="32"/>
        </w:numPr>
        <w:jc w:val="both"/>
        <w:rPr>
          <w:rFonts w:ascii="Bookman Old Style" w:hAnsi="Bookman Old Style"/>
          <w:b/>
          <w:sz w:val="24"/>
          <w:szCs w:val="24"/>
        </w:rPr>
      </w:pPr>
      <w:r>
        <w:rPr>
          <w:rFonts w:ascii="Bookman Old Style" w:hAnsi="Bookman Old Style"/>
          <w:b/>
          <w:sz w:val="24"/>
          <w:szCs w:val="24"/>
        </w:rPr>
        <w:t>CONTRIBUCIONES ESPECIALES</w:t>
      </w:r>
      <w:r w:rsidR="00FB7F69" w:rsidRPr="00D63F9E">
        <w:rPr>
          <w:rFonts w:ascii="Bookman Old Style" w:hAnsi="Bookman Old Style"/>
          <w:b/>
          <w:sz w:val="24"/>
          <w:szCs w:val="24"/>
        </w:rPr>
        <w:t xml:space="preserve">. </w:t>
      </w:r>
    </w:p>
    <w:p w:rsidR="00277793" w:rsidRDefault="00277793" w:rsidP="00277793">
      <w:pPr>
        <w:pStyle w:val="Prrafodelista"/>
        <w:ind w:left="720"/>
        <w:jc w:val="both"/>
        <w:rPr>
          <w:rFonts w:ascii="Bookman Old Style" w:hAnsi="Bookman Old Style"/>
          <w:b/>
          <w:sz w:val="24"/>
          <w:szCs w:val="24"/>
        </w:rPr>
      </w:pPr>
    </w:p>
    <w:p w:rsidR="00277793" w:rsidRDefault="00277793" w:rsidP="00277793">
      <w:pPr>
        <w:ind w:left="0"/>
        <w:jc w:val="both"/>
        <w:rPr>
          <w:rFonts w:ascii="Bookman Old Style" w:hAnsi="Bookman Old Style"/>
        </w:rPr>
      </w:pPr>
      <w:r w:rsidRPr="00277793">
        <w:rPr>
          <w:rFonts w:ascii="Bookman Old Style" w:hAnsi="Bookman Old Style"/>
        </w:rPr>
        <w:t>La Comisión de Regulación de Ene</w:t>
      </w:r>
      <w:r w:rsidR="00445707">
        <w:rPr>
          <w:rFonts w:ascii="Bookman Old Style" w:hAnsi="Bookman Old Style"/>
        </w:rPr>
        <w:t>rgía y Gas –CREG es una Unidad Administrativa E</w:t>
      </w:r>
      <w:r w:rsidRPr="00277793">
        <w:rPr>
          <w:rFonts w:ascii="Bookman Old Style" w:hAnsi="Bookman Old Style"/>
        </w:rPr>
        <w:t xml:space="preserve">special adscrita al Ministerio de Minas y Energía, creada por las Leyes 142 y 143 de 1994 y cuya función es regular los servicios públicos domiciliarios de energía eléctrica y gas combustible de manera técnica, </w:t>
      </w:r>
      <w:r w:rsidRPr="00277793">
        <w:rPr>
          <w:rFonts w:ascii="Bookman Old Style" w:hAnsi="Bookman Old Style"/>
        </w:rPr>
        <w:lastRenderedPageBreak/>
        <w:t>independiente y transparente, promoviendo el desarrollo sostenido de estos sectores, reguland</w:t>
      </w:r>
      <w:r>
        <w:rPr>
          <w:rFonts w:ascii="Bookman Old Style" w:hAnsi="Bookman Old Style"/>
        </w:rPr>
        <w:t>o los monopolios, incentivando l</w:t>
      </w:r>
      <w:r w:rsidRPr="00277793">
        <w:rPr>
          <w:rFonts w:ascii="Bookman Old Style" w:hAnsi="Bookman Old Style"/>
        </w:rPr>
        <w:t>a competencia donde sea posible y atendiendo oportunamente las necesidades de los usuarios y las empresas de acuerdo con los criterios establecidos en la Ley.</w:t>
      </w:r>
    </w:p>
    <w:p w:rsidR="002F05A4" w:rsidRPr="00277793" w:rsidRDefault="002F05A4" w:rsidP="00277793">
      <w:pPr>
        <w:ind w:left="0"/>
        <w:jc w:val="both"/>
        <w:rPr>
          <w:rFonts w:ascii="Bookman Old Style" w:hAnsi="Bookman Old Style"/>
        </w:rPr>
      </w:pPr>
    </w:p>
    <w:p w:rsidR="00277793" w:rsidRDefault="00277793" w:rsidP="00277793">
      <w:pPr>
        <w:ind w:left="0"/>
        <w:jc w:val="both"/>
        <w:rPr>
          <w:rFonts w:ascii="Bookman Old Style" w:hAnsi="Bookman Old Style"/>
        </w:rPr>
      </w:pPr>
      <w:r w:rsidRPr="00277793">
        <w:rPr>
          <w:rFonts w:ascii="Bookman Old Style" w:hAnsi="Bookman Old Style"/>
        </w:rPr>
        <w:t>El artículo 85 de la Ley 142 de 1994 señala que con el fin  de recuperar los costos del servicio de regulación que preste cada comisión, las entidades sometidas a su regulación, estarán sujetas al pago de una contribución especial que se liquidará y pagará cada año y cuya tarifa máxima no podrá ser superior al 1% de los gastos de funcionamiento asociados al servicio sometido a regulación, de la entidad contribuyente en el año anterior a aquel en el que se haga el cobro, de acuerdo con los estados financieros puestos a disposición de la Superintendencia y de las Comisiones. Así mismo, establece que las Comisiones de Regulación se financiarán exclusivamente con las contribuciones especiales y con la venta de sus publicaciones</w:t>
      </w:r>
      <w:r w:rsidR="00445707">
        <w:rPr>
          <w:rFonts w:ascii="Bookman Old Style" w:hAnsi="Bookman Old Style"/>
        </w:rPr>
        <w:t>.</w:t>
      </w:r>
    </w:p>
    <w:p w:rsidR="00445707" w:rsidRPr="00150151" w:rsidRDefault="00445707" w:rsidP="00EC1A6D">
      <w:pPr>
        <w:pStyle w:val="NormalWeb"/>
        <w:tabs>
          <w:tab w:val="left" w:pos="8789"/>
        </w:tabs>
        <w:ind w:left="284" w:right="567"/>
        <w:jc w:val="both"/>
        <w:rPr>
          <w:rFonts w:ascii="Bookman Old Style" w:hAnsi="Bookman Old Style" w:cs="Arial"/>
          <w:i/>
          <w:sz w:val="22"/>
          <w:szCs w:val="22"/>
        </w:rPr>
      </w:pPr>
      <w:r w:rsidRPr="00150151">
        <w:rPr>
          <w:rFonts w:ascii="Bookman Old Style" w:hAnsi="Bookman Old Style" w:cs="Arial"/>
          <w:b/>
          <w:bCs/>
          <w:i/>
          <w:sz w:val="22"/>
          <w:szCs w:val="22"/>
        </w:rPr>
        <w:t>“Artículo  85</w:t>
      </w:r>
      <w:r w:rsidRPr="00150151">
        <w:rPr>
          <w:rFonts w:ascii="Bookman Old Style" w:hAnsi="Bookman Old Style" w:cs="Arial"/>
          <w:i/>
          <w:sz w:val="22"/>
          <w:szCs w:val="22"/>
        </w:rPr>
        <w:t>. Contribuciones especiales. Con el fin de recuperar los costos del servicio de regulación que preste cada comisión, y los de control y vigilancia que preste el Superintendente, las entidades sometidas a su regulación, control y vigilancia, estarán sujetas a dos contribuciones, que se liquidarán y pagarán cada año conforme a las siguientes reglas:</w:t>
      </w:r>
    </w:p>
    <w:p w:rsidR="00445707" w:rsidRPr="00150151" w:rsidRDefault="00445707" w:rsidP="00EC1A6D">
      <w:pPr>
        <w:pStyle w:val="NormalWeb"/>
        <w:tabs>
          <w:tab w:val="left" w:pos="8789"/>
        </w:tabs>
        <w:ind w:left="284" w:right="567"/>
        <w:jc w:val="both"/>
        <w:rPr>
          <w:rFonts w:ascii="Bookman Old Style" w:hAnsi="Bookman Old Style" w:cs="Arial"/>
          <w:i/>
          <w:sz w:val="22"/>
          <w:szCs w:val="22"/>
        </w:rPr>
      </w:pPr>
      <w:r w:rsidRPr="00150151">
        <w:rPr>
          <w:rFonts w:ascii="Bookman Old Style" w:hAnsi="Bookman Old Style" w:cs="Arial"/>
          <w:i/>
          <w:sz w:val="22"/>
          <w:szCs w:val="22"/>
        </w:rPr>
        <w:t>85.1. Para definir los costos de los servicios que presten las Comisiones y la Superintendencia, se tendrán en cuenta todos los gastos de funcionamiento, y la depreciación, amortización u obsolescencia de sus activos, en el período anual respectivo.</w:t>
      </w:r>
    </w:p>
    <w:p w:rsidR="00F63CF5" w:rsidRPr="00150151" w:rsidRDefault="00F63CF5" w:rsidP="00EC1A6D">
      <w:pPr>
        <w:pStyle w:val="NormalWeb"/>
        <w:tabs>
          <w:tab w:val="left" w:pos="8789"/>
        </w:tabs>
        <w:ind w:left="284" w:right="567"/>
        <w:jc w:val="both"/>
        <w:rPr>
          <w:rFonts w:ascii="Bookman Old Style" w:hAnsi="Bookman Old Style" w:cs="Arial"/>
          <w:i/>
          <w:sz w:val="22"/>
          <w:szCs w:val="22"/>
        </w:rPr>
      </w:pPr>
      <w:r w:rsidRPr="00150151">
        <w:rPr>
          <w:rFonts w:ascii="Bookman Old Style" w:hAnsi="Bookman Old Style" w:cs="Arial"/>
          <w:i/>
          <w:sz w:val="22"/>
          <w:szCs w:val="22"/>
        </w:rPr>
        <w:t>(…)</w:t>
      </w:r>
    </w:p>
    <w:p w:rsidR="00445707" w:rsidRPr="00150151" w:rsidRDefault="00445707" w:rsidP="00EC1A6D">
      <w:pPr>
        <w:pStyle w:val="NormalWeb"/>
        <w:tabs>
          <w:tab w:val="left" w:pos="8789"/>
        </w:tabs>
        <w:ind w:left="284" w:right="567"/>
        <w:jc w:val="both"/>
        <w:rPr>
          <w:rFonts w:ascii="Bookman Old Style" w:hAnsi="Bookman Old Style" w:cs="Arial"/>
          <w:i/>
          <w:sz w:val="22"/>
          <w:szCs w:val="22"/>
        </w:rPr>
      </w:pPr>
      <w:r w:rsidRPr="00150151">
        <w:rPr>
          <w:rFonts w:ascii="Bookman Old Style" w:hAnsi="Bookman Old Style" w:cs="Arial"/>
          <w:i/>
          <w:sz w:val="22"/>
          <w:szCs w:val="22"/>
        </w:rPr>
        <w:t>La tarifa máxima de cada contribución no podrá ser superior al uno por ciento (1%) del valor de los gastos de funcionamiento, asociados al servicio sometido a regulación, de la entidad contribuyente en el año anterior a aquel en el que se haga el cobro, de acuerdo con los estados financieros puestos a disposición de la Superintendencia y de las Comisiones, cada una de las cuales e independientemente y con base en su estudio fijarán la tarifa correspondiente.</w:t>
      </w:r>
    </w:p>
    <w:p w:rsidR="00445707" w:rsidRPr="00150151" w:rsidRDefault="00445707" w:rsidP="00EC1A6D">
      <w:pPr>
        <w:pStyle w:val="NormalWeb"/>
        <w:tabs>
          <w:tab w:val="left" w:pos="8789"/>
        </w:tabs>
        <w:ind w:left="284" w:right="567"/>
        <w:jc w:val="both"/>
        <w:rPr>
          <w:rFonts w:ascii="Bookman Old Style" w:hAnsi="Bookman Old Style" w:cs="Arial"/>
          <w:i/>
          <w:sz w:val="22"/>
          <w:szCs w:val="22"/>
        </w:rPr>
      </w:pPr>
      <w:r w:rsidRPr="00150151">
        <w:rPr>
          <w:rFonts w:ascii="Bookman Old Style" w:hAnsi="Bookman Old Style" w:cs="Arial"/>
          <w:i/>
          <w:sz w:val="22"/>
          <w:szCs w:val="22"/>
        </w:rPr>
        <w:t>(…)</w:t>
      </w:r>
    </w:p>
    <w:p w:rsidR="00445707" w:rsidRPr="00150151" w:rsidRDefault="00445707" w:rsidP="00EC1A6D">
      <w:pPr>
        <w:pStyle w:val="NormalWeb"/>
        <w:tabs>
          <w:tab w:val="left" w:pos="8789"/>
        </w:tabs>
        <w:ind w:left="284" w:right="567"/>
        <w:jc w:val="both"/>
        <w:rPr>
          <w:rFonts w:ascii="Bookman Old Style" w:hAnsi="Bookman Old Style" w:cs="Arial"/>
          <w:i/>
          <w:sz w:val="22"/>
          <w:szCs w:val="22"/>
        </w:rPr>
      </w:pPr>
      <w:r w:rsidRPr="00150151">
        <w:rPr>
          <w:rFonts w:ascii="Bookman Old Style" w:hAnsi="Bookman Old Style" w:cs="Arial"/>
          <w:b/>
          <w:bCs/>
          <w:i/>
          <w:sz w:val="22"/>
          <w:szCs w:val="22"/>
        </w:rPr>
        <w:t>Parágrafo 1o</w:t>
      </w:r>
      <w:r w:rsidRPr="00150151">
        <w:rPr>
          <w:rFonts w:ascii="Bookman Old Style" w:hAnsi="Bookman Old Style" w:cs="Arial"/>
          <w:i/>
          <w:sz w:val="22"/>
          <w:szCs w:val="22"/>
        </w:rPr>
        <w:t xml:space="preserve">. Las Comisiones y la Superintendencia se financiarán exclusivamente con las contribuciones a las que se refiere este artículo y con la venta de sus publicaciones. </w:t>
      </w:r>
      <w:r w:rsidR="00F63CF5" w:rsidRPr="00150151">
        <w:rPr>
          <w:rFonts w:ascii="Bookman Old Style" w:hAnsi="Bookman Old Style" w:cs="Arial"/>
          <w:i/>
          <w:sz w:val="22"/>
          <w:szCs w:val="22"/>
        </w:rPr>
        <w:t>(…)</w:t>
      </w:r>
    </w:p>
    <w:p w:rsidR="00165352" w:rsidRPr="00150151" w:rsidRDefault="00445707" w:rsidP="00EC1A6D">
      <w:pPr>
        <w:pStyle w:val="NormalWeb"/>
        <w:tabs>
          <w:tab w:val="left" w:pos="8789"/>
        </w:tabs>
        <w:ind w:left="284" w:right="567"/>
        <w:jc w:val="both"/>
        <w:rPr>
          <w:rFonts w:ascii="Bookman Old Style" w:hAnsi="Bookman Old Style" w:cs="Arial"/>
          <w:i/>
          <w:sz w:val="22"/>
          <w:szCs w:val="22"/>
        </w:rPr>
      </w:pPr>
      <w:r w:rsidRPr="00150151">
        <w:rPr>
          <w:rFonts w:ascii="Bookman Old Style" w:hAnsi="Bookman Old Style" w:cs="Arial"/>
          <w:b/>
          <w:bCs/>
          <w:i/>
          <w:sz w:val="22"/>
          <w:szCs w:val="22"/>
        </w:rPr>
        <w:t>Parágrafo 2o</w:t>
      </w:r>
      <w:r w:rsidRPr="00150151">
        <w:rPr>
          <w:rFonts w:ascii="Bookman Old Style" w:hAnsi="Bookman Old Style" w:cs="Arial"/>
          <w:i/>
          <w:sz w:val="22"/>
          <w:szCs w:val="22"/>
        </w:rPr>
        <w:t>. Al fijar las contribuciones especiales se eliminarán, de los gastos de funcionamiento, los gastos operativos; en las empresas del sector eléctrico, las compras de electricidad, las compras de combustibles y los peajes, cuando hubiere lugar a ello; y en las empresas de otros sectores los gastos de naturaleza similar a éstos. Estos rubros podrán ser adicionados en la misma proporción en que sean indispensables para cubrir faltantes presupuestales de las comisiones y la superintendencia.</w:t>
      </w:r>
      <w:r w:rsidR="00EC1A6D" w:rsidRPr="00150151">
        <w:rPr>
          <w:rFonts w:ascii="Bookman Old Style" w:hAnsi="Bookman Old Style" w:cs="Arial"/>
          <w:i/>
          <w:sz w:val="22"/>
          <w:szCs w:val="22"/>
        </w:rPr>
        <w:t>”</w:t>
      </w:r>
    </w:p>
    <w:p w:rsidR="005B78A9" w:rsidRDefault="005B78A9" w:rsidP="005B78A9">
      <w:pPr>
        <w:ind w:left="0"/>
        <w:jc w:val="both"/>
        <w:rPr>
          <w:rFonts w:ascii="Bookman Old Style" w:hAnsi="Bookman Old Style"/>
        </w:rPr>
      </w:pPr>
      <w:r>
        <w:rPr>
          <w:rFonts w:ascii="Bookman Old Style" w:hAnsi="Bookman Old Style"/>
        </w:rPr>
        <w:t xml:space="preserve">Lo </w:t>
      </w:r>
      <w:r w:rsidRPr="00657CD2">
        <w:rPr>
          <w:rFonts w:ascii="Bookman Old Style" w:hAnsi="Bookman Old Style"/>
        </w:rPr>
        <w:t>a</w:t>
      </w:r>
      <w:r>
        <w:rPr>
          <w:rFonts w:ascii="Bookman Old Style" w:hAnsi="Bookman Old Style"/>
        </w:rPr>
        <w:t>nterior muestra que la</w:t>
      </w:r>
      <w:r w:rsidRPr="00657CD2">
        <w:rPr>
          <w:rFonts w:ascii="Bookman Old Style" w:hAnsi="Bookman Old Style"/>
        </w:rPr>
        <w:t xml:space="preserve"> Contribución </w:t>
      </w:r>
      <w:r>
        <w:rPr>
          <w:rFonts w:ascii="Bookman Old Style" w:hAnsi="Bookman Old Style"/>
        </w:rPr>
        <w:t>a favor</w:t>
      </w:r>
      <w:r w:rsidRPr="00657CD2">
        <w:rPr>
          <w:rFonts w:ascii="Bookman Old Style" w:hAnsi="Bookman Old Style"/>
        </w:rPr>
        <w:t xml:space="preserve"> de la </w:t>
      </w:r>
      <w:r>
        <w:rPr>
          <w:rFonts w:ascii="Bookman Old Style" w:hAnsi="Bookman Old Style"/>
        </w:rPr>
        <w:t>Comisión de Regulación de Energía y Gas –CREG-,</w:t>
      </w:r>
      <w:r w:rsidRPr="00657CD2">
        <w:rPr>
          <w:rFonts w:ascii="Bookman Old Style" w:hAnsi="Bookman Old Style"/>
        </w:rPr>
        <w:t xml:space="preserve"> constituye un tributo que como tal</w:t>
      </w:r>
      <w:r>
        <w:rPr>
          <w:rFonts w:ascii="Bookman Old Style" w:hAnsi="Bookman Old Style"/>
        </w:rPr>
        <w:t>,</w:t>
      </w:r>
      <w:r w:rsidRPr="00657CD2">
        <w:rPr>
          <w:rFonts w:ascii="Bookman Old Style" w:hAnsi="Bookman Old Style"/>
        </w:rPr>
        <w:t xml:space="preserve"> es obligatorio para todas las sociedades sometidas a</w:t>
      </w:r>
      <w:r>
        <w:rPr>
          <w:rFonts w:ascii="Bookman Old Style" w:hAnsi="Bookman Old Style"/>
        </w:rPr>
        <w:t xml:space="preserve"> su</w:t>
      </w:r>
      <w:r w:rsidRPr="00657CD2">
        <w:rPr>
          <w:rFonts w:ascii="Bookman Old Style" w:hAnsi="Bookman Old Style"/>
        </w:rPr>
        <w:t xml:space="preserve"> </w:t>
      </w:r>
      <w:r>
        <w:rPr>
          <w:rFonts w:ascii="Bookman Old Style" w:hAnsi="Bookman Old Style"/>
        </w:rPr>
        <w:t>regulación</w:t>
      </w:r>
      <w:r w:rsidRPr="00657CD2">
        <w:rPr>
          <w:rFonts w:ascii="Bookman Old Style" w:hAnsi="Bookman Old Style"/>
        </w:rPr>
        <w:t xml:space="preserve">. Esta obligación fiscal a cargo de las entidades </w:t>
      </w:r>
      <w:r>
        <w:rPr>
          <w:rFonts w:ascii="Bookman Old Style" w:hAnsi="Bookman Old Style"/>
        </w:rPr>
        <w:t>reguladas</w:t>
      </w:r>
      <w:r w:rsidRPr="00657CD2">
        <w:rPr>
          <w:rFonts w:ascii="Bookman Old Style" w:hAnsi="Bookman Old Style"/>
        </w:rPr>
        <w:t xml:space="preserve"> tiene prevista una sanción moratoria en caso </w:t>
      </w:r>
      <w:r w:rsidRPr="00657CD2">
        <w:rPr>
          <w:rFonts w:ascii="Bookman Old Style" w:hAnsi="Bookman Old Style"/>
        </w:rPr>
        <w:lastRenderedPageBreak/>
        <w:t xml:space="preserve">de retardo en su cancelación lo que denota su carácter coercitivo. Como se puede apreciar la Contribución va dirigida a un sector específico, como lo son las entidades </w:t>
      </w:r>
      <w:r>
        <w:rPr>
          <w:rFonts w:ascii="Bookman Old Style" w:hAnsi="Bookman Old Style"/>
        </w:rPr>
        <w:t>reguladas</w:t>
      </w:r>
      <w:r w:rsidRPr="00657CD2">
        <w:rPr>
          <w:rFonts w:ascii="Bookman Old Style" w:hAnsi="Bookman Old Style"/>
        </w:rPr>
        <w:t xml:space="preserve"> por la </w:t>
      </w:r>
      <w:r>
        <w:rPr>
          <w:rFonts w:ascii="Bookman Old Style" w:hAnsi="Bookman Old Style"/>
        </w:rPr>
        <w:t>CREG</w:t>
      </w:r>
      <w:r w:rsidRPr="00657CD2">
        <w:rPr>
          <w:rFonts w:ascii="Bookman Old Style" w:hAnsi="Bookman Old Style"/>
        </w:rPr>
        <w:t xml:space="preserve"> y su recaudo tiene como destinación cubri</w:t>
      </w:r>
      <w:r>
        <w:rPr>
          <w:rFonts w:ascii="Bookman Old Style" w:hAnsi="Bookman Old Style"/>
        </w:rPr>
        <w:t>r sus gastos de funcionamiento</w:t>
      </w:r>
      <w:r w:rsidRPr="00657CD2">
        <w:rPr>
          <w:rFonts w:ascii="Bookman Old Style" w:hAnsi="Bookman Old Style"/>
        </w:rPr>
        <w:t>.</w:t>
      </w:r>
    </w:p>
    <w:p w:rsidR="002B45E3" w:rsidRDefault="002B45E3" w:rsidP="005B78A9">
      <w:pPr>
        <w:ind w:left="0"/>
        <w:jc w:val="both"/>
        <w:rPr>
          <w:rFonts w:ascii="Bookman Old Style" w:hAnsi="Bookman Old Style"/>
        </w:rPr>
      </w:pPr>
    </w:p>
    <w:p w:rsidR="00165352" w:rsidRDefault="00165352" w:rsidP="00D63F9E">
      <w:pPr>
        <w:pStyle w:val="Prrafodelista"/>
        <w:numPr>
          <w:ilvl w:val="0"/>
          <w:numId w:val="32"/>
        </w:numPr>
        <w:jc w:val="both"/>
        <w:rPr>
          <w:rFonts w:ascii="Bookman Old Style" w:hAnsi="Bookman Old Style"/>
          <w:b/>
          <w:sz w:val="24"/>
          <w:szCs w:val="24"/>
        </w:rPr>
      </w:pPr>
      <w:r>
        <w:rPr>
          <w:rFonts w:ascii="Bookman Old Style" w:hAnsi="Bookman Old Style"/>
          <w:b/>
          <w:sz w:val="24"/>
          <w:szCs w:val="24"/>
        </w:rPr>
        <w:t>CÁLCULO DE LA CONTRIBUCIÓN.</w:t>
      </w:r>
    </w:p>
    <w:p w:rsidR="00D63F9E" w:rsidRDefault="00D63F9E" w:rsidP="00D63F9E">
      <w:pPr>
        <w:ind w:left="0"/>
        <w:jc w:val="both"/>
        <w:rPr>
          <w:rFonts w:ascii="Bookman Old Style" w:hAnsi="Bookman Old Style" w:cs="Arial"/>
          <w:lang w:val="es-CO"/>
        </w:rPr>
      </w:pPr>
    </w:p>
    <w:p w:rsidR="00A50220" w:rsidRDefault="00D63F9E" w:rsidP="00A50220">
      <w:pPr>
        <w:ind w:left="0"/>
        <w:jc w:val="both"/>
        <w:rPr>
          <w:rFonts w:ascii="Bookman Old Style" w:hAnsi="Bookman Old Style" w:cs="Arial"/>
        </w:rPr>
      </w:pPr>
      <w:r w:rsidRPr="00D63F9E">
        <w:rPr>
          <w:rFonts w:ascii="Bookman Old Style" w:hAnsi="Bookman Old Style" w:cs="Arial"/>
        </w:rPr>
        <w:t>La base de datos de las empresas que se utilizó en el cálculo de la contribución se fundamenta en la información del Registro Único de Pr</w:t>
      </w:r>
      <w:r w:rsidR="00A50220">
        <w:rPr>
          <w:rFonts w:ascii="Bookman Old Style" w:hAnsi="Bookman Old Style" w:cs="Arial"/>
        </w:rPr>
        <w:t>estadores de Servicios Públicos</w:t>
      </w:r>
      <w:r w:rsidRPr="00D63F9E">
        <w:rPr>
          <w:rFonts w:ascii="Bookman Old Style" w:hAnsi="Bookman Old Style" w:cs="Arial"/>
        </w:rPr>
        <w:t xml:space="preserve"> </w:t>
      </w:r>
      <w:r w:rsidR="00A50220">
        <w:rPr>
          <w:rFonts w:ascii="Bookman Old Style" w:hAnsi="Bookman Old Style" w:cs="Arial"/>
        </w:rPr>
        <w:t>-</w:t>
      </w:r>
      <w:r w:rsidRPr="00D63F9E">
        <w:rPr>
          <w:rFonts w:ascii="Bookman Old Style" w:hAnsi="Bookman Old Style" w:cs="Arial"/>
        </w:rPr>
        <w:t>RUPS, actualizado por las empresas donde informaron su estado  a la Comisión de Regulación de Energía y Gas –CREG-.</w:t>
      </w:r>
    </w:p>
    <w:p w:rsidR="00623B3E" w:rsidRDefault="00623B3E" w:rsidP="00A50220">
      <w:pPr>
        <w:ind w:left="0"/>
        <w:jc w:val="both"/>
        <w:rPr>
          <w:rFonts w:ascii="Bookman Old Style" w:hAnsi="Bookman Old Style" w:cs="Arial"/>
        </w:rPr>
      </w:pPr>
    </w:p>
    <w:p w:rsidR="00623B3E" w:rsidRDefault="00623B3E" w:rsidP="00623B3E">
      <w:pPr>
        <w:pStyle w:val="Prrafodelista"/>
        <w:ind w:left="0"/>
        <w:jc w:val="both"/>
        <w:rPr>
          <w:rFonts w:ascii="Bookman Old Style" w:hAnsi="Bookman Old Style"/>
          <w:sz w:val="24"/>
          <w:szCs w:val="24"/>
        </w:rPr>
      </w:pPr>
      <w:r>
        <w:rPr>
          <w:rFonts w:ascii="Bookman Old Style" w:hAnsi="Bookman Old Style"/>
          <w:sz w:val="24"/>
          <w:szCs w:val="24"/>
        </w:rPr>
        <w:t>El artículo 21 de la Ley 143 de 1994 establece la forma como debe realizarse la liquidación de la contribución especial de las empresas reguladas por la Comisión de Regulación de Energía y Gas –CREG-.</w:t>
      </w:r>
    </w:p>
    <w:p w:rsidR="00623B3E" w:rsidRPr="005F05E0" w:rsidRDefault="00623B3E" w:rsidP="00623B3E">
      <w:pPr>
        <w:pStyle w:val="Prrafodelista"/>
        <w:ind w:left="0"/>
        <w:jc w:val="both"/>
        <w:rPr>
          <w:rFonts w:ascii="Bookman Old Style" w:hAnsi="Bookman Old Style"/>
          <w:sz w:val="22"/>
          <w:szCs w:val="22"/>
        </w:rPr>
      </w:pPr>
    </w:p>
    <w:p w:rsidR="00623B3E" w:rsidRPr="005F05E0" w:rsidRDefault="00623B3E" w:rsidP="00623B3E">
      <w:pPr>
        <w:autoSpaceDE w:val="0"/>
        <w:autoSpaceDN w:val="0"/>
        <w:adjustRightInd w:val="0"/>
        <w:ind w:left="284" w:right="567"/>
        <w:jc w:val="both"/>
        <w:rPr>
          <w:rFonts w:ascii="Bookman Old Style" w:hAnsi="Bookman Old Style" w:cs="Arial,Bold"/>
          <w:b/>
          <w:i/>
          <w:sz w:val="22"/>
          <w:szCs w:val="22"/>
        </w:rPr>
      </w:pPr>
      <w:r w:rsidRPr="005F05E0">
        <w:rPr>
          <w:rFonts w:ascii="Bookman Old Style" w:hAnsi="Bookman Old Style" w:cs="Arial,Bold"/>
          <w:b/>
          <w:i/>
          <w:sz w:val="22"/>
          <w:szCs w:val="22"/>
        </w:rPr>
        <w:t xml:space="preserve">“ARTICULO 21. LIQUIDACION DE LA CONTRIBUCION PARA EL SECTOR ELECTRICO. </w:t>
      </w:r>
      <w:r w:rsidRPr="005F05E0">
        <w:rPr>
          <w:rFonts w:ascii="Bookman Old Style" w:hAnsi="Bookman Old Style"/>
          <w:i/>
          <w:sz w:val="22"/>
          <w:szCs w:val="22"/>
        </w:rPr>
        <w:t>De conformidad con lo dispuesto en la Ley 143 de 1994; las entidades que desarrollen actividades en cualquiera de las etapas del servicio de energía eléctrica y que se encuentren sujetas a regulación, pondrán a disposición de la Comisión de Regulación de Energía y Gas, los estados financieros correspondientes al año anterior a aquél en que se haga el cobro, acompañados del dictamen del Revisor Fiscal.</w:t>
      </w:r>
    </w:p>
    <w:p w:rsidR="00623B3E" w:rsidRPr="005F05E0" w:rsidRDefault="00623B3E" w:rsidP="00623B3E">
      <w:pPr>
        <w:autoSpaceDE w:val="0"/>
        <w:autoSpaceDN w:val="0"/>
        <w:adjustRightInd w:val="0"/>
        <w:ind w:left="284" w:right="567"/>
        <w:jc w:val="both"/>
        <w:rPr>
          <w:rFonts w:ascii="Bookman Old Style" w:hAnsi="Bookman Old Style"/>
          <w:i/>
          <w:sz w:val="22"/>
          <w:szCs w:val="22"/>
        </w:rPr>
      </w:pPr>
    </w:p>
    <w:p w:rsidR="00623B3E" w:rsidRPr="005F05E0" w:rsidRDefault="00623B3E" w:rsidP="00623B3E">
      <w:pPr>
        <w:autoSpaceDE w:val="0"/>
        <w:autoSpaceDN w:val="0"/>
        <w:adjustRightInd w:val="0"/>
        <w:ind w:left="284" w:right="567"/>
        <w:jc w:val="both"/>
        <w:rPr>
          <w:rFonts w:ascii="Bookman Old Style" w:hAnsi="Bookman Old Style"/>
          <w:i/>
          <w:sz w:val="22"/>
          <w:szCs w:val="22"/>
        </w:rPr>
      </w:pPr>
      <w:r w:rsidRPr="005F05E0">
        <w:rPr>
          <w:rFonts w:ascii="Bookman Old Style" w:hAnsi="Bookman Old Style"/>
          <w:i/>
          <w:sz w:val="22"/>
          <w:szCs w:val="22"/>
        </w:rPr>
        <w:t>Las empresas estatales harán entrega de tales estados financieros, a más tardar, el 31 de marzo de cada año. Por su parte, las empresas privadas lo harán, a más tardar, el 30 de abril del año respectivo.</w:t>
      </w:r>
    </w:p>
    <w:p w:rsidR="00623B3E" w:rsidRPr="005F05E0" w:rsidRDefault="00623B3E" w:rsidP="00623B3E">
      <w:pPr>
        <w:autoSpaceDE w:val="0"/>
        <w:autoSpaceDN w:val="0"/>
        <w:adjustRightInd w:val="0"/>
        <w:ind w:left="284" w:right="567"/>
        <w:jc w:val="both"/>
        <w:rPr>
          <w:rFonts w:ascii="Bookman Old Style" w:hAnsi="Bookman Old Style"/>
          <w:i/>
          <w:sz w:val="22"/>
          <w:szCs w:val="22"/>
        </w:rPr>
      </w:pPr>
    </w:p>
    <w:p w:rsidR="00623B3E" w:rsidRPr="005F05E0" w:rsidRDefault="00623B3E" w:rsidP="00623B3E">
      <w:pPr>
        <w:autoSpaceDE w:val="0"/>
        <w:autoSpaceDN w:val="0"/>
        <w:adjustRightInd w:val="0"/>
        <w:ind w:left="284" w:right="567"/>
        <w:jc w:val="both"/>
        <w:rPr>
          <w:rFonts w:ascii="Bookman Old Style" w:hAnsi="Bookman Old Style"/>
          <w:i/>
          <w:sz w:val="22"/>
          <w:szCs w:val="22"/>
        </w:rPr>
      </w:pPr>
      <w:r w:rsidRPr="005F05E0">
        <w:rPr>
          <w:rFonts w:ascii="Bookman Old Style" w:hAnsi="Bookman Old Style" w:cs="Arial,Bold"/>
          <w:b/>
          <w:i/>
          <w:sz w:val="22"/>
          <w:szCs w:val="22"/>
        </w:rPr>
        <w:t xml:space="preserve">PARAGRAFO 1o. </w:t>
      </w:r>
      <w:r w:rsidRPr="005F05E0">
        <w:rPr>
          <w:rFonts w:ascii="Bookman Old Style" w:hAnsi="Bookman Old Style"/>
          <w:i/>
          <w:sz w:val="22"/>
          <w:szCs w:val="22"/>
        </w:rPr>
        <w:t>Para fijar la contribución especial, se excluirán de los gastos de funcionamiento, los gastos operativos, las compras de electricidad, las compras de combustible y los peajes cuando hubiere lugar a ello, conforme a lo previsto en el artículo 22 de la Ley 143 de 1994.</w:t>
      </w:r>
    </w:p>
    <w:p w:rsidR="00623B3E" w:rsidRPr="005F05E0" w:rsidRDefault="00623B3E" w:rsidP="00623B3E">
      <w:pPr>
        <w:autoSpaceDE w:val="0"/>
        <w:autoSpaceDN w:val="0"/>
        <w:adjustRightInd w:val="0"/>
        <w:ind w:left="284" w:right="567"/>
        <w:jc w:val="both"/>
        <w:rPr>
          <w:rFonts w:ascii="Bookman Old Style" w:hAnsi="Bookman Old Style"/>
          <w:i/>
          <w:sz w:val="22"/>
          <w:szCs w:val="22"/>
        </w:rPr>
      </w:pPr>
    </w:p>
    <w:p w:rsidR="00623B3E" w:rsidRPr="005F05E0" w:rsidRDefault="00623B3E" w:rsidP="00623B3E">
      <w:pPr>
        <w:autoSpaceDE w:val="0"/>
        <w:autoSpaceDN w:val="0"/>
        <w:adjustRightInd w:val="0"/>
        <w:ind w:left="284" w:right="567"/>
        <w:jc w:val="both"/>
        <w:rPr>
          <w:rFonts w:ascii="Bookman Old Style" w:hAnsi="Bookman Old Style"/>
          <w:i/>
          <w:sz w:val="22"/>
          <w:szCs w:val="22"/>
        </w:rPr>
      </w:pPr>
      <w:r w:rsidRPr="005F05E0">
        <w:rPr>
          <w:rFonts w:ascii="Bookman Old Style" w:hAnsi="Bookman Old Style"/>
          <w:i/>
          <w:sz w:val="22"/>
          <w:szCs w:val="22"/>
        </w:rPr>
        <w:t>Para los efectos anteriores, la base gravable sobre la cual se liquida la contribución, estará conformada por:</w:t>
      </w:r>
    </w:p>
    <w:p w:rsidR="00623B3E" w:rsidRPr="005F05E0" w:rsidRDefault="00623B3E" w:rsidP="00623B3E">
      <w:pPr>
        <w:autoSpaceDE w:val="0"/>
        <w:autoSpaceDN w:val="0"/>
        <w:adjustRightInd w:val="0"/>
        <w:ind w:left="284" w:right="567"/>
        <w:jc w:val="both"/>
        <w:rPr>
          <w:rFonts w:ascii="Bookman Old Style" w:hAnsi="Bookman Old Style"/>
          <w:i/>
          <w:sz w:val="22"/>
          <w:szCs w:val="22"/>
        </w:rPr>
      </w:pPr>
    </w:p>
    <w:p w:rsidR="00623B3E" w:rsidRPr="005F05E0" w:rsidRDefault="00623B3E" w:rsidP="00623B3E">
      <w:pPr>
        <w:pStyle w:val="Prrafodelista"/>
        <w:numPr>
          <w:ilvl w:val="0"/>
          <w:numId w:val="28"/>
        </w:numPr>
        <w:autoSpaceDE w:val="0"/>
        <w:autoSpaceDN w:val="0"/>
        <w:adjustRightInd w:val="0"/>
        <w:ind w:left="284" w:right="567" w:firstLine="0"/>
        <w:contextualSpacing/>
        <w:jc w:val="both"/>
        <w:rPr>
          <w:rFonts w:ascii="Bookman Old Style" w:hAnsi="Bookman Old Style"/>
          <w:i/>
          <w:sz w:val="22"/>
          <w:szCs w:val="22"/>
        </w:rPr>
      </w:pPr>
      <w:r w:rsidRPr="005F05E0">
        <w:rPr>
          <w:rFonts w:ascii="Bookman Old Style" w:hAnsi="Bookman Old Style"/>
          <w:i/>
          <w:sz w:val="22"/>
          <w:szCs w:val="22"/>
        </w:rPr>
        <w:t>La sumatoria de los gastos administrativos, las provisiones, agotamientos, depreciaciones, amortizaciones y otros gastos.</w:t>
      </w:r>
    </w:p>
    <w:p w:rsidR="00623B3E" w:rsidRPr="005F05E0" w:rsidRDefault="00623B3E" w:rsidP="00623B3E">
      <w:pPr>
        <w:pStyle w:val="Prrafodelista"/>
        <w:numPr>
          <w:ilvl w:val="0"/>
          <w:numId w:val="28"/>
        </w:numPr>
        <w:autoSpaceDE w:val="0"/>
        <w:autoSpaceDN w:val="0"/>
        <w:adjustRightInd w:val="0"/>
        <w:ind w:left="284" w:right="567" w:firstLine="0"/>
        <w:contextualSpacing/>
        <w:jc w:val="both"/>
        <w:rPr>
          <w:rFonts w:ascii="Bookman Old Style" w:hAnsi="Bookman Old Style"/>
          <w:i/>
          <w:sz w:val="22"/>
          <w:szCs w:val="22"/>
        </w:rPr>
      </w:pPr>
      <w:r w:rsidRPr="005F05E0">
        <w:rPr>
          <w:rFonts w:ascii="Bookman Old Style" w:hAnsi="Bookman Old Style"/>
          <w:i/>
          <w:sz w:val="22"/>
          <w:szCs w:val="22"/>
        </w:rPr>
        <w:t>Para la determinación de la base gravable, se tendrán en cuenta las definiciones contenidas en el Plan de Contabilidad para Entes Prestadores de Servicios Públicos Domiciliarios, expedido por la Superintendencia de Servicios Públicos Domiciliarios.</w:t>
      </w:r>
    </w:p>
    <w:p w:rsidR="00623B3E" w:rsidRPr="005F05E0" w:rsidRDefault="00623B3E" w:rsidP="00623B3E">
      <w:pPr>
        <w:autoSpaceDE w:val="0"/>
        <w:autoSpaceDN w:val="0"/>
        <w:adjustRightInd w:val="0"/>
        <w:ind w:left="284" w:right="567"/>
        <w:jc w:val="both"/>
        <w:rPr>
          <w:rFonts w:ascii="Bookman Old Style" w:hAnsi="Bookman Old Style"/>
          <w:i/>
          <w:sz w:val="22"/>
          <w:szCs w:val="22"/>
        </w:rPr>
      </w:pPr>
    </w:p>
    <w:p w:rsidR="00623B3E" w:rsidRPr="005F05E0" w:rsidRDefault="00623B3E" w:rsidP="00623B3E">
      <w:pPr>
        <w:autoSpaceDE w:val="0"/>
        <w:autoSpaceDN w:val="0"/>
        <w:adjustRightInd w:val="0"/>
        <w:ind w:left="284" w:right="567"/>
        <w:jc w:val="both"/>
        <w:rPr>
          <w:rFonts w:ascii="Bookman Old Style" w:hAnsi="Bookman Old Style"/>
          <w:i/>
          <w:sz w:val="22"/>
          <w:szCs w:val="22"/>
        </w:rPr>
      </w:pPr>
      <w:r w:rsidRPr="005F05E0">
        <w:rPr>
          <w:rFonts w:ascii="Bookman Old Style" w:hAnsi="Bookman Old Style" w:cs="Arial,Bold"/>
          <w:b/>
          <w:i/>
          <w:sz w:val="22"/>
          <w:szCs w:val="22"/>
        </w:rPr>
        <w:t xml:space="preserve">PARAGRAFO 2o. </w:t>
      </w:r>
      <w:r w:rsidRPr="005F05E0">
        <w:rPr>
          <w:rFonts w:ascii="Bookman Old Style" w:hAnsi="Bookman Old Style"/>
          <w:i/>
          <w:sz w:val="22"/>
          <w:szCs w:val="22"/>
        </w:rPr>
        <w:t>El monto de la contribución que le corresponde pagar a cada entidad o empresa del subsector de energía eléctrica, será liquidado por la Comisión de Regulación mediante acto administrativo que será notificado a las personas obligadas a su pago, con sujeción a las disposiciones del Código Contencioso Administrativo.</w:t>
      </w:r>
    </w:p>
    <w:p w:rsidR="00623B3E" w:rsidRPr="005F05E0" w:rsidRDefault="00623B3E" w:rsidP="00623B3E">
      <w:pPr>
        <w:autoSpaceDE w:val="0"/>
        <w:autoSpaceDN w:val="0"/>
        <w:adjustRightInd w:val="0"/>
        <w:ind w:left="284" w:right="567"/>
        <w:jc w:val="both"/>
        <w:rPr>
          <w:rFonts w:ascii="Bookman Old Style" w:hAnsi="Bookman Old Style"/>
          <w:i/>
          <w:sz w:val="22"/>
          <w:szCs w:val="22"/>
        </w:rPr>
      </w:pPr>
    </w:p>
    <w:p w:rsidR="00623B3E" w:rsidRPr="005F05E0" w:rsidRDefault="00623B3E" w:rsidP="00623B3E">
      <w:pPr>
        <w:autoSpaceDE w:val="0"/>
        <w:autoSpaceDN w:val="0"/>
        <w:adjustRightInd w:val="0"/>
        <w:ind w:left="284" w:right="567"/>
        <w:jc w:val="both"/>
        <w:rPr>
          <w:rFonts w:ascii="Bookman Old Style" w:hAnsi="Bookman Old Style"/>
          <w:i/>
          <w:sz w:val="22"/>
          <w:szCs w:val="22"/>
        </w:rPr>
      </w:pPr>
      <w:r w:rsidRPr="005F05E0">
        <w:rPr>
          <w:rFonts w:ascii="Bookman Old Style" w:hAnsi="Bookman Old Style"/>
          <w:i/>
          <w:sz w:val="22"/>
          <w:szCs w:val="22"/>
        </w:rPr>
        <w:t xml:space="preserve">Una vez en firme las liquidaciones deberán ser canceladas dentro de los treinta (30) días </w:t>
      </w:r>
      <w:proofErr w:type="gramStart"/>
      <w:r w:rsidRPr="005F05E0">
        <w:rPr>
          <w:rFonts w:ascii="Bookman Old Style" w:hAnsi="Bookman Old Style"/>
          <w:i/>
          <w:sz w:val="22"/>
          <w:szCs w:val="22"/>
        </w:rPr>
        <w:t>calendario siguientes</w:t>
      </w:r>
      <w:proofErr w:type="gramEnd"/>
      <w:r w:rsidRPr="005F05E0">
        <w:rPr>
          <w:rFonts w:ascii="Bookman Old Style" w:hAnsi="Bookman Old Style"/>
          <w:i/>
          <w:sz w:val="22"/>
          <w:szCs w:val="22"/>
        </w:rPr>
        <w:t>. Se aplicará el mismo régimen de sanción por mora aplicable al impuesto sobre la renta y complementarios, sin perjuicio de las demás sanciones establecidas en la Ley 142 de 1994.</w:t>
      </w:r>
    </w:p>
    <w:p w:rsidR="00623B3E" w:rsidRPr="005F05E0" w:rsidRDefault="00623B3E" w:rsidP="00623B3E">
      <w:pPr>
        <w:autoSpaceDE w:val="0"/>
        <w:autoSpaceDN w:val="0"/>
        <w:adjustRightInd w:val="0"/>
        <w:ind w:left="284" w:right="567"/>
        <w:jc w:val="both"/>
        <w:rPr>
          <w:rFonts w:ascii="Bookman Old Style" w:hAnsi="Bookman Old Style"/>
          <w:i/>
          <w:sz w:val="22"/>
          <w:szCs w:val="22"/>
        </w:rPr>
      </w:pPr>
    </w:p>
    <w:p w:rsidR="005F05E0" w:rsidRDefault="005F05E0" w:rsidP="00623B3E">
      <w:pPr>
        <w:autoSpaceDE w:val="0"/>
        <w:autoSpaceDN w:val="0"/>
        <w:adjustRightInd w:val="0"/>
        <w:ind w:left="284" w:right="567"/>
        <w:jc w:val="both"/>
        <w:rPr>
          <w:rFonts w:ascii="Bookman Old Style" w:hAnsi="Bookman Old Style" w:cs="Arial,Bold"/>
          <w:b/>
          <w:i/>
          <w:sz w:val="22"/>
          <w:szCs w:val="22"/>
        </w:rPr>
      </w:pPr>
    </w:p>
    <w:p w:rsidR="005F05E0" w:rsidRDefault="005F05E0" w:rsidP="00623B3E">
      <w:pPr>
        <w:autoSpaceDE w:val="0"/>
        <w:autoSpaceDN w:val="0"/>
        <w:adjustRightInd w:val="0"/>
        <w:ind w:left="284" w:right="567"/>
        <w:jc w:val="both"/>
        <w:rPr>
          <w:rFonts w:ascii="Bookman Old Style" w:hAnsi="Bookman Old Style" w:cs="Arial,Bold"/>
          <w:b/>
          <w:i/>
          <w:sz w:val="22"/>
          <w:szCs w:val="22"/>
        </w:rPr>
      </w:pPr>
    </w:p>
    <w:p w:rsidR="00623B3E" w:rsidRPr="005F05E0" w:rsidRDefault="00623B3E" w:rsidP="00623B3E">
      <w:pPr>
        <w:autoSpaceDE w:val="0"/>
        <w:autoSpaceDN w:val="0"/>
        <w:adjustRightInd w:val="0"/>
        <w:ind w:left="284" w:right="567"/>
        <w:jc w:val="both"/>
        <w:rPr>
          <w:rFonts w:ascii="Bookman Old Style" w:hAnsi="Bookman Old Style"/>
          <w:i/>
          <w:sz w:val="22"/>
          <w:szCs w:val="22"/>
        </w:rPr>
      </w:pPr>
      <w:r w:rsidRPr="005F05E0">
        <w:rPr>
          <w:rFonts w:ascii="Bookman Old Style" w:hAnsi="Bookman Old Style" w:cs="Arial,Bold"/>
          <w:b/>
          <w:i/>
          <w:sz w:val="22"/>
          <w:szCs w:val="22"/>
        </w:rPr>
        <w:t xml:space="preserve">PARAGRAFO 3o. </w:t>
      </w:r>
      <w:r w:rsidRPr="005F05E0">
        <w:rPr>
          <w:rFonts w:ascii="Bookman Old Style" w:hAnsi="Bookman Old Style"/>
          <w:i/>
          <w:sz w:val="22"/>
          <w:szCs w:val="22"/>
        </w:rPr>
        <w:t>Los contribuyentes a más tardar el 28 de febrero de cada año, deberán cancelar a título de anticipo en las entidades financieras, que para el efecto informe la Comisión, el 60% del valor de la contribución liquidada el año inmediatamente anterior.</w:t>
      </w:r>
    </w:p>
    <w:p w:rsidR="00623B3E" w:rsidRPr="005F05E0" w:rsidRDefault="00623B3E" w:rsidP="00623B3E">
      <w:pPr>
        <w:autoSpaceDE w:val="0"/>
        <w:autoSpaceDN w:val="0"/>
        <w:adjustRightInd w:val="0"/>
        <w:ind w:left="284" w:right="567"/>
        <w:jc w:val="both"/>
        <w:rPr>
          <w:rFonts w:ascii="Bookman Old Style" w:hAnsi="Bookman Old Style"/>
          <w:i/>
          <w:sz w:val="22"/>
          <w:szCs w:val="22"/>
        </w:rPr>
      </w:pPr>
    </w:p>
    <w:p w:rsidR="00623B3E" w:rsidRPr="005F05E0" w:rsidRDefault="00623B3E" w:rsidP="00623B3E">
      <w:pPr>
        <w:autoSpaceDE w:val="0"/>
        <w:autoSpaceDN w:val="0"/>
        <w:adjustRightInd w:val="0"/>
        <w:ind w:left="284" w:right="567"/>
        <w:jc w:val="both"/>
        <w:rPr>
          <w:rFonts w:ascii="Bookman Old Style" w:hAnsi="Bookman Old Style"/>
          <w:i/>
          <w:sz w:val="22"/>
          <w:szCs w:val="22"/>
        </w:rPr>
      </w:pPr>
      <w:r w:rsidRPr="005F05E0">
        <w:rPr>
          <w:rFonts w:ascii="Bookman Old Style" w:hAnsi="Bookman Old Style"/>
          <w:i/>
          <w:sz w:val="22"/>
          <w:szCs w:val="22"/>
        </w:rPr>
        <w:t>Las contribuciones deberán ser pagadas dentro del plazo señalado en el parágrafo anterior, descontando la suma consignada como anticipo.”</w:t>
      </w:r>
    </w:p>
    <w:p w:rsidR="00623B3E" w:rsidRDefault="00623B3E" w:rsidP="00A50220">
      <w:pPr>
        <w:ind w:left="0"/>
        <w:jc w:val="both"/>
        <w:rPr>
          <w:rFonts w:ascii="Bookman Old Style" w:hAnsi="Bookman Old Style" w:cs="Arial"/>
        </w:rPr>
      </w:pPr>
    </w:p>
    <w:p w:rsidR="003F737E" w:rsidRDefault="003F737E" w:rsidP="00A50220">
      <w:pPr>
        <w:ind w:left="0"/>
        <w:jc w:val="both"/>
        <w:rPr>
          <w:rFonts w:ascii="Bookman Old Style" w:hAnsi="Bookman Old Style" w:cs="Arial"/>
        </w:rPr>
      </w:pPr>
    </w:p>
    <w:p w:rsidR="003F737E" w:rsidRPr="003F737E" w:rsidRDefault="009C528C" w:rsidP="003F737E">
      <w:pPr>
        <w:ind w:left="0"/>
        <w:jc w:val="both"/>
        <w:rPr>
          <w:rFonts w:ascii="Bookman Old Style" w:hAnsi="Bookman Old Style" w:cs="Arial"/>
          <w:b/>
        </w:rPr>
      </w:pPr>
      <w:r>
        <w:rPr>
          <w:rFonts w:ascii="Bookman Old Style" w:hAnsi="Bookman Old Style" w:cs="Arial"/>
          <w:b/>
        </w:rPr>
        <w:t xml:space="preserve">2.1 </w:t>
      </w:r>
      <w:r w:rsidR="003F737E" w:rsidRPr="003F737E">
        <w:rPr>
          <w:rFonts w:ascii="Bookman Old Style" w:hAnsi="Bookman Old Style" w:cs="Arial"/>
          <w:b/>
        </w:rPr>
        <w:t>CÁLCULO DE LA CONTRIBUCIÓN PARA PLUS S.A E.S.P</w:t>
      </w:r>
      <w:r w:rsidR="003F737E">
        <w:rPr>
          <w:rFonts w:ascii="Bookman Old Style" w:hAnsi="Bookman Old Style" w:cs="Arial"/>
          <w:b/>
        </w:rPr>
        <w:t>.</w:t>
      </w:r>
    </w:p>
    <w:p w:rsidR="003F737E" w:rsidRDefault="003F737E" w:rsidP="00A50220">
      <w:pPr>
        <w:ind w:left="0"/>
        <w:jc w:val="both"/>
        <w:rPr>
          <w:rFonts w:ascii="Bookman Old Style" w:hAnsi="Bookman Old Style" w:cs="Arial"/>
        </w:rPr>
      </w:pPr>
    </w:p>
    <w:p w:rsidR="00A50220" w:rsidRDefault="00A50220" w:rsidP="00A50220">
      <w:pPr>
        <w:ind w:left="0"/>
        <w:jc w:val="both"/>
        <w:rPr>
          <w:rFonts w:ascii="Bookman Old Style" w:hAnsi="Bookman Old Style" w:cs="Arial"/>
        </w:rPr>
      </w:pPr>
      <w:r w:rsidRPr="00A50220">
        <w:rPr>
          <w:rFonts w:ascii="Bookman Old Style" w:hAnsi="Bookman Old Style" w:cs="Arial"/>
        </w:rPr>
        <w:t xml:space="preserve">La </w:t>
      </w:r>
      <w:r w:rsidR="003F737E">
        <w:rPr>
          <w:rFonts w:ascii="Bookman Old Style" w:hAnsi="Bookman Old Style" w:cs="Arial"/>
        </w:rPr>
        <w:t>empresa PLUS</w:t>
      </w:r>
      <w:r w:rsidRPr="001E4389">
        <w:rPr>
          <w:rFonts w:ascii="Bookman Old Style" w:hAnsi="Bookman Old Style" w:cs="Arial"/>
        </w:rPr>
        <w:t xml:space="preserve"> S.A. E.S.P.</w:t>
      </w:r>
      <w:r w:rsidRPr="00A50220">
        <w:rPr>
          <w:rFonts w:ascii="Bookman Old Style" w:hAnsi="Bookman Old Style" w:cs="Arial"/>
        </w:rPr>
        <w:t>, no reportó información y por lo tanto se tomó como base de liquidación la información de la contribución del año 2011 y se actualizó a valor presente, utilizando la siguiente fórmula:</w:t>
      </w:r>
    </w:p>
    <w:tbl>
      <w:tblPr>
        <w:tblW w:w="8722" w:type="dxa"/>
        <w:tblInd w:w="70" w:type="dxa"/>
        <w:tblCellMar>
          <w:left w:w="70" w:type="dxa"/>
          <w:right w:w="70" w:type="dxa"/>
        </w:tblCellMar>
        <w:tblLook w:val="04A0" w:firstRow="1" w:lastRow="0" w:firstColumn="1" w:lastColumn="0" w:noHBand="0" w:noVBand="1"/>
      </w:tblPr>
      <w:tblGrid>
        <w:gridCol w:w="1668"/>
        <w:gridCol w:w="371"/>
        <w:gridCol w:w="2154"/>
        <w:gridCol w:w="368"/>
        <w:gridCol w:w="1285"/>
        <w:gridCol w:w="356"/>
        <w:gridCol w:w="2520"/>
      </w:tblGrid>
      <w:tr w:rsidR="00D0698C" w:rsidRPr="00F514F1" w:rsidTr="00D0698C">
        <w:trPr>
          <w:trHeight w:val="661"/>
        </w:trPr>
        <w:tc>
          <w:tcPr>
            <w:tcW w:w="1668" w:type="dxa"/>
            <w:vMerge w:val="restart"/>
            <w:tcBorders>
              <w:top w:val="nil"/>
              <w:left w:val="nil"/>
              <w:bottom w:val="nil"/>
              <w:right w:val="nil"/>
            </w:tcBorders>
            <w:shd w:val="clear" w:color="auto" w:fill="auto"/>
            <w:vAlign w:val="center"/>
            <w:hideMark/>
          </w:tcPr>
          <w:p w:rsidR="00D0698C" w:rsidRPr="00D0698C" w:rsidRDefault="00D0698C" w:rsidP="00D0698C">
            <w:pPr>
              <w:ind w:left="0"/>
              <w:jc w:val="center"/>
              <w:rPr>
                <w:rFonts w:ascii="Bookman Old Style" w:hAnsi="Bookman Old Style" w:cs="Calibri"/>
                <w:color w:val="000000"/>
                <w:sz w:val="20"/>
                <w:szCs w:val="20"/>
                <w:lang w:val="es-CO" w:eastAsia="es-CO"/>
              </w:rPr>
            </w:pPr>
            <w:r w:rsidRPr="00D0698C">
              <w:rPr>
                <w:rFonts w:ascii="Bookman Old Style" w:hAnsi="Bookman Old Style" w:cs="Calibri"/>
                <w:color w:val="000000"/>
                <w:sz w:val="20"/>
                <w:szCs w:val="20"/>
                <w:lang w:val="es-CO" w:eastAsia="es-CO"/>
              </w:rPr>
              <w:t>Valor Presente 2012</w:t>
            </w:r>
          </w:p>
        </w:tc>
        <w:tc>
          <w:tcPr>
            <w:tcW w:w="371" w:type="dxa"/>
            <w:vMerge w:val="restart"/>
            <w:tcBorders>
              <w:top w:val="nil"/>
              <w:left w:val="nil"/>
              <w:bottom w:val="nil"/>
              <w:right w:val="nil"/>
            </w:tcBorders>
            <w:shd w:val="clear" w:color="auto" w:fill="auto"/>
            <w:noWrap/>
            <w:vAlign w:val="center"/>
            <w:hideMark/>
          </w:tcPr>
          <w:p w:rsidR="00D0698C" w:rsidRPr="00D0698C" w:rsidRDefault="00D0698C" w:rsidP="00D0698C">
            <w:pPr>
              <w:ind w:left="0"/>
              <w:jc w:val="center"/>
              <w:rPr>
                <w:rFonts w:ascii="Bookman Old Style" w:hAnsi="Bookman Old Style" w:cs="Calibri"/>
                <w:b/>
                <w:color w:val="000000"/>
                <w:sz w:val="20"/>
                <w:szCs w:val="20"/>
                <w:lang w:val="es-CO" w:eastAsia="es-CO"/>
              </w:rPr>
            </w:pPr>
            <w:r w:rsidRPr="00D0698C">
              <w:rPr>
                <w:rFonts w:ascii="Bookman Old Style" w:hAnsi="Bookman Old Style" w:cs="Calibri"/>
                <w:color w:val="000000"/>
                <w:sz w:val="20"/>
                <w:szCs w:val="20"/>
                <w:lang w:val="es-CO" w:eastAsia="es-CO"/>
              </w:rPr>
              <w:t xml:space="preserve"> </w:t>
            </w:r>
            <w:r w:rsidRPr="00D0698C">
              <w:rPr>
                <w:rFonts w:ascii="Bookman Old Style" w:hAnsi="Bookman Old Style" w:cs="Calibri"/>
                <w:b/>
                <w:color w:val="000000"/>
                <w:sz w:val="20"/>
                <w:szCs w:val="20"/>
                <w:lang w:val="es-CO" w:eastAsia="es-CO"/>
              </w:rPr>
              <w:t>=</w:t>
            </w:r>
          </w:p>
        </w:tc>
        <w:tc>
          <w:tcPr>
            <w:tcW w:w="2154" w:type="dxa"/>
            <w:vMerge w:val="restart"/>
            <w:tcBorders>
              <w:top w:val="nil"/>
              <w:left w:val="nil"/>
              <w:bottom w:val="nil"/>
              <w:right w:val="nil"/>
            </w:tcBorders>
            <w:shd w:val="clear" w:color="auto" w:fill="auto"/>
            <w:vAlign w:val="center"/>
            <w:hideMark/>
          </w:tcPr>
          <w:p w:rsidR="00D0698C" w:rsidRPr="00D0698C" w:rsidRDefault="00D0698C" w:rsidP="00D0698C">
            <w:pPr>
              <w:ind w:left="0"/>
              <w:jc w:val="center"/>
              <w:rPr>
                <w:rFonts w:ascii="Bookman Old Style" w:hAnsi="Bookman Old Style" w:cs="Calibri"/>
                <w:color w:val="000000"/>
                <w:sz w:val="20"/>
                <w:szCs w:val="20"/>
                <w:lang w:val="es-CO" w:eastAsia="es-CO"/>
              </w:rPr>
            </w:pPr>
            <w:r w:rsidRPr="00D0698C">
              <w:rPr>
                <w:rFonts w:ascii="Bookman Old Style" w:hAnsi="Bookman Old Style" w:cs="Calibri"/>
                <w:color w:val="000000"/>
                <w:sz w:val="20"/>
                <w:szCs w:val="20"/>
                <w:lang w:val="es-CO" w:eastAsia="es-CO"/>
              </w:rPr>
              <w:t>Contribución año 2011 (Res. 175)</w:t>
            </w:r>
          </w:p>
        </w:tc>
        <w:tc>
          <w:tcPr>
            <w:tcW w:w="368" w:type="dxa"/>
            <w:vMerge w:val="restart"/>
            <w:tcBorders>
              <w:top w:val="nil"/>
              <w:left w:val="nil"/>
              <w:bottom w:val="nil"/>
              <w:right w:val="nil"/>
            </w:tcBorders>
            <w:shd w:val="clear" w:color="auto" w:fill="auto"/>
            <w:noWrap/>
            <w:vAlign w:val="center"/>
            <w:hideMark/>
          </w:tcPr>
          <w:p w:rsidR="00D0698C" w:rsidRPr="00D0698C" w:rsidRDefault="00D0698C" w:rsidP="00D0698C">
            <w:pPr>
              <w:ind w:left="0"/>
              <w:jc w:val="center"/>
              <w:rPr>
                <w:rFonts w:ascii="Bookman Old Style" w:hAnsi="Bookman Old Style" w:cs="Calibri"/>
                <w:b/>
                <w:color w:val="000000"/>
                <w:sz w:val="20"/>
                <w:szCs w:val="20"/>
                <w:lang w:val="es-CO" w:eastAsia="es-CO"/>
              </w:rPr>
            </w:pPr>
            <w:r w:rsidRPr="00D0698C">
              <w:rPr>
                <w:rFonts w:ascii="Bookman Old Style" w:hAnsi="Bookman Old Style" w:cs="Calibri"/>
                <w:b/>
                <w:color w:val="000000"/>
                <w:sz w:val="20"/>
                <w:szCs w:val="20"/>
                <w:lang w:val="es-CO" w:eastAsia="es-CO"/>
              </w:rPr>
              <w:t>/</w:t>
            </w:r>
          </w:p>
        </w:tc>
        <w:tc>
          <w:tcPr>
            <w:tcW w:w="1285" w:type="dxa"/>
            <w:vMerge w:val="restart"/>
            <w:tcBorders>
              <w:top w:val="nil"/>
              <w:left w:val="nil"/>
              <w:bottom w:val="nil"/>
              <w:right w:val="nil"/>
            </w:tcBorders>
            <w:shd w:val="clear" w:color="auto" w:fill="auto"/>
            <w:noWrap/>
            <w:vAlign w:val="center"/>
            <w:hideMark/>
          </w:tcPr>
          <w:p w:rsidR="00D0698C" w:rsidRPr="00D0698C" w:rsidRDefault="00D0698C" w:rsidP="00D0698C">
            <w:pPr>
              <w:ind w:left="0"/>
              <w:jc w:val="center"/>
              <w:rPr>
                <w:rFonts w:ascii="Bookman Old Style" w:hAnsi="Bookman Old Style" w:cs="Calibri"/>
                <w:color w:val="000000"/>
                <w:sz w:val="20"/>
                <w:szCs w:val="20"/>
                <w:lang w:val="es-CO" w:eastAsia="es-CO"/>
              </w:rPr>
            </w:pPr>
            <w:r w:rsidRPr="00D0698C">
              <w:rPr>
                <w:rFonts w:ascii="Bookman Old Style" w:hAnsi="Bookman Old Style" w:cs="Calibri"/>
                <w:color w:val="000000"/>
                <w:sz w:val="20"/>
                <w:szCs w:val="20"/>
                <w:lang w:val="es-CO" w:eastAsia="es-CO"/>
              </w:rPr>
              <w:t>0,757%</w:t>
            </w:r>
          </w:p>
        </w:tc>
        <w:tc>
          <w:tcPr>
            <w:tcW w:w="356" w:type="dxa"/>
            <w:vMerge w:val="restart"/>
            <w:tcBorders>
              <w:top w:val="nil"/>
              <w:left w:val="nil"/>
              <w:bottom w:val="nil"/>
              <w:right w:val="nil"/>
            </w:tcBorders>
            <w:shd w:val="clear" w:color="auto" w:fill="auto"/>
            <w:noWrap/>
            <w:vAlign w:val="center"/>
            <w:hideMark/>
          </w:tcPr>
          <w:p w:rsidR="00D0698C" w:rsidRPr="00D0698C" w:rsidRDefault="00D0698C" w:rsidP="00D0698C">
            <w:pPr>
              <w:ind w:left="0"/>
              <w:jc w:val="center"/>
              <w:rPr>
                <w:rFonts w:ascii="Bookman Old Style" w:hAnsi="Bookman Old Style" w:cs="Calibri"/>
                <w:b/>
                <w:color w:val="000000"/>
                <w:sz w:val="20"/>
                <w:szCs w:val="20"/>
                <w:lang w:val="es-CO" w:eastAsia="es-CO"/>
              </w:rPr>
            </w:pPr>
            <w:r w:rsidRPr="00D0698C">
              <w:rPr>
                <w:rFonts w:ascii="Bookman Old Style" w:hAnsi="Bookman Old Style" w:cs="Calibri"/>
                <w:b/>
                <w:color w:val="000000"/>
                <w:sz w:val="20"/>
                <w:szCs w:val="20"/>
                <w:lang w:val="es-CO" w:eastAsia="es-CO"/>
              </w:rPr>
              <w:t>x</w:t>
            </w:r>
          </w:p>
        </w:tc>
        <w:tc>
          <w:tcPr>
            <w:tcW w:w="2520" w:type="dxa"/>
            <w:tcBorders>
              <w:top w:val="nil"/>
              <w:left w:val="nil"/>
              <w:bottom w:val="nil"/>
              <w:right w:val="nil"/>
            </w:tcBorders>
            <w:shd w:val="clear" w:color="auto" w:fill="auto"/>
            <w:vAlign w:val="bottom"/>
            <w:hideMark/>
          </w:tcPr>
          <w:p w:rsidR="00D0698C" w:rsidRPr="00D0698C" w:rsidRDefault="00D0698C" w:rsidP="00D0698C">
            <w:pPr>
              <w:ind w:left="0"/>
              <w:jc w:val="center"/>
              <w:rPr>
                <w:rFonts w:ascii="Bookman Old Style" w:hAnsi="Bookman Old Style" w:cs="Calibri"/>
                <w:color w:val="000000"/>
                <w:sz w:val="20"/>
                <w:szCs w:val="20"/>
                <w:u w:val="single"/>
                <w:lang w:val="es-CO" w:eastAsia="es-CO"/>
              </w:rPr>
            </w:pPr>
            <w:r w:rsidRPr="00D0698C">
              <w:rPr>
                <w:rFonts w:ascii="Bookman Old Style" w:hAnsi="Bookman Old Style" w:cs="Calibri"/>
                <w:color w:val="000000"/>
                <w:sz w:val="20"/>
                <w:szCs w:val="20"/>
                <w:u w:val="single"/>
                <w:lang w:val="es-CO" w:eastAsia="es-CO"/>
              </w:rPr>
              <w:t>IPC diciembre 2011</w:t>
            </w:r>
          </w:p>
        </w:tc>
      </w:tr>
      <w:tr w:rsidR="00D0698C" w:rsidRPr="00F514F1" w:rsidTr="00D0698C">
        <w:trPr>
          <w:trHeight w:val="347"/>
        </w:trPr>
        <w:tc>
          <w:tcPr>
            <w:tcW w:w="1668" w:type="dxa"/>
            <w:vMerge/>
            <w:tcBorders>
              <w:top w:val="nil"/>
              <w:left w:val="nil"/>
              <w:bottom w:val="nil"/>
              <w:right w:val="nil"/>
            </w:tcBorders>
            <w:vAlign w:val="center"/>
            <w:hideMark/>
          </w:tcPr>
          <w:p w:rsidR="00D0698C" w:rsidRPr="00D0698C" w:rsidRDefault="00D0698C" w:rsidP="00D0698C">
            <w:pPr>
              <w:ind w:left="0"/>
              <w:rPr>
                <w:rFonts w:ascii="Bookman Old Style" w:hAnsi="Bookman Old Style" w:cs="Calibri"/>
                <w:color w:val="000000"/>
                <w:sz w:val="20"/>
                <w:szCs w:val="20"/>
                <w:lang w:val="es-CO" w:eastAsia="es-CO"/>
              </w:rPr>
            </w:pPr>
          </w:p>
        </w:tc>
        <w:tc>
          <w:tcPr>
            <w:tcW w:w="371" w:type="dxa"/>
            <w:vMerge/>
            <w:tcBorders>
              <w:top w:val="nil"/>
              <w:left w:val="nil"/>
              <w:bottom w:val="nil"/>
              <w:right w:val="nil"/>
            </w:tcBorders>
            <w:vAlign w:val="center"/>
            <w:hideMark/>
          </w:tcPr>
          <w:p w:rsidR="00D0698C" w:rsidRPr="00D0698C" w:rsidRDefault="00D0698C" w:rsidP="00D0698C">
            <w:pPr>
              <w:ind w:left="0"/>
              <w:rPr>
                <w:rFonts w:ascii="Bookman Old Style" w:hAnsi="Bookman Old Style" w:cs="Calibri"/>
                <w:color w:val="000000"/>
                <w:sz w:val="20"/>
                <w:szCs w:val="20"/>
                <w:lang w:val="es-CO" w:eastAsia="es-CO"/>
              </w:rPr>
            </w:pPr>
          </w:p>
        </w:tc>
        <w:tc>
          <w:tcPr>
            <w:tcW w:w="2154" w:type="dxa"/>
            <w:vMerge/>
            <w:tcBorders>
              <w:top w:val="nil"/>
              <w:left w:val="nil"/>
              <w:bottom w:val="nil"/>
              <w:right w:val="nil"/>
            </w:tcBorders>
            <w:vAlign w:val="center"/>
            <w:hideMark/>
          </w:tcPr>
          <w:p w:rsidR="00D0698C" w:rsidRPr="00D0698C" w:rsidRDefault="00D0698C" w:rsidP="00D0698C">
            <w:pPr>
              <w:ind w:left="0"/>
              <w:rPr>
                <w:rFonts w:ascii="Bookman Old Style" w:hAnsi="Bookman Old Style" w:cs="Calibri"/>
                <w:color w:val="000000"/>
                <w:sz w:val="20"/>
                <w:szCs w:val="20"/>
                <w:lang w:val="es-CO" w:eastAsia="es-CO"/>
              </w:rPr>
            </w:pPr>
          </w:p>
        </w:tc>
        <w:tc>
          <w:tcPr>
            <w:tcW w:w="368" w:type="dxa"/>
            <w:vMerge/>
            <w:tcBorders>
              <w:top w:val="nil"/>
              <w:left w:val="nil"/>
              <w:bottom w:val="nil"/>
              <w:right w:val="nil"/>
            </w:tcBorders>
            <w:vAlign w:val="center"/>
            <w:hideMark/>
          </w:tcPr>
          <w:p w:rsidR="00D0698C" w:rsidRPr="00D0698C" w:rsidRDefault="00D0698C" w:rsidP="00D0698C">
            <w:pPr>
              <w:ind w:left="0"/>
              <w:rPr>
                <w:rFonts w:ascii="Bookman Old Style" w:hAnsi="Bookman Old Style" w:cs="Calibri"/>
                <w:color w:val="000000"/>
                <w:sz w:val="20"/>
                <w:szCs w:val="20"/>
                <w:lang w:val="es-CO" w:eastAsia="es-CO"/>
              </w:rPr>
            </w:pPr>
          </w:p>
        </w:tc>
        <w:tc>
          <w:tcPr>
            <w:tcW w:w="1285" w:type="dxa"/>
            <w:vMerge/>
            <w:tcBorders>
              <w:top w:val="nil"/>
              <w:left w:val="nil"/>
              <w:bottom w:val="nil"/>
              <w:right w:val="nil"/>
            </w:tcBorders>
            <w:vAlign w:val="center"/>
            <w:hideMark/>
          </w:tcPr>
          <w:p w:rsidR="00D0698C" w:rsidRPr="00D0698C" w:rsidRDefault="00D0698C" w:rsidP="00D0698C">
            <w:pPr>
              <w:ind w:left="0"/>
              <w:rPr>
                <w:rFonts w:ascii="Bookman Old Style" w:hAnsi="Bookman Old Style" w:cs="Calibri"/>
                <w:color w:val="000000"/>
                <w:sz w:val="20"/>
                <w:szCs w:val="20"/>
                <w:lang w:val="es-CO" w:eastAsia="es-CO"/>
              </w:rPr>
            </w:pPr>
          </w:p>
        </w:tc>
        <w:tc>
          <w:tcPr>
            <w:tcW w:w="356" w:type="dxa"/>
            <w:vMerge/>
            <w:tcBorders>
              <w:top w:val="nil"/>
              <w:left w:val="nil"/>
              <w:bottom w:val="nil"/>
              <w:right w:val="nil"/>
            </w:tcBorders>
            <w:vAlign w:val="center"/>
            <w:hideMark/>
          </w:tcPr>
          <w:p w:rsidR="00D0698C" w:rsidRPr="00D0698C" w:rsidRDefault="00D0698C" w:rsidP="00D0698C">
            <w:pPr>
              <w:ind w:left="0"/>
              <w:rPr>
                <w:rFonts w:ascii="Bookman Old Style" w:hAnsi="Bookman Old Style" w:cs="Calibri"/>
                <w:color w:val="000000"/>
                <w:sz w:val="20"/>
                <w:szCs w:val="20"/>
                <w:lang w:val="es-CO" w:eastAsia="es-CO"/>
              </w:rPr>
            </w:pPr>
          </w:p>
        </w:tc>
        <w:tc>
          <w:tcPr>
            <w:tcW w:w="2520" w:type="dxa"/>
            <w:tcBorders>
              <w:top w:val="nil"/>
              <w:left w:val="nil"/>
              <w:bottom w:val="nil"/>
              <w:right w:val="nil"/>
            </w:tcBorders>
            <w:shd w:val="clear" w:color="auto" w:fill="auto"/>
            <w:noWrap/>
            <w:vAlign w:val="center"/>
            <w:hideMark/>
          </w:tcPr>
          <w:p w:rsidR="00D0698C" w:rsidRPr="00D0698C" w:rsidRDefault="00D0698C" w:rsidP="00D0698C">
            <w:pPr>
              <w:ind w:left="0"/>
              <w:jc w:val="center"/>
              <w:rPr>
                <w:rFonts w:ascii="Bookman Old Style" w:hAnsi="Bookman Old Style" w:cs="Calibri"/>
                <w:color w:val="000000"/>
                <w:sz w:val="20"/>
                <w:szCs w:val="20"/>
                <w:lang w:val="es-CO" w:eastAsia="es-CO"/>
              </w:rPr>
            </w:pPr>
            <w:r w:rsidRPr="00D0698C">
              <w:rPr>
                <w:rFonts w:ascii="Bookman Old Style" w:hAnsi="Bookman Old Style" w:cs="Calibri"/>
                <w:color w:val="000000"/>
                <w:sz w:val="20"/>
                <w:szCs w:val="20"/>
                <w:lang w:val="es-CO" w:eastAsia="es-CO"/>
              </w:rPr>
              <w:t>IPC diciembre 2010</w:t>
            </w:r>
          </w:p>
        </w:tc>
      </w:tr>
    </w:tbl>
    <w:p w:rsidR="00A50220" w:rsidRDefault="00A50220" w:rsidP="00A50220">
      <w:pPr>
        <w:ind w:left="0"/>
        <w:jc w:val="center"/>
        <w:rPr>
          <w:rFonts w:cs="Arial"/>
          <w:sz w:val="16"/>
          <w:szCs w:val="16"/>
          <w:lang w:val="es-MX"/>
        </w:rPr>
      </w:pPr>
    </w:p>
    <w:p w:rsidR="001E360D" w:rsidRDefault="001E360D" w:rsidP="001E360D">
      <w:pPr>
        <w:spacing w:after="200"/>
        <w:ind w:left="0"/>
        <w:contextualSpacing/>
        <w:rPr>
          <w:rFonts w:ascii="Bookman Old Style" w:hAnsi="Bookman Old Style" w:cs="Arial"/>
        </w:rPr>
      </w:pPr>
      <w:r>
        <w:rPr>
          <w:rFonts w:ascii="Bookman Old Style" w:hAnsi="Bookman Old Style" w:cs="Arial"/>
        </w:rPr>
        <w:t xml:space="preserve">Así las cosas, para </w:t>
      </w:r>
      <w:r w:rsidR="003F737E">
        <w:rPr>
          <w:rFonts w:ascii="Bookman Old Style" w:hAnsi="Bookman Old Style" w:cs="Arial"/>
        </w:rPr>
        <w:t>PLUS</w:t>
      </w:r>
      <w:r w:rsidR="003F737E" w:rsidRPr="001E4389">
        <w:rPr>
          <w:rFonts w:ascii="Bookman Old Style" w:hAnsi="Bookman Old Style" w:cs="Arial"/>
        </w:rPr>
        <w:t xml:space="preserve"> S.A. E.S.P.</w:t>
      </w:r>
      <w:r w:rsidR="003F737E" w:rsidRPr="00A50220">
        <w:rPr>
          <w:rFonts w:ascii="Bookman Old Style" w:hAnsi="Bookman Old Style" w:cs="Arial"/>
        </w:rPr>
        <w:t>,</w:t>
      </w:r>
      <w:r w:rsidR="005A1A8D">
        <w:rPr>
          <w:rFonts w:ascii="Bookman Old Style" w:hAnsi="Bookman Old Style" w:cs="Arial"/>
        </w:rPr>
        <w:t xml:space="preserve"> la actualización a valor presente </w:t>
      </w:r>
      <w:r w:rsidR="00D0698C">
        <w:rPr>
          <w:rFonts w:ascii="Bookman Old Style" w:hAnsi="Bookman Old Style" w:cs="Arial"/>
        </w:rPr>
        <w:t>fue la siguiente</w:t>
      </w:r>
      <w:r w:rsidR="005A1A8D">
        <w:rPr>
          <w:rFonts w:ascii="Bookman Old Style" w:hAnsi="Bookman Old Style" w:cs="Arial"/>
        </w:rPr>
        <w:t>:</w:t>
      </w:r>
    </w:p>
    <w:p w:rsidR="00D0698C" w:rsidRDefault="00D0698C" w:rsidP="001E360D">
      <w:pPr>
        <w:spacing w:after="200"/>
        <w:ind w:left="0"/>
        <w:contextualSpacing/>
        <w:rPr>
          <w:rFonts w:ascii="Bookman Old Style" w:hAnsi="Bookman Old Style" w:cs="Arial"/>
        </w:rPr>
      </w:pPr>
    </w:p>
    <w:tbl>
      <w:tblPr>
        <w:tblW w:w="8907" w:type="dxa"/>
        <w:tblInd w:w="70" w:type="dxa"/>
        <w:tblCellMar>
          <w:left w:w="70" w:type="dxa"/>
          <w:right w:w="70" w:type="dxa"/>
        </w:tblCellMar>
        <w:tblLook w:val="04A0" w:firstRow="1" w:lastRow="0" w:firstColumn="1" w:lastColumn="0" w:noHBand="0" w:noVBand="1"/>
      </w:tblPr>
      <w:tblGrid>
        <w:gridCol w:w="1905"/>
        <w:gridCol w:w="496"/>
        <w:gridCol w:w="1994"/>
        <w:gridCol w:w="718"/>
        <w:gridCol w:w="1716"/>
        <w:gridCol w:w="474"/>
        <w:gridCol w:w="1604"/>
      </w:tblGrid>
      <w:tr w:rsidR="00D0698C" w:rsidRPr="00F514F1" w:rsidTr="00D0698C">
        <w:trPr>
          <w:trHeight w:val="269"/>
        </w:trPr>
        <w:tc>
          <w:tcPr>
            <w:tcW w:w="1905" w:type="dxa"/>
            <w:vMerge w:val="restart"/>
            <w:tcBorders>
              <w:top w:val="nil"/>
              <w:left w:val="nil"/>
              <w:bottom w:val="nil"/>
              <w:right w:val="nil"/>
            </w:tcBorders>
            <w:shd w:val="clear" w:color="auto" w:fill="auto"/>
            <w:vAlign w:val="center"/>
            <w:hideMark/>
          </w:tcPr>
          <w:p w:rsidR="00D0698C" w:rsidRPr="00D0698C" w:rsidRDefault="00D0698C" w:rsidP="00D0698C">
            <w:pPr>
              <w:ind w:left="0"/>
              <w:jc w:val="center"/>
              <w:rPr>
                <w:rFonts w:ascii="Bookman Old Style" w:hAnsi="Bookman Old Style" w:cs="Calibri"/>
                <w:color w:val="000000"/>
                <w:sz w:val="20"/>
                <w:szCs w:val="20"/>
                <w:lang w:val="es-CO" w:eastAsia="es-CO"/>
              </w:rPr>
            </w:pPr>
            <w:r w:rsidRPr="00D0698C">
              <w:rPr>
                <w:rFonts w:ascii="Bookman Old Style" w:hAnsi="Bookman Old Style" w:cs="Calibri"/>
                <w:color w:val="000000"/>
                <w:sz w:val="20"/>
                <w:szCs w:val="20"/>
                <w:lang w:val="es-CO" w:eastAsia="es-CO"/>
              </w:rPr>
              <w:t>Valor Presente 2012</w:t>
            </w:r>
          </w:p>
        </w:tc>
        <w:tc>
          <w:tcPr>
            <w:tcW w:w="496" w:type="dxa"/>
            <w:vMerge w:val="restart"/>
            <w:tcBorders>
              <w:top w:val="nil"/>
              <w:left w:val="nil"/>
              <w:bottom w:val="nil"/>
              <w:right w:val="nil"/>
            </w:tcBorders>
            <w:shd w:val="clear" w:color="auto" w:fill="auto"/>
            <w:noWrap/>
            <w:vAlign w:val="center"/>
            <w:hideMark/>
          </w:tcPr>
          <w:p w:rsidR="00D0698C" w:rsidRPr="00D0698C" w:rsidRDefault="00D0698C" w:rsidP="00D0698C">
            <w:pPr>
              <w:ind w:left="0"/>
              <w:rPr>
                <w:rFonts w:ascii="Bookman Old Style" w:hAnsi="Bookman Old Style" w:cs="Calibri"/>
                <w:b/>
                <w:color w:val="000000"/>
                <w:sz w:val="20"/>
                <w:szCs w:val="20"/>
                <w:lang w:val="es-CO" w:eastAsia="es-CO"/>
              </w:rPr>
            </w:pPr>
            <w:r w:rsidRPr="00D0698C">
              <w:rPr>
                <w:rFonts w:ascii="Bookman Old Style" w:hAnsi="Bookman Old Style" w:cs="Calibri"/>
                <w:b/>
                <w:color w:val="000000"/>
                <w:sz w:val="20"/>
                <w:szCs w:val="20"/>
                <w:lang w:val="es-CO" w:eastAsia="es-CO"/>
              </w:rPr>
              <w:t>=</w:t>
            </w:r>
          </w:p>
        </w:tc>
        <w:tc>
          <w:tcPr>
            <w:tcW w:w="1994" w:type="dxa"/>
            <w:vMerge w:val="restart"/>
            <w:tcBorders>
              <w:top w:val="nil"/>
              <w:left w:val="nil"/>
              <w:bottom w:val="nil"/>
              <w:right w:val="nil"/>
            </w:tcBorders>
            <w:shd w:val="clear" w:color="auto" w:fill="auto"/>
            <w:vAlign w:val="center"/>
            <w:hideMark/>
          </w:tcPr>
          <w:p w:rsidR="00D0698C" w:rsidRPr="00D0698C" w:rsidRDefault="003F737E" w:rsidP="00D0698C">
            <w:pPr>
              <w:ind w:left="0"/>
              <w:rPr>
                <w:rFonts w:ascii="Bookman Old Style" w:hAnsi="Bookman Old Style" w:cs="Calibri"/>
                <w:color w:val="000000"/>
                <w:sz w:val="20"/>
                <w:szCs w:val="20"/>
                <w:lang w:val="es-CO" w:eastAsia="es-CO"/>
              </w:rPr>
            </w:pPr>
            <w:r>
              <w:rPr>
                <w:rFonts w:ascii="Bookman Old Style" w:hAnsi="Bookman Old Style" w:cs="Calibri"/>
                <w:color w:val="000000"/>
                <w:sz w:val="20"/>
                <w:szCs w:val="20"/>
                <w:lang w:val="es-CO" w:eastAsia="es-CO"/>
              </w:rPr>
              <w:t>9.830.468</w:t>
            </w:r>
          </w:p>
        </w:tc>
        <w:tc>
          <w:tcPr>
            <w:tcW w:w="718" w:type="dxa"/>
            <w:vMerge w:val="restart"/>
            <w:tcBorders>
              <w:top w:val="nil"/>
              <w:left w:val="nil"/>
              <w:bottom w:val="nil"/>
              <w:right w:val="nil"/>
            </w:tcBorders>
            <w:shd w:val="clear" w:color="auto" w:fill="auto"/>
            <w:noWrap/>
            <w:vAlign w:val="center"/>
            <w:hideMark/>
          </w:tcPr>
          <w:p w:rsidR="00D0698C" w:rsidRPr="00D0698C" w:rsidRDefault="00D0698C" w:rsidP="00D0698C">
            <w:pPr>
              <w:ind w:left="0"/>
              <w:rPr>
                <w:rFonts w:ascii="Bookman Old Style" w:hAnsi="Bookman Old Style" w:cs="Calibri"/>
                <w:b/>
                <w:color w:val="000000"/>
                <w:sz w:val="20"/>
                <w:szCs w:val="20"/>
                <w:lang w:val="es-CO" w:eastAsia="es-CO"/>
              </w:rPr>
            </w:pPr>
            <w:r w:rsidRPr="00D0698C">
              <w:rPr>
                <w:rFonts w:ascii="Bookman Old Style" w:hAnsi="Bookman Old Style" w:cs="Calibri"/>
                <w:b/>
                <w:color w:val="000000"/>
                <w:sz w:val="20"/>
                <w:szCs w:val="20"/>
                <w:lang w:val="es-CO" w:eastAsia="es-CO"/>
              </w:rPr>
              <w:t>/</w:t>
            </w:r>
          </w:p>
        </w:tc>
        <w:tc>
          <w:tcPr>
            <w:tcW w:w="1716" w:type="dxa"/>
            <w:vMerge w:val="restart"/>
            <w:tcBorders>
              <w:top w:val="nil"/>
              <w:left w:val="nil"/>
              <w:bottom w:val="nil"/>
              <w:right w:val="nil"/>
            </w:tcBorders>
            <w:shd w:val="clear" w:color="auto" w:fill="auto"/>
            <w:noWrap/>
            <w:vAlign w:val="center"/>
            <w:hideMark/>
          </w:tcPr>
          <w:p w:rsidR="00D0698C" w:rsidRPr="00D0698C" w:rsidRDefault="00D0698C" w:rsidP="00D0698C">
            <w:pPr>
              <w:ind w:left="0"/>
              <w:rPr>
                <w:rFonts w:ascii="Bookman Old Style" w:hAnsi="Bookman Old Style" w:cs="Calibri"/>
                <w:color w:val="000000"/>
                <w:sz w:val="20"/>
                <w:szCs w:val="20"/>
                <w:lang w:val="es-CO" w:eastAsia="es-CO"/>
              </w:rPr>
            </w:pPr>
            <w:r w:rsidRPr="00D0698C">
              <w:rPr>
                <w:rFonts w:ascii="Bookman Old Style" w:hAnsi="Bookman Old Style" w:cs="Calibri"/>
                <w:color w:val="000000"/>
                <w:sz w:val="20"/>
                <w:szCs w:val="20"/>
                <w:lang w:val="es-CO" w:eastAsia="es-CO"/>
              </w:rPr>
              <w:t>0,757%</w:t>
            </w:r>
          </w:p>
        </w:tc>
        <w:tc>
          <w:tcPr>
            <w:tcW w:w="474" w:type="dxa"/>
            <w:vMerge w:val="restart"/>
            <w:tcBorders>
              <w:top w:val="nil"/>
              <w:left w:val="nil"/>
              <w:bottom w:val="nil"/>
              <w:right w:val="nil"/>
            </w:tcBorders>
            <w:shd w:val="clear" w:color="auto" w:fill="auto"/>
            <w:noWrap/>
            <w:vAlign w:val="center"/>
            <w:hideMark/>
          </w:tcPr>
          <w:p w:rsidR="00D0698C" w:rsidRPr="00D0698C" w:rsidRDefault="00D0698C" w:rsidP="00D0698C">
            <w:pPr>
              <w:ind w:left="0"/>
              <w:rPr>
                <w:rFonts w:ascii="Bookman Old Style" w:hAnsi="Bookman Old Style" w:cs="Calibri"/>
                <w:b/>
                <w:color w:val="000000"/>
                <w:sz w:val="20"/>
                <w:szCs w:val="20"/>
                <w:lang w:val="es-CO" w:eastAsia="es-CO"/>
              </w:rPr>
            </w:pPr>
            <w:r w:rsidRPr="00D0698C">
              <w:rPr>
                <w:rFonts w:ascii="Bookman Old Style" w:hAnsi="Bookman Old Style" w:cs="Calibri"/>
                <w:b/>
                <w:color w:val="000000"/>
                <w:sz w:val="20"/>
                <w:szCs w:val="20"/>
                <w:lang w:val="es-CO" w:eastAsia="es-CO"/>
              </w:rPr>
              <w:t>x</w:t>
            </w:r>
          </w:p>
        </w:tc>
        <w:tc>
          <w:tcPr>
            <w:tcW w:w="1604" w:type="dxa"/>
            <w:tcBorders>
              <w:top w:val="nil"/>
              <w:left w:val="nil"/>
              <w:bottom w:val="nil"/>
              <w:right w:val="nil"/>
            </w:tcBorders>
            <w:shd w:val="clear" w:color="auto" w:fill="auto"/>
            <w:vAlign w:val="bottom"/>
            <w:hideMark/>
          </w:tcPr>
          <w:p w:rsidR="00D0698C" w:rsidRPr="00D0698C" w:rsidRDefault="00D0698C" w:rsidP="00D0698C">
            <w:pPr>
              <w:ind w:left="0"/>
              <w:jc w:val="center"/>
              <w:rPr>
                <w:rFonts w:ascii="Bookman Old Style" w:hAnsi="Bookman Old Style" w:cs="Calibri"/>
                <w:color w:val="000000"/>
                <w:sz w:val="20"/>
                <w:szCs w:val="20"/>
                <w:u w:val="single"/>
                <w:lang w:val="es-CO" w:eastAsia="es-CO"/>
              </w:rPr>
            </w:pPr>
            <w:r w:rsidRPr="00D0698C">
              <w:rPr>
                <w:rFonts w:ascii="Bookman Old Style" w:hAnsi="Bookman Old Style" w:cs="Calibri"/>
                <w:color w:val="000000"/>
                <w:sz w:val="20"/>
                <w:szCs w:val="20"/>
                <w:u w:val="single"/>
                <w:lang w:val="es-CO" w:eastAsia="es-CO"/>
              </w:rPr>
              <w:t>201,67</w:t>
            </w:r>
          </w:p>
        </w:tc>
      </w:tr>
      <w:tr w:rsidR="00D0698C" w:rsidRPr="00F514F1" w:rsidTr="00D0698C">
        <w:trPr>
          <w:trHeight w:val="269"/>
        </w:trPr>
        <w:tc>
          <w:tcPr>
            <w:tcW w:w="1905" w:type="dxa"/>
            <w:vMerge/>
            <w:tcBorders>
              <w:top w:val="nil"/>
              <w:left w:val="nil"/>
              <w:bottom w:val="nil"/>
              <w:right w:val="nil"/>
            </w:tcBorders>
            <w:vAlign w:val="center"/>
            <w:hideMark/>
          </w:tcPr>
          <w:p w:rsidR="00D0698C" w:rsidRPr="00D0698C" w:rsidRDefault="00D0698C" w:rsidP="00D0698C">
            <w:pPr>
              <w:ind w:left="0"/>
              <w:rPr>
                <w:rFonts w:ascii="Bookman Old Style" w:hAnsi="Bookman Old Style" w:cs="Calibri"/>
                <w:color w:val="000000"/>
                <w:sz w:val="20"/>
                <w:szCs w:val="20"/>
                <w:lang w:val="es-CO" w:eastAsia="es-CO"/>
              </w:rPr>
            </w:pPr>
          </w:p>
        </w:tc>
        <w:tc>
          <w:tcPr>
            <w:tcW w:w="496" w:type="dxa"/>
            <w:vMerge/>
            <w:tcBorders>
              <w:top w:val="nil"/>
              <w:left w:val="nil"/>
              <w:bottom w:val="nil"/>
              <w:right w:val="nil"/>
            </w:tcBorders>
            <w:vAlign w:val="center"/>
            <w:hideMark/>
          </w:tcPr>
          <w:p w:rsidR="00D0698C" w:rsidRPr="00D0698C" w:rsidRDefault="00D0698C" w:rsidP="00D0698C">
            <w:pPr>
              <w:ind w:left="0"/>
              <w:rPr>
                <w:rFonts w:ascii="Bookman Old Style" w:hAnsi="Bookman Old Style" w:cs="Calibri"/>
                <w:color w:val="000000"/>
                <w:sz w:val="20"/>
                <w:szCs w:val="20"/>
                <w:lang w:val="es-CO" w:eastAsia="es-CO"/>
              </w:rPr>
            </w:pPr>
          </w:p>
        </w:tc>
        <w:tc>
          <w:tcPr>
            <w:tcW w:w="1994" w:type="dxa"/>
            <w:vMerge/>
            <w:tcBorders>
              <w:top w:val="nil"/>
              <w:left w:val="nil"/>
              <w:bottom w:val="nil"/>
              <w:right w:val="nil"/>
            </w:tcBorders>
            <w:vAlign w:val="center"/>
            <w:hideMark/>
          </w:tcPr>
          <w:p w:rsidR="00D0698C" w:rsidRPr="00D0698C" w:rsidRDefault="00D0698C" w:rsidP="00D0698C">
            <w:pPr>
              <w:ind w:left="0"/>
              <w:rPr>
                <w:rFonts w:ascii="Bookman Old Style" w:hAnsi="Bookman Old Style" w:cs="Calibri"/>
                <w:color w:val="000000"/>
                <w:sz w:val="20"/>
                <w:szCs w:val="20"/>
                <w:lang w:val="es-CO" w:eastAsia="es-CO"/>
              </w:rPr>
            </w:pPr>
          </w:p>
        </w:tc>
        <w:tc>
          <w:tcPr>
            <w:tcW w:w="718" w:type="dxa"/>
            <w:vMerge/>
            <w:tcBorders>
              <w:top w:val="nil"/>
              <w:left w:val="nil"/>
              <w:bottom w:val="nil"/>
              <w:right w:val="nil"/>
            </w:tcBorders>
            <w:vAlign w:val="center"/>
            <w:hideMark/>
          </w:tcPr>
          <w:p w:rsidR="00D0698C" w:rsidRPr="00D0698C" w:rsidRDefault="00D0698C" w:rsidP="00D0698C">
            <w:pPr>
              <w:ind w:left="0"/>
              <w:rPr>
                <w:rFonts w:ascii="Bookman Old Style" w:hAnsi="Bookman Old Style" w:cs="Calibri"/>
                <w:color w:val="000000"/>
                <w:sz w:val="20"/>
                <w:szCs w:val="20"/>
                <w:lang w:val="es-CO" w:eastAsia="es-CO"/>
              </w:rPr>
            </w:pPr>
          </w:p>
        </w:tc>
        <w:tc>
          <w:tcPr>
            <w:tcW w:w="1716" w:type="dxa"/>
            <w:vMerge/>
            <w:tcBorders>
              <w:top w:val="nil"/>
              <w:left w:val="nil"/>
              <w:bottom w:val="nil"/>
              <w:right w:val="nil"/>
            </w:tcBorders>
            <w:vAlign w:val="center"/>
            <w:hideMark/>
          </w:tcPr>
          <w:p w:rsidR="00D0698C" w:rsidRPr="00D0698C" w:rsidRDefault="00D0698C" w:rsidP="00D0698C">
            <w:pPr>
              <w:ind w:left="0"/>
              <w:rPr>
                <w:rFonts w:ascii="Bookman Old Style" w:hAnsi="Bookman Old Style" w:cs="Calibri"/>
                <w:color w:val="000000"/>
                <w:sz w:val="20"/>
                <w:szCs w:val="20"/>
                <w:lang w:val="es-CO" w:eastAsia="es-CO"/>
              </w:rPr>
            </w:pPr>
          </w:p>
        </w:tc>
        <w:tc>
          <w:tcPr>
            <w:tcW w:w="474" w:type="dxa"/>
            <w:vMerge/>
            <w:tcBorders>
              <w:top w:val="nil"/>
              <w:left w:val="nil"/>
              <w:bottom w:val="nil"/>
              <w:right w:val="nil"/>
            </w:tcBorders>
            <w:vAlign w:val="center"/>
            <w:hideMark/>
          </w:tcPr>
          <w:p w:rsidR="00D0698C" w:rsidRPr="00D0698C" w:rsidRDefault="00D0698C" w:rsidP="00D0698C">
            <w:pPr>
              <w:ind w:left="0"/>
              <w:rPr>
                <w:rFonts w:ascii="Bookman Old Style" w:hAnsi="Bookman Old Style" w:cs="Calibri"/>
                <w:b/>
                <w:color w:val="000000"/>
                <w:sz w:val="20"/>
                <w:szCs w:val="20"/>
                <w:lang w:val="es-CO" w:eastAsia="es-CO"/>
              </w:rPr>
            </w:pPr>
          </w:p>
        </w:tc>
        <w:tc>
          <w:tcPr>
            <w:tcW w:w="1604" w:type="dxa"/>
            <w:tcBorders>
              <w:top w:val="nil"/>
              <w:left w:val="nil"/>
              <w:bottom w:val="nil"/>
              <w:right w:val="nil"/>
            </w:tcBorders>
            <w:shd w:val="clear" w:color="auto" w:fill="auto"/>
            <w:noWrap/>
            <w:vAlign w:val="center"/>
            <w:hideMark/>
          </w:tcPr>
          <w:p w:rsidR="00D0698C" w:rsidRPr="00D0698C" w:rsidRDefault="00D0698C" w:rsidP="00D0698C">
            <w:pPr>
              <w:ind w:left="0"/>
              <w:jc w:val="center"/>
              <w:rPr>
                <w:rFonts w:ascii="Bookman Old Style" w:hAnsi="Bookman Old Style" w:cs="Calibri"/>
                <w:color w:val="000000"/>
                <w:sz w:val="20"/>
                <w:szCs w:val="20"/>
                <w:lang w:val="es-CO" w:eastAsia="es-CO"/>
              </w:rPr>
            </w:pPr>
            <w:r w:rsidRPr="00D0698C">
              <w:rPr>
                <w:rFonts w:ascii="Bookman Old Style" w:hAnsi="Bookman Old Style" w:cs="Calibri"/>
                <w:color w:val="000000"/>
                <w:sz w:val="20"/>
                <w:szCs w:val="20"/>
                <w:lang w:val="es-CO" w:eastAsia="es-CO"/>
              </w:rPr>
              <w:t>209,18</w:t>
            </w:r>
          </w:p>
        </w:tc>
      </w:tr>
    </w:tbl>
    <w:p w:rsidR="00D0698C" w:rsidRDefault="00D0698C" w:rsidP="001E360D">
      <w:pPr>
        <w:spacing w:after="200"/>
        <w:ind w:left="0"/>
        <w:contextualSpacing/>
        <w:rPr>
          <w:rFonts w:cs="Arial"/>
          <w:sz w:val="16"/>
          <w:szCs w:val="16"/>
          <w:lang w:val="es-MX"/>
        </w:rPr>
      </w:pPr>
    </w:p>
    <w:p w:rsidR="001E360D" w:rsidRDefault="001E360D" w:rsidP="001E360D">
      <w:pPr>
        <w:spacing w:after="200"/>
        <w:contextualSpacing/>
        <w:rPr>
          <w:rFonts w:cs="Arial"/>
          <w:sz w:val="16"/>
          <w:szCs w:val="16"/>
          <w:lang w:val="es-MX"/>
        </w:rPr>
      </w:pPr>
    </w:p>
    <w:p w:rsidR="005748E9" w:rsidRDefault="005748E9" w:rsidP="006E0F1B">
      <w:pPr>
        <w:ind w:left="0"/>
        <w:jc w:val="both"/>
        <w:rPr>
          <w:rFonts w:ascii="Bookman Old Style" w:hAnsi="Bookman Old Style" w:cs="Arial"/>
        </w:rPr>
      </w:pPr>
      <w:r>
        <w:rPr>
          <w:rFonts w:ascii="Bookman Old Style" w:hAnsi="Bookman Old Style" w:cs="Arial"/>
        </w:rPr>
        <w:t xml:space="preserve">Valor Presente </w:t>
      </w:r>
      <w:r w:rsidR="00482D48">
        <w:rPr>
          <w:rFonts w:ascii="Bookman Old Style" w:hAnsi="Bookman Old Style" w:cs="Arial"/>
        </w:rPr>
        <w:t>PLUS</w:t>
      </w:r>
      <w:r w:rsidR="00482D48" w:rsidRPr="001E4389">
        <w:rPr>
          <w:rFonts w:ascii="Bookman Old Style" w:hAnsi="Bookman Old Style" w:cs="Arial"/>
        </w:rPr>
        <w:t xml:space="preserve"> S.A. E.S.P</w:t>
      </w:r>
      <w:r w:rsidR="00482D48">
        <w:rPr>
          <w:rFonts w:ascii="Bookman Old Style" w:hAnsi="Bookman Old Style" w:cs="Arial"/>
        </w:rPr>
        <w:t xml:space="preserve"> </w:t>
      </w:r>
      <w:r>
        <w:rPr>
          <w:rFonts w:ascii="Bookman Old Style" w:hAnsi="Bookman Old Style" w:cs="Arial"/>
        </w:rPr>
        <w:t xml:space="preserve">= </w:t>
      </w:r>
      <w:r w:rsidR="00952CB0">
        <w:rPr>
          <w:rFonts w:ascii="Bookman Old Style" w:hAnsi="Bookman Old Style" w:cs="Arial"/>
        </w:rPr>
        <w:t>1.346.979.548,89</w:t>
      </w:r>
    </w:p>
    <w:p w:rsidR="005748E9" w:rsidRDefault="005748E9" w:rsidP="006E0F1B">
      <w:pPr>
        <w:ind w:left="0"/>
        <w:jc w:val="both"/>
        <w:rPr>
          <w:rFonts w:ascii="Bookman Old Style" w:hAnsi="Bookman Old Style" w:cs="Arial"/>
        </w:rPr>
      </w:pPr>
    </w:p>
    <w:p w:rsidR="00A50220" w:rsidRPr="002F05A4" w:rsidRDefault="006E0F1B" w:rsidP="006E0F1B">
      <w:pPr>
        <w:ind w:left="0"/>
        <w:jc w:val="both"/>
        <w:rPr>
          <w:rFonts w:ascii="Bookman Old Style" w:hAnsi="Bookman Old Style" w:cs="Arial"/>
        </w:rPr>
      </w:pPr>
      <w:r>
        <w:rPr>
          <w:rFonts w:ascii="Bookman Old Style" w:hAnsi="Bookman Old Style" w:cs="Arial"/>
        </w:rPr>
        <w:t>La Comisión de Regulación de Energía y Gas –CREG, profirió la Resolución CREG-105 del 21 de septiembre de 2012 “Por la cual se ordena hacer público un proyecto de resolución de carácter general”</w:t>
      </w:r>
      <w:r w:rsidR="00E10FCD">
        <w:rPr>
          <w:rFonts w:ascii="Bookman Old Style" w:hAnsi="Bookman Old Style" w:cs="Arial"/>
        </w:rPr>
        <w:t xml:space="preserve"> y cuyo propósito era que las empresas reguladas hicieran sus observaciones y sugerencias en el término de diez (10) días hábiles contados a partir de su publicación, al proyecto de resolución </w:t>
      </w:r>
      <w:r w:rsidR="00E10FCD" w:rsidRPr="002F05A4">
        <w:rPr>
          <w:rFonts w:ascii="Bookman Old Style" w:hAnsi="Bookman Old Style" w:cs="Arial"/>
          <w:i/>
        </w:rPr>
        <w:t>“por el cual se señala el porcentaje de la contribución que deben pagar las entidades sometidas a la regulación de la Comisión de Regulación de Energía y Gas en el año 2012</w:t>
      </w:r>
      <w:r w:rsidR="002F05A4">
        <w:rPr>
          <w:rFonts w:ascii="Bookman Old Style" w:hAnsi="Bookman Old Style" w:cs="Arial"/>
          <w:i/>
        </w:rPr>
        <w:t>.</w:t>
      </w:r>
      <w:r w:rsidR="00E10FCD" w:rsidRPr="002F05A4">
        <w:rPr>
          <w:rFonts w:ascii="Bookman Old Style" w:hAnsi="Bookman Old Style" w:cs="Arial"/>
          <w:i/>
        </w:rPr>
        <w:t>”</w:t>
      </w:r>
      <w:r w:rsidR="00E10FCD" w:rsidRPr="002F05A4">
        <w:rPr>
          <w:rFonts w:ascii="Bookman Old Style" w:hAnsi="Bookman Old Style" w:cs="Arial"/>
        </w:rPr>
        <w:t>.</w:t>
      </w:r>
    </w:p>
    <w:p w:rsidR="00E10FCD" w:rsidRDefault="00E10FCD" w:rsidP="006E0F1B">
      <w:pPr>
        <w:ind w:left="0"/>
        <w:jc w:val="both"/>
        <w:rPr>
          <w:rFonts w:ascii="Bookman Old Style" w:hAnsi="Bookman Old Style" w:cs="Arial"/>
        </w:rPr>
      </w:pPr>
    </w:p>
    <w:p w:rsidR="00E10FCD" w:rsidRDefault="00E10FCD" w:rsidP="006E0F1B">
      <w:pPr>
        <w:ind w:left="0"/>
        <w:jc w:val="both"/>
        <w:rPr>
          <w:rFonts w:ascii="Bookman Old Style" w:hAnsi="Bookman Old Style" w:cs="Arial"/>
        </w:rPr>
      </w:pPr>
      <w:r>
        <w:rPr>
          <w:rFonts w:ascii="Bookman Old Style" w:hAnsi="Bookman Old Style" w:cs="Arial"/>
        </w:rPr>
        <w:t>En el artículo 5 del proyecto de resolución se señaló:</w:t>
      </w:r>
    </w:p>
    <w:p w:rsidR="00E10FCD" w:rsidRDefault="00E10FCD" w:rsidP="006E0F1B">
      <w:pPr>
        <w:ind w:left="0"/>
        <w:jc w:val="both"/>
        <w:rPr>
          <w:rFonts w:ascii="Bookman Old Style" w:hAnsi="Bookman Old Style" w:cs="Arial"/>
        </w:rPr>
      </w:pPr>
    </w:p>
    <w:p w:rsidR="00E10FCD" w:rsidRPr="005F05E0" w:rsidRDefault="00E10FCD" w:rsidP="00EC1A6D">
      <w:pPr>
        <w:ind w:left="284" w:right="425"/>
        <w:jc w:val="both"/>
        <w:rPr>
          <w:rFonts w:ascii="Bookman Old Style" w:hAnsi="Bookman Old Style" w:cs="Arial"/>
          <w:bCs/>
          <w:i/>
          <w:sz w:val="22"/>
          <w:szCs w:val="22"/>
        </w:rPr>
      </w:pPr>
      <w:r w:rsidRPr="005F05E0">
        <w:rPr>
          <w:rFonts w:ascii="Bookman Old Style" w:hAnsi="Bookman Old Style" w:cs="Arial"/>
          <w:i/>
          <w:sz w:val="22"/>
          <w:szCs w:val="22"/>
        </w:rPr>
        <w:t>“</w:t>
      </w:r>
      <w:r w:rsidRPr="005F05E0">
        <w:rPr>
          <w:rFonts w:ascii="Bookman Old Style" w:hAnsi="Bookman Old Style" w:cs="Arial"/>
          <w:b/>
          <w:i/>
          <w:sz w:val="22"/>
          <w:szCs w:val="22"/>
        </w:rPr>
        <w:t xml:space="preserve">ARTÍCULO 5.  </w:t>
      </w:r>
      <w:r w:rsidRPr="005F05E0">
        <w:rPr>
          <w:rFonts w:ascii="Bookman Old Style" w:hAnsi="Bookman Old Style" w:cs="Arial"/>
          <w:bCs/>
          <w:i/>
          <w:sz w:val="22"/>
          <w:szCs w:val="22"/>
        </w:rPr>
        <w:t xml:space="preserve">El monto total de la contribución que deben pagar las entidades sujetas a regulación de la Comisión de Regulación de Energía y Gas, en el año 2012, es del </w:t>
      </w:r>
      <w:r w:rsidRPr="005F05E0">
        <w:rPr>
          <w:rFonts w:ascii="Bookman Old Style" w:hAnsi="Bookman Old Style" w:cs="Arial"/>
          <w:i/>
          <w:color w:val="000000"/>
          <w:sz w:val="22"/>
          <w:szCs w:val="22"/>
        </w:rPr>
        <w:t>0.916%</w:t>
      </w:r>
      <w:r w:rsidRPr="005F05E0">
        <w:rPr>
          <w:rFonts w:ascii="Bookman Old Style" w:hAnsi="Bookman Old Style"/>
          <w:i/>
          <w:color w:val="000000"/>
          <w:sz w:val="22"/>
          <w:szCs w:val="22"/>
        </w:rPr>
        <w:t xml:space="preserve"> </w:t>
      </w:r>
      <w:r w:rsidRPr="005F05E0">
        <w:rPr>
          <w:rFonts w:ascii="Bookman Old Style" w:hAnsi="Bookman Old Style" w:cs="Arial"/>
          <w:bCs/>
          <w:i/>
          <w:sz w:val="22"/>
          <w:szCs w:val="22"/>
        </w:rPr>
        <w:t>del valor de los gastos de funcionamiento de la entidad sujeta a</w:t>
      </w:r>
      <w:r w:rsidRPr="005F05E0">
        <w:rPr>
          <w:rFonts w:ascii="Bookman Old Style" w:hAnsi="Bookman Old Style" w:cs="Arial"/>
          <w:bCs/>
          <w:i/>
          <w:color w:val="000000"/>
          <w:sz w:val="22"/>
          <w:szCs w:val="22"/>
        </w:rPr>
        <w:t xml:space="preserve"> regulación, con</w:t>
      </w:r>
      <w:r w:rsidRPr="005F05E0">
        <w:rPr>
          <w:rFonts w:ascii="Bookman Old Style" w:hAnsi="Bookman Old Style" w:cs="Arial"/>
          <w:bCs/>
          <w:i/>
          <w:sz w:val="22"/>
          <w:szCs w:val="22"/>
        </w:rPr>
        <w:t xml:space="preserve"> exclusión de los factores establecidos en la Ley y en la Jurisprudencia del Consejo de Estado. El monto correspondiente a cada entidad será determinado con base en los estados financieros correspondientes al año de 2011, como lo ordenan las normas vigentes.</w:t>
      </w:r>
      <w:r w:rsidRPr="005F05E0">
        <w:rPr>
          <w:rFonts w:ascii="Bookman Old Style" w:hAnsi="Bookman Old Style" w:cs="Arial"/>
          <w:i/>
          <w:sz w:val="22"/>
          <w:szCs w:val="22"/>
        </w:rPr>
        <w:t>”</w:t>
      </w:r>
    </w:p>
    <w:p w:rsidR="00E10FCD" w:rsidRDefault="00E10FCD" w:rsidP="006E0F1B">
      <w:pPr>
        <w:ind w:left="0"/>
        <w:jc w:val="both"/>
        <w:rPr>
          <w:rFonts w:ascii="Bookman Old Style" w:hAnsi="Bookman Old Style" w:cs="Arial"/>
        </w:rPr>
      </w:pPr>
    </w:p>
    <w:p w:rsidR="00E10FCD" w:rsidRDefault="00E10FCD" w:rsidP="006E0F1B">
      <w:pPr>
        <w:ind w:left="0"/>
        <w:jc w:val="both"/>
        <w:rPr>
          <w:rFonts w:ascii="Bookman Old Style" w:hAnsi="Bookman Old Style" w:cs="Arial"/>
        </w:rPr>
      </w:pPr>
      <w:r>
        <w:rPr>
          <w:rFonts w:ascii="Bookman Old Style" w:hAnsi="Bookman Old Style" w:cs="Arial"/>
        </w:rPr>
        <w:t>La anterior resolución se fundamenta en el Documento CREG-059 de septiembre 21 de 2012, el cual fue publicado con la Resolución CREG-105 y en</w:t>
      </w:r>
      <w:r w:rsidR="000D1DDF">
        <w:rPr>
          <w:rFonts w:ascii="Bookman Old Style" w:hAnsi="Bookman Old Style" w:cs="Arial"/>
        </w:rPr>
        <w:t xml:space="preserve"> el punto 5</w:t>
      </w:r>
      <w:r>
        <w:rPr>
          <w:rFonts w:ascii="Bookman Old Style" w:hAnsi="Bookman Old Style" w:cs="Arial"/>
        </w:rPr>
        <w:t xml:space="preserve"> se señal</w:t>
      </w:r>
      <w:r w:rsidR="000D1DDF">
        <w:rPr>
          <w:rFonts w:ascii="Bookman Old Style" w:hAnsi="Bookman Old Style" w:cs="Arial"/>
        </w:rPr>
        <w:t>ó</w:t>
      </w:r>
      <w:r w:rsidR="00FA7637">
        <w:rPr>
          <w:rFonts w:ascii="Bookman Old Style" w:hAnsi="Bookman Old Style" w:cs="Arial"/>
        </w:rPr>
        <w:t xml:space="preserve"> para la</w:t>
      </w:r>
      <w:r w:rsidR="00FE723F">
        <w:rPr>
          <w:rFonts w:ascii="Bookman Old Style" w:hAnsi="Bookman Old Style" w:cs="Arial"/>
        </w:rPr>
        <w:t xml:space="preserve"> empresa </w:t>
      </w:r>
      <w:r w:rsidR="00FA7637">
        <w:rPr>
          <w:rFonts w:ascii="Bookman Old Style" w:hAnsi="Bookman Old Style" w:cs="Arial"/>
        </w:rPr>
        <w:t xml:space="preserve">PLUS </w:t>
      </w:r>
      <w:r w:rsidR="00FE723F" w:rsidRPr="001E4389">
        <w:rPr>
          <w:rFonts w:ascii="Bookman Old Style" w:hAnsi="Bookman Old Style" w:cs="Arial"/>
        </w:rPr>
        <w:t>S.A E.S.P</w:t>
      </w:r>
      <w:r w:rsidR="00FE723F">
        <w:rPr>
          <w:rFonts w:ascii="Bookman Old Style" w:hAnsi="Bookman Old Style" w:cs="Arial"/>
        </w:rPr>
        <w:t xml:space="preserve"> la siguiente base de liquidación:</w:t>
      </w:r>
    </w:p>
    <w:p w:rsidR="000D1DDF" w:rsidRDefault="000D1DDF" w:rsidP="006E0F1B">
      <w:pPr>
        <w:ind w:left="0"/>
        <w:jc w:val="both"/>
        <w:rPr>
          <w:rFonts w:ascii="Bookman Old Style" w:hAnsi="Bookman Old Style" w:cs="Arial"/>
        </w:rPr>
      </w:pPr>
    </w:p>
    <w:p w:rsidR="005F05E0" w:rsidRDefault="005F05E0" w:rsidP="006E0F1B">
      <w:pPr>
        <w:ind w:left="0"/>
        <w:jc w:val="both"/>
        <w:rPr>
          <w:rFonts w:ascii="Bookman Old Style" w:hAnsi="Bookman Old Style" w:cs="Arial"/>
        </w:rPr>
      </w:pPr>
    </w:p>
    <w:p w:rsidR="005F05E0" w:rsidRDefault="005F05E0" w:rsidP="006E0F1B">
      <w:pPr>
        <w:ind w:left="0"/>
        <w:jc w:val="both"/>
        <w:rPr>
          <w:rFonts w:ascii="Bookman Old Style" w:hAnsi="Bookman Old Style" w:cs="Arial"/>
        </w:rPr>
      </w:pPr>
    </w:p>
    <w:tbl>
      <w:tblPr>
        <w:tblW w:w="7616" w:type="dxa"/>
        <w:jc w:val="center"/>
        <w:tblInd w:w="60" w:type="dxa"/>
        <w:tblCellMar>
          <w:left w:w="70" w:type="dxa"/>
          <w:right w:w="70" w:type="dxa"/>
        </w:tblCellMar>
        <w:tblLook w:val="04A0" w:firstRow="1" w:lastRow="0" w:firstColumn="1" w:lastColumn="0" w:noHBand="0" w:noVBand="1"/>
      </w:tblPr>
      <w:tblGrid>
        <w:gridCol w:w="1507"/>
        <w:gridCol w:w="864"/>
        <w:gridCol w:w="1904"/>
        <w:gridCol w:w="1885"/>
        <w:gridCol w:w="1456"/>
      </w:tblGrid>
      <w:tr w:rsidR="00FA7637" w:rsidRPr="00FA7637" w:rsidTr="00FA7637">
        <w:trPr>
          <w:trHeight w:val="285"/>
          <w:jc w:val="center"/>
        </w:trPr>
        <w:tc>
          <w:tcPr>
            <w:tcW w:w="1538" w:type="dxa"/>
            <w:tcBorders>
              <w:top w:val="single" w:sz="8" w:space="0" w:color="auto"/>
              <w:left w:val="single" w:sz="8" w:space="0" w:color="auto"/>
              <w:bottom w:val="single" w:sz="8" w:space="0" w:color="auto"/>
              <w:right w:val="single" w:sz="8" w:space="0" w:color="auto"/>
            </w:tcBorders>
            <w:shd w:val="clear" w:color="000000" w:fill="1F497D"/>
            <w:vAlign w:val="center"/>
            <w:hideMark/>
          </w:tcPr>
          <w:p w:rsidR="00FA7637" w:rsidRPr="00FA7637" w:rsidRDefault="00FA7637" w:rsidP="00FA7637">
            <w:pPr>
              <w:ind w:left="0"/>
              <w:jc w:val="center"/>
              <w:rPr>
                <w:rFonts w:ascii="Bookman Old Style" w:hAnsi="Bookman Old Style" w:cs="Calibri"/>
                <w:b/>
                <w:bCs/>
                <w:color w:val="FFFFFF"/>
                <w:sz w:val="20"/>
                <w:szCs w:val="20"/>
                <w:lang w:val="es-CO" w:eastAsia="es-CO"/>
              </w:rPr>
            </w:pPr>
            <w:r w:rsidRPr="00FA7637">
              <w:rPr>
                <w:rFonts w:ascii="Bookman Old Style" w:hAnsi="Bookman Old Style" w:cs="Calibri"/>
                <w:b/>
                <w:bCs/>
                <w:color w:val="FFFFFF"/>
                <w:sz w:val="20"/>
                <w:szCs w:val="20"/>
                <w:lang w:val="es-CO" w:eastAsia="es-CO"/>
              </w:rPr>
              <w:t>Empresa</w:t>
            </w:r>
          </w:p>
        </w:tc>
        <w:tc>
          <w:tcPr>
            <w:tcW w:w="868" w:type="dxa"/>
            <w:tcBorders>
              <w:top w:val="single" w:sz="8" w:space="0" w:color="auto"/>
              <w:left w:val="nil"/>
              <w:bottom w:val="single" w:sz="8" w:space="0" w:color="auto"/>
              <w:right w:val="single" w:sz="8" w:space="0" w:color="auto"/>
            </w:tcBorders>
            <w:shd w:val="clear" w:color="000000" w:fill="1F497D"/>
            <w:vAlign w:val="center"/>
            <w:hideMark/>
          </w:tcPr>
          <w:p w:rsidR="00FA7637" w:rsidRPr="00FA7637" w:rsidRDefault="00FA7637" w:rsidP="00FA7637">
            <w:pPr>
              <w:ind w:left="0"/>
              <w:jc w:val="center"/>
              <w:rPr>
                <w:rFonts w:ascii="Bookman Old Style" w:hAnsi="Bookman Old Style" w:cs="Calibri"/>
                <w:b/>
                <w:bCs/>
                <w:color w:val="FFFFFF"/>
                <w:sz w:val="20"/>
                <w:szCs w:val="20"/>
                <w:lang w:val="es-CO" w:eastAsia="es-CO"/>
              </w:rPr>
            </w:pPr>
            <w:r w:rsidRPr="00FA7637">
              <w:rPr>
                <w:rFonts w:ascii="Bookman Old Style" w:hAnsi="Bookman Old Style" w:cs="Calibri"/>
                <w:b/>
                <w:bCs/>
                <w:color w:val="FFFFFF"/>
                <w:sz w:val="20"/>
                <w:szCs w:val="20"/>
                <w:lang w:val="es-CO" w:eastAsia="es-CO"/>
              </w:rPr>
              <w:t>Sector</w:t>
            </w:r>
          </w:p>
        </w:tc>
        <w:tc>
          <w:tcPr>
            <w:tcW w:w="1940" w:type="dxa"/>
            <w:tcBorders>
              <w:top w:val="single" w:sz="8" w:space="0" w:color="auto"/>
              <w:left w:val="nil"/>
              <w:bottom w:val="single" w:sz="8" w:space="0" w:color="auto"/>
              <w:right w:val="single" w:sz="8" w:space="0" w:color="auto"/>
            </w:tcBorders>
            <w:shd w:val="clear" w:color="000000" w:fill="1F497D"/>
            <w:vAlign w:val="center"/>
            <w:hideMark/>
          </w:tcPr>
          <w:p w:rsidR="00FA7637" w:rsidRPr="00FA7637" w:rsidRDefault="00FA7637" w:rsidP="00FA7637">
            <w:pPr>
              <w:ind w:left="0"/>
              <w:jc w:val="center"/>
              <w:rPr>
                <w:rFonts w:ascii="Bookman Old Style" w:hAnsi="Bookman Old Style" w:cs="Calibri"/>
                <w:b/>
                <w:bCs/>
                <w:color w:val="FFFFFF"/>
                <w:sz w:val="20"/>
                <w:szCs w:val="20"/>
                <w:lang w:val="es-CO" w:eastAsia="es-CO"/>
              </w:rPr>
            </w:pPr>
            <w:r w:rsidRPr="00FA7637">
              <w:rPr>
                <w:rFonts w:ascii="Bookman Old Style" w:hAnsi="Bookman Old Style" w:cs="Calibri"/>
                <w:b/>
                <w:bCs/>
                <w:color w:val="FFFFFF"/>
                <w:sz w:val="20"/>
                <w:szCs w:val="20"/>
                <w:lang w:val="es-CO" w:eastAsia="es-CO"/>
              </w:rPr>
              <w:t>NIT</w:t>
            </w:r>
          </w:p>
        </w:tc>
        <w:tc>
          <w:tcPr>
            <w:tcW w:w="1810" w:type="dxa"/>
            <w:tcBorders>
              <w:top w:val="single" w:sz="8" w:space="0" w:color="auto"/>
              <w:left w:val="nil"/>
              <w:bottom w:val="single" w:sz="8" w:space="0" w:color="auto"/>
              <w:right w:val="single" w:sz="8" w:space="0" w:color="auto"/>
            </w:tcBorders>
            <w:shd w:val="clear" w:color="000000" w:fill="1F497D"/>
            <w:vAlign w:val="center"/>
            <w:hideMark/>
          </w:tcPr>
          <w:p w:rsidR="00FA7637" w:rsidRPr="00FA7637" w:rsidRDefault="00FA7637" w:rsidP="00FA7637">
            <w:pPr>
              <w:ind w:left="0"/>
              <w:jc w:val="center"/>
              <w:rPr>
                <w:rFonts w:ascii="Bookman Old Style" w:hAnsi="Bookman Old Style" w:cs="Calibri"/>
                <w:b/>
                <w:bCs/>
                <w:color w:val="FFFFFF"/>
                <w:sz w:val="20"/>
                <w:szCs w:val="20"/>
                <w:lang w:val="es-CO" w:eastAsia="es-CO"/>
              </w:rPr>
            </w:pPr>
            <w:r w:rsidRPr="00FA7637">
              <w:rPr>
                <w:rFonts w:ascii="Bookman Old Style" w:hAnsi="Bookman Old Style" w:cs="Calibri"/>
                <w:b/>
                <w:bCs/>
                <w:color w:val="FFFFFF"/>
                <w:sz w:val="20"/>
                <w:szCs w:val="20"/>
                <w:lang w:val="es-CO" w:eastAsia="es-CO"/>
              </w:rPr>
              <w:t>base de Liquidación</w:t>
            </w:r>
          </w:p>
        </w:tc>
        <w:tc>
          <w:tcPr>
            <w:tcW w:w="1460" w:type="dxa"/>
            <w:tcBorders>
              <w:top w:val="single" w:sz="8" w:space="0" w:color="auto"/>
              <w:left w:val="nil"/>
              <w:bottom w:val="single" w:sz="8" w:space="0" w:color="auto"/>
              <w:right w:val="single" w:sz="8" w:space="0" w:color="auto"/>
            </w:tcBorders>
            <w:shd w:val="clear" w:color="000000" w:fill="1F497D"/>
            <w:vAlign w:val="center"/>
            <w:hideMark/>
          </w:tcPr>
          <w:p w:rsidR="00FA7637" w:rsidRPr="00FA7637" w:rsidRDefault="00FA7637" w:rsidP="00FA7637">
            <w:pPr>
              <w:ind w:left="0"/>
              <w:jc w:val="center"/>
              <w:rPr>
                <w:rFonts w:ascii="Bookman Old Style" w:hAnsi="Bookman Old Style" w:cs="Calibri"/>
                <w:b/>
                <w:bCs/>
                <w:color w:val="FFFFFF"/>
                <w:sz w:val="20"/>
                <w:szCs w:val="20"/>
                <w:lang w:val="es-CO" w:eastAsia="es-CO"/>
              </w:rPr>
            </w:pPr>
            <w:r w:rsidRPr="00FA7637">
              <w:rPr>
                <w:rFonts w:ascii="Bookman Old Style" w:hAnsi="Bookman Old Style" w:cs="Calibri"/>
                <w:b/>
                <w:bCs/>
                <w:color w:val="FFFFFF"/>
                <w:sz w:val="20"/>
                <w:szCs w:val="20"/>
                <w:lang w:val="es-CO" w:eastAsia="es-CO"/>
              </w:rPr>
              <w:t>tipo de información</w:t>
            </w:r>
          </w:p>
        </w:tc>
      </w:tr>
      <w:tr w:rsidR="00FA7637" w:rsidRPr="00FA7637" w:rsidTr="00FA7637">
        <w:trPr>
          <w:trHeight w:val="377"/>
          <w:jc w:val="center"/>
        </w:trPr>
        <w:tc>
          <w:tcPr>
            <w:tcW w:w="1538" w:type="dxa"/>
            <w:tcBorders>
              <w:top w:val="nil"/>
              <w:left w:val="single" w:sz="8" w:space="0" w:color="auto"/>
              <w:bottom w:val="single" w:sz="8" w:space="0" w:color="auto"/>
              <w:right w:val="single" w:sz="8" w:space="0" w:color="auto"/>
            </w:tcBorders>
            <w:shd w:val="clear" w:color="auto" w:fill="auto"/>
            <w:vAlign w:val="center"/>
            <w:hideMark/>
          </w:tcPr>
          <w:p w:rsidR="00FA7637" w:rsidRPr="00FA7637" w:rsidRDefault="00FA7637" w:rsidP="00FA7637">
            <w:pPr>
              <w:ind w:left="0"/>
              <w:rPr>
                <w:rFonts w:ascii="Bookman Old Style" w:hAnsi="Bookman Old Style" w:cs="Calibri"/>
                <w:color w:val="000000"/>
                <w:sz w:val="20"/>
                <w:szCs w:val="20"/>
                <w:lang w:val="es-CO" w:eastAsia="es-CO"/>
              </w:rPr>
            </w:pPr>
            <w:r w:rsidRPr="00FA7637">
              <w:rPr>
                <w:rFonts w:ascii="Bookman Old Style" w:hAnsi="Bookman Old Style" w:cs="Calibri"/>
                <w:color w:val="000000"/>
                <w:sz w:val="20"/>
                <w:szCs w:val="20"/>
                <w:lang w:val="es-CO" w:eastAsia="es-CO"/>
              </w:rPr>
              <w:t>PLUS S.A. E.S.P.</w:t>
            </w:r>
          </w:p>
        </w:tc>
        <w:tc>
          <w:tcPr>
            <w:tcW w:w="868" w:type="dxa"/>
            <w:tcBorders>
              <w:top w:val="nil"/>
              <w:left w:val="nil"/>
              <w:bottom w:val="single" w:sz="8" w:space="0" w:color="auto"/>
              <w:right w:val="single" w:sz="8" w:space="0" w:color="auto"/>
            </w:tcBorders>
            <w:shd w:val="clear" w:color="auto" w:fill="auto"/>
            <w:vAlign w:val="center"/>
            <w:hideMark/>
          </w:tcPr>
          <w:p w:rsidR="00FA7637" w:rsidRPr="00FA7637" w:rsidRDefault="00FA7637" w:rsidP="00FA7637">
            <w:pPr>
              <w:ind w:left="0"/>
              <w:rPr>
                <w:rFonts w:ascii="Bookman Old Style" w:hAnsi="Bookman Old Style" w:cs="Calibri"/>
                <w:color w:val="000000"/>
                <w:sz w:val="20"/>
                <w:szCs w:val="20"/>
                <w:lang w:val="es-CO" w:eastAsia="es-CO"/>
              </w:rPr>
            </w:pPr>
            <w:r w:rsidRPr="00FA7637">
              <w:rPr>
                <w:rFonts w:ascii="Bookman Old Style" w:hAnsi="Bookman Old Style" w:cs="Calibri"/>
                <w:color w:val="000000"/>
                <w:sz w:val="20"/>
                <w:szCs w:val="20"/>
                <w:lang w:val="es-CO" w:eastAsia="es-CO"/>
              </w:rPr>
              <w:t>GLP</w:t>
            </w:r>
          </w:p>
        </w:tc>
        <w:tc>
          <w:tcPr>
            <w:tcW w:w="1940" w:type="dxa"/>
            <w:tcBorders>
              <w:top w:val="nil"/>
              <w:left w:val="nil"/>
              <w:bottom w:val="single" w:sz="8" w:space="0" w:color="auto"/>
              <w:right w:val="single" w:sz="8" w:space="0" w:color="auto"/>
            </w:tcBorders>
            <w:shd w:val="clear" w:color="auto" w:fill="auto"/>
            <w:vAlign w:val="center"/>
            <w:hideMark/>
          </w:tcPr>
          <w:p w:rsidR="00FA7637" w:rsidRPr="00FA7637" w:rsidRDefault="00FA7637" w:rsidP="00FA7637">
            <w:pPr>
              <w:ind w:left="0"/>
              <w:jc w:val="center"/>
              <w:rPr>
                <w:rFonts w:ascii="Bookman Old Style" w:hAnsi="Bookman Old Style" w:cs="Calibri"/>
                <w:color w:val="000000"/>
                <w:sz w:val="20"/>
                <w:szCs w:val="20"/>
                <w:lang w:val="es-CO" w:eastAsia="es-CO"/>
              </w:rPr>
            </w:pPr>
            <w:r w:rsidRPr="00FA7637">
              <w:rPr>
                <w:rFonts w:ascii="Bookman Old Style" w:hAnsi="Bookman Old Style" w:cs="Calibri"/>
                <w:color w:val="000000"/>
                <w:sz w:val="20"/>
                <w:szCs w:val="20"/>
                <w:lang w:val="es-CO" w:eastAsia="es-CO"/>
              </w:rPr>
              <w:t>8300549132</w:t>
            </w:r>
          </w:p>
        </w:tc>
        <w:tc>
          <w:tcPr>
            <w:tcW w:w="1810" w:type="dxa"/>
            <w:tcBorders>
              <w:top w:val="nil"/>
              <w:left w:val="nil"/>
              <w:bottom w:val="single" w:sz="8" w:space="0" w:color="auto"/>
              <w:right w:val="single" w:sz="8" w:space="0" w:color="auto"/>
            </w:tcBorders>
            <w:shd w:val="clear" w:color="auto" w:fill="auto"/>
            <w:vAlign w:val="center"/>
            <w:hideMark/>
          </w:tcPr>
          <w:p w:rsidR="00FA7637" w:rsidRPr="00FA7637" w:rsidRDefault="00FA7637" w:rsidP="00FA7637">
            <w:pPr>
              <w:ind w:left="0"/>
              <w:rPr>
                <w:rFonts w:ascii="Bookman Old Style" w:hAnsi="Bookman Old Style" w:cs="Calibri"/>
                <w:color w:val="000000"/>
                <w:sz w:val="20"/>
                <w:szCs w:val="20"/>
                <w:lang w:val="es-CO" w:eastAsia="es-CO"/>
              </w:rPr>
            </w:pPr>
            <w:r w:rsidRPr="00FA7637">
              <w:rPr>
                <w:rFonts w:ascii="Bookman Old Style" w:hAnsi="Bookman Old Style" w:cs="Calibri"/>
                <w:color w:val="000000"/>
                <w:sz w:val="20"/>
                <w:szCs w:val="20"/>
                <w:lang w:val="es-CO" w:eastAsia="es-CO"/>
              </w:rPr>
              <w:t>1.346.979.548,89</w:t>
            </w:r>
          </w:p>
        </w:tc>
        <w:tc>
          <w:tcPr>
            <w:tcW w:w="1460" w:type="dxa"/>
            <w:tcBorders>
              <w:top w:val="nil"/>
              <w:left w:val="nil"/>
              <w:bottom w:val="single" w:sz="8" w:space="0" w:color="auto"/>
              <w:right w:val="single" w:sz="8" w:space="0" w:color="auto"/>
            </w:tcBorders>
            <w:shd w:val="clear" w:color="auto" w:fill="auto"/>
            <w:vAlign w:val="center"/>
            <w:hideMark/>
          </w:tcPr>
          <w:p w:rsidR="00FA7637" w:rsidRPr="00FA7637" w:rsidRDefault="00FA7637" w:rsidP="00FA7637">
            <w:pPr>
              <w:ind w:left="0"/>
              <w:jc w:val="center"/>
              <w:rPr>
                <w:rFonts w:ascii="Bookman Old Style" w:hAnsi="Bookman Old Style" w:cs="Calibri"/>
                <w:color w:val="000000"/>
                <w:sz w:val="20"/>
                <w:szCs w:val="20"/>
                <w:lang w:val="es-CO" w:eastAsia="es-CO"/>
              </w:rPr>
            </w:pPr>
            <w:r w:rsidRPr="00FA7637">
              <w:rPr>
                <w:rFonts w:ascii="Bookman Old Style" w:hAnsi="Bookman Old Style" w:cs="Calibri"/>
                <w:color w:val="000000"/>
                <w:sz w:val="20"/>
                <w:szCs w:val="20"/>
                <w:lang w:val="es-CO" w:eastAsia="es-CO"/>
              </w:rPr>
              <w:t>4</w:t>
            </w:r>
          </w:p>
        </w:tc>
      </w:tr>
    </w:tbl>
    <w:p w:rsidR="00FE723F" w:rsidRDefault="00FE723F" w:rsidP="00FE723F">
      <w:pPr>
        <w:ind w:left="0"/>
        <w:jc w:val="center"/>
        <w:rPr>
          <w:rFonts w:ascii="Bookman Old Style" w:hAnsi="Bookman Old Style" w:cs="Arial"/>
        </w:rPr>
      </w:pPr>
    </w:p>
    <w:p w:rsidR="00FE723F" w:rsidRPr="00CB1C0B" w:rsidRDefault="00CB1C0B" w:rsidP="006E0F1B">
      <w:pPr>
        <w:ind w:left="0"/>
        <w:jc w:val="both"/>
        <w:rPr>
          <w:rFonts w:ascii="Bookman Old Style" w:hAnsi="Bookman Old Style" w:cs="Arial"/>
        </w:rPr>
      </w:pPr>
      <w:r w:rsidRPr="00CB1C0B">
        <w:rPr>
          <w:rFonts w:ascii="Bookman Old Style" w:hAnsi="Bookman Old Style" w:cs="Arial"/>
        </w:rPr>
        <w:t xml:space="preserve">Tipo de información 4 corresponde a </w:t>
      </w:r>
      <w:r w:rsidR="009F4CD4">
        <w:rPr>
          <w:rFonts w:ascii="Bookman Old Style" w:hAnsi="Bookman Old Style" w:cs="Calibri"/>
          <w:color w:val="000000"/>
          <w:lang w:eastAsia="es-CO"/>
        </w:rPr>
        <w:t>i</w:t>
      </w:r>
      <w:r w:rsidRPr="00CB1C0B">
        <w:rPr>
          <w:rFonts w:ascii="Bookman Old Style" w:hAnsi="Bookman Old Style" w:cs="Calibri"/>
          <w:color w:val="000000"/>
          <w:lang w:eastAsia="es-CO"/>
        </w:rPr>
        <w:t xml:space="preserve">nformación </w:t>
      </w:r>
      <w:r w:rsidR="009F4CD4">
        <w:rPr>
          <w:rFonts w:ascii="Bookman Old Style" w:hAnsi="Bookman Old Style" w:cs="Calibri"/>
          <w:color w:val="000000"/>
          <w:lang w:eastAsia="es-CO"/>
        </w:rPr>
        <w:t xml:space="preserve">actualizada a </w:t>
      </w:r>
      <w:r w:rsidRPr="00CB1C0B">
        <w:rPr>
          <w:rFonts w:ascii="Bookman Old Style" w:hAnsi="Bookman Old Style" w:cs="Calibri"/>
          <w:color w:val="000000"/>
          <w:lang w:eastAsia="es-CO"/>
        </w:rPr>
        <w:t xml:space="preserve">valor presente </w:t>
      </w:r>
    </w:p>
    <w:p w:rsidR="00FA7637" w:rsidRDefault="00FA7637" w:rsidP="00D63F9E">
      <w:pPr>
        <w:ind w:left="0"/>
        <w:jc w:val="both"/>
        <w:rPr>
          <w:rFonts w:ascii="Bookman Old Style" w:hAnsi="Bookman Old Style" w:cs="Arial"/>
        </w:rPr>
      </w:pPr>
    </w:p>
    <w:p w:rsidR="00FA7637" w:rsidRDefault="00FA7637" w:rsidP="00FA7637">
      <w:pPr>
        <w:ind w:left="0"/>
        <w:jc w:val="both"/>
        <w:rPr>
          <w:rFonts w:ascii="Bookman Old Style" w:hAnsi="Bookman Old Style" w:cs="Arial"/>
          <w:noProof/>
        </w:rPr>
      </w:pPr>
      <w:r>
        <w:rPr>
          <w:rFonts w:ascii="Bookman Old Style" w:hAnsi="Bookman Old Style" w:cs="Arial"/>
          <w:noProof/>
        </w:rPr>
        <w:t xml:space="preserve">Con base en lo anterior, teniendo en cuenta el nuevo factor, se determinó que la </w:t>
      </w:r>
      <w:r>
        <w:rPr>
          <w:rFonts w:ascii="Bookman Old Style" w:hAnsi="Bookman Old Style" w:cs="Arial"/>
        </w:rPr>
        <w:t xml:space="preserve">empresa PLUS </w:t>
      </w:r>
      <w:r w:rsidRPr="001E4389">
        <w:rPr>
          <w:rFonts w:ascii="Bookman Old Style" w:hAnsi="Bookman Old Style" w:cs="Arial"/>
        </w:rPr>
        <w:t>S.A E.S.P</w:t>
      </w:r>
      <w:r>
        <w:rPr>
          <w:rFonts w:ascii="Bookman Old Style" w:hAnsi="Bookman Old Style" w:cs="Arial"/>
          <w:noProof/>
        </w:rPr>
        <w:t xml:space="preserve"> debía pagar la suma de DOCE MILLONES TRESCIENTOS TREINTA MIL DOSCIENTOS CINCUENTA Y UN PESOS ($ 12.330.251) M/CTE, por concepto de la contribución especial para el año 2012, y el cual se señaló en la resolución CREG-119 de 2012, y se obtuvo de la aplicación de la siguiente fórmula:</w:t>
      </w:r>
    </w:p>
    <w:tbl>
      <w:tblPr>
        <w:tblW w:w="9430" w:type="dxa"/>
        <w:tblCellMar>
          <w:left w:w="70" w:type="dxa"/>
          <w:right w:w="70" w:type="dxa"/>
        </w:tblCellMar>
        <w:tblLook w:val="04A0" w:firstRow="1" w:lastRow="0" w:firstColumn="1" w:lastColumn="0" w:noHBand="0" w:noVBand="1"/>
      </w:tblPr>
      <w:tblGrid>
        <w:gridCol w:w="3198"/>
        <w:gridCol w:w="416"/>
        <w:gridCol w:w="2697"/>
        <w:gridCol w:w="451"/>
        <w:gridCol w:w="2668"/>
      </w:tblGrid>
      <w:tr w:rsidR="00FA7637" w:rsidRPr="00F514F1" w:rsidTr="00545C7C">
        <w:trPr>
          <w:trHeight w:val="315"/>
        </w:trPr>
        <w:tc>
          <w:tcPr>
            <w:tcW w:w="3198" w:type="dxa"/>
            <w:vMerge w:val="restart"/>
            <w:tcBorders>
              <w:top w:val="nil"/>
              <w:left w:val="nil"/>
              <w:bottom w:val="nil"/>
              <w:right w:val="nil"/>
            </w:tcBorders>
            <w:shd w:val="clear" w:color="auto" w:fill="auto"/>
            <w:vAlign w:val="center"/>
            <w:hideMark/>
          </w:tcPr>
          <w:p w:rsidR="00FA7637" w:rsidRPr="00561715" w:rsidRDefault="00FA7637" w:rsidP="00545C7C">
            <w:pPr>
              <w:ind w:left="0"/>
              <w:jc w:val="center"/>
              <w:rPr>
                <w:rFonts w:ascii="Bookman Old Style" w:hAnsi="Bookman Old Style" w:cs="Calibri"/>
                <w:color w:val="000000"/>
                <w:sz w:val="20"/>
                <w:szCs w:val="20"/>
                <w:lang w:val="es-CO" w:eastAsia="es-CO"/>
              </w:rPr>
            </w:pPr>
            <w:r w:rsidRPr="00561715">
              <w:rPr>
                <w:rFonts w:ascii="Bookman Old Style" w:hAnsi="Bookman Old Style" w:cs="Calibri"/>
                <w:color w:val="000000"/>
                <w:sz w:val="20"/>
                <w:szCs w:val="20"/>
                <w:lang w:val="es-CO" w:eastAsia="es-CO"/>
              </w:rPr>
              <w:t>Valor Presente 2012</w:t>
            </w:r>
          </w:p>
        </w:tc>
        <w:tc>
          <w:tcPr>
            <w:tcW w:w="416" w:type="dxa"/>
            <w:vMerge w:val="restart"/>
            <w:tcBorders>
              <w:top w:val="nil"/>
              <w:left w:val="nil"/>
              <w:bottom w:val="nil"/>
              <w:right w:val="nil"/>
            </w:tcBorders>
            <w:shd w:val="clear" w:color="auto" w:fill="auto"/>
            <w:vAlign w:val="center"/>
            <w:hideMark/>
          </w:tcPr>
          <w:p w:rsidR="00FA7637" w:rsidRPr="00561715" w:rsidRDefault="00FA7637" w:rsidP="00545C7C">
            <w:pPr>
              <w:ind w:left="0"/>
              <w:rPr>
                <w:rFonts w:ascii="Bookman Old Style" w:hAnsi="Bookman Old Style" w:cs="Calibri"/>
                <w:color w:val="000000"/>
                <w:sz w:val="20"/>
                <w:szCs w:val="20"/>
                <w:lang w:val="es-CO" w:eastAsia="es-CO"/>
              </w:rPr>
            </w:pPr>
            <w:r w:rsidRPr="00561715">
              <w:rPr>
                <w:rFonts w:ascii="Bookman Old Style" w:hAnsi="Bookman Old Style" w:cs="Calibri"/>
                <w:color w:val="000000"/>
                <w:sz w:val="20"/>
                <w:szCs w:val="20"/>
                <w:lang w:val="es-CO" w:eastAsia="es-CO"/>
              </w:rPr>
              <w:t>X</w:t>
            </w:r>
          </w:p>
        </w:tc>
        <w:tc>
          <w:tcPr>
            <w:tcW w:w="2697" w:type="dxa"/>
            <w:vMerge w:val="restart"/>
            <w:tcBorders>
              <w:top w:val="nil"/>
              <w:left w:val="nil"/>
              <w:bottom w:val="nil"/>
              <w:right w:val="nil"/>
            </w:tcBorders>
            <w:shd w:val="clear" w:color="auto" w:fill="auto"/>
            <w:vAlign w:val="center"/>
            <w:hideMark/>
          </w:tcPr>
          <w:p w:rsidR="00FA7637" w:rsidRPr="00561715" w:rsidRDefault="00FA7637" w:rsidP="00545C7C">
            <w:pPr>
              <w:ind w:left="0"/>
              <w:jc w:val="center"/>
              <w:rPr>
                <w:rFonts w:ascii="Bookman Old Style" w:hAnsi="Bookman Old Style" w:cs="Calibri"/>
                <w:color w:val="000000"/>
                <w:sz w:val="20"/>
                <w:szCs w:val="20"/>
                <w:lang w:val="es-CO" w:eastAsia="es-CO"/>
              </w:rPr>
            </w:pPr>
            <w:r w:rsidRPr="00561715">
              <w:rPr>
                <w:rFonts w:ascii="Bookman Old Style" w:hAnsi="Bookman Old Style" w:cs="Calibri"/>
                <w:color w:val="000000"/>
                <w:sz w:val="20"/>
                <w:szCs w:val="20"/>
                <w:lang w:val="es-CO" w:eastAsia="es-CO"/>
              </w:rPr>
              <w:t xml:space="preserve">Porcentaje </w:t>
            </w:r>
            <w:r w:rsidRPr="00F514F1">
              <w:rPr>
                <w:rFonts w:ascii="Bookman Old Style" w:hAnsi="Bookman Old Style" w:cs="Calibri"/>
                <w:color w:val="000000"/>
                <w:sz w:val="20"/>
                <w:szCs w:val="20"/>
                <w:lang w:val="es-CO" w:eastAsia="es-CO"/>
              </w:rPr>
              <w:t>Contribución</w:t>
            </w:r>
            <w:r w:rsidRPr="00561715">
              <w:rPr>
                <w:rFonts w:ascii="Bookman Old Style" w:hAnsi="Bookman Old Style" w:cs="Calibri"/>
                <w:color w:val="000000"/>
                <w:sz w:val="20"/>
                <w:szCs w:val="20"/>
                <w:lang w:val="es-CO" w:eastAsia="es-CO"/>
              </w:rPr>
              <w:t xml:space="preserve"> 2012</w:t>
            </w:r>
          </w:p>
        </w:tc>
        <w:tc>
          <w:tcPr>
            <w:tcW w:w="451" w:type="dxa"/>
            <w:vMerge w:val="restart"/>
            <w:tcBorders>
              <w:top w:val="nil"/>
              <w:left w:val="nil"/>
              <w:bottom w:val="nil"/>
              <w:right w:val="nil"/>
            </w:tcBorders>
            <w:shd w:val="clear" w:color="auto" w:fill="auto"/>
            <w:noWrap/>
            <w:vAlign w:val="center"/>
            <w:hideMark/>
          </w:tcPr>
          <w:p w:rsidR="00FA7637" w:rsidRPr="00561715" w:rsidRDefault="00FA7637" w:rsidP="00545C7C">
            <w:pPr>
              <w:ind w:left="0"/>
              <w:rPr>
                <w:rFonts w:ascii="Bookman Old Style" w:hAnsi="Bookman Old Style" w:cs="Calibri"/>
                <w:color w:val="000000"/>
                <w:sz w:val="20"/>
                <w:szCs w:val="20"/>
                <w:lang w:val="es-CO" w:eastAsia="es-CO"/>
              </w:rPr>
            </w:pPr>
            <w:r w:rsidRPr="00561715">
              <w:rPr>
                <w:rFonts w:ascii="Bookman Old Style" w:hAnsi="Bookman Old Style" w:cs="Calibri"/>
                <w:color w:val="000000"/>
                <w:sz w:val="20"/>
                <w:szCs w:val="20"/>
                <w:lang w:val="es-CO" w:eastAsia="es-CO"/>
              </w:rPr>
              <w:t xml:space="preserve"> =</w:t>
            </w:r>
          </w:p>
        </w:tc>
        <w:tc>
          <w:tcPr>
            <w:tcW w:w="2668" w:type="dxa"/>
            <w:vMerge w:val="restart"/>
            <w:tcBorders>
              <w:top w:val="nil"/>
              <w:left w:val="nil"/>
              <w:bottom w:val="nil"/>
              <w:right w:val="nil"/>
            </w:tcBorders>
            <w:shd w:val="clear" w:color="auto" w:fill="auto"/>
            <w:vAlign w:val="center"/>
            <w:hideMark/>
          </w:tcPr>
          <w:p w:rsidR="00FA7637" w:rsidRPr="00561715" w:rsidRDefault="00FA7637" w:rsidP="00545C7C">
            <w:pPr>
              <w:ind w:left="0"/>
              <w:jc w:val="center"/>
              <w:rPr>
                <w:rFonts w:ascii="Bookman Old Style" w:hAnsi="Bookman Old Style" w:cs="Calibri"/>
                <w:color w:val="000000"/>
                <w:sz w:val="20"/>
                <w:szCs w:val="20"/>
                <w:lang w:val="es-CO" w:eastAsia="es-CO"/>
              </w:rPr>
            </w:pPr>
            <w:r w:rsidRPr="00561715">
              <w:rPr>
                <w:rFonts w:ascii="Bookman Old Style" w:hAnsi="Bookman Old Style" w:cs="Calibri"/>
                <w:color w:val="000000"/>
                <w:sz w:val="20"/>
                <w:szCs w:val="20"/>
                <w:lang w:val="es-CO" w:eastAsia="es-CO"/>
              </w:rPr>
              <w:t>Valor Contribución 2012</w:t>
            </w:r>
          </w:p>
        </w:tc>
      </w:tr>
      <w:tr w:rsidR="00FA7637" w:rsidRPr="00F514F1" w:rsidTr="00545C7C">
        <w:trPr>
          <w:trHeight w:val="315"/>
        </w:trPr>
        <w:tc>
          <w:tcPr>
            <w:tcW w:w="3198" w:type="dxa"/>
            <w:vMerge/>
            <w:tcBorders>
              <w:top w:val="nil"/>
              <w:left w:val="nil"/>
              <w:bottom w:val="nil"/>
              <w:right w:val="nil"/>
            </w:tcBorders>
            <w:vAlign w:val="center"/>
            <w:hideMark/>
          </w:tcPr>
          <w:p w:rsidR="00FA7637" w:rsidRPr="00561715" w:rsidRDefault="00FA7637" w:rsidP="00545C7C">
            <w:pPr>
              <w:ind w:left="0"/>
              <w:rPr>
                <w:rFonts w:ascii="Bookman Old Style" w:hAnsi="Bookman Old Style" w:cs="Calibri"/>
                <w:color w:val="000000"/>
                <w:sz w:val="20"/>
                <w:szCs w:val="20"/>
                <w:lang w:val="es-CO" w:eastAsia="es-CO"/>
              </w:rPr>
            </w:pPr>
          </w:p>
        </w:tc>
        <w:tc>
          <w:tcPr>
            <w:tcW w:w="416" w:type="dxa"/>
            <w:vMerge/>
            <w:tcBorders>
              <w:top w:val="nil"/>
              <w:left w:val="nil"/>
              <w:bottom w:val="nil"/>
              <w:right w:val="nil"/>
            </w:tcBorders>
            <w:vAlign w:val="center"/>
            <w:hideMark/>
          </w:tcPr>
          <w:p w:rsidR="00FA7637" w:rsidRPr="00561715" w:rsidRDefault="00FA7637" w:rsidP="00545C7C">
            <w:pPr>
              <w:ind w:left="0"/>
              <w:rPr>
                <w:rFonts w:ascii="Bookman Old Style" w:hAnsi="Bookman Old Style" w:cs="Calibri"/>
                <w:color w:val="000000"/>
                <w:sz w:val="20"/>
                <w:szCs w:val="20"/>
                <w:lang w:val="es-CO" w:eastAsia="es-CO"/>
              </w:rPr>
            </w:pPr>
          </w:p>
        </w:tc>
        <w:tc>
          <w:tcPr>
            <w:tcW w:w="2697" w:type="dxa"/>
            <w:vMerge/>
            <w:tcBorders>
              <w:top w:val="nil"/>
              <w:left w:val="nil"/>
              <w:bottom w:val="nil"/>
              <w:right w:val="nil"/>
            </w:tcBorders>
            <w:vAlign w:val="center"/>
            <w:hideMark/>
          </w:tcPr>
          <w:p w:rsidR="00FA7637" w:rsidRPr="00561715" w:rsidRDefault="00FA7637" w:rsidP="00545C7C">
            <w:pPr>
              <w:ind w:left="0"/>
              <w:rPr>
                <w:rFonts w:ascii="Bookman Old Style" w:hAnsi="Bookman Old Style" w:cs="Calibri"/>
                <w:color w:val="000000"/>
                <w:sz w:val="20"/>
                <w:szCs w:val="20"/>
                <w:lang w:val="es-CO" w:eastAsia="es-CO"/>
              </w:rPr>
            </w:pPr>
          </w:p>
        </w:tc>
        <w:tc>
          <w:tcPr>
            <w:tcW w:w="451" w:type="dxa"/>
            <w:vMerge/>
            <w:tcBorders>
              <w:top w:val="nil"/>
              <w:left w:val="nil"/>
              <w:bottom w:val="nil"/>
              <w:right w:val="nil"/>
            </w:tcBorders>
            <w:vAlign w:val="center"/>
            <w:hideMark/>
          </w:tcPr>
          <w:p w:rsidR="00FA7637" w:rsidRPr="00561715" w:rsidRDefault="00FA7637" w:rsidP="00545C7C">
            <w:pPr>
              <w:ind w:left="0"/>
              <w:rPr>
                <w:rFonts w:ascii="Bookman Old Style" w:hAnsi="Bookman Old Style" w:cs="Calibri"/>
                <w:color w:val="000000"/>
                <w:sz w:val="20"/>
                <w:szCs w:val="20"/>
                <w:lang w:val="es-CO" w:eastAsia="es-CO"/>
              </w:rPr>
            </w:pPr>
          </w:p>
        </w:tc>
        <w:tc>
          <w:tcPr>
            <w:tcW w:w="2668" w:type="dxa"/>
            <w:vMerge/>
            <w:tcBorders>
              <w:top w:val="nil"/>
              <w:left w:val="nil"/>
              <w:bottom w:val="nil"/>
              <w:right w:val="nil"/>
            </w:tcBorders>
            <w:vAlign w:val="center"/>
            <w:hideMark/>
          </w:tcPr>
          <w:p w:rsidR="00FA7637" w:rsidRPr="00561715" w:rsidRDefault="00FA7637" w:rsidP="00545C7C">
            <w:pPr>
              <w:ind w:left="0"/>
              <w:rPr>
                <w:rFonts w:ascii="Bookman Old Style" w:hAnsi="Bookman Old Style" w:cs="Calibri"/>
                <w:color w:val="000000"/>
                <w:sz w:val="20"/>
                <w:szCs w:val="20"/>
                <w:lang w:val="es-CO" w:eastAsia="es-CO"/>
              </w:rPr>
            </w:pPr>
          </w:p>
        </w:tc>
      </w:tr>
      <w:tr w:rsidR="00FA7637" w:rsidRPr="00F514F1" w:rsidTr="00545C7C">
        <w:trPr>
          <w:trHeight w:val="315"/>
        </w:trPr>
        <w:tc>
          <w:tcPr>
            <w:tcW w:w="3198" w:type="dxa"/>
            <w:tcBorders>
              <w:top w:val="nil"/>
              <w:left w:val="nil"/>
              <w:bottom w:val="nil"/>
              <w:right w:val="nil"/>
            </w:tcBorders>
            <w:shd w:val="clear" w:color="auto" w:fill="auto"/>
            <w:noWrap/>
            <w:vAlign w:val="center"/>
            <w:hideMark/>
          </w:tcPr>
          <w:p w:rsidR="00FA7637" w:rsidRPr="00561715" w:rsidRDefault="00FA7637" w:rsidP="00FA7637">
            <w:pPr>
              <w:ind w:left="0"/>
              <w:jc w:val="center"/>
              <w:rPr>
                <w:rFonts w:ascii="Bookman Old Style" w:hAnsi="Bookman Old Style" w:cs="Calibri"/>
                <w:color w:val="000000"/>
                <w:sz w:val="20"/>
                <w:szCs w:val="20"/>
                <w:lang w:val="es-CO" w:eastAsia="es-CO"/>
              </w:rPr>
            </w:pPr>
            <w:r w:rsidRPr="00561715">
              <w:rPr>
                <w:rFonts w:ascii="Bookman Old Style" w:hAnsi="Bookman Old Style" w:cs="Calibri"/>
                <w:color w:val="000000"/>
                <w:sz w:val="20"/>
                <w:szCs w:val="20"/>
                <w:lang w:val="es-CO" w:eastAsia="es-CO"/>
              </w:rPr>
              <w:t xml:space="preserve">$    </w:t>
            </w:r>
            <w:r>
              <w:rPr>
                <w:rFonts w:ascii="Bookman Old Style" w:hAnsi="Bookman Old Style" w:cs="Calibri"/>
                <w:color w:val="000000"/>
                <w:sz w:val="20"/>
                <w:szCs w:val="20"/>
                <w:lang w:val="es-CO" w:eastAsia="es-CO"/>
              </w:rPr>
              <w:t>1.346.979.548,89</w:t>
            </w:r>
          </w:p>
        </w:tc>
        <w:tc>
          <w:tcPr>
            <w:tcW w:w="416" w:type="dxa"/>
            <w:vMerge/>
            <w:tcBorders>
              <w:top w:val="nil"/>
              <w:left w:val="nil"/>
              <w:bottom w:val="nil"/>
              <w:right w:val="nil"/>
            </w:tcBorders>
            <w:vAlign w:val="center"/>
            <w:hideMark/>
          </w:tcPr>
          <w:p w:rsidR="00FA7637" w:rsidRPr="00561715" w:rsidRDefault="00FA7637" w:rsidP="00545C7C">
            <w:pPr>
              <w:ind w:left="0"/>
              <w:jc w:val="center"/>
              <w:rPr>
                <w:rFonts w:ascii="Bookman Old Style" w:hAnsi="Bookman Old Style" w:cs="Calibri"/>
                <w:color w:val="000000"/>
                <w:sz w:val="20"/>
                <w:szCs w:val="20"/>
                <w:lang w:val="es-CO" w:eastAsia="es-CO"/>
              </w:rPr>
            </w:pPr>
          </w:p>
        </w:tc>
        <w:tc>
          <w:tcPr>
            <w:tcW w:w="2697" w:type="dxa"/>
            <w:tcBorders>
              <w:top w:val="nil"/>
              <w:left w:val="nil"/>
              <w:bottom w:val="nil"/>
              <w:right w:val="nil"/>
            </w:tcBorders>
            <w:shd w:val="clear" w:color="auto" w:fill="auto"/>
            <w:vAlign w:val="center"/>
            <w:hideMark/>
          </w:tcPr>
          <w:p w:rsidR="00FA7637" w:rsidRPr="00561715" w:rsidRDefault="00FA7637" w:rsidP="00545C7C">
            <w:pPr>
              <w:ind w:left="0"/>
              <w:jc w:val="center"/>
              <w:rPr>
                <w:rFonts w:ascii="Bookman Old Style" w:hAnsi="Bookman Old Style" w:cs="Calibri"/>
                <w:color w:val="000000"/>
                <w:sz w:val="20"/>
                <w:szCs w:val="20"/>
                <w:lang w:val="es-CO" w:eastAsia="es-CO"/>
              </w:rPr>
            </w:pPr>
            <w:r w:rsidRPr="00561715">
              <w:rPr>
                <w:rFonts w:ascii="Bookman Old Style" w:hAnsi="Bookman Old Style" w:cs="Calibri"/>
                <w:color w:val="000000"/>
                <w:sz w:val="20"/>
                <w:szCs w:val="20"/>
                <w:lang w:val="es-CO" w:eastAsia="es-CO"/>
              </w:rPr>
              <w:t>0,9154%</w:t>
            </w:r>
          </w:p>
        </w:tc>
        <w:tc>
          <w:tcPr>
            <w:tcW w:w="451" w:type="dxa"/>
            <w:vMerge/>
            <w:tcBorders>
              <w:top w:val="nil"/>
              <w:left w:val="nil"/>
              <w:bottom w:val="nil"/>
              <w:right w:val="nil"/>
            </w:tcBorders>
            <w:vAlign w:val="center"/>
            <w:hideMark/>
          </w:tcPr>
          <w:p w:rsidR="00FA7637" w:rsidRPr="00561715" w:rsidRDefault="00FA7637" w:rsidP="00545C7C">
            <w:pPr>
              <w:ind w:left="0"/>
              <w:jc w:val="center"/>
              <w:rPr>
                <w:rFonts w:ascii="Bookman Old Style" w:hAnsi="Bookman Old Style" w:cs="Calibri"/>
                <w:color w:val="000000"/>
                <w:sz w:val="20"/>
                <w:szCs w:val="20"/>
                <w:lang w:val="es-CO" w:eastAsia="es-CO"/>
              </w:rPr>
            </w:pPr>
          </w:p>
        </w:tc>
        <w:tc>
          <w:tcPr>
            <w:tcW w:w="2668" w:type="dxa"/>
            <w:tcBorders>
              <w:top w:val="nil"/>
              <w:left w:val="nil"/>
              <w:bottom w:val="nil"/>
              <w:right w:val="nil"/>
            </w:tcBorders>
            <w:shd w:val="clear" w:color="auto" w:fill="auto"/>
            <w:vAlign w:val="center"/>
            <w:hideMark/>
          </w:tcPr>
          <w:p w:rsidR="00FA7637" w:rsidRPr="00561715" w:rsidRDefault="00FA7637" w:rsidP="00FA7637">
            <w:pPr>
              <w:ind w:left="0"/>
              <w:jc w:val="center"/>
              <w:rPr>
                <w:rFonts w:ascii="Bookman Old Style" w:hAnsi="Bookman Old Style" w:cs="Calibri"/>
                <w:color w:val="000000"/>
                <w:sz w:val="20"/>
                <w:szCs w:val="20"/>
                <w:lang w:val="es-CO" w:eastAsia="es-CO"/>
              </w:rPr>
            </w:pPr>
            <w:r w:rsidRPr="00F514F1">
              <w:rPr>
                <w:rFonts w:ascii="Bookman Old Style" w:hAnsi="Bookman Old Style" w:cs="Calibri"/>
                <w:color w:val="000000"/>
                <w:sz w:val="20"/>
                <w:szCs w:val="20"/>
                <w:lang w:val="es-CO" w:eastAsia="es-CO"/>
              </w:rPr>
              <w:t xml:space="preserve">$  </w:t>
            </w:r>
            <w:r>
              <w:rPr>
                <w:rFonts w:ascii="Bookman Old Style" w:hAnsi="Bookman Old Style" w:cs="Calibri"/>
                <w:color w:val="000000"/>
                <w:sz w:val="20"/>
                <w:szCs w:val="20"/>
                <w:lang w:val="es-CO" w:eastAsia="es-CO"/>
              </w:rPr>
              <w:t>12.330.251</w:t>
            </w:r>
          </w:p>
        </w:tc>
      </w:tr>
    </w:tbl>
    <w:p w:rsidR="00FA7637" w:rsidRDefault="00FA7637" w:rsidP="00D63F9E">
      <w:pPr>
        <w:ind w:left="0"/>
        <w:jc w:val="both"/>
        <w:rPr>
          <w:rFonts w:ascii="Bookman Old Style" w:hAnsi="Bookman Old Style" w:cs="Arial"/>
        </w:rPr>
      </w:pPr>
    </w:p>
    <w:p w:rsidR="00FA7637" w:rsidRPr="003F737E" w:rsidRDefault="009C528C" w:rsidP="00FA7637">
      <w:pPr>
        <w:ind w:left="0"/>
        <w:jc w:val="both"/>
        <w:rPr>
          <w:rFonts w:ascii="Bookman Old Style" w:hAnsi="Bookman Old Style" w:cs="Arial"/>
          <w:b/>
        </w:rPr>
      </w:pPr>
      <w:r>
        <w:rPr>
          <w:rFonts w:ascii="Bookman Old Style" w:hAnsi="Bookman Old Style" w:cs="Arial"/>
          <w:b/>
        </w:rPr>
        <w:t xml:space="preserve">2.2 </w:t>
      </w:r>
      <w:r w:rsidR="00FA7637" w:rsidRPr="003F737E">
        <w:rPr>
          <w:rFonts w:ascii="Bookman Old Style" w:hAnsi="Bookman Old Style" w:cs="Arial"/>
          <w:b/>
        </w:rPr>
        <w:t xml:space="preserve">CÁLCULO DE LA CONTRIBUCIÓN PARA </w:t>
      </w:r>
      <w:r w:rsidR="00FA7637">
        <w:rPr>
          <w:rFonts w:ascii="Bookman Old Style" w:hAnsi="Bookman Old Style" w:cs="Arial"/>
          <w:b/>
        </w:rPr>
        <w:t>SIVA</w:t>
      </w:r>
      <w:r w:rsidR="00FA7637" w:rsidRPr="003F737E">
        <w:rPr>
          <w:rFonts w:ascii="Bookman Old Style" w:hAnsi="Bookman Old Style" w:cs="Arial"/>
          <w:b/>
        </w:rPr>
        <w:t xml:space="preserve"> S.A E.S.P</w:t>
      </w:r>
      <w:r w:rsidR="00FA7637">
        <w:rPr>
          <w:rFonts w:ascii="Bookman Old Style" w:hAnsi="Bookman Old Style" w:cs="Arial"/>
          <w:b/>
        </w:rPr>
        <w:t>.</w:t>
      </w:r>
    </w:p>
    <w:p w:rsidR="00FA7637" w:rsidRDefault="00FA7637" w:rsidP="00FA7637">
      <w:pPr>
        <w:ind w:left="0"/>
        <w:jc w:val="both"/>
        <w:rPr>
          <w:rFonts w:ascii="Bookman Old Style" w:hAnsi="Bookman Old Style" w:cs="Arial"/>
        </w:rPr>
      </w:pPr>
    </w:p>
    <w:p w:rsidR="00FA7637" w:rsidRDefault="00FA7637" w:rsidP="00FA7637">
      <w:pPr>
        <w:ind w:left="0"/>
        <w:jc w:val="both"/>
        <w:rPr>
          <w:rFonts w:ascii="Bookman Old Style" w:hAnsi="Bookman Old Style" w:cs="Arial"/>
        </w:rPr>
      </w:pPr>
      <w:r w:rsidRPr="00A50220">
        <w:rPr>
          <w:rFonts w:ascii="Bookman Old Style" w:hAnsi="Bookman Old Style" w:cs="Arial"/>
        </w:rPr>
        <w:t xml:space="preserve">La </w:t>
      </w:r>
      <w:r>
        <w:rPr>
          <w:rFonts w:ascii="Bookman Old Style" w:hAnsi="Bookman Old Style" w:cs="Arial"/>
        </w:rPr>
        <w:t>empresa SIVA</w:t>
      </w:r>
      <w:r w:rsidRPr="001E4389">
        <w:rPr>
          <w:rFonts w:ascii="Bookman Old Style" w:hAnsi="Bookman Old Style" w:cs="Arial"/>
        </w:rPr>
        <w:t xml:space="preserve"> S.A. E.S.P.</w:t>
      </w:r>
      <w:r w:rsidRPr="00A50220">
        <w:rPr>
          <w:rFonts w:ascii="Bookman Old Style" w:hAnsi="Bookman Old Style" w:cs="Arial"/>
        </w:rPr>
        <w:t>, no reportó información y por lo tanto se tomó como base de liquidación la información de la contribución del año 2011 y se actualizó a valor presente, utilizando la siguiente fórmula:</w:t>
      </w:r>
    </w:p>
    <w:tbl>
      <w:tblPr>
        <w:tblW w:w="8722" w:type="dxa"/>
        <w:tblInd w:w="70" w:type="dxa"/>
        <w:tblCellMar>
          <w:left w:w="70" w:type="dxa"/>
          <w:right w:w="70" w:type="dxa"/>
        </w:tblCellMar>
        <w:tblLook w:val="04A0" w:firstRow="1" w:lastRow="0" w:firstColumn="1" w:lastColumn="0" w:noHBand="0" w:noVBand="1"/>
      </w:tblPr>
      <w:tblGrid>
        <w:gridCol w:w="1668"/>
        <w:gridCol w:w="371"/>
        <w:gridCol w:w="2154"/>
        <w:gridCol w:w="368"/>
        <w:gridCol w:w="1285"/>
        <w:gridCol w:w="356"/>
        <w:gridCol w:w="2520"/>
      </w:tblGrid>
      <w:tr w:rsidR="00FA7637" w:rsidRPr="00F514F1" w:rsidTr="00545C7C">
        <w:trPr>
          <w:trHeight w:val="661"/>
        </w:trPr>
        <w:tc>
          <w:tcPr>
            <w:tcW w:w="1668" w:type="dxa"/>
            <w:vMerge w:val="restart"/>
            <w:tcBorders>
              <w:top w:val="nil"/>
              <w:left w:val="nil"/>
              <w:bottom w:val="nil"/>
              <w:right w:val="nil"/>
            </w:tcBorders>
            <w:shd w:val="clear" w:color="auto" w:fill="auto"/>
            <w:vAlign w:val="center"/>
            <w:hideMark/>
          </w:tcPr>
          <w:p w:rsidR="00FA7637" w:rsidRPr="00D0698C" w:rsidRDefault="00FA7637" w:rsidP="00545C7C">
            <w:pPr>
              <w:ind w:left="0"/>
              <w:jc w:val="center"/>
              <w:rPr>
                <w:rFonts w:ascii="Bookman Old Style" w:hAnsi="Bookman Old Style" w:cs="Calibri"/>
                <w:color w:val="000000"/>
                <w:sz w:val="20"/>
                <w:szCs w:val="20"/>
                <w:lang w:val="es-CO" w:eastAsia="es-CO"/>
              </w:rPr>
            </w:pPr>
            <w:r w:rsidRPr="00D0698C">
              <w:rPr>
                <w:rFonts w:ascii="Bookman Old Style" w:hAnsi="Bookman Old Style" w:cs="Calibri"/>
                <w:color w:val="000000"/>
                <w:sz w:val="20"/>
                <w:szCs w:val="20"/>
                <w:lang w:val="es-CO" w:eastAsia="es-CO"/>
              </w:rPr>
              <w:t>Valor Presente 2012</w:t>
            </w:r>
          </w:p>
        </w:tc>
        <w:tc>
          <w:tcPr>
            <w:tcW w:w="371" w:type="dxa"/>
            <w:vMerge w:val="restart"/>
            <w:tcBorders>
              <w:top w:val="nil"/>
              <w:left w:val="nil"/>
              <w:bottom w:val="nil"/>
              <w:right w:val="nil"/>
            </w:tcBorders>
            <w:shd w:val="clear" w:color="auto" w:fill="auto"/>
            <w:noWrap/>
            <w:vAlign w:val="center"/>
            <w:hideMark/>
          </w:tcPr>
          <w:p w:rsidR="00FA7637" w:rsidRPr="00D0698C" w:rsidRDefault="00FA7637" w:rsidP="00545C7C">
            <w:pPr>
              <w:ind w:left="0"/>
              <w:jc w:val="center"/>
              <w:rPr>
                <w:rFonts w:ascii="Bookman Old Style" w:hAnsi="Bookman Old Style" w:cs="Calibri"/>
                <w:b/>
                <w:color w:val="000000"/>
                <w:sz w:val="20"/>
                <w:szCs w:val="20"/>
                <w:lang w:val="es-CO" w:eastAsia="es-CO"/>
              </w:rPr>
            </w:pPr>
            <w:r w:rsidRPr="00D0698C">
              <w:rPr>
                <w:rFonts w:ascii="Bookman Old Style" w:hAnsi="Bookman Old Style" w:cs="Calibri"/>
                <w:color w:val="000000"/>
                <w:sz w:val="20"/>
                <w:szCs w:val="20"/>
                <w:lang w:val="es-CO" w:eastAsia="es-CO"/>
              </w:rPr>
              <w:t xml:space="preserve"> </w:t>
            </w:r>
            <w:r w:rsidRPr="00D0698C">
              <w:rPr>
                <w:rFonts w:ascii="Bookman Old Style" w:hAnsi="Bookman Old Style" w:cs="Calibri"/>
                <w:b/>
                <w:color w:val="000000"/>
                <w:sz w:val="20"/>
                <w:szCs w:val="20"/>
                <w:lang w:val="es-CO" w:eastAsia="es-CO"/>
              </w:rPr>
              <w:t>=</w:t>
            </w:r>
          </w:p>
        </w:tc>
        <w:tc>
          <w:tcPr>
            <w:tcW w:w="2154" w:type="dxa"/>
            <w:vMerge w:val="restart"/>
            <w:tcBorders>
              <w:top w:val="nil"/>
              <w:left w:val="nil"/>
              <w:bottom w:val="nil"/>
              <w:right w:val="nil"/>
            </w:tcBorders>
            <w:shd w:val="clear" w:color="auto" w:fill="auto"/>
            <w:vAlign w:val="center"/>
            <w:hideMark/>
          </w:tcPr>
          <w:p w:rsidR="00FA7637" w:rsidRPr="00D0698C" w:rsidRDefault="00FA7637" w:rsidP="00545C7C">
            <w:pPr>
              <w:ind w:left="0"/>
              <w:jc w:val="center"/>
              <w:rPr>
                <w:rFonts w:ascii="Bookman Old Style" w:hAnsi="Bookman Old Style" w:cs="Calibri"/>
                <w:color w:val="000000"/>
                <w:sz w:val="20"/>
                <w:szCs w:val="20"/>
                <w:lang w:val="es-CO" w:eastAsia="es-CO"/>
              </w:rPr>
            </w:pPr>
            <w:r w:rsidRPr="00D0698C">
              <w:rPr>
                <w:rFonts w:ascii="Bookman Old Style" w:hAnsi="Bookman Old Style" w:cs="Calibri"/>
                <w:color w:val="000000"/>
                <w:sz w:val="20"/>
                <w:szCs w:val="20"/>
                <w:lang w:val="es-CO" w:eastAsia="es-CO"/>
              </w:rPr>
              <w:t>Contribución año 2011 (Res. 175)</w:t>
            </w:r>
          </w:p>
        </w:tc>
        <w:tc>
          <w:tcPr>
            <w:tcW w:w="368" w:type="dxa"/>
            <w:vMerge w:val="restart"/>
            <w:tcBorders>
              <w:top w:val="nil"/>
              <w:left w:val="nil"/>
              <w:bottom w:val="nil"/>
              <w:right w:val="nil"/>
            </w:tcBorders>
            <w:shd w:val="clear" w:color="auto" w:fill="auto"/>
            <w:noWrap/>
            <w:vAlign w:val="center"/>
            <w:hideMark/>
          </w:tcPr>
          <w:p w:rsidR="00FA7637" w:rsidRPr="00D0698C" w:rsidRDefault="00FA7637" w:rsidP="00545C7C">
            <w:pPr>
              <w:ind w:left="0"/>
              <w:jc w:val="center"/>
              <w:rPr>
                <w:rFonts w:ascii="Bookman Old Style" w:hAnsi="Bookman Old Style" w:cs="Calibri"/>
                <w:b/>
                <w:color w:val="000000"/>
                <w:sz w:val="20"/>
                <w:szCs w:val="20"/>
                <w:lang w:val="es-CO" w:eastAsia="es-CO"/>
              </w:rPr>
            </w:pPr>
            <w:r w:rsidRPr="00D0698C">
              <w:rPr>
                <w:rFonts w:ascii="Bookman Old Style" w:hAnsi="Bookman Old Style" w:cs="Calibri"/>
                <w:b/>
                <w:color w:val="000000"/>
                <w:sz w:val="20"/>
                <w:szCs w:val="20"/>
                <w:lang w:val="es-CO" w:eastAsia="es-CO"/>
              </w:rPr>
              <w:t>/</w:t>
            </w:r>
          </w:p>
        </w:tc>
        <w:tc>
          <w:tcPr>
            <w:tcW w:w="1285" w:type="dxa"/>
            <w:vMerge w:val="restart"/>
            <w:tcBorders>
              <w:top w:val="nil"/>
              <w:left w:val="nil"/>
              <w:bottom w:val="nil"/>
              <w:right w:val="nil"/>
            </w:tcBorders>
            <w:shd w:val="clear" w:color="auto" w:fill="auto"/>
            <w:noWrap/>
            <w:vAlign w:val="center"/>
            <w:hideMark/>
          </w:tcPr>
          <w:p w:rsidR="00FA7637" w:rsidRPr="00D0698C" w:rsidRDefault="00FA7637" w:rsidP="00545C7C">
            <w:pPr>
              <w:ind w:left="0"/>
              <w:jc w:val="center"/>
              <w:rPr>
                <w:rFonts w:ascii="Bookman Old Style" w:hAnsi="Bookman Old Style" w:cs="Calibri"/>
                <w:color w:val="000000"/>
                <w:sz w:val="20"/>
                <w:szCs w:val="20"/>
                <w:lang w:val="es-CO" w:eastAsia="es-CO"/>
              </w:rPr>
            </w:pPr>
            <w:r w:rsidRPr="00D0698C">
              <w:rPr>
                <w:rFonts w:ascii="Bookman Old Style" w:hAnsi="Bookman Old Style" w:cs="Calibri"/>
                <w:color w:val="000000"/>
                <w:sz w:val="20"/>
                <w:szCs w:val="20"/>
                <w:lang w:val="es-CO" w:eastAsia="es-CO"/>
              </w:rPr>
              <w:t>0,757%</w:t>
            </w:r>
          </w:p>
        </w:tc>
        <w:tc>
          <w:tcPr>
            <w:tcW w:w="356" w:type="dxa"/>
            <w:vMerge w:val="restart"/>
            <w:tcBorders>
              <w:top w:val="nil"/>
              <w:left w:val="nil"/>
              <w:bottom w:val="nil"/>
              <w:right w:val="nil"/>
            </w:tcBorders>
            <w:shd w:val="clear" w:color="auto" w:fill="auto"/>
            <w:noWrap/>
            <w:vAlign w:val="center"/>
            <w:hideMark/>
          </w:tcPr>
          <w:p w:rsidR="00FA7637" w:rsidRPr="00D0698C" w:rsidRDefault="00FA7637" w:rsidP="00545C7C">
            <w:pPr>
              <w:ind w:left="0"/>
              <w:jc w:val="center"/>
              <w:rPr>
                <w:rFonts w:ascii="Bookman Old Style" w:hAnsi="Bookman Old Style" w:cs="Calibri"/>
                <w:b/>
                <w:color w:val="000000"/>
                <w:sz w:val="20"/>
                <w:szCs w:val="20"/>
                <w:lang w:val="es-CO" w:eastAsia="es-CO"/>
              </w:rPr>
            </w:pPr>
            <w:r w:rsidRPr="00D0698C">
              <w:rPr>
                <w:rFonts w:ascii="Bookman Old Style" w:hAnsi="Bookman Old Style" w:cs="Calibri"/>
                <w:b/>
                <w:color w:val="000000"/>
                <w:sz w:val="20"/>
                <w:szCs w:val="20"/>
                <w:lang w:val="es-CO" w:eastAsia="es-CO"/>
              </w:rPr>
              <w:t>x</w:t>
            </w:r>
          </w:p>
        </w:tc>
        <w:tc>
          <w:tcPr>
            <w:tcW w:w="2520" w:type="dxa"/>
            <w:tcBorders>
              <w:top w:val="nil"/>
              <w:left w:val="nil"/>
              <w:bottom w:val="nil"/>
              <w:right w:val="nil"/>
            </w:tcBorders>
            <w:shd w:val="clear" w:color="auto" w:fill="auto"/>
            <w:vAlign w:val="bottom"/>
            <w:hideMark/>
          </w:tcPr>
          <w:p w:rsidR="00FA7637" w:rsidRPr="00D0698C" w:rsidRDefault="00FA7637" w:rsidP="00545C7C">
            <w:pPr>
              <w:ind w:left="0"/>
              <w:jc w:val="center"/>
              <w:rPr>
                <w:rFonts w:ascii="Bookman Old Style" w:hAnsi="Bookman Old Style" w:cs="Calibri"/>
                <w:color w:val="000000"/>
                <w:sz w:val="20"/>
                <w:szCs w:val="20"/>
                <w:u w:val="single"/>
                <w:lang w:val="es-CO" w:eastAsia="es-CO"/>
              </w:rPr>
            </w:pPr>
            <w:r w:rsidRPr="00D0698C">
              <w:rPr>
                <w:rFonts w:ascii="Bookman Old Style" w:hAnsi="Bookman Old Style" w:cs="Calibri"/>
                <w:color w:val="000000"/>
                <w:sz w:val="20"/>
                <w:szCs w:val="20"/>
                <w:u w:val="single"/>
                <w:lang w:val="es-CO" w:eastAsia="es-CO"/>
              </w:rPr>
              <w:t>IPC diciembre 2011</w:t>
            </w:r>
          </w:p>
        </w:tc>
      </w:tr>
      <w:tr w:rsidR="00FA7637" w:rsidRPr="00F514F1" w:rsidTr="00545C7C">
        <w:trPr>
          <w:trHeight w:val="347"/>
        </w:trPr>
        <w:tc>
          <w:tcPr>
            <w:tcW w:w="1668" w:type="dxa"/>
            <w:vMerge/>
            <w:tcBorders>
              <w:top w:val="nil"/>
              <w:left w:val="nil"/>
              <w:bottom w:val="nil"/>
              <w:right w:val="nil"/>
            </w:tcBorders>
            <w:vAlign w:val="center"/>
            <w:hideMark/>
          </w:tcPr>
          <w:p w:rsidR="00FA7637" w:rsidRPr="00D0698C" w:rsidRDefault="00FA7637" w:rsidP="00545C7C">
            <w:pPr>
              <w:ind w:left="0"/>
              <w:rPr>
                <w:rFonts w:ascii="Bookman Old Style" w:hAnsi="Bookman Old Style" w:cs="Calibri"/>
                <w:color w:val="000000"/>
                <w:sz w:val="20"/>
                <w:szCs w:val="20"/>
                <w:lang w:val="es-CO" w:eastAsia="es-CO"/>
              </w:rPr>
            </w:pPr>
          </w:p>
        </w:tc>
        <w:tc>
          <w:tcPr>
            <w:tcW w:w="371" w:type="dxa"/>
            <w:vMerge/>
            <w:tcBorders>
              <w:top w:val="nil"/>
              <w:left w:val="nil"/>
              <w:bottom w:val="nil"/>
              <w:right w:val="nil"/>
            </w:tcBorders>
            <w:vAlign w:val="center"/>
            <w:hideMark/>
          </w:tcPr>
          <w:p w:rsidR="00FA7637" w:rsidRPr="00D0698C" w:rsidRDefault="00FA7637" w:rsidP="00545C7C">
            <w:pPr>
              <w:ind w:left="0"/>
              <w:rPr>
                <w:rFonts w:ascii="Bookman Old Style" w:hAnsi="Bookman Old Style" w:cs="Calibri"/>
                <w:color w:val="000000"/>
                <w:sz w:val="20"/>
                <w:szCs w:val="20"/>
                <w:lang w:val="es-CO" w:eastAsia="es-CO"/>
              </w:rPr>
            </w:pPr>
          </w:p>
        </w:tc>
        <w:tc>
          <w:tcPr>
            <w:tcW w:w="2154" w:type="dxa"/>
            <w:vMerge/>
            <w:tcBorders>
              <w:top w:val="nil"/>
              <w:left w:val="nil"/>
              <w:bottom w:val="nil"/>
              <w:right w:val="nil"/>
            </w:tcBorders>
            <w:vAlign w:val="center"/>
            <w:hideMark/>
          </w:tcPr>
          <w:p w:rsidR="00FA7637" w:rsidRPr="00D0698C" w:rsidRDefault="00FA7637" w:rsidP="00545C7C">
            <w:pPr>
              <w:ind w:left="0"/>
              <w:rPr>
                <w:rFonts w:ascii="Bookman Old Style" w:hAnsi="Bookman Old Style" w:cs="Calibri"/>
                <w:color w:val="000000"/>
                <w:sz w:val="20"/>
                <w:szCs w:val="20"/>
                <w:lang w:val="es-CO" w:eastAsia="es-CO"/>
              </w:rPr>
            </w:pPr>
          </w:p>
        </w:tc>
        <w:tc>
          <w:tcPr>
            <w:tcW w:w="368" w:type="dxa"/>
            <w:vMerge/>
            <w:tcBorders>
              <w:top w:val="nil"/>
              <w:left w:val="nil"/>
              <w:bottom w:val="nil"/>
              <w:right w:val="nil"/>
            </w:tcBorders>
            <w:vAlign w:val="center"/>
            <w:hideMark/>
          </w:tcPr>
          <w:p w:rsidR="00FA7637" w:rsidRPr="00D0698C" w:rsidRDefault="00FA7637" w:rsidP="00545C7C">
            <w:pPr>
              <w:ind w:left="0"/>
              <w:rPr>
                <w:rFonts w:ascii="Bookman Old Style" w:hAnsi="Bookman Old Style" w:cs="Calibri"/>
                <w:color w:val="000000"/>
                <w:sz w:val="20"/>
                <w:szCs w:val="20"/>
                <w:lang w:val="es-CO" w:eastAsia="es-CO"/>
              </w:rPr>
            </w:pPr>
          </w:p>
        </w:tc>
        <w:tc>
          <w:tcPr>
            <w:tcW w:w="1285" w:type="dxa"/>
            <w:vMerge/>
            <w:tcBorders>
              <w:top w:val="nil"/>
              <w:left w:val="nil"/>
              <w:bottom w:val="nil"/>
              <w:right w:val="nil"/>
            </w:tcBorders>
            <w:vAlign w:val="center"/>
            <w:hideMark/>
          </w:tcPr>
          <w:p w:rsidR="00FA7637" w:rsidRPr="00D0698C" w:rsidRDefault="00FA7637" w:rsidP="00545C7C">
            <w:pPr>
              <w:ind w:left="0"/>
              <w:rPr>
                <w:rFonts w:ascii="Bookman Old Style" w:hAnsi="Bookman Old Style" w:cs="Calibri"/>
                <w:color w:val="000000"/>
                <w:sz w:val="20"/>
                <w:szCs w:val="20"/>
                <w:lang w:val="es-CO" w:eastAsia="es-CO"/>
              </w:rPr>
            </w:pPr>
          </w:p>
        </w:tc>
        <w:tc>
          <w:tcPr>
            <w:tcW w:w="356" w:type="dxa"/>
            <w:vMerge/>
            <w:tcBorders>
              <w:top w:val="nil"/>
              <w:left w:val="nil"/>
              <w:bottom w:val="nil"/>
              <w:right w:val="nil"/>
            </w:tcBorders>
            <w:vAlign w:val="center"/>
            <w:hideMark/>
          </w:tcPr>
          <w:p w:rsidR="00FA7637" w:rsidRPr="00D0698C" w:rsidRDefault="00FA7637" w:rsidP="00545C7C">
            <w:pPr>
              <w:ind w:left="0"/>
              <w:rPr>
                <w:rFonts w:ascii="Bookman Old Style" w:hAnsi="Bookman Old Style" w:cs="Calibri"/>
                <w:color w:val="000000"/>
                <w:sz w:val="20"/>
                <w:szCs w:val="20"/>
                <w:lang w:val="es-CO" w:eastAsia="es-CO"/>
              </w:rPr>
            </w:pPr>
          </w:p>
        </w:tc>
        <w:tc>
          <w:tcPr>
            <w:tcW w:w="2520" w:type="dxa"/>
            <w:tcBorders>
              <w:top w:val="nil"/>
              <w:left w:val="nil"/>
              <w:bottom w:val="nil"/>
              <w:right w:val="nil"/>
            </w:tcBorders>
            <w:shd w:val="clear" w:color="auto" w:fill="auto"/>
            <w:noWrap/>
            <w:vAlign w:val="center"/>
            <w:hideMark/>
          </w:tcPr>
          <w:p w:rsidR="00FA7637" w:rsidRPr="00D0698C" w:rsidRDefault="00FA7637" w:rsidP="00545C7C">
            <w:pPr>
              <w:ind w:left="0"/>
              <w:jc w:val="center"/>
              <w:rPr>
                <w:rFonts w:ascii="Bookman Old Style" w:hAnsi="Bookman Old Style" w:cs="Calibri"/>
                <w:color w:val="000000"/>
                <w:sz w:val="20"/>
                <w:szCs w:val="20"/>
                <w:lang w:val="es-CO" w:eastAsia="es-CO"/>
              </w:rPr>
            </w:pPr>
            <w:r w:rsidRPr="00D0698C">
              <w:rPr>
                <w:rFonts w:ascii="Bookman Old Style" w:hAnsi="Bookman Old Style" w:cs="Calibri"/>
                <w:color w:val="000000"/>
                <w:sz w:val="20"/>
                <w:szCs w:val="20"/>
                <w:lang w:val="es-CO" w:eastAsia="es-CO"/>
              </w:rPr>
              <w:t>IPC diciembre 2010</w:t>
            </w:r>
          </w:p>
        </w:tc>
      </w:tr>
    </w:tbl>
    <w:p w:rsidR="00FA7637" w:rsidRDefault="00FA7637" w:rsidP="00FA7637">
      <w:pPr>
        <w:ind w:left="0"/>
        <w:jc w:val="center"/>
        <w:rPr>
          <w:rFonts w:cs="Arial"/>
          <w:sz w:val="16"/>
          <w:szCs w:val="16"/>
          <w:lang w:val="es-MX"/>
        </w:rPr>
      </w:pPr>
    </w:p>
    <w:p w:rsidR="00FA7637" w:rsidRDefault="00FA7637" w:rsidP="00FA7637">
      <w:pPr>
        <w:spacing w:after="200"/>
        <w:ind w:left="0"/>
        <w:contextualSpacing/>
        <w:rPr>
          <w:rFonts w:ascii="Bookman Old Style" w:hAnsi="Bookman Old Style" w:cs="Arial"/>
        </w:rPr>
      </w:pPr>
      <w:r>
        <w:rPr>
          <w:rFonts w:ascii="Bookman Old Style" w:hAnsi="Bookman Old Style" w:cs="Arial"/>
        </w:rPr>
        <w:t xml:space="preserve">Así las cosas, para </w:t>
      </w:r>
      <w:r w:rsidR="00883035">
        <w:rPr>
          <w:rFonts w:ascii="Bookman Old Style" w:hAnsi="Bookman Old Style" w:cs="Arial"/>
        </w:rPr>
        <w:t>SIVA</w:t>
      </w:r>
      <w:r w:rsidRPr="001E4389">
        <w:rPr>
          <w:rFonts w:ascii="Bookman Old Style" w:hAnsi="Bookman Old Style" w:cs="Arial"/>
        </w:rPr>
        <w:t xml:space="preserve"> S.A. E.S.P.</w:t>
      </w:r>
      <w:r w:rsidRPr="00A50220">
        <w:rPr>
          <w:rFonts w:ascii="Bookman Old Style" w:hAnsi="Bookman Old Style" w:cs="Arial"/>
        </w:rPr>
        <w:t>,</w:t>
      </w:r>
      <w:r>
        <w:rPr>
          <w:rFonts w:ascii="Bookman Old Style" w:hAnsi="Bookman Old Style" w:cs="Arial"/>
        </w:rPr>
        <w:t xml:space="preserve"> la actualización a valor presente fue la siguiente:</w:t>
      </w:r>
    </w:p>
    <w:p w:rsidR="00FA7637" w:rsidRDefault="00FA7637" w:rsidP="00FA7637">
      <w:pPr>
        <w:spacing w:after="200"/>
        <w:ind w:left="0"/>
        <w:contextualSpacing/>
        <w:rPr>
          <w:rFonts w:ascii="Bookman Old Style" w:hAnsi="Bookman Old Style" w:cs="Arial"/>
        </w:rPr>
      </w:pPr>
    </w:p>
    <w:tbl>
      <w:tblPr>
        <w:tblW w:w="8907" w:type="dxa"/>
        <w:tblInd w:w="70" w:type="dxa"/>
        <w:tblCellMar>
          <w:left w:w="70" w:type="dxa"/>
          <w:right w:w="70" w:type="dxa"/>
        </w:tblCellMar>
        <w:tblLook w:val="04A0" w:firstRow="1" w:lastRow="0" w:firstColumn="1" w:lastColumn="0" w:noHBand="0" w:noVBand="1"/>
      </w:tblPr>
      <w:tblGrid>
        <w:gridCol w:w="1905"/>
        <w:gridCol w:w="496"/>
        <w:gridCol w:w="1994"/>
        <w:gridCol w:w="718"/>
        <w:gridCol w:w="1716"/>
        <w:gridCol w:w="474"/>
        <w:gridCol w:w="1604"/>
      </w:tblGrid>
      <w:tr w:rsidR="00FA7637" w:rsidRPr="00F514F1" w:rsidTr="00545C7C">
        <w:trPr>
          <w:trHeight w:val="269"/>
        </w:trPr>
        <w:tc>
          <w:tcPr>
            <w:tcW w:w="1905" w:type="dxa"/>
            <w:vMerge w:val="restart"/>
            <w:tcBorders>
              <w:top w:val="nil"/>
              <w:left w:val="nil"/>
              <w:bottom w:val="nil"/>
              <w:right w:val="nil"/>
            </w:tcBorders>
            <w:shd w:val="clear" w:color="auto" w:fill="auto"/>
            <w:vAlign w:val="center"/>
            <w:hideMark/>
          </w:tcPr>
          <w:p w:rsidR="00FA7637" w:rsidRPr="00D0698C" w:rsidRDefault="00FA7637" w:rsidP="00545C7C">
            <w:pPr>
              <w:ind w:left="0"/>
              <w:jc w:val="center"/>
              <w:rPr>
                <w:rFonts w:ascii="Bookman Old Style" w:hAnsi="Bookman Old Style" w:cs="Calibri"/>
                <w:color w:val="000000"/>
                <w:sz w:val="20"/>
                <w:szCs w:val="20"/>
                <w:lang w:val="es-CO" w:eastAsia="es-CO"/>
              </w:rPr>
            </w:pPr>
            <w:r w:rsidRPr="00D0698C">
              <w:rPr>
                <w:rFonts w:ascii="Bookman Old Style" w:hAnsi="Bookman Old Style" w:cs="Calibri"/>
                <w:color w:val="000000"/>
                <w:sz w:val="20"/>
                <w:szCs w:val="20"/>
                <w:lang w:val="es-CO" w:eastAsia="es-CO"/>
              </w:rPr>
              <w:t>Valor Presente 2012</w:t>
            </w:r>
          </w:p>
        </w:tc>
        <w:tc>
          <w:tcPr>
            <w:tcW w:w="496" w:type="dxa"/>
            <w:vMerge w:val="restart"/>
            <w:tcBorders>
              <w:top w:val="nil"/>
              <w:left w:val="nil"/>
              <w:bottom w:val="nil"/>
              <w:right w:val="nil"/>
            </w:tcBorders>
            <w:shd w:val="clear" w:color="auto" w:fill="auto"/>
            <w:noWrap/>
            <w:vAlign w:val="center"/>
            <w:hideMark/>
          </w:tcPr>
          <w:p w:rsidR="00FA7637" w:rsidRPr="00D0698C" w:rsidRDefault="00FA7637" w:rsidP="00545C7C">
            <w:pPr>
              <w:ind w:left="0"/>
              <w:rPr>
                <w:rFonts w:ascii="Bookman Old Style" w:hAnsi="Bookman Old Style" w:cs="Calibri"/>
                <w:b/>
                <w:color w:val="000000"/>
                <w:sz w:val="20"/>
                <w:szCs w:val="20"/>
                <w:lang w:val="es-CO" w:eastAsia="es-CO"/>
              </w:rPr>
            </w:pPr>
            <w:r w:rsidRPr="00D0698C">
              <w:rPr>
                <w:rFonts w:ascii="Bookman Old Style" w:hAnsi="Bookman Old Style" w:cs="Calibri"/>
                <w:b/>
                <w:color w:val="000000"/>
                <w:sz w:val="20"/>
                <w:szCs w:val="20"/>
                <w:lang w:val="es-CO" w:eastAsia="es-CO"/>
              </w:rPr>
              <w:t>=</w:t>
            </w:r>
          </w:p>
        </w:tc>
        <w:tc>
          <w:tcPr>
            <w:tcW w:w="1994" w:type="dxa"/>
            <w:vMerge w:val="restart"/>
            <w:tcBorders>
              <w:top w:val="nil"/>
              <w:left w:val="nil"/>
              <w:bottom w:val="nil"/>
              <w:right w:val="nil"/>
            </w:tcBorders>
            <w:shd w:val="clear" w:color="auto" w:fill="auto"/>
            <w:vAlign w:val="center"/>
            <w:hideMark/>
          </w:tcPr>
          <w:p w:rsidR="00FA7637" w:rsidRPr="00D0698C" w:rsidRDefault="00883035" w:rsidP="00545C7C">
            <w:pPr>
              <w:ind w:left="0"/>
              <w:rPr>
                <w:rFonts w:ascii="Bookman Old Style" w:hAnsi="Bookman Old Style" w:cs="Calibri"/>
                <w:color w:val="000000"/>
                <w:sz w:val="20"/>
                <w:szCs w:val="20"/>
                <w:lang w:val="es-CO" w:eastAsia="es-CO"/>
              </w:rPr>
            </w:pPr>
            <w:r>
              <w:rPr>
                <w:rFonts w:ascii="Bookman Old Style" w:hAnsi="Bookman Old Style" w:cs="Calibri"/>
                <w:color w:val="000000"/>
                <w:sz w:val="20"/>
                <w:szCs w:val="20"/>
                <w:lang w:val="es-CO" w:eastAsia="es-CO"/>
              </w:rPr>
              <w:t>7.873.399</w:t>
            </w:r>
          </w:p>
        </w:tc>
        <w:tc>
          <w:tcPr>
            <w:tcW w:w="718" w:type="dxa"/>
            <w:vMerge w:val="restart"/>
            <w:tcBorders>
              <w:top w:val="nil"/>
              <w:left w:val="nil"/>
              <w:bottom w:val="nil"/>
              <w:right w:val="nil"/>
            </w:tcBorders>
            <w:shd w:val="clear" w:color="auto" w:fill="auto"/>
            <w:noWrap/>
            <w:vAlign w:val="center"/>
            <w:hideMark/>
          </w:tcPr>
          <w:p w:rsidR="00FA7637" w:rsidRPr="00D0698C" w:rsidRDefault="00FA7637" w:rsidP="00545C7C">
            <w:pPr>
              <w:ind w:left="0"/>
              <w:rPr>
                <w:rFonts w:ascii="Bookman Old Style" w:hAnsi="Bookman Old Style" w:cs="Calibri"/>
                <w:b/>
                <w:color w:val="000000"/>
                <w:sz w:val="20"/>
                <w:szCs w:val="20"/>
                <w:lang w:val="es-CO" w:eastAsia="es-CO"/>
              </w:rPr>
            </w:pPr>
            <w:r w:rsidRPr="00D0698C">
              <w:rPr>
                <w:rFonts w:ascii="Bookman Old Style" w:hAnsi="Bookman Old Style" w:cs="Calibri"/>
                <w:b/>
                <w:color w:val="000000"/>
                <w:sz w:val="20"/>
                <w:szCs w:val="20"/>
                <w:lang w:val="es-CO" w:eastAsia="es-CO"/>
              </w:rPr>
              <w:t>/</w:t>
            </w:r>
          </w:p>
        </w:tc>
        <w:tc>
          <w:tcPr>
            <w:tcW w:w="1716" w:type="dxa"/>
            <w:vMerge w:val="restart"/>
            <w:tcBorders>
              <w:top w:val="nil"/>
              <w:left w:val="nil"/>
              <w:bottom w:val="nil"/>
              <w:right w:val="nil"/>
            </w:tcBorders>
            <w:shd w:val="clear" w:color="auto" w:fill="auto"/>
            <w:noWrap/>
            <w:vAlign w:val="center"/>
            <w:hideMark/>
          </w:tcPr>
          <w:p w:rsidR="00FA7637" w:rsidRPr="00D0698C" w:rsidRDefault="00FA7637" w:rsidP="00545C7C">
            <w:pPr>
              <w:ind w:left="0"/>
              <w:rPr>
                <w:rFonts w:ascii="Bookman Old Style" w:hAnsi="Bookman Old Style" w:cs="Calibri"/>
                <w:color w:val="000000"/>
                <w:sz w:val="20"/>
                <w:szCs w:val="20"/>
                <w:lang w:val="es-CO" w:eastAsia="es-CO"/>
              </w:rPr>
            </w:pPr>
            <w:r w:rsidRPr="00D0698C">
              <w:rPr>
                <w:rFonts w:ascii="Bookman Old Style" w:hAnsi="Bookman Old Style" w:cs="Calibri"/>
                <w:color w:val="000000"/>
                <w:sz w:val="20"/>
                <w:szCs w:val="20"/>
                <w:lang w:val="es-CO" w:eastAsia="es-CO"/>
              </w:rPr>
              <w:t>0,757%</w:t>
            </w:r>
          </w:p>
        </w:tc>
        <w:tc>
          <w:tcPr>
            <w:tcW w:w="474" w:type="dxa"/>
            <w:vMerge w:val="restart"/>
            <w:tcBorders>
              <w:top w:val="nil"/>
              <w:left w:val="nil"/>
              <w:bottom w:val="nil"/>
              <w:right w:val="nil"/>
            </w:tcBorders>
            <w:shd w:val="clear" w:color="auto" w:fill="auto"/>
            <w:noWrap/>
            <w:vAlign w:val="center"/>
            <w:hideMark/>
          </w:tcPr>
          <w:p w:rsidR="00FA7637" w:rsidRPr="00D0698C" w:rsidRDefault="00FA7637" w:rsidP="00545C7C">
            <w:pPr>
              <w:ind w:left="0"/>
              <w:rPr>
                <w:rFonts w:ascii="Bookman Old Style" w:hAnsi="Bookman Old Style" w:cs="Calibri"/>
                <w:b/>
                <w:color w:val="000000"/>
                <w:sz w:val="20"/>
                <w:szCs w:val="20"/>
                <w:lang w:val="es-CO" w:eastAsia="es-CO"/>
              </w:rPr>
            </w:pPr>
            <w:r w:rsidRPr="00D0698C">
              <w:rPr>
                <w:rFonts w:ascii="Bookman Old Style" w:hAnsi="Bookman Old Style" w:cs="Calibri"/>
                <w:b/>
                <w:color w:val="000000"/>
                <w:sz w:val="20"/>
                <w:szCs w:val="20"/>
                <w:lang w:val="es-CO" w:eastAsia="es-CO"/>
              </w:rPr>
              <w:t>x</w:t>
            </w:r>
          </w:p>
        </w:tc>
        <w:tc>
          <w:tcPr>
            <w:tcW w:w="1604" w:type="dxa"/>
            <w:tcBorders>
              <w:top w:val="nil"/>
              <w:left w:val="nil"/>
              <w:bottom w:val="nil"/>
              <w:right w:val="nil"/>
            </w:tcBorders>
            <w:shd w:val="clear" w:color="auto" w:fill="auto"/>
            <w:vAlign w:val="bottom"/>
            <w:hideMark/>
          </w:tcPr>
          <w:p w:rsidR="00FA7637" w:rsidRPr="00D0698C" w:rsidRDefault="00FA7637" w:rsidP="00545C7C">
            <w:pPr>
              <w:ind w:left="0"/>
              <w:jc w:val="center"/>
              <w:rPr>
                <w:rFonts w:ascii="Bookman Old Style" w:hAnsi="Bookman Old Style" w:cs="Calibri"/>
                <w:color w:val="000000"/>
                <w:sz w:val="20"/>
                <w:szCs w:val="20"/>
                <w:u w:val="single"/>
                <w:lang w:val="es-CO" w:eastAsia="es-CO"/>
              </w:rPr>
            </w:pPr>
            <w:r w:rsidRPr="00D0698C">
              <w:rPr>
                <w:rFonts w:ascii="Bookman Old Style" w:hAnsi="Bookman Old Style" w:cs="Calibri"/>
                <w:color w:val="000000"/>
                <w:sz w:val="20"/>
                <w:szCs w:val="20"/>
                <w:u w:val="single"/>
                <w:lang w:val="es-CO" w:eastAsia="es-CO"/>
              </w:rPr>
              <w:t>201,67</w:t>
            </w:r>
          </w:p>
        </w:tc>
      </w:tr>
      <w:tr w:rsidR="00FA7637" w:rsidRPr="00F514F1" w:rsidTr="00545C7C">
        <w:trPr>
          <w:trHeight w:val="269"/>
        </w:trPr>
        <w:tc>
          <w:tcPr>
            <w:tcW w:w="1905" w:type="dxa"/>
            <w:vMerge/>
            <w:tcBorders>
              <w:top w:val="nil"/>
              <w:left w:val="nil"/>
              <w:bottom w:val="nil"/>
              <w:right w:val="nil"/>
            </w:tcBorders>
            <w:vAlign w:val="center"/>
            <w:hideMark/>
          </w:tcPr>
          <w:p w:rsidR="00FA7637" w:rsidRPr="00D0698C" w:rsidRDefault="00FA7637" w:rsidP="00545C7C">
            <w:pPr>
              <w:ind w:left="0"/>
              <w:rPr>
                <w:rFonts w:ascii="Bookman Old Style" w:hAnsi="Bookman Old Style" w:cs="Calibri"/>
                <w:color w:val="000000"/>
                <w:sz w:val="20"/>
                <w:szCs w:val="20"/>
                <w:lang w:val="es-CO" w:eastAsia="es-CO"/>
              </w:rPr>
            </w:pPr>
          </w:p>
        </w:tc>
        <w:tc>
          <w:tcPr>
            <w:tcW w:w="496" w:type="dxa"/>
            <w:vMerge/>
            <w:tcBorders>
              <w:top w:val="nil"/>
              <w:left w:val="nil"/>
              <w:bottom w:val="nil"/>
              <w:right w:val="nil"/>
            </w:tcBorders>
            <w:vAlign w:val="center"/>
            <w:hideMark/>
          </w:tcPr>
          <w:p w:rsidR="00FA7637" w:rsidRPr="00D0698C" w:rsidRDefault="00FA7637" w:rsidP="00545C7C">
            <w:pPr>
              <w:ind w:left="0"/>
              <w:rPr>
                <w:rFonts w:ascii="Bookman Old Style" w:hAnsi="Bookman Old Style" w:cs="Calibri"/>
                <w:color w:val="000000"/>
                <w:sz w:val="20"/>
                <w:szCs w:val="20"/>
                <w:lang w:val="es-CO" w:eastAsia="es-CO"/>
              </w:rPr>
            </w:pPr>
          </w:p>
        </w:tc>
        <w:tc>
          <w:tcPr>
            <w:tcW w:w="1994" w:type="dxa"/>
            <w:vMerge/>
            <w:tcBorders>
              <w:top w:val="nil"/>
              <w:left w:val="nil"/>
              <w:bottom w:val="nil"/>
              <w:right w:val="nil"/>
            </w:tcBorders>
            <w:vAlign w:val="center"/>
            <w:hideMark/>
          </w:tcPr>
          <w:p w:rsidR="00FA7637" w:rsidRPr="00D0698C" w:rsidRDefault="00FA7637" w:rsidP="00545C7C">
            <w:pPr>
              <w:ind w:left="0"/>
              <w:rPr>
                <w:rFonts w:ascii="Bookman Old Style" w:hAnsi="Bookman Old Style" w:cs="Calibri"/>
                <w:color w:val="000000"/>
                <w:sz w:val="20"/>
                <w:szCs w:val="20"/>
                <w:lang w:val="es-CO" w:eastAsia="es-CO"/>
              </w:rPr>
            </w:pPr>
          </w:p>
        </w:tc>
        <w:tc>
          <w:tcPr>
            <w:tcW w:w="718" w:type="dxa"/>
            <w:vMerge/>
            <w:tcBorders>
              <w:top w:val="nil"/>
              <w:left w:val="nil"/>
              <w:bottom w:val="nil"/>
              <w:right w:val="nil"/>
            </w:tcBorders>
            <w:vAlign w:val="center"/>
            <w:hideMark/>
          </w:tcPr>
          <w:p w:rsidR="00FA7637" w:rsidRPr="00D0698C" w:rsidRDefault="00FA7637" w:rsidP="00545C7C">
            <w:pPr>
              <w:ind w:left="0"/>
              <w:rPr>
                <w:rFonts w:ascii="Bookman Old Style" w:hAnsi="Bookman Old Style" w:cs="Calibri"/>
                <w:color w:val="000000"/>
                <w:sz w:val="20"/>
                <w:szCs w:val="20"/>
                <w:lang w:val="es-CO" w:eastAsia="es-CO"/>
              </w:rPr>
            </w:pPr>
          </w:p>
        </w:tc>
        <w:tc>
          <w:tcPr>
            <w:tcW w:w="1716" w:type="dxa"/>
            <w:vMerge/>
            <w:tcBorders>
              <w:top w:val="nil"/>
              <w:left w:val="nil"/>
              <w:bottom w:val="nil"/>
              <w:right w:val="nil"/>
            </w:tcBorders>
            <w:vAlign w:val="center"/>
            <w:hideMark/>
          </w:tcPr>
          <w:p w:rsidR="00FA7637" w:rsidRPr="00D0698C" w:rsidRDefault="00FA7637" w:rsidP="00545C7C">
            <w:pPr>
              <w:ind w:left="0"/>
              <w:rPr>
                <w:rFonts w:ascii="Bookman Old Style" w:hAnsi="Bookman Old Style" w:cs="Calibri"/>
                <w:color w:val="000000"/>
                <w:sz w:val="20"/>
                <w:szCs w:val="20"/>
                <w:lang w:val="es-CO" w:eastAsia="es-CO"/>
              </w:rPr>
            </w:pPr>
          </w:p>
        </w:tc>
        <w:tc>
          <w:tcPr>
            <w:tcW w:w="474" w:type="dxa"/>
            <w:vMerge/>
            <w:tcBorders>
              <w:top w:val="nil"/>
              <w:left w:val="nil"/>
              <w:bottom w:val="nil"/>
              <w:right w:val="nil"/>
            </w:tcBorders>
            <w:vAlign w:val="center"/>
            <w:hideMark/>
          </w:tcPr>
          <w:p w:rsidR="00FA7637" w:rsidRPr="00D0698C" w:rsidRDefault="00FA7637" w:rsidP="00545C7C">
            <w:pPr>
              <w:ind w:left="0"/>
              <w:rPr>
                <w:rFonts w:ascii="Bookman Old Style" w:hAnsi="Bookman Old Style" w:cs="Calibri"/>
                <w:b/>
                <w:color w:val="000000"/>
                <w:sz w:val="20"/>
                <w:szCs w:val="20"/>
                <w:lang w:val="es-CO" w:eastAsia="es-CO"/>
              </w:rPr>
            </w:pPr>
          </w:p>
        </w:tc>
        <w:tc>
          <w:tcPr>
            <w:tcW w:w="1604" w:type="dxa"/>
            <w:tcBorders>
              <w:top w:val="nil"/>
              <w:left w:val="nil"/>
              <w:bottom w:val="nil"/>
              <w:right w:val="nil"/>
            </w:tcBorders>
            <w:shd w:val="clear" w:color="auto" w:fill="auto"/>
            <w:noWrap/>
            <w:vAlign w:val="center"/>
            <w:hideMark/>
          </w:tcPr>
          <w:p w:rsidR="00FA7637" w:rsidRPr="00D0698C" w:rsidRDefault="00FA7637" w:rsidP="00545C7C">
            <w:pPr>
              <w:ind w:left="0"/>
              <w:jc w:val="center"/>
              <w:rPr>
                <w:rFonts w:ascii="Bookman Old Style" w:hAnsi="Bookman Old Style" w:cs="Calibri"/>
                <w:color w:val="000000"/>
                <w:sz w:val="20"/>
                <w:szCs w:val="20"/>
                <w:lang w:val="es-CO" w:eastAsia="es-CO"/>
              </w:rPr>
            </w:pPr>
            <w:r w:rsidRPr="00D0698C">
              <w:rPr>
                <w:rFonts w:ascii="Bookman Old Style" w:hAnsi="Bookman Old Style" w:cs="Calibri"/>
                <w:color w:val="000000"/>
                <w:sz w:val="20"/>
                <w:szCs w:val="20"/>
                <w:lang w:val="es-CO" w:eastAsia="es-CO"/>
              </w:rPr>
              <w:t>209,18</w:t>
            </w:r>
          </w:p>
        </w:tc>
      </w:tr>
    </w:tbl>
    <w:p w:rsidR="00FA7637" w:rsidRDefault="00FA7637" w:rsidP="00FA7637">
      <w:pPr>
        <w:spacing w:after="200"/>
        <w:ind w:left="0"/>
        <w:contextualSpacing/>
        <w:rPr>
          <w:rFonts w:cs="Arial"/>
          <w:sz w:val="16"/>
          <w:szCs w:val="16"/>
          <w:lang w:val="es-MX"/>
        </w:rPr>
      </w:pPr>
    </w:p>
    <w:p w:rsidR="00FA7637" w:rsidRDefault="00FA7637" w:rsidP="00FA7637">
      <w:pPr>
        <w:spacing w:after="200"/>
        <w:contextualSpacing/>
        <w:rPr>
          <w:rFonts w:cs="Arial"/>
          <w:sz w:val="16"/>
          <w:szCs w:val="16"/>
          <w:lang w:val="es-MX"/>
        </w:rPr>
      </w:pPr>
    </w:p>
    <w:p w:rsidR="00FA7637" w:rsidRDefault="00FA7637" w:rsidP="00FA7637">
      <w:pPr>
        <w:ind w:left="0"/>
        <w:jc w:val="both"/>
        <w:rPr>
          <w:rFonts w:ascii="Bookman Old Style" w:hAnsi="Bookman Old Style" w:cs="Arial"/>
        </w:rPr>
      </w:pPr>
      <w:r>
        <w:rPr>
          <w:rFonts w:ascii="Bookman Old Style" w:hAnsi="Bookman Old Style" w:cs="Arial"/>
        </w:rPr>
        <w:t xml:space="preserve">Valor Presente </w:t>
      </w:r>
      <w:r w:rsidR="00883035">
        <w:rPr>
          <w:rFonts w:ascii="Bookman Old Style" w:hAnsi="Bookman Old Style" w:cs="Arial"/>
        </w:rPr>
        <w:t>SIVA</w:t>
      </w:r>
      <w:r w:rsidRPr="001E4389">
        <w:rPr>
          <w:rFonts w:ascii="Bookman Old Style" w:hAnsi="Bookman Old Style" w:cs="Arial"/>
        </w:rPr>
        <w:t xml:space="preserve"> S.A. E.S.P</w:t>
      </w:r>
      <w:r>
        <w:rPr>
          <w:rFonts w:ascii="Bookman Old Style" w:hAnsi="Bookman Old Style" w:cs="Arial"/>
        </w:rPr>
        <w:t xml:space="preserve"> = 1.</w:t>
      </w:r>
      <w:r w:rsidR="00883035">
        <w:rPr>
          <w:rFonts w:ascii="Bookman Old Style" w:hAnsi="Bookman Old Style" w:cs="Arial"/>
        </w:rPr>
        <w:t>078.820.197,90</w:t>
      </w:r>
    </w:p>
    <w:p w:rsidR="00FA7637" w:rsidRDefault="00FA7637" w:rsidP="00FA7637">
      <w:pPr>
        <w:ind w:left="0"/>
        <w:jc w:val="both"/>
        <w:rPr>
          <w:rFonts w:ascii="Bookman Old Style" w:hAnsi="Bookman Old Style" w:cs="Arial"/>
        </w:rPr>
      </w:pPr>
    </w:p>
    <w:p w:rsidR="00FA7637" w:rsidRPr="002F05A4" w:rsidRDefault="00FA7637" w:rsidP="00FA7637">
      <w:pPr>
        <w:ind w:left="0"/>
        <w:jc w:val="both"/>
        <w:rPr>
          <w:rFonts w:ascii="Bookman Old Style" w:hAnsi="Bookman Old Style" w:cs="Arial"/>
        </w:rPr>
      </w:pPr>
      <w:r>
        <w:rPr>
          <w:rFonts w:ascii="Bookman Old Style" w:hAnsi="Bookman Old Style" w:cs="Arial"/>
        </w:rPr>
        <w:t xml:space="preserve">La Comisión de Regulación de Energía y Gas –CREG, profirió la Resolución CREG-105 del 21 de septiembre de 2012 “Por la cual se ordena hacer público un proyecto de resolución de carácter general” y cuyo propósito era que las empresas reguladas hicieran sus observaciones y sugerencias en el término de diez (10) días hábiles contados a partir de su publicación, al proyecto de resolución </w:t>
      </w:r>
      <w:r w:rsidRPr="002F05A4">
        <w:rPr>
          <w:rFonts w:ascii="Bookman Old Style" w:hAnsi="Bookman Old Style" w:cs="Arial"/>
          <w:i/>
        </w:rPr>
        <w:t>“por el cual se señala el porcentaje de la contribución que deben pagar las entidades sometidas a la regulación de la Comisión de Regulación de Energía y Gas en el año 2012</w:t>
      </w:r>
      <w:r>
        <w:rPr>
          <w:rFonts w:ascii="Bookman Old Style" w:hAnsi="Bookman Old Style" w:cs="Arial"/>
          <w:i/>
        </w:rPr>
        <w:t>.</w:t>
      </w:r>
      <w:r w:rsidRPr="002F05A4">
        <w:rPr>
          <w:rFonts w:ascii="Bookman Old Style" w:hAnsi="Bookman Old Style" w:cs="Arial"/>
          <w:i/>
        </w:rPr>
        <w:t>”</w:t>
      </w:r>
      <w:r w:rsidRPr="002F05A4">
        <w:rPr>
          <w:rFonts w:ascii="Bookman Old Style" w:hAnsi="Bookman Old Style" w:cs="Arial"/>
        </w:rPr>
        <w:t>.</w:t>
      </w:r>
    </w:p>
    <w:p w:rsidR="00FA7637" w:rsidRDefault="00FA7637" w:rsidP="00FA7637">
      <w:pPr>
        <w:ind w:left="0"/>
        <w:jc w:val="both"/>
        <w:rPr>
          <w:rFonts w:ascii="Bookman Old Style" w:hAnsi="Bookman Old Style" w:cs="Arial"/>
        </w:rPr>
      </w:pPr>
    </w:p>
    <w:p w:rsidR="00FA7637" w:rsidRDefault="00FA7637" w:rsidP="00FA7637">
      <w:pPr>
        <w:ind w:left="0"/>
        <w:jc w:val="both"/>
        <w:rPr>
          <w:rFonts w:ascii="Bookman Old Style" w:hAnsi="Bookman Old Style" w:cs="Arial"/>
        </w:rPr>
      </w:pPr>
      <w:r>
        <w:rPr>
          <w:rFonts w:ascii="Bookman Old Style" w:hAnsi="Bookman Old Style" w:cs="Arial"/>
        </w:rPr>
        <w:t>En el artículo 5 del proyecto de resolución se señaló:</w:t>
      </w:r>
    </w:p>
    <w:p w:rsidR="00FA7637" w:rsidRDefault="00FA7637" w:rsidP="00FA7637">
      <w:pPr>
        <w:ind w:left="0"/>
        <w:jc w:val="both"/>
        <w:rPr>
          <w:rFonts w:ascii="Bookman Old Style" w:hAnsi="Bookman Old Style" w:cs="Arial"/>
        </w:rPr>
      </w:pPr>
    </w:p>
    <w:p w:rsidR="00FA7637" w:rsidRPr="005F05E0" w:rsidRDefault="00FA7637" w:rsidP="00FA7637">
      <w:pPr>
        <w:ind w:left="284" w:right="425"/>
        <w:jc w:val="both"/>
        <w:rPr>
          <w:rFonts w:ascii="Bookman Old Style" w:hAnsi="Bookman Old Style" w:cs="Arial"/>
          <w:bCs/>
          <w:i/>
          <w:sz w:val="22"/>
          <w:szCs w:val="22"/>
        </w:rPr>
      </w:pPr>
      <w:r w:rsidRPr="005F05E0">
        <w:rPr>
          <w:rFonts w:ascii="Bookman Old Style" w:hAnsi="Bookman Old Style" w:cs="Arial"/>
          <w:i/>
          <w:sz w:val="22"/>
          <w:szCs w:val="22"/>
        </w:rPr>
        <w:t>“</w:t>
      </w:r>
      <w:r w:rsidRPr="005F05E0">
        <w:rPr>
          <w:rFonts w:ascii="Bookman Old Style" w:hAnsi="Bookman Old Style" w:cs="Arial"/>
          <w:b/>
          <w:i/>
          <w:sz w:val="22"/>
          <w:szCs w:val="22"/>
        </w:rPr>
        <w:t xml:space="preserve">ARTÍCULO 5.  </w:t>
      </w:r>
      <w:r w:rsidRPr="005F05E0">
        <w:rPr>
          <w:rFonts w:ascii="Bookman Old Style" w:hAnsi="Bookman Old Style" w:cs="Arial"/>
          <w:bCs/>
          <w:i/>
          <w:sz w:val="22"/>
          <w:szCs w:val="22"/>
        </w:rPr>
        <w:t xml:space="preserve">El monto total de la contribución que deben pagar las entidades sujetas a regulación de la Comisión de Regulación de Energía y Gas, en el año 2012, es del </w:t>
      </w:r>
      <w:r w:rsidRPr="005F05E0">
        <w:rPr>
          <w:rFonts w:ascii="Bookman Old Style" w:hAnsi="Bookman Old Style" w:cs="Arial"/>
          <w:i/>
          <w:color w:val="000000"/>
          <w:sz w:val="22"/>
          <w:szCs w:val="22"/>
        </w:rPr>
        <w:t>0.916%</w:t>
      </w:r>
      <w:r w:rsidRPr="005F05E0">
        <w:rPr>
          <w:rFonts w:ascii="Bookman Old Style" w:hAnsi="Bookman Old Style"/>
          <w:i/>
          <w:color w:val="000000"/>
          <w:sz w:val="22"/>
          <w:szCs w:val="22"/>
        </w:rPr>
        <w:t xml:space="preserve"> </w:t>
      </w:r>
      <w:r w:rsidRPr="005F05E0">
        <w:rPr>
          <w:rFonts w:ascii="Bookman Old Style" w:hAnsi="Bookman Old Style" w:cs="Arial"/>
          <w:bCs/>
          <w:i/>
          <w:sz w:val="22"/>
          <w:szCs w:val="22"/>
        </w:rPr>
        <w:t>del valor de los gastos de funcionamiento de la entidad sujeta a</w:t>
      </w:r>
      <w:r w:rsidRPr="005F05E0">
        <w:rPr>
          <w:rFonts w:ascii="Bookman Old Style" w:hAnsi="Bookman Old Style" w:cs="Arial"/>
          <w:bCs/>
          <w:i/>
          <w:color w:val="000000"/>
          <w:sz w:val="22"/>
          <w:szCs w:val="22"/>
        </w:rPr>
        <w:t xml:space="preserve"> regulación, con</w:t>
      </w:r>
      <w:r w:rsidRPr="005F05E0">
        <w:rPr>
          <w:rFonts w:ascii="Bookman Old Style" w:hAnsi="Bookman Old Style" w:cs="Arial"/>
          <w:bCs/>
          <w:i/>
          <w:sz w:val="22"/>
          <w:szCs w:val="22"/>
        </w:rPr>
        <w:t xml:space="preserve"> exclusión de los factores establecidos en la Ley y en la Jurisprudencia del Consejo de Estado. El monto correspondiente a cada entidad </w:t>
      </w:r>
      <w:r w:rsidRPr="005F05E0">
        <w:rPr>
          <w:rFonts w:ascii="Bookman Old Style" w:hAnsi="Bookman Old Style" w:cs="Arial"/>
          <w:bCs/>
          <w:i/>
          <w:sz w:val="22"/>
          <w:szCs w:val="22"/>
        </w:rPr>
        <w:lastRenderedPageBreak/>
        <w:t>será determinado con base en los estados financieros correspondientes al año de 2011, como lo ordenan las normas vigentes.</w:t>
      </w:r>
      <w:r w:rsidRPr="005F05E0">
        <w:rPr>
          <w:rFonts w:ascii="Bookman Old Style" w:hAnsi="Bookman Old Style" w:cs="Arial"/>
          <w:i/>
          <w:sz w:val="22"/>
          <w:szCs w:val="22"/>
        </w:rPr>
        <w:t>”</w:t>
      </w:r>
    </w:p>
    <w:p w:rsidR="00FA7637" w:rsidRDefault="00FA7637" w:rsidP="00FA7637">
      <w:pPr>
        <w:ind w:left="0"/>
        <w:jc w:val="both"/>
        <w:rPr>
          <w:rFonts w:ascii="Bookman Old Style" w:hAnsi="Bookman Old Style" w:cs="Arial"/>
        </w:rPr>
      </w:pPr>
    </w:p>
    <w:p w:rsidR="00FA7637" w:rsidRDefault="00FA7637" w:rsidP="00FA7637">
      <w:pPr>
        <w:ind w:left="0"/>
        <w:jc w:val="both"/>
        <w:rPr>
          <w:rFonts w:ascii="Bookman Old Style" w:hAnsi="Bookman Old Style" w:cs="Arial"/>
        </w:rPr>
      </w:pPr>
      <w:r>
        <w:rPr>
          <w:rFonts w:ascii="Bookman Old Style" w:hAnsi="Bookman Old Style" w:cs="Arial"/>
        </w:rPr>
        <w:t>La anterior resolución se fundamenta en el Documento CREG-059 de septiembre 21 de 2012, el cual fue publicado con la Resolución CREG-105 y en el punto 5 se señaló para la empresa</w:t>
      </w:r>
      <w:r w:rsidR="00883035">
        <w:rPr>
          <w:rFonts w:ascii="Bookman Old Style" w:hAnsi="Bookman Old Style" w:cs="Arial"/>
        </w:rPr>
        <w:t xml:space="preserve"> SIVA</w:t>
      </w:r>
      <w:r>
        <w:rPr>
          <w:rFonts w:ascii="Bookman Old Style" w:hAnsi="Bookman Old Style" w:cs="Arial"/>
        </w:rPr>
        <w:t xml:space="preserve"> </w:t>
      </w:r>
      <w:r w:rsidRPr="001E4389">
        <w:rPr>
          <w:rFonts w:ascii="Bookman Old Style" w:hAnsi="Bookman Old Style" w:cs="Arial"/>
        </w:rPr>
        <w:t>S.A E.S.P</w:t>
      </w:r>
      <w:r>
        <w:rPr>
          <w:rFonts w:ascii="Bookman Old Style" w:hAnsi="Bookman Old Style" w:cs="Arial"/>
        </w:rPr>
        <w:t xml:space="preserve"> la siguiente base de liquidación:</w:t>
      </w:r>
    </w:p>
    <w:p w:rsidR="00883035" w:rsidRDefault="00883035" w:rsidP="00FA7637">
      <w:pPr>
        <w:ind w:left="0"/>
        <w:jc w:val="both"/>
        <w:rPr>
          <w:rFonts w:ascii="Bookman Old Style" w:hAnsi="Bookman Old Style" w:cs="Arial"/>
        </w:rPr>
      </w:pPr>
    </w:p>
    <w:tbl>
      <w:tblPr>
        <w:tblW w:w="7570" w:type="dxa"/>
        <w:jc w:val="center"/>
        <w:tblInd w:w="782" w:type="dxa"/>
        <w:tblCellMar>
          <w:left w:w="70" w:type="dxa"/>
          <w:right w:w="70" w:type="dxa"/>
        </w:tblCellMar>
        <w:tblLook w:val="04A0" w:firstRow="1" w:lastRow="0" w:firstColumn="1" w:lastColumn="0" w:noHBand="0" w:noVBand="1"/>
      </w:tblPr>
      <w:tblGrid>
        <w:gridCol w:w="1357"/>
        <w:gridCol w:w="1336"/>
        <w:gridCol w:w="1483"/>
        <w:gridCol w:w="2008"/>
        <w:gridCol w:w="1386"/>
      </w:tblGrid>
      <w:tr w:rsidR="00883035" w:rsidRPr="00883035" w:rsidTr="00B10B63">
        <w:trPr>
          <w:trHeight w:val="616"/>
          <w:jc w:val="center"/>
        </w:trPr>
        <w:tc>
          <w:tcPr>
            <w:tcW w:w="1357" w:type="dxa"/>
            <w:tcBorders>
              <w:top w:val="single" w:sz="4" w:space="0" w:color="auto"/>
              <w:left w:val="single" w:sz="4" w:space="0" w:color="auto"/>
              <w:bottom w:val="single" w:sz="4" w:space="0" w:color="auto"/>
              <w:right w:val="single" w:sz="4" w:space="0" w:color="auto"/>
            </w:tcBorders>
            <w:shd w:val="clear" w:color="000000" w:fill="1F497D"/>
            <w:vAlign w:val="center"/>
            <w:hideMark/>
          </w:tcPr>
          <w:p w:rsidR="00883035" w:rsidRPr="00883035" w:rsidRDefault="00883035" w:rsidP="00883035">
            <w:pPr>
              <w:ind w:left="0"/>
              <w:jc w:val="center"/>
              <w:rPr>
                <w:rFonts w:ascii="Calibri" w:hAnsi="Calibri" w:cs="Calibri"/>
                <w:b/>
                <w:bCs/>
                <w:color w:val="FFFFFF"/>
                <w:sz w:val="16"/>
                <w:szCs w:val="16"/>
                <w:lang w:val="es-CO" w:eastAsia="es-CO"/>
              </w:rPr>
            </w:pPr>
            <w:r w:rsidRPr="00883035">
              <w:rPr>
                <w:rFonts w:ascii="Calibri" w:hAnsi="Calibri" w:cs="Calibri"/>
                <w:b/>
                <w:bCs/>
                <w:color w:val="FFFFFF"/>
                <w:sz w:val="16"/>
                <w:szCs w:val="16"/>
                <w:lang w:val="es-CO" w:eastAsia="es-CO"/>
              </w:rPr>
              <w:t>Empresa</w:t>
            </w:r>
          </w:p>
        </w:tc>
        <w:tc>
          <w:tcPr>
            <w:tcW w:w="1336" w:type="dxa"/>
            <w:tcBorders>
              <w:top w:val="single" w:sz="4" w:space="0" w:color="auto"/>
              <w:left w:val="nil"/>
              <w:bottom w:val="single" w:sz="4" w:space="0" w:color="auto"/>
              <w:right w:val="single" w:sz="4" w:space="0" w:color="auto"/>
            </w:tcBorders>
            <w:shd w:val="clear" w:color="000000" w:fill="1F497D"/>
            <w:vAlign w:val="center"/>
            <w:hideMark/>
          </w:tcPr>
          <w:p w:rsidR="00883035" w:rsidRPr="00883035" w:rsidRDefault="00883035" w:rsidP="00883035">
            <w:pPr>
              <w:ind w:left="0"/>
              <w:jc w:val="center"/>
              <w:rPr>
                <w:rFonts w:ascii="Calibri" w:hAnsi="Calibri" w:cs="Calibri"/>
                <w:b/>
                <w:bCs/>
                <w:color w:val="FFFFFF"/>
                <w:sz w:val="16"/>
                <w:szCs w:val="16"/>
                <w:lang w:val="es-CO" w:eastAsia="es-CO"/>
              </w:rPr>
            </w:pPr>
            <w:r w:rsidRPr="00883035">
              <w:rPr>
                <w:rFonts w:ascii="Calibri" w:hAnsi="Calibri" w:cs="Calibri"/>
                <w:b/>
                <w:bCs/>
                <w:color w:val="FFFFFF"/>
                <w:sz w:val="16"/>
                <w:szCs w:val="16"/>
                <w:lang w:val="es-CO" w:eastAsia="es-CO"/>
              </w:rPr>
              <w:t>Sector</w:t>
            </w:r>
          </w:p>
        </w:tc>
        <w:tc>
          <w:tcPr>
            <w:tcW w:w="1483" w:type="dxa"/>
            <w:tcBorders>
              <w:top w:val="single" w:sz="4" w:space="0" w:color="auto"/>
              <w:left w:val="nil"/>
              <w:bottom w:val="single" w:sz="4" w:space="0" w:color="auto"/>
              <w:right w:val="single" w:sz="4" w:space="0" w:color="auto"/>
            </w:tcBorders>
            <w:shd w:val="clear" w:color="000000" w:fill="1F497D"/>
            <w:vAlign w:val="center"/>
            <w:hideMark/>
          </w:tcPr>
          <w:p w:rsidR="00883035" w:rsidRPr="00883035" w:rsidRDefault="00883035" w:rsidP="00883035">
            <w:pPr>
              <w:ind w:left="0"/>
              <w:jc w:val="center"/>
              <w:rPr>
                <w:rFonts w:ascii="Calibri" w:hAnsi="Calibri" w:cs="Calibri"/>
                <w:b/>
                <w:bCs/>
                <w:color w:val="FFFFFF"/>
                <w:sz w:val="16"/>
                <w:szCs w:val="16"/>
                <w:lang w:val="es-CO" w:eastAsia="es-CO"/>
              </w:rPr>
            </w:pPr>
            <w:r w:rsidRPr="00883035">
              <w:rPr>
                <w:rFonts w:ascii="Calibri" w:hAnsi="Calibri" w:cs="Calibri"/>
                <w:b/>
                <w:bCs/>
                <w:color w:val="FFFFFF"/>
                <w:sz w:val="16"/>
                <w:szCs w:val="16"/>
                <w:lang w:val="es-CO" w:eastAsia="es-CO"/>
              </w:rPr>
              <w:t>NIT</w:t>
            </w:r>
          </w:p>
        </w:tc>
        <w:tc>
          <w:tcPr>
            <w:tcW w:w="2008" w:type="dxa"/>
            <w:tcBorders>
              <w:top w:val="single" w:sz="4" w:space="0" w:color="auto"/>
              <w:left w:val="nil"/>
              <w:bottom w:val="single" w:sz="4" w:space="0" w:color="auto"/>
              <w:right w:val="single" w:sz="4" w:space="0" w:color="auto"/>
            </w:tcBorders>
            <w:shd w:val="clear" w:color="000000" w:fill="1F497D"/>
            <w:vAlign w:val="center"/>
            <w:hideMark/>
          </w:tcPr>
          <w:p w:rsidR="00883035" w:rsidRPr="00883035" w:rsidRDefault="00883035" w:rsidP="00883035">
            <w:pPr>
              <w:ind w:left="0"/>
              <w:jc w:val="center"/>
              <w:rPr>
                <w:rFonts w:ascii="Calibri" w:hAnsi="Calibri" w:cs="Calibri"/>
                <w:b/>
                <w:bCs/>
                <w:color w:val="FFFFFF"/>
                <w:sz w:val="16"/>
                <w:szCs w:val="16"/>
                <w:lang w:val="es-CO" w:eastAsia="es-CO"/>
              </w:rPr>
            </w:pPr>
            <w:r w:rsidRPr="00883035">
              <w:rPr>
                <w:rFonts w:ascii="Calibri" w:hAnsi="Calibri" w:cs="Calibri"/>
                <w:b/>
                <w:bCs/>
                <w:color w:val="FFFFFF"/>
                <w:sz w:val="16"/>
                <w:szCs w:val="16"/>
                <w:lang w:val="es-CO" w:eastAsia="es-CO"/>
              </w:rPr>
              <w:t>base de Liquidación</w:t>
            </w:r>
          </w:p>
        </w:tc>
        <w:tc>
          <w:tcPr>
            <w:tcW w:w="1386" w:type="dxa"/>
            <w:tcBorders>
              <w:top w:val="single" w:sz="4" w:space="0" w:color="auto"/>
              <w:left w:val="nil"/>
              <w:bottom w:val="single" w:sz="4" w:space="0" w:color="auto"/>
              <w:right w:val="single" w:sz="4" w:space="0" w:color="auto"/>
            </w:tcBorders>
            <w:shd w:val="clear" w:color="000000" w:fill="1F497D"/>
            <w:vAlign w:val="center"/>
            <w:hideMark/>
          </w:tcPr>
          <w:p w:rsidR="00883035" w:rsidRPr="00883035" w:rsidRDefault="00883035" w:rsidP="00883035">
            <w:pPr>
              <w:ind w:left="0"/>
              <w:jc w:val="center"/>
              <w:rPr>
                <w:rFonts w:ascii="Calibri" w:hAnsi="Calibri" w:cs="Calibri"/>
                <w:b/>
                <w:bCs/>
                <w:color w:val="FFFFFF"/>
                <w:sz w:val="16"/>
                <w:szCs w:val="16"/>
                <w:lang w:val="es-CO" w:eastAsia="es-CO"/>
              </w:rPr>
            </w:pPr>
            <w:r w:rsidRPr="00883035">
              <w:rPr>
                <w:rFonts w:ascii="Calibri" w:hAnsi="Calibri" w:cs="Calibri"/>
                <w:b/>
                <w:bCs/>
                <w:color w:val="FFFFFF"/>
                <w:sz w:val="16"/>
                <w:szCs w:val="16"/>
                <w:lang w:val="es-CO" w:eastAsia="es-CO"/>
              </w:rPr>
              <w:t>tipo de información</w:t>
            </w:r>
          </w:p>
        </w:tc>
      </w:tr>
      <w:tr w:rsidR="00B10B63" w:rsidRPr="00883035" w:rsidTr="00B10B63">
        <w:trPr>
          <w:trHeight w:val="493"/>
          <w:jc w:val="center"/>
        </w:trPr>
        <w:tc>
          <w:tcPr>
            <w:tcW w:w="1357" w:type="dxa"/>
            <w:tcBorders>
              <w:top w:val="nil"/>
              <w:left w:val="single" w:sz="4" w:space="0" w:color="auto"/>
              <w:bottom w:val="single" w:sz="4" w:space="0" w:color="auto"/>
              <w:right w:val="single" w:sz="4" w:space="0" w:color="auto"/>
            </w:tcBorders>
            <w:shd w:val="clear" w:color="auto" w:fill="auto"/>
            <w:vAlign w:val="center"/>
            <w:hideMark/>
          </w:tcPr>
          <w:p w:rsidR="00883035" w:rsidRPr="00883035" w:rsidRDefault="00883035" w:rsidP="00883035">
            <w:pPr>
              <w:ind w:left="0"/>
              <w:rPr>
                <w:rFonts w:ascii="Arial" w:hAnsi="Arial" w:cs="Arial"/>
                <w:color w:val="000000"/>
                <w:sz w:val="20"/>
                <w:szCs w:val="20"/>
                <w:lang w:val="es-CO" w:eastAsia="es-CO"/>
              </w:rPr>
            </w:pPr>
            <w:r w:rsidRPr="00883035">
              <w:rPr>
                <w:rFonts w:ascii="Arial" w:hAnsi="Arial" w:cs="Arial"/>
                <w:color w:val="000000"/>
                <w:sz w:val="20"/>
                <w:szCs w:val="20"/>
                <w:lang w:val="es-CO" w:eastAsia="es-CO"/>
              </w:rPr>
              <w:t>SIVA S.A. E.S.P.</w:t>
            </w:r>
          </w:p>
        </w:tc>
        <w:tc>
          <w:tcPr>
            <w:tcW w:w="1336" w:type="dxa"/>
            <w:tcBorders>
              <w:top w:val="nil"/>
              <w:left w:val="nil"/>
              <w:bottom w:val="single" w:sz="4" w:space="0" w:color="auto"/>
              <w:right w:val="single" w:sz="4" w:space="0" w:color="auto"/>
            </w:tcBorders>
            <w:shd w:val="clear" w:color="auto" w:fill="auto"/>
            <w:vAlign w:val="center"/>
            <w:hideMark/>
          </w:tcPr>
          <w:p w:rsidR="00883035" w:rsidRPr="00883035" w:rsidRDefault="00883035" w:rsidP="00883035">
            <w:pPr>
              <w:ind w:left="0"/>
              <w:rPr>
                <w:rFonts w:ascii="Arial" w:hAnsi="Arial" w:cs="Arial"/>
                <w:color w:val="000000"/>
                <w:sz w:val="20"/>
                <w:szCs w:val="20"/>
                <w:lang w:val="es-CO" w:eastAsia="es-CO"/>
              </w:rPr>
            </w:pPr>
            <w:r w:rsidRPr="00883035">
              <w:rPr>
                <w:rFonts w:ascii="Arial" w:hAnsi="Arial" w:cs="Arial"/>
                <w:color w:val="000000"/>
                <w:sz w:val="20"/>
                <w:szCs w:val="20"/>
                <w:lang w:val="es-CO" w:eastAsia="es-CO"/>
              </w:rPr>
              <w:t>GLP</w:t>
            </w:r>
          </w:p>
        </w:tc>
        <w:tc>
          <w:tcPr>
            <w:tcW w:w="1483" w:type="dxa"/>
            <w:tcBorders>
              <w:top w:val="nil"/>
              <w:left w:val="nil"/>
              <w:bottom w:val="single" w:sz="4" w:space="0" w:color="auto"/>
              <w:right w:val="single" w:sz="4" w:space="0" w:color="auto"/>
            </w:tcBorders>
            <w:shd w:val="clear" w:color="auto" w:fill="auto"/>
            <w:vAlign w:val="center"/>
            <w:hideMark/>
          </w:tcPr>
          <w:p w:rsidR="00883035" w:rsidRPr="00883035" w:rsidRDefault="00883035" w:rsidP="00883035">
            <w:pPr>
              <w:ind w:left="0"/>
              <w:jc w:val="right"/>
              <w:rPr>
                <w:rFonts w:ascii="Arial" w:hAnsi="Arial" w:cs="Arial"/>
                <w:color w:val="000000"/>
                <w:sz w:val="20"/>
                <w:szCs w:val="20"/>
                <w:lang w:val="es-CO" w:eastAsia="es-CO"/>
              </w:rPr>
            </w:pPr>
            <w:r w:rsidRPr="00883035">
              <w:rPr>
                <w:rFonts w:ascii="Arial" w:hAnsi="Arial" w:cs="Arial"/>
                <w:color w:val="000000"/>
                <w:sz w:val="20"/>
                <w:szCs w:val="20"/>
                <w:lang w:val="es-CO" w:eastAsia="es-CO"/>
              </w:rPr>
              <w:t>9003085998</w:t>
            </w:r>
          </w:p>
        </w:tc>
        <w:tc>
          <w:tcPr>
            <w:tcW w:w="2008" w:type="dxa"/>
            <w:tcBorders>
              <w:top w:val="nil"/>
              <w:left w:val="nil"/>
              <w:bottom w:val="single" w:sz="4" w:space="0" w:color="auto"/>
              <w:right w:val="single" w:sz="4" w:space="0" w:color="auto"/>
            </w:tcBorders>
            <w:shd w:val="clear" w:color="auto" w:fill="auto"/>
            <w:vAlign w:val="center"/>
            <w:hideMark/>
          </w:tcPr>
          <w:p w:rsidR="00883035" w:rsidRPr="00883035" w:rsidRDefault="00883035" w:rsidP="00883035">
            <w:pPr>
              <w:ind w:left="0"/>
              <w:jc w:val="right"/>
              <w:rPr>
                <w:rFonts w:ascii="Arial" w:hAnsi="Arial" w:cs="Arial"/>
                <w:color w:val="000000"/>
                <w:sz w:val="20"/>
                <w:szCs w:val="20"/>
                <w:lang w:val="es-CO" w:eastAsia="es-CO"/>
              </w:rPr>
            </w:pPr>
            <w:r w:rsidRPr="00883035">
              <w:rPr>
                <w:rFonts w:ascii="Arial" w:hAnsi="Arial" w:cs="Arial"/>
                <w:color w:val="000000"/>
                <w:sz w:val="20"/>
                <w:szCs w:val="20"/>
                <w:lang w:val="es-CO" w:eastAsia="es-CO"/>
              </w:rPr>
              <w:t>1.078.820.197,90</w:t>
            </w:r>
          </w:p>
        </w:tc>
        <w:tc>
          <w:tcPr>
            <w:tcW w:w="1386" w:type="dxa"/>
            <w:tcBorders>
              <w:top w:val="nil"/>
              <w:left w:val="nil"/>
              <w:bottom w:val="single" w:sz="4" w:space="0" w:color="auto"/>
              <w:right w:val="single" w:sz="4" w:space="0" w:color="auto"/>
            </w:tcBorders>
            <w:shd w:val="clear" w:color="auto" w:fill="auto"/>
            <w:vAlign w:val="center"/>
            <w:hideMark/>
          </w:tcPr>
          <w:p w:rsidR="00883035" w:rsidRPr="00883035" w:rsidRDefault="00883035" w:rsidP="00883035">
            <w:pPr>
              <w:ind w:left="0"/>
              <w:jc w:val="center"/>
              <w:rPr>
                <w:rFonts w:ascii="Arial" w:hAnsi="Arial" w:cs="Arial"/>
                <w:color w:val="000000"/>
                <w:sz w:val="20"/>
                <w:szCs w:val="20"/>
                <w:lang w:val="es-CO" w:eastAsia="es-CO"/>
              </w:rPr>
            </w:pPr>
            <w:r w:rsidRPr="00883035">
              <w:rPr>
                <w:rFonts w:ascii="Arial" w:hAnsi="Arial" w:cs="Arial"/>
                <w:color w:val="000000"/>
                <w:sz w:val="20"/>
                <w:szCs w:val="20"/>
                <w:lang w:val="es-CO" w:eastAsia="es-CO"/>
              </w:rPr>
              <w:t>4</w:t>
            </w:r>
          </w:p>
        </w:tc>
      </w:tr>
    </w:tbl>
    <w:p w:rsidR="00FA7637" w:rsidRDefault="00FA7637" w:rsidP="00FA7637">
      <w:pPr>
        <w:ind w:left="0"/>
        <w:jc w:val="both"/>
        <w:rPr>
          <w:rFonts w:ascii="Bookman Old Style" w:hAnsi="Bookman Old Style" w:cs="Arial"/>
        </w:rPr>
      </w:pPr>
    </w:p>
    <w:p w:rsidR="00FA7637" w:rsidRPr="00CB1C0B" w:rsidRDefault="00FA7637" w:rsidP="00FA7637">
      <w:pPr>
        <w:ind w:left="0"/>
        <w:jc w:val="both"/>
        <w:rPr>
          <w:rFonts w:ascii="Bookman Old Style" w:hAnsi="Bookman Old Style" w:cs="Arial"/>
        </w:rPr>
      </w:pPr>
      <w:r w:rsidRPr="00CB1C0B">
        <w:rPr>
          <w:rFonts w:ascii="Bookman Old Style" w:hAnsi="Bookman Old Style" w:cs="Arial"/>
        </w:rPr>
        <w:t xml:space="preserve">Tipo de información 4 corresponde a </w:t>
      </w:r>
      <w:r>
        <w:rPr>
          <w:rFonts w:ascii="Bookman Old Style" w:hAnsi="Bookman Old Style" w:cs="Calibri"/>
          <w:color w:val="000000"/>
          <w:lang w:eastAsia="es-CO"/>
        </w:rPr>
        <w:t>i</w:t>
      </w:r>
      <w:r w:rsidRPr="00CB1C0B">
        <w:rPr>
          <w:rFonts w:ascii="Bookman Old Style" w:hAnsi="Bookman Old Style" w:cs="Calibri"/>
          <w:color w:val="000000"/>
          <w:lang w:eastAsia="es-CO"/>
        </w:rPr>
        <w:t xml:space="preserve">nformación </w:t>
      </w:r>
      <w:r>
        <w:rPr>
          <w:rFonts w:ascii="Bookman Old Style" w:hAnsi="Bookman Old Style" w:cs="Calibri"/>
          <w:color w:val="000000"/>
          <w:lang w:eastAsia="es-CO"/>
        </w:rPr>
        <w:t xml:space="preserve">actualizada a </w:t>
      </w:r>
      <w:r w:rsidRPr="00CB1C0B">
        <w:rPr>
          <w:rFonts w:ascii="Bookman Old Style" w:hAnsi="Bookman Old Style" w:cs="Calibri"/>
          <w:color w:val="000000"/>
          <w:lang w:eastAsia="es-CO"/>
        </w:rPr>
        <w:t xml:space="preserve">valor presente </w:t>
      </w:r>
    </w:p>
    <w:p w:rsidR="00FA7637" w:rsidRDefault="00FA7637" w:rsidP="00FA7637">
      <w:pPr>
        <w:ind w:left="0"/>
        <w:jc w:val="both"/>
        <w:rPr>
          <w:rFonts w:ascii="Bookman Old Style" w:hAnsi="Bookman Old Style" w:cs="Arial"/>
        </w:rPr>
      </w:pPr>
    </w:p>
    <w:p w:rsidR="00FA7637" w:rsidRDefault="00FA7637" w:rsidP="00FA7637">
      <w:pPr>
        <w:ind w:left="0"/>
        <w:jc w:val="both"/>
        <w:rPr>
          <w:rFonts w:ascii="Bookman Old Style" w:hAnsi="Bookman Old Style" w:cs="Arial"/>
          <w:noProof/>
        </w:rPr>
      </w:pPr>
      <w:r>
        <w:rPr>
          <w:rFonts w:ascii="Bookman Old Style" w:hAnsi="Bookman Old Style" w:cs="Arial"/>
          <w:noProof/>
        </w:rPr>
        <w:t xml:space="preserve">Con base en lo anterior, teniendo en cuenta el nuevo factor, se determinó que la </w:t>
      </w:r>
      <w:r>
        <w:rPr>
          <w:rFonts w:ascii="Bookman Old Style" w:hAnsi="Bookman Old Style" w:cs="Arial"/>
        </w:rPr>
        <w:t xml:space="preserve">empresa </w:t>
      </w:r>
      <w:r w:rsidR="00B10B63">
        <w:rPr>
          <w:rFonts w:ascii="Bookman Old Style" w:hAnsi="Bookman Old Style" w:cs="Arial"/>
        </w:rPr>
        <w:t>SIVA</w:t>
      </w:r>
      <w:r>
        <w:rPr>
          <w:rFonts w:ascii="Bookman Old Style" w:hAnsi="Bookman Old Style" w:cs="Arial"/>
        </w:rPr>
        <w:t xml:space="preserve"> </w:t>
      </w:r>
      <w:r w:rsidRPr="001E4389">
        <w:rPr>
          <w:rFonts w:ascii="Bookman Old Style" w:hAnsi="Bookman Old Style" w:cs="Arial"/>
        </w:rPr>
        <w:t>S.A E.S.P</w:t>
      </w:r>
      <w:r>
        <w:rPr>
          <w:rFonts w:ascii="Bookman Old Style" w:hAnsi="Bookman Old Style" w:cs="Arial"/>
          <w:noProof/>
        </w:rPr>
        <w:t xml:space="preserve"> debía pagar la suma de </w:t>
      </w:r>
      <w:r w:rsidR="00B10B63">
        <w:rPr>
          <w:rFonts w:ascii="Bookman Old Style" w:hAnsi="Bookman Old Style" w:cs="Arial"/>
          <w:noProof/>
        </w:rPr>
        <w:t>NUEVE</w:t>
      </w:r>
      <w:r>
        <w:rPr>
          <w:rFonts w:ascii="Bookman Old Style" w:hAnsi="Bookman Old Style" w:cs="Arial"/>
          <w:noProof/>
        </w:rPr>
        <w:t xml:space="preserve"> MILLONES </w:t>
      </w:r>
      <w:r w:rsidR="00B10B63">
        <w:rPr>
          <w:rFonts w:ascii="Bookman Old Style" w:hAnsi="Bookman Old Style" w:cs="Arial"/>
          <w:noProof/>
        </w:rPr>
        <w:t>OCHOCIENTOS SETENTA Y CINCO</w:t>
      </w:r>
      <w:r>
        <w:rPr>
          <w:rFonts w:ascii="Bookman Old Style" w:hAnsi="Bookman Old Style" w:cs="Arial"/>
          <w:noProof/>
        </w:rPr>
        <w:t xml:space="preserve"> MIL </w:t>
      </w:r>
      <w:r w:rsidR="00B10B63">
        <w:rPr>
          <w:rFonts w:ascii="Bookman Old Style" w:hAnsi="Bookman Old Style" w:cs="Arial"/>
          <w:noProof/>
        </w:rPr>
        <w:t>QUINIENTOS VEINTE</w:t>
      </w:r>
      <w:r>
        <w:rPr>
          <w:rFonts w:ascii="Bookman Old Style" w:hAnsi="Bookman Old Style" w:cs="Arial"/>
          <w:noProof/>
        </w:rPr>
        <w:t xml:space="preserve"> PESOS ($ </w:t>
      </w:r>
      <w:r w:rsidR="00B10B63">
        <w:rPr>
          <w:rFonts w:ascii="Bookman Old Style" w:hAnsi="Bookman Old Style" w:cs="Arial"/>
          <w:noProof/>
        </w:rPr>
        <w:t>9.875.520</w:t>
      </w:r>
      <w:r>
        <w:rPr>
          <w:rFonts w:ascii="Bookman Old Style" w:hAnsi="Bookman Old Style" w:cs="Arial"/>
          <w:noProof/>
        </w:rPr>
        <w:t>) M/CTE, por concepto de la contribución especial para el año 2012, y el cual se señaló en la resolución CREG-119 de 2012, y se obtuvo de la aplicación de la siguiente fórmula:</w:t>
      </w:r>
    </w:p>
    <w:p w:rsidR="005F05E0" w:rsidRDefault="005F05E0" w:rsidP="00FA7637">
      <w:pPr>
        <w:ind w:left="0"/>
        <w:jc w:val="both"/>
        <w:rPr>
          <w:rFonts w:ascii="Bookman Old Style" w:hAnsi="Bookman Old Style" w:cs="Arial"/>
          <w:noProof/>
        </w:rPr>
      </w:pPr>
    </w:p>
    <w:tbl>
      <w:tblPr>
        <w:tblW w:w="9430" w:type="dxa"/>
        <w:tblCellMar>
          <w:left w:w="70" w:type="dxa"/>
          <w:right w:w="70" w:type="dxa"/>
        </w:tblCellMar>
        <w:tblLook w:val="04A0" w:firstRow="1" w:lastRow="0" w:firstColumn="1" w:lastColumn="0" w:noHBand="0" w:noVBand="1"/>
      </w:tblPr>
      <w:tblGrid>
        <w:gridCol w:w="3198"/>
        <w:gridCol w:w="416"/>
        <w:gridCol w:w="2697"/>
        <w:gridCol w:w="451"/>
        <w:gridCol w:w="2668"/>
      </w:tblGrid>
      <w:tr w:rsidR="00FA7637" w:rsidRPr="00F514F1" w:rsidTr="00545C7C">
        <w:trPr>
          <w:trHeight w:val="315"/>
        </w:trPr>
        <w:tc>
          <w:tcPr>
            <w:tcW w:w="3198" w:type="dxa"/>
            <w:vMerge w:val="restart"/>
            <w:tcBorders>
              <w:top w:val="nil"/>
              <w:left w:val="nil"/>
              <w:bottom w:val="nil"/>
              <w:right w:val="nil"/>
            </w:tcBorders>
            <w:shd w:val="clear" w:color="auto" w:fill="auto"/>
            <w:vAlign w:val="center"/>
            <w:hideMark/>
          </w:tcPr>
          <w:p w:rsidR="00FA7637" w:rsidRPr="00561715" w:rsidRDefault="00FA7637" w:rsidP="00545C7C">
            <w:pPr>
              <w:ind w:left="0"/>
              <w:jc w:val="center"/>
              <w:rPr>
                <w:rFonts w:ascii="Bookman Old Style" w:hAnsi="Bookman Old Style" w:cs="Calibri"/>
                <w:color w:val="000000"/>
                <w:sz w:val="20"/>
                <w:szCs w:val="20"/>
                <w:lang w:val="es-CO" w:eastAsia="es-CO"/>
              </w:rPr>
            </w:pPr>
            <w:r w:rsidRPr="00561715">
              <w:rPr>
                <w:rFonts w:ascii="Bookman Old Style" w:hAnsi="Bookman Old Style" w:cs="Calibri"/>
                <w:color w:val="000000"/>
                <w:sz w:val="20"/>
                <w:szCs w:val="20"/>
                <w:lang w:val="es-CO" w:eastAsia="es-CO"/>
              </w:rPr>
              <w:t>Valor Presente 2012</w:t>
            </w:r>
          </w:p>
        </w:tc>
        <w:tc>
          <w:tcPr>
            <w:tcW w:w="416" w:type="dxa"/>
            <w:vMerge w:val="restart"/>
            <w:tcBorders>
              <w:top w:val="nil"/>
              <w:left w:val="nil"/>
              <w:bottom w:val="nil"/>
              <w:right w:val="nil"/>
            </w:tcBorders>
            <w:shd w:val="clear" w:color="auto" w:fill="auto"/>
            <w:vAlign w:val="center"/>
            <w:hideMark/>
          </w:tcPr>
          <w:p w:rsidR="00FA7637" w:rsidRPr="00561715" w:rsidRDefault="00FA7637" w:rsidP="00545C7C">
            <w:pPr>
              <w:ind w:left="0"/>
              <w:rPr>
                <w:rFonts w:ascii="Bookman Old Style" w:hAnsi="Bookman Old Style" w:cs="Calibri"/>
                <w:color w:val="000000"/>
                <w:sz w:val="20"/>
                <w:szCs w:val="20"/>
                <w:lang w:val="es-CO" w:eastAsia="es-CO"/>
              </w:rPr>
            </w:pPr>
            <w:r w:rsidRPr="00561715">
              <w:rPr>
                <w:rFonts w:ascii="Bookman Old Style" w:hAnsi="Bookman Old Style" w:cs="Calibri"/>
                <w:color w:val="000000"/>
                <w:sz w:val="20"/>
                <w:szCs w:val="20"/>
                <w:lang w:val="es-CO" w:eastAsia="es-CO"/>
              </w:rPr>
              <w:t>X</w:t>
            </w:r>
          </w:p>
        </w:tc>
        <w:tc>
          <w:tcPr>
            <w:tcW w:w="2697" w:type="dxa"/>
            <w:vMerge w:val="restart"/>
            <w:tcBorders>
              <w:top w:val="nil"/>
              <w:left w:val="nil"/>
              <w:bottom w:val="nil"/>
              <w:right w:val="nil"/>
            </w:tcBorders>
            <w:shd w:val="clear" w:color="auto" w:fill="auto"/>
            <w:vAlign w:val="center"/>
            <w:hideMark/>
          </w:tcPr>
          <w:p w:rsidR="00FA7637" w:rsidRPr="00561715" w:rsidRDefault="00FA7637" w:rsidP="00545C7C">
            <w:pPr>
              <w:ind w:left="0"/>
              <w:jc w:val="center"/>
              <w:rPr>
                <w:rFonts w:ascii="Bookman Old Style" w:hAnsi="Bookman Old Style" w:cs="Calibri"/>
                <w:color w:val="000000"/>
                <w:sz w:val="20"/>
                <w:szCs w:val="20"/>
                <w:lang w:val="es-CO" w:eastAsia="es-CO"/>
              </w:rPr>
            </w:pPr>
            <w:r w:rsidRPr="00561715">
              <w:rPr>
                <w:rFonts w:ascii="Bookman Old Style" w:hAnsi="Bookman Old Style" w:cs="Calibri"/>
                <w:color w:val="000000"/>
                <w:sz w:val="20"/>
                <w:szCs w:val="20"/>
                <w:lang w:val="es-CO" w:eastAsia="es-CO"/>
              </w:rPr>
              <w:t xml:space="preserve">Porcentaje </w:t>
            </w:r>
            <w:r w:rsidRPr="00F514F1">
              <w:rPr>
                <w:rFonts w:ascii="Bookman Old Style" w:hAnsi="Bookman Old Style" w:cs="Calibri"/>
                <w:color w:val="000000"/>
                <w:sz w:val="20"/>
                <w:szCs w:val="20"/>
                <w:lang w:val="es-CO" w:eastAsia="es-CO"/>
              </w:rPr>
              <w:t>Contribución</w:t>
            </w:r>
            <w:r w:rsidRPr="00561715">
              <w:rPr>
                <w:rFonts w:ascii="Bookman Old Style" w:hAnsi="Bookman Old Style" w:cs="Calibri"/>
                <w:color w:val="000000"/>
                <w:sz w:val="20"/>
                <w:szCs w:val="20"/>
                <w:lang w:val="es-CO" w:eastAsia="es-CO"/>
              </w:rPr>
              <w:t xml:space="preserve"> 2012</w:t>
            </w:r>
          </w:p>
        </w:tc>
        <w:tc>
          <w:tcPr>
            <w:tcW w:w="451" w:type="dxa"/>
            <w:vMerge w:val="restart"/>
            <w:tcBorders>
              <w:top w:val="nil"/>
              <w:left w:val="nil"/>
              <w:bottom w:val="nil"/>
              <w:right w:val="nil"/>
            </w:tcBorders>
            <w:shd w:val="clear" w:color="auto" w:fill="auto"/>
            <w:noWrap/>
            <w:vAlign w:val="center"/>
            <w:hideMark/>
          </w:tcPr>
          <w:p w:rsidR="00FA7637" w:rsidRPr="00561715" w:rsidRDefault="00FA7637" w:rsidP="00545C7C">
            <w:pPr>
              <w:ind w:left="0"/>
              <w:rPr>
                <w:rFonts w:ascii="Bookman Old Style" w:hAnsi="Bookman Old Style" w:cs="Calibri"/>
                <w:color w:val="000000"/>
                <w:sz w:val="20"/>
                <w:szCs w:val="20"/>
                <w:lang w:val="es-CO" w:eastAsia="es-CO"/>
              </w:rPr>
            </w:pPr>
            <w:r w:rsidRPr="00561715">
              <w:rPr>
                <w:rFonts w:ascii="Bookman Old Style" w:hAnsi="Bookman Old Style" w:cs="Calibri"/>
                <w:color w:val="000000"/>
                <w:sz w:val="20"/>
                <w:szCs w:val="20"/>
                <w:lang w:val="es-CO" w:eastAsia="es-CO"/>
              </w:rPr>
              <w:t xml:space="preserve"> =</w:t>
            </w:r>
          </w:p>
        </w:tc>
        <w:tc>
          <w:tcPr>
            <w:tcW w:w="2668" w:type="dxa"/>
            <w:vMerge w:val="restart"/>
            <w:tcBorders>
              <w:top w:val="nil"/>
              <w:left w:val="nil"/>
              <w:bottom w:val="nil"/>
              <w:right w:val="nil"/>
            </w:tcBorders>
            <w:shd w:val="clear" w:color="auto" w:fill="auto"/>
            <w:vAlign w:val="center"/>
            <w:hideMark/>
          </w:tcPr>
          <w:p w:rsidR="00FA7637" w:rsidRPr="00561715" w:rsidRDefault="00FA7637" w:rsidP="00545C7C">
            <w:pPr>
              <w:ind w:left="0"/>
              <w:jc w:val="center"/>
              <w:rPr>
                <w:rFonts w:ascii="Bookman Old Style" w:hAnsi="Bookman Old Style" w:cs="Calibri"/>
                <w:color w:val="000000"/>
                <w:sz w:val="20"/>
                <w:szCs w:val="20"/>
                <w:lang w:val="es-CO" w:eastAsia="es-CO"/>
              </w:rPr>
            </w:pPr>
            <w:r w:rsidRPr="00561715">
              <w:rPr>
                <w:rFonts w:ascii="Bookman Old Style" w:hAnsi="Bookman Old Style" w:cs="Calibri"/>
                <w:color w:val="000000"/>
                <w:sz w:val="20"/>
                <w:szCs w:val="20"/>
                <w:lang w:val="es-CO" w:eastAsia="es-CO"/>
              </w:rPr>
              <w:t>Valor Contribución 2012</w:t>
            </w:r>
          </w:p>
        </w:tc>
      </w:tr>
      <w:tr w:rsidR="00FA7637" w:rsidRPr="00F514F1" w:rsidTr="00545C7C">
        <w:trPr>
          <w:trHeight w:val="315"/>
        </w:trPr>
        <w:tc>
          <w:tcPr>
            <w:tcW w:w="3198" w:type="dxa"/>
            <w:vMerge/>
            <w:tcBorders>
              <w:top w:val="nil"/>
              <w:left w:val="nil"/>
              <w:bottom w:val="nil"/>
              <w:right w:val="nil"/>
            </w:tcBorders>
            <w:vAlign w:val="center"/>
            <w:hideMark/>
          </w:tcPr>
          <w:p w:rsidR="00FA7637" w:rsidRPr="00561715" w:rsidRDefault="00FA7637" w:rsidP="00545C7C">
            <w:pPr>
              <w:ind w:left="0"/>
              <w:rPr>
                <w:rFonts w:ascii="Bookman Old Style" w:hAnsi="Bookman Old Style" w:cs="Calibri"/>
                <w:color w:val="000000"/>
                <w:sz w:val="20"/>
                <w:szCs w:val="20"/>
                <w:lang w:val="es-CO" w:eastAsia="es-CO"/>
              </w:rPr>
            </w:pPr>
          </w:p>
        </w:tc>
        <w:tc>
          <w:tcPr>
            <w:tcW w:w="416" w:type="dxa"/>
            <w:vMerge/>
            <w:tcBorders>
              <w:top w:val="nil"/>
              <w:left w:val="nil"/>
              <w:bottom w:val="nil"/>
              <w:right w:val="nil"/>
            </w:tcBorders>
            <w:vAlign w:val="center"/>
            <w:hideMark/>
          </w:tcPr>
          <w:p w:rsidR="00FA7637" w:rsidRPr="00561715" w:rsidRDefault="00FA7637" w:rsidP="00545C7C">
            <w:pPr>
              <w:ind w:left="0"/>
              <w:rPr>
                <w:rFonts w:ascii="Bookman Old Style" w:hAnsi="Bookman Old Style" w:cs="Calibri"/>
                <w:color w:val="000000"/>
                <w:sz w:val="20"/>
                <w:szCs w:val="20"/>
                <w:lang w:val="es-CO" w:eastAsia="es-CO"/>
              </w:rPr>
            </w:pPr>
          </w:p>
        </w:tc>
        <w:tc>
          <w:tcPr>
            <w:tcW w:w="2697" w:type="dxa"/>
            <w:vMerge/>
            <w:tcBorders>
              <w:top w:val="nil"/>
              <w:left w:val="nil"/>
              <w:bottom w:val="nil"/>
              <w:right w:val="nil"/>
            </w:tcBorders>
            <w:vAlign w:val="center"/>
            <w:hideMark/>
          </w:tcPr>
          <w:p w:rsidR="00FA7637" w:rsidRPr="00561715" w:rsidRDefault="00FA7637" w:rsidP="00545C7C">
            <w:pPr>
              <w:ind w:left="0"/>
              <w:rPr>
                <w:rFonts w:ascii="Bookman Old Style" w:hAnsi="Bookman Old Style" w:cs="Calibri"/>
                <w:color w:val="000000"/>
                <w:sz w:val="20"/>
                <w:szCs w:val="20"/>
                <w:lang w:val="es-CO" w:eastAsia="es-CO"/>
              </w:rPr>
            </w:pPr>
          </w:p>
        </w:tc>
        <w:tc>
          <w:tcPr>
            <w:tcW w:w="451" w:type="dxa"/>
            <w:vMerge/>
            <w:tcBorders>
              <w:top w:val="nil"/>
              <w:left w:val="nil"/>
              <w:bottom w:val="nil"/>
              <w:right w:val="nil"/>
            </w:tcBorders>
            <w:vAlign w:val="center"/>
            <w:hideMark/>
          </w:tcPr>
          <w:p w:rsidR="00FA7637" w:rsidRPr="00561715" w:rsidRDefault="00FA7637" w:rsidP="00545C7C">
            <w:pPr>
              <w:ind w:left="0"/>
              <w:rPr>
                <w:rFonts w:ascii="Bookman Old Style" w:hAnsi="Bookman Old Style" w:cs="Calibri"/>
                <w:color w:val="000000"/>
                <w:sz w:val="20"/>
                <w:szCs w:val="20"/>
                <w:lang w:val="es-CO" w:eastAsia="es-CO"/>
              </w:rPr>
            </w:pPr>
          </w:p>
        </w:tc>
        <w:tc>
          <w:tcPr>
            <w:tcW w:w="2668" w:type="dxa"/>
            <w:vMerge/>
            <w:tcBorders>
              <w:top w:val="nil"/>
              <w:left w:val="nil"/>
              <w:bottom w:val="nil"/>
              <w:right w:val="nil"/>
            </w:tcBorders>
            <w:vAlign w:val="center"/>
            <w:hideMark/>
          </w:tcPr>
          <w:p w:rsidR="00FA7637" w:rsidRPr="00561715" w:rsidRDefault="00FA7637" w:rsidP="00545C7C">
            <w:pPr>
              <w:ind w:left="0"/>
              <w:rPr>
                <w:rFonts w:ascii="Bookman Old Style" w:hAnsi="Bookman Old Style" w:cs="Calibri"/>
                <w:color w:val="000000"/>
                <w:sz w:val="20"/>
                <w:szCs w:val="20"/>
                <w:lang w:val="es-CO" w:eastAsia="es-CO"/>
              </w:rPr>
            </w:pPr>
          </w:p>
        </w:tc>
      </w:tr>
      <w:tr w:rsidR="00FA7637" w:rsidRPr="00F514F1" w:rsidTr="00545C7C">
        <w:trPr>
          <w:trHeight w:val="315"/>
        </w:trPr>
        <w:tc>
          <w:tcPr>
            <w:tcW w:w="3198" w:type="dxa"/>
            <w:tcBorders>
              <w:top w:val="nil"/>
              <w:left w:val="nil"/>
              <w:bottom w:val="nil"/>
              <w:right w:val="nil"/>
            </w:tcBorders>
            <w:shd w:val="clear" w:color="auto" w:fill="auto"/>
            <w:noWrap/>
            <w:vAlign w:val="center"/>
            <w:hideMark/>
          </w:tcPr>
          <w:p w:rsidR="00FA7637" w:rsidRPr="00561715" w:rsidRDefault="00FA7637" w:rsidP="00B10B63">
            <w:pPr>
              <w:ind w:left="0"/>
              <w:jc w:val="center"/>
              <w:rPr>
                <w:rFonts w:ascii="Bookman Old Style" w:hAnsi="Bookman Old Style" w:cs="Calibri"/>
                <w:color w:val="000000"/>
                <w:sz w:val="20"/>
                <w:szCs w:val="20"/>
                <w:lang w:val="es-CO" w:eastAsia="es-CO"/>
              </w:rPr>
            </w:pPr>
            <w:r w:rsidRPr="00561715">
              <w:rPr>
                <w:rFonts w:ascii="Bookman Old Style" w:hAnsi="Bookman Old Style" w:cs="Calibri"/>
                <w:color w:val="000000"/>
                <w:sz w:val="20"/>
                <w:szCs w:val="20"/>
                <w:lang w:val="es-CO" w:eastAsia="es-CO"/>
              </w:rPr>
              <w:t xml:space="preserve">$    </w:t>
            </w:r>
            <w:r w:rsidR="00B10B63">
              <w:rPr>
                <w:rFonts w:ascii="Bookman Old Style" w:hAnsi="Bookman Old Style" w:cs="Calibri"/>
                <w:color w:val="000000"/>
                <w:sz w:val="20"/>
                <w:szCs w:val="20"/>
                <w:lang w:val="es-CO" w:eastAsia="es-CO"/>
              </w:rPr>
              <w:t>1.078.820.197,90</w:t>
            </w:r>
          </w:p>
        </w:tc>
        <w:tc>
          <w:tcPr>
            <w:tcW w:w="416" w:type="dxa"/>
            <w:vMerge/>
            <w:tcBorders>
              <w:top w:val="nil"/>
              <w:left w:val="nil"/>
              <w:bottom w:val="nil"/>
              <w:right w:val="nil"/>
            </w:tcBorders>
            <w:vAlign w:val="center"/>
            <w:hideMark/>
          </w:tcPr>
          <w:p w:rsidR="00FA7637" w:rsidRPr="00561715" w:rsidRDefault="00FA7637" w:rsidP="00545C7C">
            <w:pPr>
              <w:ind w:left="0"/>
              <w:jc w:val="center"/>
              <w:rPr>
                <w:rFonts w:ascii="Bookman Old Style" w:hAnsi="Bookman Old Style" w:cs="Calibri"/>
                <w:color w:val="000000"/>
                <w:sz w:val="20"/>
                <w:szCs w:val="20"/>
                <w:lang w:val="es-CO" w:eastAsia="es-CO"/>
              </w:rPr>
            </w:pPr>
          </w:p>
        </w:tc>
        <w:tc>
          <w:tcPr>
            <w:tcW w:w="2697" w:type="dxa"/>
            <w:tcBorders>
              <w:top w:val="nil"/>
              <w:left w:val="nil"/>
              <w:bottom w:val="nil"/>
              <w:right w:val="nil"/>
            </w:tcBorders>
            <w:shd w:val="clear" w:color="auto" w:fill="auto"/>
            <w:vAlign w:val="center"/>
            <w:hideMark/>
          </w:tcPr>
          <w:p w:rsidR="00FA7637" w:rsidRPr="00561715" w:rsidRDefault="00FA7637" w:rsidP="00545C7C">
            <w:pPr>
              <w:ind w:left="0"/>
              <w:jc w:val="center"/>
              <w:rPr>
                <w:rFonts w:ascii="Bookman Old Style" w:hAnsi="Bookman Old Style" w:cs="Calibri"/>
                <w:color w:val="000000"/>
                <w:sz w:val="20"/>
                <w:szCs w:val="20"/>
                <w:lang w:val="es-CO" w:eastAsia="es-CO"/>
              </w:rPr>
            </w:pPr>
            <w:r w:rsidRPr="00561715">
              <w:rPr>
                <w:rFonts w:ascii="Bookman Old Style" w:hAnsi="Bookman Old Style" w:cs="Calibri"/>
                <w:color w:val="000000"/>
                <w:sz w:val="20"/>
                <w:szCs w:val="20"/>
                <w:lang w:val="es-CO" w:eastAsia="es-CO"/>
              </w:rPr>
              <w:t>0,9154%</w:t>
            </w:r>
          </w:p>
        </w:tc>
        <w:tc>
          <w:tcPr>
            <w:tcW w:w="451" w:type="dxa"/>
            <w:vMerge/>
            <w:tcBorders>
              <w:top w:val="nil"/>
              <w:left w:val="nil"/>
              <w:bottom w:val="nil"/>
              <w:right w:val="nil"/>
            </w:tcBorders>
            <w:vAlign w:val="center"/>
            <w:hideMark/>
          </w:tcPr>
          <w:p w:rsidR="00FA7637" w:rsidRPr="00561715" w:rsidRDefault="00FA7637" w:rsidP="00545C7C">
            <w:pPr>
              <w:ind w:left="0"/>
              <w:jc w:val="center"/>
              <w:rPr>
                <w:rFonts w:ascii="Bookman Old Style" w:hAnsi="Bookman Old Style" w:cs="Calibri"/>
                <w:color w:val="000000"/>
                <w:sz w:val="20"/>
                <w:szCs w:val="20"/>
                <w:lang w:val="es-CO" w:eastAsia="es-CO"/>
              </w:rPr>
            </w:pPr>
          </w:p>
        </w:tc>
        <w:tc>
          <w:tcPr>
            <w:tcW w:w="2668" w:type="dxa"/>
            <w:tcBorders>
              <w:top w:val="nil"/>
              <w:left w:val="nil"/>
              <w:bottom w:val="nil"/>
              <w:right w:val="nil"/>
            </w:tcBorders>
            <w:shd w:val="clear" w:color="auto" w:fill="auto"/>
            <w:vAlign w:val="center"/>
            <w:hideMark/>
          </w:tcPr>
          <w:p w:rsidR="00FA7637" w:rsidRPr="00561715" w:rsidRDefault="00FA7637" w:rsidP="00B10B63">
            <w:pPr>
              <w:ind w:left="0"/>
              <w:jc w:val="center"/>
              <w:rPr>
                <w:rFonts w:ascii="Bookman Old Style" w:hAnsi="Bookman Old Style" w:cs="Calibri"/>
                <w:color w:val="000000"/>
                <w:sz w:val="20"/>
                <w:szCs w:val="20"/>
                <w:lang w:val="es-CO" w:eastAsia="es-CO"/>
              </w:rPr>
            </w:pPr>
            <w:r w:rsidRPr="00F514F1">
              <w:rPr>
                <w:rFonts w:ascii="Bookman Old Style" w:hAnsi="Bookman Old Style" w:cs="Calibri"/>
                <w:color w:val="000000"/>
                <w:sz w:val="20"/>
                <w:szCs w:val="20"/>
                <w:lang w:val="es-CO" w:eastAsia="es-CO"/>
              </w:rPr>
              <w:t xml:space="preserve">$  </w:t>
            </w:r>
            <w:r w:rsidR="00B10B63">
              <w:rPr>
                <w:rFonts w:ascii="Bookman Old Style" w:hAnsi="Bookman Old Style" w:cs="Calibri"/>
                <w:color w:val="000000"/>
                <w:sz w:val="20"/>
                <w:szCs w:val="20"/>
                <w:lang w:val="es-CO" w:eastAsia="es-CO"/>
              </w:rPr>
              <w:t>9.875.520</w:t>
            </w:r>
          </w:p>
        </w:tc>
      </w:tr>
    </w:tbl>
    <w:p w:rsidR="00FA7637" w:rsidRDefault="00FA7637" w:rsidP="00FA7637">
      <w:pPr>
        <w:ind w:left="0"/>
        <w:jc w:val="both"/>
        <w:rPr>
          <w:rFonts w:ascii="Bookman Old Style" w:hAnsi="Bookman Old Style" w:cs="Arial"/>
        </w:rPr>
      </w:pPr>
    </w:p>
    <w:p w:rsidR="009F4CD4" w:rsidRDefault="009F4CD4" w:rsidP="00D63F9E">
      <w:pPr>
        <w:ind w:left="0"/>
        <w:jc w:val="both"/>
        <w:rPr>
          <w:rFonts w:ascii="Bookman Old Style" w:hAnsi="Bookman Old Style" w:cs="Arial"/>
        </w:rPr>
      </w:pPr>
      <w:r>
        <w:rPr>
          <w:rFonts w:ascii="Bookman Old Style" w:hAnsi="Bookman Old Style" w:cs="Arial"/>
        </w:rPr>
        <w:t>Al proyecto de Resolución solo dos reguladas presentaron observaciones en el siguiente sentido:</w:t>
      </w:r>
    </w:p>
    <w:p w:rsidR="009F4CD4" w:rsidRDefault="009F4CD4" w:rsidP="00D63F9E">
      <w:pPr>
        <w:ind w:left="0"/>
        <w:jc w:val="both"/>
        <w:rPr>
          <w:rFonts w:ascii="Bookman Old Style" w:hAnsi="Bookman Old Style" w:cs="Arial"/>
        </w:rPr>
      </w:pPr>
    </w:p>
    <w:p w:rsidR="009F4CD4" w:rsidRPr="009F4CD4" w:rsidRDefault="009F4CD4" w:rsidP="009F4CD4">
      <w:pPr>
        <w:ind w:left="0"/>
        <w:jc w:val="both"/>
        <w:rPr>
          <w:rFonts w:ascii="Bookman Old Style" w:hAnsi="Bookman Old Style" w:cs="Arial"/>
        </w:rPr>
      </w:pPr>
      <w:r w:rsidRPr="009F4CD4">
        <w:rPr>
          <w:rFonts w:ascii="Bookman Old Style" w:hAnsi="Bookman Old Style" w:cs="Arial"/>
        </w:rPr>
        <w:t>La empresa Petrobras International Braspetro S.A E.S.P realizó el siguiente comentario:</w:t>
      </w:r>
    </w:p>
    <w:p w:rsidR="009F4CD4" w:rsidRPr="005F05E0" w:rsidRDefault="009F4CD4" w:rsidP="009F4CD4">
      <w:pPr>
        <w:jc w:val="both"/>
        <w:rPr>
          <w:rFonts w:ascii="Bookman Old Style" w:hAnsi="Bookman Old Style" w:cs="Arial"/>
          <w:sz w:val="22"/>
          <w:szCs w:val="22"/>
        </w:rPr>
      </w:pPr>
    </w:p>
    <w:p w:rsidR="009F4CD4" w:rsidRPr="005F05E0" w:rsidRDefault="009F4CD4" w:rsidP="00EC1A6D">
      <w:pPr>
        <w:ind w:left="284" w:right="425"/>
        <w:jc w:val="both"/>
        <w:rPr>
          <w:rFonts w:ascii="Bookman Old Style" w:hAnsi="Bookman Old Style" w:cs="Arial"/>
          <w:i/>
          <w:sz w:val="22"/>
          <w:szCs w:val="22"/>
        </w:rPr>
      </w:pPr>
      <w:r w:rsidRPr="005F05E0">
        <w:rPr>
          <w:rFonts w:ascii="Bookman Old Style" w:hAnsi="Bookman Old Style" w:cs="Arial"/>
          <w:i/>
          <w:sz w:val="22"/>
          <w:szCs w:val="22"/>
        </w:rPr>
        <w:t xml:space="preserve">“Agradezco se nos confirme por que no aparece la compañía  </w:t>
      </w:r>
      <w:proofErr w:type="spellStart"/>
      <w:r w:rsidRPr="005F05E0">
        <w:rPr>
          <w:rFonts w:ascii="Bookman Old Style" w:hAnsi="Bookman Old Style" w:cs="Arial"/>
          <w:i/>
          <w:sz w:val="22"/>
          <w:szCs w:val="22"/>
        </w:rPr>
        <w:t>Nit</w:t>
      </w:r>
      <w:proofErr w:type="spellEnd"/>
      <w:r w:rsidRPr="005F05E0">
        <w:rPr>
          <w:rFonts w:ascii="Bookman Old Style" w:hAnsi="Bookman Old Style" w:cs="Arial"/>
          <w:i/>
          <w:sz w:val="22"/>
          <w:szCs w:val="22"/>
        </w:rPr>
        <w:t xml:space="preserve"> 830.111.642-6 en la resolución 105 de 2012 y si  debemos realizar contribución para este año.”</w:t>
      </w:r>
    </w:p>
    <w:p w:rsidR="009F4CD4" w:rsidRPr="009F4CD4" w:rsidRDefault="009F4CD4" w:rsidP="009F4CD4">
      <w:pPr>
        <w:jc w:val="both"/>
        <w:rPr>
          <w:rFonts w:ascii="Bookman Old Style" w:hAnsi="Bookman Old Style" w:cs="Arial"/>
          <w:i/>
        </w:rPr>
      </w:pPr>
    </w:p>
    <w:p w:rsidR="009F4CD4" w:rsidRPr="009F4CD4" w:rsidRDefault="009F4CD4" w:rsidP="009F4CD4">
      <w:pPr>
        <w:ind w:left="0"/>
        <w:jc w:val="both"/>
        <w:rPr>
          <w:rFonts w:ascii="Bookman Old Style" w:hAnsi="Bookman Old Style" w:cs="Arial"/>
        </w:rPr>
      </w:pPr>
      <w:r w:rsidRPr="009F4CD4">
        <w:rPr>
          <w:rFonts w:ascii="Bookman Old Style" w:hAnsi="Bookman Old Style" w:cs="Arial"/>
        </w:rPr>
        <w:t>Del análisis realizado por la CREG, se determinó que la exclusión inicial del cálculo de la contribución se debió a que la empresa había realizado la cancelación en el Registro Único de Prestadores de Servicios –RUPS-, pero sí había reportado estados financieros en el SUI. No obstante, al verificar que la empresa sí presto servicios durante el año 2011 se incluyó en el cálculo de la contribución para el año 2012. Esto ocasionó que se incrementara el número de empresas que deben pagar contribución por el año 2012 y se modificara el factor que se señalaba en el proyecto de resolución.</w:t>
      </w:r>
    </w:p>
    <w:p w:rsidR="009F4CD4" w:rsidRPr="009F4CD4" w:rsidRDefault="009F4CD4" w:rsidP="009F4CD4">
      <w:pPr>
        <w:ind w:left="0"/>
        <w:jc w:val="both"/>
        <w:rPr>
          <w:rFonts w:ascii="Bookman Old Style" w:hAnsi="Bookman Old Style" w:cs="Arial"/>
        </w:rPr>
      </w:pPr>
    </w:p>
    <w:p w:rsidR="009F4CD4" w:rsidRPr="009F4CD4" w:rsidRDefault="009F4CD4" w:rsidP="009F4CD4">
      <w:pPr>
        <w:ind w:left="0"/>
        <w:jc w:val="both"/>
        <w:rPr>
          <w:rFonts w:ascii="Bookman Old Style" w:hAnsi="Bookman Old Style" w:cs="Arial"/>
        </w:rPr>
      </w:pPr>
      <w:r w:rsidRPr="009F4CD4">
        <w:rPr>
          <w:rFonts w:ascii="Bookman Old Style" w:hAnsi="Bookman Old Style" w:cs="Arial"/>
        </w:rPr>
        <w:t>La empresa Transportadora de Gas Internacional S.A E.S.P</w:t>
      </w:r>
      <w:r w:rsidR="008D0D1C">
        <w:rPr>
          <w:rFonts w:ascii="Bookman Old Style" w:hAnsi="Bookman Old Style" w:cs="Arial"/>
        </w:rPr>
        <w:t xml:space="preserve"> –T.G.I,</w:t>
      </w:r>
      <w:r w:rsidRPr="009F4CD4">
        <w:rPr>
          <w:rFonts w:ascii="Bookman Old Style" w:hAnsi="Bookman Old Style" w:cs="Arial"/>
        </w:rPr>
        <w:t xml:space="preserve"> realizó el siguiente comentario:</w:t>
      </w:r>
    </w:p>
    <w:p w:rsidR="009F4CD4" w:rsidRPr="009F4CD4" w:rsidRDefault="009F4CD4" w:rsidP="009F4CD4">
      <w:pPr>
        <w:jc w:val="both"/>
        <w:rPr>
          <w:rFonts w:ascii="Bookman Old Style" w:hAnsi="Bookman Old Style" w:cs="Arial"/>
          <w:i/>
        </w:rPr>
      </w:pPr>
    </w:p>
    <w:p w:rsidR="009F4CD4" w:rsidRPr="005F05E0" w:rsidRDefault="009F4CD4" w:rsidP="00EC1A6D">
      <w:pPr>
        <w:ind w:left="284" w:right="425"/>
        <w:jc w:val="both"/>
        <w:rPr>
          <w:rFonts w:ascii="Bookman Old Style" w:hAnsi="Bookman Old Style" w:cs="Arial"/>
          <w:i/>
          <w:sz w:val="22"/>
          <w:szCs w:val="22"/>
        </w:rPr>
      </w:pPr>
      <w:r w:rsidRPr="005F05E0">
        <w:rPr>
          <w:rFonts w:ascii="Bookman Old Style" w:hAnsi="Bookman Old Style" w:cs="Arial"/>
          <w:i/>
          <w:sz w:val="22"/>
          <w:szCs w:val="22"/>
        </w:rPr>
        <w:t>“Respetuosamente solicitamos excluir de la base de cálculo de la contribución todos los gastos relacionados con impuestos, contribuciones y tasas, en razón a que se estarían pagando contribuciones a entidades del gobierno sobre impuestos que el gobierno previamente ha recibido”</w:t>
      </w:r>
    </w:p>
    <w:p w:rsidR="009F4CD4" w:rsidRDefault="009F4CD4" w:rsidP="009F4CD4">
      <w:pPr>
        <w:rPr>
          <w:rFonts w:cs="Arial"/>
          <w:sz w:val="22"/>
          <w:szCs w:val="22"/>
        </w:rPr>
      </w:pPr>
    </w:p>
    <w:p w:rsidR="005F05E0" w:rsidRDefault="005F05E0" w:rsidP="009F4CD4">
      <w:pPr>
        <w:ind w:left="0"/>
        <w:jc w:val="both"/>
        <w:rPr>
          <w:rFonts w:ascii="Bookman Old Style" w:hAnsi="Bookman Old Style" w:cs="Arial"/>
        </w:rPr>
      </w:pPr>
    </w:p>
    <w:p w:rsidR="009F4CD4" w:rsidRDefault="009F4CD4" w:rsidP="009F4CD4">
      <w:pPr>
        <w:ind w:left="0"/>
        <w:jc w:val="both"/>
        <w:rPr>
          <w:rFonts w:ascii="Bookman Old Style" w:hAnsi="Bookman Old Style" w:cs="Arial"/>
          <w:noProof/>
        </w:rPr>
      </w:pPr>
      <w:r w:rsidRPr="009F4CD4">
        <w:rPr>
          <w:rFonts w:ascii="Bookman Old Style" w:hAnsi="Bookman Old Style" w:cs="Arial"/>
        </w:rPr>
        <w:t>Del análisis realizado por la CREG, se determinó que</w:t>
      </w:r>
      <w:r w:rsidRPr="009F4CD4">
        <w:rPr>
          <w:rFonts w:ascii="Bookman Old Style" w:hAnsi="Bookman Old Style" w:cs="Arial"/>
          <w:noProof/>
        </w:rPr>
        <w:t xml:space="preserve"> la exclusión de la cuenta solicitada ya se había efectuado y por lo tanto esta observación no generó ninguna modificación en el cálculo del factor.</w:t>
      </w:r>
    </w:p>
    <w:p w:rsidR="00115262" w:rsidRDefault="00115262" w:rsidP="009F4CD4">
      <w:pPr>
        <w:ind w:left="0"/>
        <w:jc w:val="both"/>
        <w:rPr>
          <w:rFonts w:ascii="Bookman Old Style" w:hAnsi="Bookman Old Style" w:cs="Arial"/>
          <w:noProof/>
        </w:rPr>
      </w:pPr>
    </w:p>
    <w:p w:rsidR="00115262" w:rsidRDefault="00115262" w:rsidP="009F4CD4">
      <w:pPr>
        <w:ind w:left="0"/>
        <w:jc w:val="both"/>
        <w:rPr>
          <w:rFonts w:ascii="Bookman Old Style" w:hAnsi="Bookman Old Style" w:cs="Arial"/>
          <w:spacing w:val="-3"/>
        </w:rPr>
      </w:pPr>
      <w:r w:rsidRPr="00040213">
        <w:rPr>
          <w:rFonts w:ascii="Bookman Old Style" w:hAnsi="Bookman Old Style" w:cs="Arial"/>
          <w:spacing w:val="-3"/>
        </w:rPr>
        <w:t>Con fundamento en los comentarios presentados y en el análisis efectuado, la</w:t>
      </w:r>
      <w:r w:rsidR="002F05A4">
        <w:rPr>
          <w:rFonts w:ascii="Bookman Old Style" w:hAnsi="Bookman Old Style" w:cs="Arial"/>
          <w:spacing w:val="-3"/>
        </w:rPr>
        <w:t xml:space="preserve"> Comisión de Regulación de Energía y Gas –</w:t>
      </w:r>
      <w:r w:rsidRPr="00040213">
        <w:rPr>
          <w:rFonts w:ascii="Bookman Old Style" w:hAnsi="Bookman Old Style" w:cs="Arial"/>
          <w:spacing w:val="-3"/>
        </w:rPr>
        <w:t>CREG</w:t>
      </w:r>
      <w:r w:rsidR="002F05A4">
        <w:rPr>
          <w:rFonts w:ascii="Bookman Old Style" w:hAnsi="Bookman Old Style" w:cs="Arial"/>
          <w:spacing w:val="-3"/>
        </w:rPr>
        <w:t>,</w:t>
      </w:r>
      <w:r w:rsidRPr="00040213">
        <w:rPr>
          <w:rFonts w:ascii="Bookman Old Style" w:hAnsi="Bookman Old Style" w:cs="Arial"/>
          <w:spacing w:val="-3"/>
        </w:rPr>
        <w:t xml:space="preserve"> </w:t>
      </w:r>
      <w:r>
        <w:rPr>
          <w:rFonts w:ascii="Bookman Old Style" w:hAnsi="Bookman Old Style" w:cs="Arial"/>
          <w:spacing w:val="-3"/>
        </w:rPr>
        <w:t>recalculó el porcentaje de la Contribución y profirió la Resolución CREG-118 de 2012 señalando lo siguiente:</w:t>
      </w:r>
    </w:p>
    <w:p w:rsidR="00115262" w:rsidRPr="005F05E0" w:rsidRDefault="00115262" w:rsidP="009F4CD4">
      <w:pPr>
        <w:ind w:left="0"/>
        <w:jc w:val="both"/>
        <w:rPr>
          <w:rFonts w:ascii="Bookman Old Style" w:hAnsi="Bookman Old Style" w:cs="Arial"/>
          <w:spacing w:val="-3"/>
          <w:sz w:val="22"/>
          <w:szCs w:val="22"/>
        </w:rPr>
      </w:pPr>
    </w:p>
    <w:p w:rsidR="00115262" w:rsidRPr="005F05E0" w:rsidRDefault="00115262" w:rsidP="00EC1A6D">
      <w:pPr>
        <w:ind w:left="284" w:right="425"/>
        <w:jc w:val="both"/>
        <w:rPr>
          <w:rFonts w:ascii="Bookman Old Style" w:hAnsi="Bookman Old Style" w:cs="Arial"/>
          <w:i/>
          <w:sz w:val="22"/>
          <w:szCs w:val="22"/>
        </w:rPr>
      </w:pPr>
      <w:r w:rsidRPr="005F05E0">
        <w:rPr>
          <w:rFonts w:ascii="Bookman Old Style" w:hAnsi="Bookman Old Style" w:cs="Arial"/>
          <w:i/>
          <w:sz w:val="22"/>
          <w:szCs w:val="22"/>
        </w:rPr>
        <w:t>“</w:t>
      </w:r>
      <w:r w:rsidRPr="005F05E0">
        <w:rPr>
          <w:rFonts w:ascii="Bookman Old Style" w:hAnsi="Bookman Old Style" w:cs="Arial"/>
          <w:b/>
          <w:i/>
          <w:sz w:val="22"/>
          <w:szCs w:val="22"/>
        </w:rPr>
        <w:t>ARTÍCULO 5.</w:t>
      </w:r>
      <w:r w:rsidRPr="005F05E0">
        <w:rPr>
          <w:rFonts w:ascii="Bookman Old Style" w:hAnsi="Bookman Old Style" w:cs="Arial"/>
          <w:i/>
          <w:sz w:val="22"/>
          <w:szCs w:val="22"/>
        </w:rPr>
        <w:t xml:space="preserve">  El monto total de la contribución que deben pagar las entidades sujetas a regulación de la Comisión de Regulación de Energía y Gas, en el año 2012, es del 0.9154% del valor de los gastos de funcionamiento de la entidad sujeta a regulación, con exclusión de los factores establecidos en la Ley y en la Jurisprudencia del Consejo de Estado</w:t>
      </w:r>
      <w:r w:rsidRPr="005F05E0">
        <w:rPr>
          <w:i/>
          <w:sz w:val="22"/>
          <w:szCs w:val="22"/>
        </w:rPr>
        <w:footnoteReference w:id="1"/>
      </w:r>
      <w:r w:rsidRPr="005F05E0">
        <w:rPr>
          <w:rFonts w:ascii="Bookman Old Style" w:hAnsi="Bookman Old Style" w:cs="Arial"/>
          <w:i/>
          <w:sz w:val="22"/>
          <w:szCs w:val="22"/>
        </w:rPr>
        <w:t>. El monto correspondiente a cada entidad será determinado con base en los estados financieros correspondientes al año de 2011, como lo ordenan las normas vigentes.”</w:t>
      </w:r>
    </w:p>
    <w:tbl>
      <w:tblPr>
        <w:tblW w:w="9430" w:type="dxa"/>
        <w:tblCellMar>
          <w:left w:w="70" w:type="dxa"/>
          <w:right w:w="70" w:type="dxa"/>
        </w:tblCellMar>
        <w:tblLook w:val="04A0" w:firstRow="1" w:lastRow="0" w:firstColumn="1" w:lastColumn="0" w:noHBand="0" w:noVBand="1"/>
      </w:tblPr>
      <w:tblGrid>
        <w:gridCol w:w="3198"/>
        <w:gridCol w:w="416"/>
        <w:gridCol w:w="2697"/>
        <w:gridCol w:w="451"/>
        <w:gridCol w:w="2668"/>
      </w:tblGrid>
      <w:tr w:rsidR="00561715" w:rsidRPr="00F514F1" w:rsidTr="00561715">
        <w:trPr>
          <w:trHeight w:val="315"/>
        </w:trPr>
        <w:tc>
          <w:tcPr>
            <w:tcW w:w="3198" w:type="dxa"/>
            <w:tcBorders>
              <w:top w:val="nil"/>
              <w:left w:val="nil"/>
              <w:bottom w:val="nil"/>
              <w:right w:val="nil"/>
            </w:tcBorders>
            <w:vAlign w:val="center"/>
            <w:hideMark/>
          </w:tcPr>
          <w:p w:rsidR="00561715" w:rsidRPr="00561715" w:rsidRDefault="00561715" w:rsidP="00FA7637">
            <w:pPr>
              <w:ind w:left="0"/>
              <w:rPr>
                <w:rFonts w:ascii="Bookman Old Style" w:hAnsi="Bookman Old Style" w:cs="Calibri"/>
                <w:color w:val="000000"/>
                <w:sz w:val="20"/>
                <w:szCs w:val="20"/>
                <w:lang w:val="es-CO" w:eastAsia="es-CO"/>
              </w:rPr>
            </w:pPr>
          </w:p>
        </w:tc>
        <w:tc>
          <w:tcPr>
            <w:tcW w:w="416" w:type="dxa"/>
            <w:tcBorders>
              <w:top w:val="nil"/>
              <w:left w:val="nil"/>
              <w:bottom w:val="nil"/>
              <w:right w:val="nil"/>
            </w:tcBorders>
            <w:vAlign w:val="center"/>
            <w:hideMark/>
          </w:tcPr>
          <w:p w:rsidR="00561715" w:rsidRPr="00561715" w:rsidRDefault="00561715" w:rsidP="00561715">
            <w:pPr>
              <w:ind w:left="0"/>
              <w:rPr>
                <w:rFonts w:ascii="Bookman Old Style" w:hAnsi="Bookman Old Style" w:cs="Calibri"/>
                <w:color w:val="000000"/>
                <w:sz w:val="20"/>
                <w:szCs w:val="20"/>
                <w:lang w:val="es-CO" w:eastAsia="es-CO"/>
              </w:rPr>
            </w:pPr>
          </w:p>
        </w:tc>
        <w:tc>
          <w:tcPr>
            <w:tcW w:w="2697" w:type="dxa"/>
            <w:tcBorders>
              <w:top w:val="nil"/>
              <w:left w:val="nil"/>
              <w:bottom w:val="nil"/>
              <w:right w:val="nil"/>
            </w:tcBorders>
            <w:vAlign w:val="center"/>
            <w:hideMark/>
          </w:tcPr>
          <w:p w:rsidR="00561715" w:rsidRPr="00561715" w:rsidRDefault="00561715" w:rsidP="00561715">
            <w:pPr>
              <w:ind w:left="0"/>
              <w:rPr>
                <w:rFonts w:ascii="Bookman Old Style" w:hAnsi="Bookman Old Style" w:cs="Calibri"/>
                <w:color w:val="000000"/>
                <w:sz w:val="20"/>
                <w:szCs w:val="20"/>
                <w:lang w:val="es-CO" w:eastAsia="es-CO"/>
              </w:rPr>
            </w:pPr>
          </w:p>
        </w:tc>
        <w:tc>
          <w:tcPr>
            <w:tcW w:w="451" w:type="dxa"/>
            <w:tcBorders>
              <w:top w:val="nil"/>
              <w:left w:val="nil"/>
              <w:bottom w:val="nil"/>
              <w:right w:val="nil"/>
            </w:tcBorders>
            <w:vAlign w:val="center"/>
            <w:hideMark/>
          </w:tcPr>
          <w:p w:rsidR="00561715" w:rsidRPr="00561715" w:rsidRDefault="00561715" w:rsidP="00561715">
            <w:pPr>
              <w:ind w:left="0"/>
              <w:rPr>
                <w:rFonts w:ascii="Bookman Old Style" w:hAnsi="Bookman Old Style" w:cs="Calibri"/>
                <w:color w:val="000000"/>
                <w:sz w:val="20"/>
                <w:szCs w:val="20"/>
                <w:lang w:val="es-CO" w:eastAsia="es-CO"/>
              </w:rPr>
            </w:pPr>
          </w:p>
        </w:tc>
        <w:tc>
          <w:tcPr>
            <w:tcW w:w="2668" w:type="dxa"/>
            <w:tcBorders>
              <w:top w:val="nil"/>
              <w:left w:val="nil"/>
              <w:bottom w:val="nil"/>
              <w:right w:val="nil"/>
            </w:tcBorders>
            <w:vAlign w:val="center"/>
            <w:hideMark/>
          </w:tcPr>
          <w:p w:rsidR="00561715" w:rsidRPr="00561715" w:rsidRDefault="00561715" w:rsidP="00561715">
            <w:pPr>
              <w:ind w:left="0"/>
              <w:rPr>
                <w:rFonts w:ascii="Bookman Old Style" w:hAnsi="Bookman Old Style" w:cs="Calibri"/>
                <w:color w:val="000000"/>
                <w:sz w:val="20"/>
                <w:szCs w:val="20"/>
                <w:lang w:val="es-CO" w:eastAsia="es-CO"/>
              </w:rPr>
            </w:pPr>
          </w:p>
        </w:tc>
      </w:tr>
    </w:tbl>
    <w:p w:rsidR="003A18EB" w:rsidRDefault="006D16E5" w:rsidP="00D63F9E">
      <w:pPr>
        <w:pStyle w:val="Prrafodelista"/>
        <w:numPr>
          <w:ilvl w:val="0"/>
          <w:numId w:val="32"/>
        </w:numPr>
        <w:jc w:val="both"/>
        <w:rPr>
          <w:rFonts w:ascii="Bookman Old Style" w:hAnsi="Bookman Old Style"/>
          <w:b/>
          <w:sz w:val="24"/>
          <w:szCs w:val="24"/>
        </w:rPr>
      </w:pPr>
      <w:r>
        <w:rPr>
          <w:rFonts w:ascii="Bookman Old Style" w:hAnsi="Bookman Old Style"/>
          <w:b/>
          <w:sz w:val="24"/>
          <w:szCs w:val="24"/>
        </w:rPr>
        <w:t>ANÁLISIS PROBATORIO</w:t>
      </w:r>
    </w:p>
    <w:p w:rsidR="004C2C99" w:rsidRDefault="004C2C99" w:rsidP="00D10034">
      <w:pPr>
        <w:ind w:left="0"/>
        <w:jc w:val="both"/>
        <w:rPr>
          <w:rFonts w:ascii="Bookman Old Style" w:hAnsi="Bookman Old Style"/>
          <w:b/>
          <w:lang w:val="es-CO"/>
        </w:rPr>
      </w:pPr>
    </w:p>
    <w:p w:rsidR="00D10034" w:rsidRDefault="00D10034" w:rsidP="00D10034">
      <w:pPr>
        <w:ind w:left="0"/>
        <w:jc w:val="both"/>
        <w:rPr>
          <w:rFonts w:ascii="Bookman Old Style" w:hAnsi="Bookman Old Style"/>
          <w:lang w:val="es-CO"/>
        </w:rPr>
      </w:pPr>
      <w:r>
        <w:rPr>
          <w:rFonts w:ascii="Bookman Old Style" w:hAnsi="Bookman Old Style"/>
          <w:lang w:val="es-CO"/>
        </w:rPr>
        <w:t>El recurrente, con el fin de sustentar la solicitud acompañó el escrito de las siguientes pruebas:</w:t>
      </w:r>
    </w:p>
    <w:p w:rsidR="00D10034" w:rsidRDefault="00D10034" w:rsidP="00D10034">
      <w:pPr>
        <w:ind w:left="0"/>
        <w:jc w:val="both"/>
        <w:rPr>
          <w:rFonts w:ascii="Bookman Old Style" w:hAnsi="Bookman Old Style"/>
          <w:lang w:val="es-CO"/>
        </w:rPr>
      </w:pPr>
    </w:p>
    <w:p w:rsidR="00290BD4" w:rsidRPr="008F755E" w:rsidRDefault="00D10034" w:rsidP="00290BD4">
      <w:pPr>
        <w:pStyle w:val="Prrafodelista"/>
        <w:numPr>
          <w:ilvl w:val="0"/>
          <w:numId w:val="33"/>
        </w:numPr>
        <w:jc w:val="both"/>
        <w:rPr>
          <w:rFonts w:ascii="Bookman Old Style" w:hAnsi="Bookman Old Style"/>
          <w:b/>
          <w:sz w:val="24"/>
          <w:szCs w:val="24"/>
        </w:rPr>
      </w:pPr>
      <w:r w:rsidRPr="008F755E">
        <w:rPr>
          <w:rFonts w:ascii="Bookman Old Style" w:hAnsi="Bookman Old Style"/>
          <w:b/>
          <w:sz w:val="24"/>
          <w:szCs w:val="24"/>
        </w:rPr>
        <w:t>Certificado</w:t>
      </w:r>
      <w:r w:rsidR="00290BD4" w:rsidRPr="008F755E">
        <w:rPr>
          <w:rFonts w:ascii="Bookman Old Style" w:hAnsi="Bookman Old Style"/>
          <w:b/>
          <w:sz w:val="24"/>
          <w:szCs w:val="24"/>
        </w:rPr>
        <w:t xml:space="preserve"> de Existencia y representación legal de </w:t>
      </w:r>
      <w:r w:rsidR="00290BD4">
        <w:rPr>
          <w:rFonts w:ascii="Bookman Old Style" w:hAnsi="Bookman Old Style"/>
          <w:b/>
          <w:sz w:val="24"/>
          <w:szCs w:val="24"/>
        </w:rPr>
        <w:t>Siva S.A E.S.P</w:t>
      </w:r>
      <w:r w:rsidR="00290BD4" w:rsidRPr="008F755E">
        <w:rPr>
          <w:rFonts w:ascii="Bookman Old Style" w:hAnsi="Bookman Old Style"/>
          <w:b/>
          <w:sz w:val="24"/>
          <w:szCs w:val="24"/>
        </w:rPr>
        <w:t xml:space="preserve"> (Folio </w:t>
      </w:r>
      <w:r w:rsidR="00290BD4">
        <w:rPr>
          <w:rFonts w:ascii="Bookman Old Style" w:hAnsi="Bookman Old Style"/>
          <w:b/>
          <w:sz w:val="24"/>
          <w:szCs w:val="24"/>
        </w:rPr>
        <w:t>23</w:t>
      </w:r>
      <w:r w:rsidR="00290BD4" w:rsidRPr="008F755E">
        <w:rPr>
          <w:rFonts w:ascii="Bookman Old Style" w:hAnsi="Bookman Old Style"/>
          <w:b/>
          <w:sz w:val="24"/>
          <w:szCs w:val="24"/>
        </w:rPr>
        <w:t>).</w:t>
      </w:r>
    </w:p>
    <w:p w:rsidR="008F755E" w:rsidRDefault="008F755E" w:rsidP="008F755E">
      <w:pPr>
        <w:pStyle w:val="Prrafodelista"/>
        <w:ind w:left="720"/>
        <w:jc w:val="both"/>
        <w:rPr>
          <w:rFonts w:ascii="Bookman Old Style" w:hAnsi="Bookman Old Style"/>
          <w:sz w:val="24"/>
          <w:szCs w:val="24"/>
        </w:rPr>
      </w:pPr>
    </w:p>
    <w:p w:rsidR="008F755E" w:rsidRDefault="008F755E" w:rsidP="008F755E">
      <w:pPr>
        <w:pStyle w:val="Prrafodelista"/>
        <w:ind w:left="720"/>
        <w:jc w:val="both"/>
        <w:rPr>
          <w:rFonts w:ascii="Bookman Old Style" w:hAnsi="Bookman Old Style"/>
          <w:i/>
          <w:sz w:val="24"/>
          <w:szCs w:val="24"/>
        </w:rPr>
      </w:pPr>
      <w:r>
        <w:rPr>
          <w:rFonts w:ascii="Bookman Old Style" w:hAnsi="Bookman Old Style"/>
          <w:sz w:val="24"/>
          <w:szCs w:val="24"/>
        </w:rPr>
        <w:t xml:space="preserve">La Cámara de Comercio de Bogotá expidió Certificado de Existencia y Representación Legal con fecha 26 de noviembre de 2012, en el cual se señala: </w:t>
      </w:r>
      <w:r w:rsidRPr="00E7010B">
        <w:rPr>
          <w:rFonts w:ascii="Bookman Old Style" w:hAnsi="Bookman Old Style"/>
          <w:i/>
          <w:sz w:val="24"/>
          <w:szCs w:val="24"/>
        </w:rPr>
        <w:t>“que por escritura pública N°</w:t>
      </w:r>
      <w:r w:rsidR="00F6523D">
        <w:rPr>
          <w:rFonts w:ascii="Bookman Old Style" w:hAnsi="Bookman Old Style"/>
          <w:i/>
          <w:sz w:val="24"/>
          <w:szCs w:val="24"/>
        </w:rPr>
        <w:t>4306</w:t>
      </w:r>
      <w:r w:rsidRPr="00E7010B">
        <w:rPr>
          <w:rFonts w:ascii="Bookman Old Style" w:hAnsi="Bookman Old Style"/>
          <w:i/>
          <w:sz w:val="24"/>
          <w:szCs w:val="24"/>
        </w:rPr>
        <w:t xml:space="preserve"> de la </w:t>
      </w:r>
      <w:r w:rsidR="0097377D">
        <w:rPr>
          <w:rFonts w:ascii="Bookman Old Style" w:hAnsi="Bookman Old Style"/>
          <w:i/>
          <w:sz w:val="24"/>
          <w:szCs w:val="24"/>
        </w:rPr>
        <w:t xml:space="preserve"> </w:t>
      </w:r>
      <w:r w:rsidRPr="00E7010B">
        <w:rPr>
          <w:rFonts w:ascii="Bookman Old Style" w:hAnsi="Bookman Old Style"/>
          <w:i/>
          <w:sz w:val="24"/>
          <w:szCs w:val="24"/>
        </w:rPr>
        <w:t>D.C</w:t>
      </w:r>
      <w:r w:rsidR="00F6523D">
        <w:rPr>
          <w:rFonts w:ascii="Bookman Old Style" w:hAnsi="Bookman Old Style"/>
          <w:i/>
          <w:sz w:val="24"/>
          <w:szCs w:val="24"/>
        </w:rPr>
        <w:t>.,</w:t>
      </w:r>
      <w:r w:rsidRPr="00E7010B">
        <w:rPr>
          <w:rFonts w:ascii="Bookman Old Style" w:hAnsi="Bookman Old Style"/>
          <w:i/>
          <w:sz w:val="24"/>
          <w:szCs w:val="24"/>
        </w:rPr>
        <w:t xml:space="preserve"> del </w:t>
      </w:r>
      <w:r w:rsidR="00F6523D">
        <w:rPr>
          <w:rFonts w:ascii="Bookman Old Style" w:hAnsi="Bookman Old Style"/>
          <w:i/>
          <w:sz w:val="24"/>
          <w:szCs w:val="24"/>
        </w:rPr>
        <w:t xml:space="preserve">1 </w:t>
      </w:r>
      <w:r w:rsidRPr="00E7010B">
        <w:rPr>
          <w:rFonts w:ascii="Bookman Old Style" w:hAnsi="Bookman Old Style"/>
          <w:i/>
          <w:sz w:val="24"/>
          <w:szCs w:val="24"/>
        </w:rPr>
        <w:t xml:space="preserve">de </w:t>
      </w:r>
      <w:r w:rsidR="00F6523D">
        <w:rPr>
          <w:rFonts w:ascii="Bookman Old Style" w:hAnsi="Bookman Old Style"/>
          <w:i/>
          <w:sz w:val="24"/>
          <w:szCs w:val="24"/>
        </w:rPr>
        <w:t>sept</w:t>
      </w:r>
      <w:r w:rsidRPr="00E7010B">
        <w:rPr>
          <w:rFonts w:ascii="Bookman Old Style" w:hAnsi="Bookman Old Style"/>
          <w:i/>
          <w:sz w:val="24"/>
          <w:szCs w:val="24"/>
        </w:rPr>
        <w:t xml:space="preserve">iembre de 2011, inscrita el </w:t>
      </w:r>
      <w:r w:rsidR="00F6523D">
        <w:rPr>
          <w:rFonts w:ascii="Bookman Old Style" w:hAnsi="Bookman Old Style"/>
          <w:i/>
          <w:sz w:val="24"/>
          <w:szCs w:val="24"/>
        </w:rPr>
        <w:t>22</w:t>
      </w:r>
      <w:r w:rsidRPr="00E7010B">
        <w:rPr>
          <w:rFonts w:ascii="Bookman Old Style" w:hAnsi="Bookman Old Style"/>
          <w:i/>
          <w:sz w:val="24"/>
          <w:szCs w:val="24"/>
        </w:rPr>
        <w:t xml:space="preserve"> de </w:t>
      </w:r>
      <w:r w:rsidR="00F6523D">
        <w:rPr>
          <w:rFonts w:ascii="Bookman Old Style" w:hAnsi="Bookman Old Style"/>
          <w:i/>
          <w:sz w:val="24"/>
          <w:szCs w:val="24"/>
        </w:rPr>
        <w:t>septiembre</w:t>
      </w:r>
      <w:r>
        <w:rPr>
          <w:rFonts w:ascii="Bookman Old Style" w:hAnsi="Bookman Old Style"/>
          <w:i/>
          <w:sz w:val="24"/>
          <w:szCs w:val="24"/>
        </w:rPr>
        <w:t xml:space="preserve"> de 201</w:t>
      </w:r>
      <w:r w:rsidR="00F6523D">
        <w:rPr>
          <w:rFonts w:ascii="Bookman Old Style" w:hAnsi="Bookman Old Style"/>
          <w:i/>
          <w:sz w:val="24"/>
          <w:szCs w:val="24"/>
        </w:rPr>
        <w:t>1</w:t>
      </w:r>
      <w:r>
        <w:rPr>
          <w:rFonts w:ascii="Bookman Old Style" w:hAnsi="Bookman Old Style"/>
          <w:i/>
          <w:sz w:val="24"/>
          <w:szCs w:val="24"/>
        </w:rPr>
        <w:t xml:space="preserve"> bajo el número 015</w:t>
      </w:r>
      <w:r w:rsidR="00F6523D">
        <w:rPr>
          <w:rFonts w:ascii="Bookman Old Style" w:hAnsi="Bookman Old Style"/>
          <w:i/>
          <w:sz w:val="24"/>
          <w:szCs w:val="24"/>
        </w:rPr>
        <w:t>14657</w:t>
      </w:r>
      <w:r w:rsidRPr="00E7010B">
        <w:rPr>
          <w:rFonts w:ascii="Bookman Old Style" w:hAnsi="Bookman Old Style"/>
          <w:i/>
          <w:sz w:val="24"/>
          <w:szCs w:val="24"/>
        </w:rPr>
        <w:t xml:space="preserve"> del libro IX la sociedad </w:t>
      </w:r>
      <w:r w:rsidR="00F6523D">
        <w:rPr>
          <w:rFonts w:ascii="Bookman Old Style" w:hAnsi="Bookman Old Style"/>
          <w:i/>
          <w:sz w:val="24"/>
          <w:szCs w:val="24"/>
        </w:rPr>
        <w:t>Combustibles Líquidos de Colombia S.A E.S.P CLC S.A E.S.P (absorbente)</w:t>
      </w:r>
      <w:r>
        <w:rPr>
          <w:rFonts w:ascii="Bookman Old Style" w:hAnsi="Bookman Old Style"/>
          <w:i/>
          <w:sz w:val="24"/>
          <w:szCs w:val="24"/>
        </w:rPr>
        <w:t xml:space="preserve"> </w:t>
      </w:r>
      <w:r w:rsidRPr="00E7010B">
        <w:rPr>
          <w:rFonts w:ascii="Bookman Old Style" w:hAnsi="Bookman Old Style"/>
          <w:i/>
          <w:sz w:val="24"/>
          <w:szCs w:val="24"/>
        </w:rPr>
        <w:t xml:space="preserve">absorbe mediante fusión a la Sociedad </w:t>
      </w:r>
      <w:r>
        <w:rPr>
          <w:rFonts w:ascii="Bookman Old Style" w:hAnsi="Bookman Old Style"/>
          <w:i/>
          <w:sz w:val="24"/>
          <w:szCs w:val="24"/>
        </w:rPr>
        <w:t>de la referencia,</w:t>
      </w:r>
      <w:r w:rsidRPr="00E7010B">
        <w:rPr>
          <w:rFonts w:ascii="Bookman Old Style" w:hAnsi="Bookman Old Style"/>
          <w:i/>
          <w:sz w:val="24"/>
          <w:szCs w:val="24"/>
        </w:rPr>
        <w:t xml:space="preserve"> la cual se disuelve sin liquidarse.”</w:t>
      </w:r>
    </w:p>
    <w:p w:rsidR="008F755E" w:rsidRDefault="008F755E" w:rsidP="008F755E">
      <w:pPr>
        <w:pStyle w:val="Prrafodelista"/>
        <w:ind w:left="720"/>
        <w:jc w:val="both"/>
        <w:rPr>
          <w:rFonts w:ascii="Bookman Old Style" w:hAnsi="Bookman Old Style"/>
          <w:i/>
          <w:sz w:val="24"/>
          <w:szCs w:val="24"/>
        </w:rPr>
      </w:pPr>
    </w:p>
    <w:p w:rsidR="008F755E" w:rsidRDefault="008F755E" w:rsidP="008F755E">
      <w:pPr>
        <w:pStyle w:val="Prrafodelista"/>
        <w:ind w:left="720"/>
        <w:jc w:val="both"/>
        <w:rPr>
          <w:rFonts w:ascii="Bookman Old Style" w:hAnsi="Bookman Old Style"/>
          <w:sz w:val="24"/>
          <w:szCs w:val="24"/>
        </w:rPr>
      </w:pPr>
      <w:r>
        <w:rPr>
          <w:rFonts w:ascii="Bookman Old Style" w:hAnsi="Bookman Old Style"/>
          <w:sz w:val="24"/>
          <w:szCs w:val="24"/>
        </w:rPr>
        <w:t xml:space="preserve">Con lo anterior, se </w:t>
      </w:r>
      <w:r w:rsidR="00F6523D">
        <w:rPr>
          <w:rFonts w:ascii="Bookman Old Style" w:hAnsi="Bookman Old Style"/>
          <w:sz w:val="24"/>
          <w:szCs w:val="24"/>
        </w:rPr>
        <w:t>evidencia</w:t>
      </w:r>
      <w:r>
        <w:rPr>
          <w:rFonts w:ascii="Bookman Old Style" w:hAnsi="Bookman Old Style"/>
          <w:sz w:val="24"/>
          <w:szCs w:val="24"/>
        </w:rPr>
        <w:t xml:space="preserve"> lo manifestado por el recurrente, en el sentido de que </w:t>
      </w:r>
      <w:r w:rsidR="00F6523D">
        <w:rPr>
          <w:rFonts w:ascii="Bookman Old Style" w:hAnsi="Bookman Old Style"/>
          <w:sz w:val="24"/>
          <w:szCs w:val="24"/>
        </w:rPr>
        <w:t xml:space="preserve">la empresa SIVA S.A E.S.P fue absorbida sin liquidarse por </w:t>
      </w:r>
      <w:r w:rsidR="00F6523D">
        <w:rPr>
          <w:rFonts w:ascii="Bookman Old Style" w:hAnsi="Bookman Old Style"/>
          <w:i/>
          <w:sz w:val="24"/>
          <w:szCs w:val="24"/>
        </w:rPr>
        <w:t>Combustibles Líquidos de Colombia S.A E.S.P</w:t>
      </w:r>
    </w:p>
    <w:p w:rsidR="00290BD4" w:rsidRDefault="00290BD4" w:rsidP="008F755E">
      <w:pPr>
        <w:pStyle w:val="Prrafodelista"/>
        <w:ind w:left="720"/>
        <w:jc w:val="both"/>
        <w:rPr>
          <w:rFonts w:ascii="Bookman Old Style" w:hAnsi="Bookman Old Style"/>
          <w:sz w:val="24"/>
          <w:szCs w:val="24"/>
        </w:rPr>
      </w:pPr>
    </w:p>
    <w:p w:rsidR="00290BD4" w:rsidRDefault="00290BD4" w:rsidP="00290BD4">
      <w:pPr>
        <w:pStyle w:val="Prrafodelista"/>
        <w:numPr>
          <w:ilvl w:val="0"/>
          <w:numId w:val="33"/>
        </w:numPr>
        <w:jc w:val="both"/>
        <w:rPr>
          <w:rFonts w:ascii="Bookman Old Style" w:hAnsi="Bookman Old Style"/>
          <w:b/>
          <w:sz w:val="24"/>
          <w:szCs w:val="24"/>
        </w:rPr>
      </w:pPr>
      <w:r w:rsidRPr="008F755E">
        <w:rPr>
          <w:rFonts w:ascii="Bookman Old Style" w:hAnsi="Bookman Old Style"/>
          <w:b/>
          <w:sz w:val="24"/>
          <w:szCs w:val="24"/>
        </w:rPr>
        <w:t xml:space="preserve">Certificado de Existencia y representación legal de </w:t>
      </w:r>
      <w:r>
        <w:rPr>
          <w:rFonts w:ascii="Bookman Old Style" w:hAnsi="Bookman Old Style"/>
          <w:b/>
          <w:sz w:val="24"/>
          <w:szCs w:val="24"/>
        </w:rPr>
        <w:t>Plus S.A E.S.P</w:t>
      </w:r>
      <w:r w:rsidRPr="008F755E">
        <w:rPr>
          <w:rFonts w:ascii="Bookman Old Style" w:hAnsi="Bookman Old Style"/>
          <w:b/>
          <w:sz w:val="24"/>
          <w:szCs w:val="24"/>
        </w:rPr>
        <w:t xml:space="preserve"> (Folio </w:t>
      </w:r>
      <w:r>
        <w:rPr>
          <w:rFonts w:ascii="Bookman Old Style" w:hAnsi="Bookman Old Style"/>
          <w:b/>
          <w:sz w:val="24"/>
          <w:szCs w:val="24"/>
        </w:rPr>
        <w:t>24)</w:t>
      </w:r>
    </w:p>
    <w:p w:rsidR="00F6523D" w:rsidRDefault="00F6523D" w:rsidP="00F6523D">
      <w:pPr>
        <w:pStyle w:val="Prrafodelista"/>
        <w:ind w:left="720"/>
        <w:jc w:val="both"/>
        <w:rPr>
          <w:rFonts w:ascii="Bookman Old Style" w:hAnsi="Bookman Old Style"/>
          <w:b/>
          <w:sz w:val="24"/>
          <w:szCs w:val="24"/>
        </w:rPr>
      </w:pPr>
    </w:p>
    <w:p w:rsidR="00F6523D" w:rsidRDefault="00F6523D" w:rsidP="00F6523D">
      <w:pPr>
        <w:pStyle w:val="Prrafodelista"/>
        <w:ind w:left="720"/>
        <w:jc w:val="both"/>
        <w:rPr>
          <w:rFonts w:ascii="Bookman Old Style" w:hAnsi="Bookman Old Style"/>
          <w:i/>
          <w:sz w:val="24"/>
          <w:szCs w:val="24"/>
        </w:rPr>
      </w:pPr>
      <w:r>
        <w:rPr>
          <w:rFonts w:ascii="Bookman Old Style" w:hAnsi="Bookman Old Style"/>
          <w:sz w:val="24"/>
          <w:szCs w:val="24"/>
        </w:rPr>
        <w:t xml:space="preserve">La Cámara de Comercio de Cali expidió Certificado de Existencia y Representación Legal con fecha 04 de julio de 2012, en el cual se señala: </w:t>
      </w:r>
      <w:r w:rsidRPr="00E7010B">
        <w:rPr>
          <w:rFonts w:ascii="Bookman Old Style" w:hAnsi="Bookman Old Style"/>
          <w:i/>
          <w:sz w:val="24"/>
          <w:szCs w:val="24"/>
        </w:rPr>
        <w:t>“que por escritura pública N°</w:t>
      </w:r>
      <w:r>
        <w:rPr>
          <w:rFonts w:ascii="Bookman Old Style" w:hAnsi="Bookman Old Style"/>
          <w:i/>
          <w:sz w:val="24"/>
          <w:szCs w:val="24"/>
        </w:rPr>
        <w:t>4306</w:t>
      </w:r>
      <w:r w:rsidRPr="00E7010B">
        <w:rPr>
          <w:rFonts w:ascii="Bookman Old Style" w:hAnsi="Bookman Old Style"/>
          <w:i/>
          <w:sz w:val="24"/>
          <w:szCs w:val="24"/>
        </w:rPr>
        <w:t xml:space="preserve"> </w:t>
      </w:r>
      <w:r w:rsidR="0097377D" w:rsidRPr="00E7010B">
        <w:rPr>
          <w:rFonts w:ascii="Bookman Old Style" w:hAnsi="Bookman Old Style"/>
          <w:i/>
          <w:sz w:val="24"/>
          <w:szCs w:val="24"/>
        </w:rPr>
        <w:t xml:space="preserve">del </w:t>
      </w:r>
      <w:r w:rsidR="0097377D">
        <w:rPr>
          <w:rFonts w:ascii="Bookman Old Style" w:hAnsi="Bookman Old Style"/>
          <w:i/>
          <w:sz w:val="24"/>
          <w:szCs w:val="24"/>
        </w:rPr>
        <w:t xml:space="preserve">1 </w:t>
      </w:r>
      <w:r w:rsidR="0097377D" w:rsidRPr="00E7010B">
        <w:rPr>
          <w:rFonts w:ascii="Bookman Old Style" w:hAnsi="Bookman Old Style"/>
          <w:i/>
          <w:sz w:val="24"/>
          <w:szCs w:val="24"/>
        </w:rPr>
        <w:t xml:space="preserve">de </w:t>
      </w:r>
      <w:r w:rsidR="0097377D">
        <w:rPr>
          <w:rFonts w:ascii="Bookman Old Style" w:hAnsi="Bookman Old Style"/>
          <w:i/>
          <w:sz w:val="24"/>
          <w:szCs w:val="24"/>
        </w:rPr>
        <w:t>sept</w:t>
      </w:r>
      <w:r w:rsidR="0097377D" w:rsidRPr="00E7010B">
        <w:rPr>
          <w:rFonts w:ascii="Bookman Old Style" w:hAnsi="Bookman Old Style"/>
          <w:i/>
          <w:sz w:val="24"/>
          <w:szCs w:val="24"/>
        </w:rPr>
        <w:t>iembre de 2011</w:t>
      </w:r>
      <w:r w:rsidR="0097377D">
        <w:rPr>
          <w:rFonts w:ascii="Bookman Old Style" w:hAnsi="Bookman Old Style"/>
          <w:i/>
          <w:sz w:val="24"/>
          <w:szCs w:val="24"/>
        </w:rPr>
        <w:t xml:space="preserve"> </w:t>
      </w:r>
      <w:r w:rsidRPr="00E7010B">
        <w:rPr>
          <w:rFonts w:ascii="Bookman Old Style" w:hAnsi="Bookman Old Style"/>
          <w:i/>
          <w:sz w:val="24"/>
          <w:szCs w:val="24"/>
        </w:rPr>
        <w:t xml:space="preserve">Notaría </w:t>
      </w:r>
      <w:r>
        <w:rPr>
          <w:rFonts w:ascii="Bookman Old Style" w:hAnsi="Bookman Old Style"/>
          <w:i/>
          <w:sz w:val="24"/>
          <w:szCs w:val="24"/>
        </w:rPr>
        <w:t xml:space="preserve">setenta y tres </w:t>
      </w:r>
      <w:r w:rsidR="0097377D">
        <w:rPr>
          <w:rFonts w:ascii="Bookman Old Style" w:hAnsi="Bookman Old Style"/>
          <w:i/>
          <w:sz w:val="24"/>
          <w:szCs w:val="24"/>
        </w:rPr>
        <w:t>de Bogotá</w:t>
      </w:r>
      <w:r w:rsidRPr="00E7010B">
        <w:rPr>
          <w:rFonts w:ascii="Bookman Old Style" w:hAnsi="Bookman Old Style"/>
          <w:i/>
          <w:sz w:val="24"/>
          <w:szCs w:val="24"/>
        </w:rPr>
        <w:t xml:space="preserve">, la </w:t>
      </w:r>
      <w:r w:rsidR="0097377D">
        <w:rPr>
          <w:rFonts w:ascii="Bookman Old Style" w:hAnsi="Bookman Old Style"/>
          <w:i/>
          <w:sz w:val="24"/>
          <w:szCs w:val="24"/>
        </w:rPr>
        <w:t>sociedad</w:t>
      </w:r>
      <w:r w:rsidRPr="00E7010B">
        <w:rPr>
          <w:rFonts w:ascii="Bookman Old Style" w:hAnsi="Bookman Old Style"/>
          <w:i/>
          <w:sz w:val="24"/>
          <w:szCs w:val="24"/>
        </w:rPr>
        <w:t xml:space="preserve"> se dis</w:t>
      </w:r>
      <w:r w:rsidR="0097377D">
        <w:rPr>
          <w:rFonts w:ascii="Bookman Old Style" w:hAnsi="Bookman Old Style"/>
          <w:i/>
          <w:sz w:val="24"/>
          <w:szCs w:val="24"/>
        </w:rPr>
        <w:t>olvió</w:t>
      </w:r>
      <w:r w:rsidRPr="00E7010B">
        <w:rPr>
          <w:rFonts w:ascii="Bookman Old Style" w:hAnsi="Bookman Old Style"/>
          <w:i/>
          <w:sz w:val="24"/>
          <w:szCs w:val="24"/>
        </w:rPr>
        <w:t xml:space="preserve"> sin liquidarse</w:t>
      </w:r>
      <w:r w:rsidR="0097377D">
        <w:rPr>
          <w:rFonts w:ascii="Bookman Old Style" w:hAnsi="Bookman Old Style"/>
          <w:i/>
          <w:sz w:val="24"/>
          <w:szCs w:val="24"/>
        </w:rPr>
        <w:t xml:space="preserve"> por efecto de la fusión entre (absorbente) CLC S.A. E.S.P y (absorbida) Plus S.A E.S.P</w:t>
      </w:r>
      <w:r w:rsidRPr="00E7010B">
        <w:rPr>
          <w:rFonts w:ascii="Bookman Old Style" w:hAnsi="Bookman Old Style"/>
          <w:i/>
          <w:sz w:val="24"/>
          <w:szCs w:val="24"/>
        </w:rPr>
        <w:t>.”</w:t>
      </w:r>
    </w:p>
    <w:p w:rsidR="00F6523D" w:rsidRDefault="00F6523D" w:rsidP="00F6523D">
      <w:pPr>
        <w:pStyle w:val="Prrafodelista"/>
        <w:ind w:left="720"/>
        <w:jc w:val="both"/>
        <w:rPr>
          <w:rFonts w:ascii="Bookman Old Style" w:hAnsi="Bookman Old Style"/>
          <w:i/>
          <w:sz w:val="24"/>
          <w:szCs w:val="24"/>
        </w:rPr>
      </w:pPr>
    </w:p>
    <w:p w:rsidR="00F6523D" w:rsidRDefault="00F6523D" w:rsidP="00F6523D">
      <w:pPr>
        <w:pStyle w:val="Prrafodelista"/>
        <w:ind w:left="720"/>
        <w:jc w:val="both"/>
        <w:rPr>
          <w:rFonts w:ascii="Bookman Old Style" w:hAnsi="Bookman Old Style"/>
          <w:sz w:val="24"/>
          <w:szCs w:val="24"/>
        </w:rPr>
      </w:pPr>
      <w:r>
        <w:rPr>
          <w:rFonts w:ascii="Bookman Old Style" w:hAnsi="Bookman Old Style"/>
          <w:sz w:val="24"/>
          <w:szCs w:val="24"/>
        </w:rPr>
        <w:t xml:space="preserve">Con lo anterior, se evidencia lo manifestado por el recurrente, en el sentido de que la empresa </w:t>
      </w:r>
      <w:r w:rsidR="0097377D">
        <w:rPr>
          <w:rFonts w:ascii="Bookman Old Style" w:hAnsi="Bookman Old Style"/>
          <w:sz w:val="24"/>
          <w:szCs w:val="24"/>
        </w:rPr>
        <w:t>PLUS</w:t>
      </w:r>
      <w:r>
        <w:rPr>
          <w:rFonts w:ascii="Bookman Old Style" w:hAnsi="Bookman Old Style"/>
          <w:sz w:val="24"/>
          <w:szCs w:val="24"/>
        </w:rPr>
        <w:t xml:space="preserve"> S.A E.S.P fue absorbida sin liquidarse por </w:t>
      </w:r>
      <w:r>
        <w:rPr>
          <w:rFonts w:ascii="Bookman Old Style" w:hAnsi="Bookman Old Style"/>
          <w:i/>
          <w:sz w:val="24"/>
          <w:szCs w:val="24"/>
        </w:rPr>
        <w:t>Combustibles Líquidos de Colombia S.A E.S.P</w:t>
      </w:r>
      <w:r w:rsidR="0097377D">
        <w:rPr>
          <w:rFonts w:ascii="Bookman Old Style" w:hAnsi="Bookman Old Style"/>
          <w:i/>
          <w:sz w:val="24"/>
          <w:szCs w:val="24"/>
        </w:rPr>
        <w:t>.</w:t>
      </w:r>
    </w:p>
    <w:p w:rsidR="00414B60" w:rsidRPr="00414B60" w:rsidRDefault="00414B60" w:rsidP="00414B60">
      <w:pPr>
        <w:ind w:left="0"/>
        <w:jc w:val="both"/>
        <w:rPr>
          <w:rFonts w:ascii="Bookman Old Style" w:hAnsi="Bookman Old Style"/>
        </w:rPr>
      </w:pPr>
    </w:p>
    <w:p w:rsidR="007B00BB" w:rsidRPr="007B00BB" w:rsidRDefault="007B00BB" w:rsidP="007B00BB">
      <w:pPr>
        <w:pStyle w:val="Prrafodelista"/>
        <w:numPr>
          <w:ilvl w:val="0"/>
          <w:numId w:val="33"/>
        </w:numPr>
        <w:jc w:val="both"/>
        <w:rPr>
          <w:rFonts w:ascii="Bookman Old Style" w:hAnsi="Bookman Old Style"/>
          <w:b/>
          <w:sz w:val="24"/>
          <w:szCs w:val="24"/>
        </w:rPr>
      </w:pPr>
      <w:r w:rsidRPr="007B00BB">
        <w:rPr>
          <w:rFonts w:ascii="Bookman Old Style" w:hAnsi="Bookman Old Style"/>
          <w:b/>
          <w:sz w:val="24"/>
          <w:szCs w:val="24"/>
        </w:rPr>
        <w:t xml:space="preserve">Copia del Registro Único de </w:t>
      </w:r>
      <w:r>
        <w:rPr>
          <w:rFonts w:ascii="Bookman Old Style" w:hAnsi="Bookman Old Style"/>
          <w:b/>
          <w:sz w:val="24"/>
          <w:szCs w:val="24"/>
        </w:rPr>
        <w:t xml:space="preserve">Prestadores de Servicios –RUPS </w:t>
      </w:r>
      <w:r w:rsidRPr="007B00BB">
        <w:rPr>
          <w:rFonts w:ascii="Bookman Old Style" w:hAnsi="Bookman Old Style"/>
          <w:b/>
          <w:sz w:val="24"/>
          <w:szCs w:val="24"/>
        </w:rPr>
        <w:t>cancelado</w:t>
      </w:r>
      <w:r>
        <w:rPr>
          <w:rFonts w:ascii="Bookman Old Style" w:hAnsi="Bookman Old Style"/>
          <w:b/>
          <w:sz w:val="24"/>
          <w:szCs w:val="24"/>
        </w:rPr>
        <w:t>, correspondiente a Siva S.A E.S.P</w:t>
      </w:r>
      <w:r w:rsidRPr="007B00BB">
        <w:rPr>
          <w:rFonts w:ascii="Bookman Old Style" w:hAnsi="Bookman Old Style"/>
          <w:b/>
          <w:sz w:val="24"/>
          <w:szCs w:val="24"/>
        </w:rPr>
        <w:t xml:space="preserve"> (Folio </w:t>
      </w:r>
      <w:r>
        <w:rPr>
          <w:rFonts w:ascii="Bookman Old Style" w:hAnsi="Bookman Old Style"/>
          <w:b/>
          <w:sz w:val="24"/>
          <w:szCs w:val="24"/>
        </w:rPr>
        <w:t>6</w:t>
      </w:r>
      <w:r w:rsidRPr="007B00BB">
        <w:rPr>
          <w:rFonts w:ascii="Bookman Old Style" w:hAnsi="Bookman Old Style"/>
          <w:b/>
          <w:sz w:val="24"/>
          <w:szCs w:val="24"/>
        </w:rPr>
        <w:t>).</w:t>
      </w:r>
    </w:p>
    <w:p w:rsidR="007B00BB" w:rsidRPr="008F755E" w:rsidRDefault="007B00BB" w:rsidP="007B00BB">
      <w:pPr>
        <w:pStyle w:val="Prrafodelista"/>
        <w:ind w:left="720"/>
        <w:jc w:val="both"/>
        <w:rPr>
          <w:rFonts w:ascii="Bookman Old Style" w:hAnsi="Bookman Old Style"/>
          <w:b/>
          <w:sz w:val="24"/>
          <w:szCs w:val="24"/>
        </w:rPr>
      </w:pPr>
    </w:p>
    <w:p w:rsidR="008F755E" w:rsidRDefault="008F755E" w:rsidP="008F755E">
      <w:pPr>
        <w:pStyle w:val="Prrafodelista"/>
        <w:ind w:left="720"/>
        <w:jc w:val="both"/>
        <w:rPr>
          <w:rFonts w:ascii="Bookman Old Style" w:hAnsi="Bookman Old Style"/>
          <w:sz w:val="24"/>
          <w:szCs w:val="24"/>
        </w:rPr>
      </w:pPr>
      <w:r>
        <w:rPr>
          <w:rFonts w:ascii="Bookman Old Style" w:hAnsi="Bookman Old Style"/>
          <w:sz w:val="24"/>
          <w:szCs w:val="24"/>
        </w:rPr>
        <w:t>La Superintendencia de Servicios Públicos Domiciliarios expidió certificado del Registro Único de Prestadores de Servicios radicado bajo el número 2012</w:t>
      </w:r>
      <w:r w:rsidR="005C1177">
        <w:rPr>
          <w:rFonts w:ascii="Bookman Old Style" w:hAnsi="Bookman Old Style"/>
          <w:sz w:val="24"/>
          <w:szCs w:val="24"/>
        </w:rPr>
        <w:t>1</w:t>
      </w:r>
      <w:r>
        <w:rPr>
          <w:rFonts w:ascii="Bookman Old Style" w:hAnsi="Bookman Old Style"/>
          <w:sz w:val="24"/>
          <w:szCs w:val="24"/>
        </w:rPr>
        <w:t>22</w:t>
      </w:r>
      <w:r w:rsidR="005C1177">
        <w:rPr>
          <w:rFonts w:ascii="Bookman Old Style" w:hAnsi="Bookman Old Style"/>
          <w:sz w:val="24"/>
          <w:szCs w:val="24"/>
        </w:rPr>
        <w:t>9932397</w:t>
      </w:r>
      <w:r>
        <w:rPr>
          <w:rFonts w:ascii="Bookman Old Style" w:hAnsi="Bookman Old Style"/>
          <w:sz w:val="24"/>
          <w:szCs w:val="24"/>
        </w:rPr>
        <w:t xml:space="preserve">57 del </w:t>
      </w:r>
      <w:r w:rsidR="005C1177">
        <w:rPr>
          <w:rFonts w:ascii="Bookman Old Style" w:hAnsi="Bookman Old Style"/>
          <w:sz w:val="24"/>
          <w:szCs w:val="24"/>
        </w:rPr>
        <w:t>26 de enero</w:t>
      </w:r>
      <w:r>
        <w:rPr>
          <w:rFonts w:ascii="Bookman Old Style" w:hAnsi="Bookman Old Style"/>
          <w:sz w:val="24"/>
          <w:szCs w:val="24"/>
        </w:rPr>
        <w:t xml:space="preserve"> de 2012 en el que se señala lo siguiente:</w:t>
      </w:r>
    </w:p>
    <w:p w:rsidR="00653557" w:rsidRDefault="00653557" w:rsidP="008F755E">
      <w:pPr>
        <w:pStyle w:val="Prrafodelista"/>
        <w:ind w:left="720"/>
        <w:jc w:val="both"/>
        <w:rPr>
          <w:rFonts w:ascii="Bookman Old Style" w:hAnsi="Bookman Old Style"/>
          <w:sz w:val="24"/>
          <w:szCs w:val="24"/>
        </w:rPr>
      </w:pPr>
    </w:p>
    <w:p w:rsidR="008F755E" w:rsidRDefault="009C528C" w:rsidP="00653557">
      <w:pPr>
        <w:pStyle w:val="Prrafodelista"/>
        <w:ind w:left="720"/>
        <w:rPr>
          <w:rFonts w:ascii="Bookman Old Style" w:hAnsi="Bookman Old Style"/>
          <w:sz w:val="24"/>
          <w:szCs w:val="24"/>
        </w:rPr>
      </w:pPr>
      <w:r w:rsidRPr="009C528C">
        <w:rPr>
          <w:noProof/>
          <w:lang w:eastAsia="es-CO"/>
        </w:rPr>
        <w:drawing>
          <wp:inline distT="0" distB="0" distL="0" distR="0" wp14:anchorId="3A2B42E8" wp14:editId="28B295F3">
            <wp:extent cx="5219700" cy="51816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19700" cy="5181600"/>
                    </a:xfrm>
                    <a:prstGeom prst="rect">
                      <a:avLst/>
                    </a:prstGeom>
                    <a:noFill/>
                    <a:ln>
                      <a:noFill/>
                    </a:ln>
                  </pic:spPr>
                </pic:pic>
              </a:graphicData>
            </a:graphic>
          </wp:inline>
        </w:drawing>
      </w:r>
    </w:p>
    <w:p w:rsidR="000C6AAC" w:rsidRDefault="000C6AAC" w:rsidP="00653557">
      <w:pPr>
        <w:pStyle w:val="Prrafodelista"/>
        <w:ind w:left="720"/>
        <w:jc w:val="both"/>
        <w:rPr>
          <w:rFonts w:ascii="Bookman Old Style" w:hAnsi="Bookman Old Style"/>
          <w:sz w:val="24"/>
          <w:szCs w:val="24"/>
        </w:rPr>
      </w:pPr>
    </w:p>
    <w:p w:rsidR="00B25763" w:rsidRDefault="00653557" w:rsidP="00653557">
      <w:pPr>
        <w:pStyle w:val="Prrafodelista"/>
        <w:ind w:left="720"/>
        <w:jc w:val="both"/>
        <w:rPr>
          <w:rFonts w:ascii="Bookman Old Style" w:hAnsi="Bookman Old Style"/>
          <w:sz w:val="24"/>
          <w:szCs w:val="24"/>
        </w:rPr>
      </w:pPr>
      <w:r>
        <w:rPr>
          <w:rFonts w:ascii="Bookman Old Style" w:hAnsi="Bookman Old Style"/>
          <w:sz w:val="24"/>
          <w:szCs w:val="24"/>
        </w:rPr>
        <w:t xml:space="preserve">Con lo anterior se evidencia que la empresa </w:t>
      </w:r>
      <w:r w:rsidR="005C1177">
        <w:rPr>
          <w:rFonts w:ascii="Bookman Old Style" w:hAnsi="Bookman Old Style"/>
          <w:sz w:val="24"/>
          <w:szCs w:val="24"/>
        </w:rPr>
        <w:t>SIVA</w:t>
      </w:r>
      <w:r>
        <w:rPr>
          <w:rFonts w:ascii="Bookman Old Style" w:hAnsi="Bookman Old Style"/>
          <w:sz w:val="24"/>
          <w:szCs w:val="24"/>
        </w:rPr>
        <w:t xml:space="preserve"> S.A E.S.P canceló el Registro Único de Prestadores de Servicios –RUPS</w:t>
      </w:r>
      <w:r w:rsidR="00DA0098">
        <w:rPr>
          <w:rFonts w:ascii="Bookman Old Style" w:hAnsi="Bookman Old Style"/>
          <w:sz w:val="24"/>
          <w:szCs w:val="24"/>
        </w:rPr>
        <w:t xml:space="preserve"> y finalizó actividades el d</w:t>
      </w:r>
      <w:r w:rsidR="00B25763">
        <w:rPr>
          <w:rFonts w:ascii="Bookman Old Style" w:hAnsi="Bookman Old Style"/>
          <w:sz w:val="24"/>
          <w:szCs w:val="24"/>
        </w:rPr>
        <w:t xml:space="preserve">ía </w:t>
      </w:r>
      <w:r w:rsidR="005C1177">
        <w:rPr>
          <w:rFonts w:ascii="Bookman Old Style" w:hAnsi="Bookman Old Style"/>
          <w:sz w:val="24"/>
          <w:szCs w:val="24"/>
        </w:rPr>
        <w:t>01de septiembre</w:t>
      </w:r>
      <w:r w:rsidR="00B25763">
        <w:rPr>
          <w:rFonts w:ascii="Bookman Old Style" w:hAnsi="Bookman Old Style"/>
          <w:sz w:val="24"/>
          <w:szCs w:val="24"/>
        </w:rPr>
        <w:t xml:space="preserve"> de 2011, lo que demuestra que durante el año 2011 fue prestador del servicio de Energía Eléctrica y por lo tanto era sujeto de regulación por lo que en principio debía incluirse en la resolución CREG-119 de 2012.</w:t>
      </w:r>
    </w:p>
    <w:p w:rsidR="007B00BB" w:rsidRDefault="007B00BB" w:rsidP="00653557">
      <w:pPr>
        <w:pStyle w:val="Prrafodelista"/>
        <w:ind w:left="720"/>
        <w:jc w:val="both"/>
        <w:rPr>
          <w:rFonts w:ascii="Bookman Old Style" w:hAnsi="Bookman Old Style"/>
          <w:sz w:val="24"/>
          <w:szCs w:val="24"/>
        </w:rPr>
      </w:pPr>
    </w:p>
    <w:p w:rsidR="00150151" w:rsidRDefault="00150151" w:rsidP="00653557">
      <w:pPr>
        <w:pStyle w:val="Prrafodelista"/>
        <w:ind w:left="720"/>
        <w:jc w:val="both"/>
        <w:rPr>
          <w:rFonts w:ascii="Bookman Old Style" w:hAnsi="Bookman Old Style"/>
          <w:sz w:val="24"/>
          <w:szCs w:val="24"/>
        </w:rPr>
      </w:pPr>
    </w:p>
    <w:p w:rsidR="00150151" w:rsidRDefault="00150151" w:rsidP="00653557">
      <w:pPr>
        <w:pStyle w:val="Prrafodelista"/>
        <w:ind w:left="720"/>
        <w:jc w:val="both"/>
        <w:rPr>
          <w:rFonts w:ascii="Bookman Old Style" w:hAnsi="Bookman Old Style"/>
          <w:sz w:val="24"/>
          <w:szCs w:val="24"/>
        </w:rPr>
      </w:pPr>
    </w:p>
    <w:p w:rsidR="007B00BB" w:rsidRPr="007B00BB" w:rsidRDefault="007B00BB" w:rsidP="007B00BB">
      <w:pPr>
        <w:pStyle w:val="Prrafodelista"/>
        <w:numPr>
          <w:ilvl w:val="0"/>
          <w:numId w:val="33"/>
        </w:numPr>
        <w:jc w:val="both"/>
        <w:rPr>
          <w:rFonts w:ascii="Bookman Old Style" w:hAnsi="Bookman Old Style"/>
          <w:b/>
          <w:sz w:val="24"/>
          <w:szCs w:val="24"/>
        </w:rPr>
      </w:pPr>
      <w:r w:rsidRPr="007B00BB">
        <w:rPr>
          <w:rFonts w:ascii="Bookman Old Style" w:hAnsi="Bookman Old Style"/>
          <w:b/>
          <w:sz w:val="24"/>
          <w:szCs w:val="24"/>
        </w:rPr>
        <w:t xml:space="preserve">Copia del Registro Único de </w:t>
      </w:r>
      <w:r>
        <w:rPr>
          <w:rFonts w:ascii="Bookman Old Style" w:hAnsi="Bookman Old Style"/>
          <w:b/>
          <w:sz w:val="24"/>
          <w:szCs w:val="24"/>
        </w:rPr>
        <w:t xml:space="preserve">Prestadores de Servicios –RUPS </w:t>
      </w:r>
      <w:r w:rsidRPr="007B00BB">
        <w:rPr>
          <w:rFonts w:ascii="Bookman Old Style" w:hAnsi="Bookman Old Style"/>
          <w:b/>
          <w:sz w:val="24"/>
          <w:szCs w:val="24"/>
        </w:rPr>
        <w:t>cancelado</w:t>
      </w:r>
      <w:r>
        <w:rPr>
          <w:rFonts w:ascii="Bookman Old Style" w:hAnsi="Bookman Old Style"/>
          <w:b/>
          <w:sz w:val="24"/>
          <w:szCs w:val="24"/>
        </w:rPr>
        <w:t>, correspondiente a Plus S.A E.S.P</w:t>
      </w:r>
      <w:r w:rsidRPr="007B00BB">
        <w:rPr>
          <w:rFonts w:ascii="Bookman Old Style" w:hAnsi="Bookman Old Style"/>
          <w:b/>
          <w:sz w:val="24"/>
          <w:szCs w:val="24"/>
        </w:rPr>
        <w:t xml:space="preserve"> (Folio </w:t>
      </w:r>
      <w:r>
        <w:rPr>
          <w:rFonts w:ascii="Bookman Old Style" w:hAnsi="Bookman Old Style"/>
          <w:b/>
          <w:sz w:val="24"/>
          <w:szCs w:val="24"/>
        </w:rPr>
        <w:t>7</w:t>
      </w:r>
      <w:r w:rsidRPr="007B00BB">
        <w:rPr>
          <w:rFonts w:ascii="Bookman Old Style" w:hAnsi="Bookman Old Style"/>
          <w:b/>
          <w:sz w:val="24"/>
          <w:szCs w:val="24"/>
        </w:rPr>
        <w:t>).</w:t>
      </w:r>
    </w:p>
    <w:p w:rsidR="007B00BB" w:rsidRPr="008F755E" w:rsidRDefault="007B00BB" w:rsidP="007B00BB">
      <w:pPr>
        <w:pStyle w:val="Prrafodelista"/>
        <w:ind w:left="720"/>
        <w:jc w:val="both"/>
        <w:rPr>
          <w:rFonts w:ascii="Bookman Old Style" w:hAnsi="Bookman Old Style"/>
          <w:b/>
          <w:sz w:val="24"/>
          <w:szCs w:val="24"/>
        </w:rPr>
      </w:pPr>
    </w:p>
    <w:p w:rsidR="007B00BB" w:rsidRDefault="007B00BB" w:rsidP="007B00BB">
      <w:pPr>
        <w:pStyle w:val="Prrafodelista"/>
        <w:ind w:left="720"/>
        <w:jc w:val="both"/>
        <w:rPr>
          <w:rFonts w:ascii="Bookman Old Style" w:hAnsi="Bookman Old Style"/>
          <w:sz w:val="24"/>
          <w:szCs w:val="24"/>
        </w:rPr>
      </w:pPr>
      <w:r>
        <w:rPr>
          <w:rFonts w:ascii="Bookman Old Style" w:hAnsi="Bookman Old Style"/>
          <w:sz w:val="24"/>
          <w:szCs w:val="24"/>
        </w:rPr>
        <w:t>La Superintendencia de Servicios Públicos Domiciliarios expidió certificado del Registro Único de Prestadores de Servicios radicado bajo el número 201222065724411</w:t>
      </w:r>
      <w:r w:rsidR="005C1177">
        <w:rPr>
          <w:rFonts w:ascii="Bookman Old Style" w:hAnsi="Bookman Old Style"/>
          <w:sz w:val="24"/>
          <w:szCs w:val="24"/>
        </w:rPr>
        <w:t>13229239797</w:t>
      </w:r>
      <w:r>
        <w:rPr>
          <w:rFonts w:ascii="Bookman Old Style" w:hAnsi="Bookman Old Style"/>
          <w:sz w:val="24"/>
          <w:szCs w:val="24"/>
        </w:rPr>
        <w:t xml:space="preserve"> del </w:t>
      </w:r>
      <w:r w:rsidR="005C1177">
        <w:rPr>
          <w:rFonts w:ascii="Bookman Old Style" w:hAnsi="Bookman Old Style"/>
          <w:sz w:val="24"/>
          <w:szCs w:val="24"/>
        </w:rPr>
        <w:t>26</w:t>
      </w:r>
      <w:r>
        <w:rPr>
          <w:rFonts w:ascii="Bookman Old Style" w:hAnsi="Bookman Old Style"/>
          <w:sz w:val="24"/>
          <w:szCs w:val="24"/>
        </w:rPr>
        <w:t xml:space="preserve"> de </w:t>
      </w:r>
      <w:r w:rsidR="005C1177">
        <w:rPr>
          <w:rFonts w:ascii="Bookman Old Style" w:hAnsi="Bookman Old Style"/>
          <w:sz w:val="24"/>
          <w:szCs w:val="24"/>
        </w:rPr>
        <w:t>ener</w:t>
      </w:r>
      <w:r>
        <w:rPr>
          <w:rFonts w:ascii="Bookman Old Style" w:hAnsi="Bookman Old Style"/>
          <w:sz w:val="24"/>
          <w:szCs w:val="24"/>
        </w:rPr>
        <w:t>o de 2012 en el que se señala lo siguiente:</w:t>
      </w:r>
    </w:p>
    <w:p w:rsidR="007B00BB" w:rsidRDefault="007B00BB" w:rsidP="007B00BB">
      <w:pPr>
        <w:pStyle w:val="Prrafodelista"/>
        <w:ind w:left="720"/>
        <w:jc w:val="both"/>
        <w:rPr>
          <w:rFonts w:ascii="Bookman Old Style" w:hAnsi="Bookman Old Style"/>
          <w:sz w:val="24"/>
          <w:szCs w:val="24"/>
        </w:rPr>
      </w:pPr>
    </w:p>
    <w:p w:rsidR="007B00BB" w:rsidRDefault="009C528C" w:rsidP="007B00BB">
      <w:pPr>
        <w:pStyle w:val="Prrafodelista"/>
        <w:ind w:left="720"/>
        <w:rPr>
          <w:rFonts w:ascii="Bookman Old Style" w:hAnsi="Bookman Old Style"/>
          <w:sz w:val="24"/>
          <w:szCs w:val="24"/>
        </w:rPr>
      </w:pPr>
      <w:r w:rsidRPr="009C528C">
        <w:rPr>
          <w:noProof/>
          <w:lang w:eastAsia="es-CO"/>
        </w:rPr>
        <w:drawing>
          <wp:inline distT="0" distB="0" distL="0" distR="0">
            <wp:extent cx="5133975" cy="5181600"/>
            <wp:effectExtent l="0" t="0" r="952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33975" cy="5181600"/>
                    </a:xfrm>
                    <a:prstGeom prst="rect">
                      <a:avLst/>
                    </a:prstGeom>
                    <a:noFill/>
                    <a:ln>
                      <a:noFill/>
                    </a:ln>
                  </pic:spPr>
                </pic:pic>
              </a:graphicData>
            </a:graphic>
          </wp:inline>
        </w:drawing>
      </w:r>
    </w:p>
    <w:p w:rsidR="007B00BB" w:rsidRDefault="007B00BB" w:rsidP="007B00BB">
      <w:pPr>
        <w:pStyle w:val="Prrafodelista"/>
        <w:ind w:left="720"/>
        <w:jc w:val="both"/>
        <w:rPr>
          <w:rFonts w:ascii="Bookman Old Style" w:hAnsi="Bookman Old Style"/>
          <w:sz w:val="24"/>
          <w:szCs w:val="24"/>
        </w:rPr>
      </w:pPr>
    </w:p>
    <w:p w:rsidR="007B00BB" w:rsidRDefault="007B00BB" w:rsidP="007B00BB">
      <w:pPr>
        <w:pStyle w:val="Prrafodelista"/>
        <w:ind w:left="720"/>
        <w:jc w:val="both"/>
        <w:rPr>
          <w:rFonts w:ascii="Bookman Old Style" w:hAnsi="Bookman Old Style"/>
          <w:sz w:val="24"/>
          <w:szCs w:val="24"/>
        </w:rPr>
      </w:pPr>
      <w:r>
        <w:rPr>
          <w:rFonts w:ascii="Bookman Old Style" w:hAnsi="Bookman Old Style"/>
          <w:sz w:val="24"/>
          <w:szCs w:val="24"/>
        </w:rPr>
        <w:t xml:space="preserve">Con lo anterior se evidencia que la empresa </w:t>
      </w:r>
      <w:r w:rsidR="005C1177">
        <w:rPr>
          <w:rFonts w:ascii="Bookman Old Style" w:hAnsi="Bookman Old Style"/>
          <w:sz w:val="24"/>
          <w:szCs w:val="24"/>
        </w:rPr>
        <w:t xml:space="preserve">PLUS </w:t>
      </w:r>
      <w:r>
        <w:rPr>
          <w:rFonts w:ascii="Bookman Old Style" w:hAnsi="Bookman Old Style"/>
          <w:sz w:val="24"/>
          <w:szCs w:val="24"/>
        </w:rPr>
        <w:t xml:space="preserve">S.A E.S.P canceló el Registro Único de Prestadores de Servicios –RUPS y finalizó actividades el día </w:t>
      </w:r>
      <w:r w:rsidR="005C1177">
        <w:rPr>
          <w:rFonts w:ascii="Bookman Old Style" w:hAnsi="Bookman Old Style"/>
          <w:sz w:val="24"/>
          <w:szCs w:val="24"/>
        </w:rPr>
        <w:t>1 de septiembre</w:t>
      </w:r>
      <w:r>
        <w:rPr>
          <w:rFonts w:ascii="Bookman Old Style" w:hAnsi="Bookman Old Style"/>
          <w:sz w:val="24"/>
          <w:szCs w:val="24"/>
        </w:rPr>
        <w:t xml:space="preserve"> de 2011, lo que demuestra que durante el año 2011 fue prestador del servicio de Energía Eléctrica y por lo tanto era sujeto de regulación por lo que en principio debía incluirse en la resolución CREG-119 de 2012.</w:t>
      </w:r>
    </w:p>
    <w:p w:rsidR="007B00BB" w:rsidRDefault="007B00BB" w:rsidP="007B00BB">
      <w:pPr>
        <w:pStyle w:val="Prrafodelista"/>
        <w:ind w:left="720"/>
        <w:jc w:val="both"/>
        <w:rPr>
          <w:rFonts w:ascii="Bookman Old Style" w:hAnsi="Bookman Old Style"/>
          <w:sz w:val="24"/>
          <w:szCs w:val="24"/>
        </w:rPr>
      </w:pPr>
    </w:p>
    <w:p w:rsidR="00D10034" w:rsidRPr="00DA0098" w:rsidRDefault="007B00BB" w:rsidP="00D10034">
      <w:pPr>
        <w:pStyle w:val="Prrafodelista"/>
        <w:numPr>
          <w:ilvl w:val="0"/>
          <w:numId w:val="33"/>
        </w:numPr>
        <w:jc w:val="both"/>
        <w:rPr>
          <w:rFonts w:ascii="Bookman Old Style" w:hAnsi="Bookman Old Style"/>
          <w:b/>
          <w:sz w:val="24"/>
          <w:szCs w:val="24"/>
        </w:rPr>
      </w:pPr>
      <w:r>
        <w:rPr>
          <w:rFonts w:ascii="Bookman Old Style" w:hAnsi="Bookman Old Style"/>
          <w:b/>
          <w:sz w:val="24"/>
          <w:szCs w:val="24"/>
        </w:rPr>
        <w:t>Copia del Plan de Contabilidad reportado al Sistema Único de Información de Servicios Públicos –SUI, por Combustibles líquidos de Colombia S.A E.S.P (Folios 8 al 1</w:t>
      </w:r>
      <w:r w:rsidR="00D0082C">
        <w:rPr>
          <w:rFonts w:ascii="Bookman Old Style" w:hAnsi="Bookman Old Style"/>
          <w:b/>
          <w:sz w:val="24"/>
          <w:szCs w:val="24"/>
        </w:rPr>
        <w:t>4</w:t>
      </w:r>
      <w:r>
        <w:rPr>
          <w:rFonts w:ascii="Bookman Old Style" w:hAnsi="Bookman Old Style"/>
          <w:b/>
          <w:sz w:val="24"/>
          <w:szCs w:val="24"/>
        </w:rPr>
        <w:t>)</w:t>
      </w:r>
      <w:r w:rsidR="00414B60" w:rsidRPr="00DA0098">
        <w:rPr>
          <w:rFonts w:ascii="Bookman Old Style" w:hAnsi="Bookman Old Style"/>
          <w:b/>
          <w:sz w:val="24"/>
          <w:szCs w:val="24"/>
        </w:rPr>
        <w:t>.</w:t>
      </w:r>
    </w:p>
    <w:p w:rsidR="00DA0098" w:rsidRDefault="00DA0098" w:rsidP="00DA0098">
      <w:pPr>
        <w:pStyle w:val="Prrafodelista"/>
        <w:ind w:left="720"/>
        <w:jc w:val="both"/>
        <w:rPr>
          <w:rFonts w:ascii="Bookman Old Style" w:hAnsi="Bookman Old Style"/>
          <w:sz w:val="24"/>
          <w:szCs w:val="24"/>
        </w:rPr>
      </w:pPr>
    </w:p>
    <w:p w:rsidR="005F05E0" w:rsidRDefault="005F05E0" w:rsidP="00D0082C">
      <w:pPr>
        <w:pStyle w:val="Prrafodelista"/>
        <w:ind w:left="720"/>
        <w:jc w:val="both"/>
        <w:rPr>
          <w:rFonts w:ascii="Bookman Old Style" w:hAnsi="Bookman Old Style"/>
          <w:sz w:val="24"/>
          <w:szCs w:val="24"/>
        </w:rPr>
      </w:pPr>
    </w:p>
    <w:p w:rsidR="005F05E0" w:rsidRDefault="005F05E0" w:rsidP="00D0082C">
      <w:pPr>
        <w:pStyle w:val="Prrafodelista"/>
        <w:ind w:left="720"/>
        <w:jc w:val="both"/>
        <w:rPr>
          <w:rFonts w:ascii="Bookman Old Style" w:hAnsi="Bookman Old Style"/>
          <w:sz w:val="24"/>
          <w:szCs w:val="24"/>
        </w:rPr>
      </w:pPr>
    </w:p>
    <w:p w:rsidR="00D0082C" w:rsidRDefault="00AD526C" w:rsidP="00D0082C">
      <w:pPr>
        <w:pStyle w:val="Prrafodelista"/>
        <w:ind w:left="720"/>
        <w:jc w:val="both"/>
        <w:rPr>
          <w:rFonts w:ascii="Bookman Old Style" w:hAnsi="Bookman Old Style"/>
          <w:sz w:val="24"/>
          <w:szCs w:val="24"/>
        </w:rPr>
      </w:pPr>
      <w:r>
        <w:rPr>
          <w:rFonts w:ascii="Bookman Old Style" w:hAnsi="Bookman Old Style"/>
          <w:sz w:val="24"/>
          <w:szCs w:val="24"/>
        </w:rPr>
        <w:t xml:space="preserve">Del análisis </w:t>
      </w:r>
      <w:r w:rsidR="00BE3502">
        <w:rPr>
          <w:rFonts w:ascii="Bookman Old Style" w:hAnsi="Bookman Old Style"/>
          <w:sz w:val="24"/>
          <w:szCs w:val="24"/>
        </w:rPr>
        <w:t>a</w:t>
      </w:r>
      <w:r w:rsidR="00D0082C">
        <w:rPr>
          <w:rFonts w:ascii="Bookman Old Style" w:hAnsi="Bookman Old Style"/>
          <w:sz w:val="24"/>
          <w:szCs w:val="24"/>
        </w:rPr>
        <w:t xml:space="preserve"> efectuado sobre el Plan de Contabilidad</w:t>
      </w:r>
      <w:r w:rsidR="00BE3502">
        <w:rPr>
          <w:rFonts w:ascii="Bookman Old Style" w:hAnsi="Bookman Old Style"/>
          <w:sz w:val="24"/>
          <w:szCs w:val="24"/>
        </w:rPr>
        <w:t xml:space="preserve"> remitido por el recurrente encontramos que a 31 de diciembre de 2011</w:t>
      </w:r>
      <w:r w:rsidR="007A4672">
        <w:rPr>
          <w:rFonts w:ascii="Bookman Old Style" w:hAnsi="Bookman Old Style"/>
          <w:sz w:val="24"/>
          <w:szCs w:val="24"/>
        </w:rPr>
        <w:t xml:space="preserve"> </w:t>
      </w:r>
      <w:r w:rsidR="00BE3502">
        <w:rPr>
          <w:rFonts w:ascii="Bookman Old Style" w:hAnsi="Bookman Old Style"/>
          <w:sz w:val="24"/>
          <w:szCs w:val="24"/>
        </w:rPr>
        <w:t xml:space="preserve">la empresa reportó </w:t>
      </w:r>
      <w:r w:rsidR="00D0082C">
        <w:rPr>
          <w:rFonts w:ascii="Bookman Old Style" w:hAnsi="Bookman Old Style"/>
          <w:sz w:val="24"/>
          <w:szCs w:val="24"/>
        </w:rPr>
        <w:t>por</w:t>
      </w:r>
      <w:r w:rsidR="00BE3502">
        <w:rPr>
          <w:rFonts w:ascii="Bookman Old Style" w:hAnsi="Bookman Old Style"/>
          <w:sz w:val="24"/>
          <w:szCs w:val="24"/>
        </w:rPr>
        <w:t xml:space="preserve"> gastos de administración</w:t>
      </w:r>
      <w:r w:rsidR="00D0082C">
        <w:rPr>
          <w:rFonts w:ascii="Bookman Old Style" w:hAnsi="Bookman Old Style"/>
          <w:sz w:val="24"/>
          <w:szCs w:val="24"/>
        </w:rPr>
        <w:t xml:space="preserve"> la suma de $6.162.220.644.</w:t>
      </w:r>
    </w:p>
    <w:p w:rsidR="00D0082C" w:rsidRPr="00D0082C" w:rsidRDefault="00D0082C" w:rsidP="00D0082C">
      <w:pPr>
        <w:pStyle w:val="Prrafodelista"/>
        <w:ind w:left="720"/>
        <w:jc w:val="both"/>
        <w:rPr>
          <w:rFonts w:ascii="Bookman Old Style" w:hAnsi="Bookman Old Style"/>
          <w:sz w:val="24"/>
          <w:szCs w:val="24"/>
        </w:rPr>
      </w:pPr>
    </w:p>
    <w:p w:rsidR="00D0082C" w:rsidRDefault="00D0082C" w:rsidP="00D0082C">
      <w:pPr>
        <w:pStyle w:val="Prrafodelista"/>
        <w:ind w:left="720"/>
        <w:jc w:val="both"/>
        <w:rPr>
          <w:rFonts w:ascii="Bookman Old Style" w:hAnsi="Bookman Old Style"/>
          <w:sz w:val="24"/>
          <w:szCs w:val="24"/>
        </w:rPr>
      </w:pPr>
      <w:r>
        <w:rPr>
          <w:rFonts w:ascii="Bookman Old Style" w:hAnsi="Bookman Old Style"/>
          <w:sz w:val="24"/>
          <w:szCs w:val="24"/>
        </w:rPr>
        <w:t>Al desagregar el Plan Contable en lo correspondiente a los Gastos de Administración encontramos lo siguiente:</w:t>
      </w:r>
    </w:p>
    <w:p w:rsidR="00D0082C" w:rsidRDefault="00D0082C" w:rsidP="00D0082C">
      <w:pPr>
        <w:pStyle w:val="Prrafodelista"/>
        <w:ind w:left="720"/>
        <w:jc w:val="both"/>
        <w:rPr>
          <w:rFonts w:ascii="Bookman Old Style" w:hAnsi="Bookman Old Style"/>
          <w:sz w:val="24"/>
          <w:szCs w:val="24"/>
        </w:rPr>
      </w:pPr>
    </w:p>
    <w:tbl>
      <w:tblPr>
        <w:tblW w:w="8394" w:type="dxa"/>
        <w:tblInd w:w="639" w:type="dxa"/>
        <w:tblCellMar>
          <w:left w:w="70" w:type="dxa"/>
          <w:right w:w="70" w:type="dxa"/>
        </w:tblCellMar>
        <w:tblLook w:val="04A0" w:firstRow="1" w:lastRow="0" w:firstColumn="1" w:lastColumn="0" w:noHBand="0" w:noVBand="1"/>
      </w:tblPr>
      <w:tblGrid>
        <w:gridCol w:w="1656"/>
        <w:gridCol w:w="3251"/>
        <w:gridCol w:w="3487"/>
      </w:tblGrid>
      <w:tr w:rsidR="00D0082C" w:rsidRPr="00D0082C" w:rsidTr="004809FB">
        <w:trPr>
          <w:trHeight w:val="210"/>
        </w:trPr>
        <w:tc>
          <w:tcPr>
            <w:tcW w:w="1656" w:type="dxa"/>
            <w:vMerge w:val="restart"/>
            <w:tcBorders>
              <w:top w:val="nil"/>
              <w:left w:val="nil"/>
              <w:bottom w:val="nil"/>
              <w:right w:val="nil"/>
            </w:tcBorders>
            <w:shd w:val="clear" w:color="auto" w:fill="auto"/>
            <w:vAlign w:val="center"/>
            <w:hideMark/>
          </w:tcPr>
          <w:p w:rsidR="00D0082C" w:rsidRPr="00D0082C" w:rsidRDefault="00D0082C" w:rsidP="00D0082C">
            <w:pPr>
              <w:ind w:left="0"/>
              <w:jc w:val="center"/>
              <w:rPr>
                <w:rFonts w:ascii="Bookman Old Style" w:hAnsi="Bookman Old Style" w:cs="Arial"/>
                <w:color w:val="000000"/>
                <w:sz w:val="20"/>
                <w:szCs w:val="20"/>
                <w:lang w:val="es-CO" w:eastAsia="es-CO"/>
              </w:rPr>
            </w:pPr>
            <w:r w:rsidRPr="00D0082C">
              <w:rPr>
                <w:rFonts w:ascii="Bookman Old Style" w:hAnsi="Bookman Old Style" w:cs="Arial"/>
                <w:color w:val="000000"/>
                <w:sz w:val="20"/>
                <w:szCs w:val="20"/>
                <w:lang w:val="es-CO" w:eastAsia="es-CO"/>
              </w:rPr>
              <w:t>CODIGO</w:t>
            </w:r>
          </w:p>
        </w:tc>
        <w:tc>
          <w:tcPr>
            <w:tcW w:w="3251" w:type="dxa"/>
            <w:vMerge w:val="restart"/>
            <w:tcBorders>
              <w:top w:val="nil"/>
              <w:left w:val="nil"/>
              <w:bottom w:val="nil"/>
              <w:right w:val="nil"/>
            </w:tcBorders>
            <w:shd w:val="clear" w:color="auto" w:fill="auto"/>
            <w:vAlign w:val="center"/>
            <w:hideMark/>
          </w:tcPr>
          <w:p w:rsidR="00D0082C" w:rsidRPr="00D0082C" w:rsidRDefault="00D0082C" w:rsidP="00D0082C">
            <w:pPr>
              <w:ind w:left="0"/>
              <w:jc w:val="center"/>
              <w:rPr>
                <w:rFonts w:ascii="Bookman Old Style" w:hAnsi="Bookman Old Style" w:cs="Arial"/>
                <w:color w:val="000000"/>
                <w:sz w:val="20"/>
                <w:szCs w:val="20"/>
                <w:lang w:val="es-CO" w:eastAsia="es-CO"/>
              </w:rPr>
            </w:pPr>
            <w:r w:rsidRPr="00D0082C">
              <w:rPr>
                <w:rFonts w:ascii="Bookman Old Style" w:hAnsi="Bookman Old Style" w:cs="Arial"/>
                <w:color w:val="000000"/>
                <w:sz w:val="20"/>
                <w:szCs w:val="20"/>
                <w:lang w:val="es-CO" w:eastAsia="es-CO"/>
              </w:rPr>
              <w:t>DESCRIPCION</w:t>
            </w:r>
          </w:p>
        </w:tc>
        <w:tc>
          <w:tcPr>
            <w:tcW w:w="3487" w:type="dxa"/>
            <w:tcBorders>
              <w:top w:val="nil"/>
              <w:left w:val="nil"/>
              <w:bottom w:val="nil"/>
              <w:right w:val="nil"/>
            </w:tcBorders>
            <w:shd w:val="clear" w:color="auto" w:fill="auto"/>
            <w:vAlign w:val="center"/>
            <w:hideMark/>
          </w:tcPr>
          <w:p w:rsidR="00D0082C" w:rsidRPr="00D0082C" w:rsidRDefault="00D0082C" w:rsidP="00D0082C">
            <w:pPr>
              <w:ind w:left="0"/>
              <w:jc w:val="center"/>
              <w:rPr>
                <w:rFonts w:ascii="Bookman Old Style" w:hAnsi="Bookman Old Style" w:cs="Calibri"/>
                <w:color w:val="000000"/>
                <w:sz w:val="20"/>
                <w:szCs w:val="20"/>
                <w:lang w:val="es-CO" w:eastAsia="es-CO"/>
              </w:rPr>
            </w:pPr>
          </w:p>
        </w:tc>
      </w:tr>
      <w:tr w:rsidR="00D0082C" w:rsidRPr="00D0082C" w:rsidTr="004809FB">
        <w:trPr>
          <w:trHeight w:val="210"/>
        </w:trPr>
        <w:tc>
          <w:tcPr>
            <w:tcW w:w="1656" w:type="dxa"/>
            <w:vMerge/>
            <w:tcBorders>
              <w:top w:val="nil"/>
              <w:left w:val="nil"/>
              <w:bottom w:val="nil"/>
              <w:right w:val="nil"/>
            </w:tcBorders>
            <w:vAlign w:val="center"/>
            <w:hideMark/>
          </w:tcPr>
          <w:p w:rsidR="00D0082C" w:rsidRPr="00D0082C" w:rsidRDefault="00D0082C" w:rsidP="00D0082C">
            <w:pPr>
              <w:ind w:left="0"/>
              <w:rPr>
                <w:rFonts w:ascii="Bookman Old Style" w:hAnsi="Bookman Old Style" w:cs="Arial"/>
                <w:color w:val="000000"/>
                <w:sz w:val="20"/>
                <w:szCs w:val="20"/>
                <w:lang w:val="es-CO" w:eastAsia="es-CO"/>
              </w:rPr>
            </w:pPr>
          </w:p>
        </w:tc>
        <w:tc>
          <w:tcPr>
            <w:tcW w:w="3251" w:type="dxa"/>
            <w:vMerge/>
            <w:tcBorders>
              <w:top w:val="nil"/>
              <w:left w:val="nil"/>
              <w:bottom w:val="nil"/>
              <w:right w:val="nil"/>
            </w:tcBorders>
            <w:vAlign w:val="center"/>
            <w:hideMark/>
          </w:tcPr>
          <w:p w:rsidR="00D0082C" w:rsidRPr="00D0082C" w:rsidRDefault="00D0082C" w:rsidP="00D0082C">
            <w:pPr>
              <w:ind w:left="0"/>
              <w:rPr>
                <w:rFonts w:ascii="Bookman Old Style" w:hAnsi="Bookman Old Style" w:cs="Arial"/>
                <w:color w:val="000000"/>
                <w:sz w:val="20"/>
                <w:szCs w:val="20"/>
                <w:lang w:val="es-CO" w:eastAsia="es-CO"/>
              </w:rPr>
            </w:pPr>
          </w:p>
        </w:tc>
        <w:tc>
          <w:tcPr>
            <w:tcW w:w="3487" w:type="dxa"/>
            <w:tcBorders>
              <w:top w:val="nil"/>
              <w:left w:val="nil"/>
              <w:bottom w:val="nil"/>
              <w:right w:val="nil"/>
            </w:tcBorders>
            <w:shd w:val="clear" w:color="auto" w:fill="auto"/>
            <w:vAlign w:val="center"/>
            <w:hideMark/>
          </w:tcPr>
          <w:p w:rsidR="00D0082C" w:rsidRPr="00D0082C" w:rsidRDefault="00D0082C" w:rsidP="00D0082C">
            <w:pPr>
              <w:ind w:left="0"/>
              <w:jc w:val="center"/>
              <w:rPr>
                <w:rFonts w:ascii="Bookman Old Style" w:hAnsi="Bookman Old Style" w:cs="Arial"/>
                <w:color w:val="000000"/>
                <w:sz w:val="20"/>
                <w:szCs w:val="20"/>
                <w:lang w:val="es-CO" w:eastAsia="es-CO"/>
              </w:rPr>
            </w:pPr>
            <w:r w:rsidRPr="00D0082C">
              <w:rPr>
                <w:rFonts w:ascii="Bookman Old Style" w:hAnsi="Bookman Old Style" w:cs="Arial"/>
                <w:color w:val="000000"/>
                <w:sz w:val="20"/>
                <w:szCs w:val="20"/>
                <w:lang w:val="es-CO" w:eastAsia="es-CO"/>
              </w:rPr>
              <w:t xml:space="preserve">Total. </w:t>
            </w:r>
          </w:p>
        </w:tc>
      </w:tr>
      <w:tr w:rsidR="00D0082C" w:rsidRPr="00D0082C" w:rsidTr="004809FB">
        <w:trPr>
          <w:trHeight w:val="420"/>
        </w:trPr>
        <w:tc>
          <w:tcPr>
            <w:tcW w:w="1656" w:type="dxa"/>
            <w:tcBorders>
              <w:top w:val="nil"/>
              <w:left w:val="nil"/>
              <w:bottom w:val="nil"/>
              <w:right w:val="nil"/>
            </w:tcBorders>
            <w:shd w:val="clear" w:color="000000" w:fill="FFFFFF"/>
            <w:vAlign w:val="center"/>
            <w:hideMark/>
          </w:tcPr>
          <w:p w:rsidR="00D0082C" w:rsidRPr="00D0082C" w:rsidRDefault="00D0082C" w:rsidP="00D0082C">
            <w:pPr>
              <w:ind w:left="0"/>
              <w:jc w:val="center"/>
              <w:rPr>
                <w:rFonts w:ascii="Bookman Old Style" w:hAnsi="Bookman Old Style" w:cs="Arial"/>
                <w:color w:val="000000"/>
                <w:sz w:val="20"/>
                <w:szCs w:val="20"/>
                <w:lang w:val="es-CO" w:eastAsia="es-CO"/>
              </w:rPr>
            </w:pPr>
            <w:r w:rsidRPr="00D0082C">
              <w:rPr>
                <w:rFonts w:ascii="Bookman Old Style" w:hAnsi="Bookman Old Style" w:cs="Arial"/>
                <w:color w:val="000000"/>
                <w:sz w:val="20"/>
                <w:szCs w:val="20"/>
                <w:lang w:val="es-CO" w:eastAsia="es-CO"/>
              </w:rPr>
              <w:t>5101</w:t>
            </w:r>
          </w:p>
        </w:tc>
        <w:tc>
          <w:tcPr>
            <w:tcW w:w="3251" w:type="dxa"/>
            <w:tcBorders>
              <w:top w:val="nil"/>
              <w:left w:val="nil"/>
              <w:bottom w:val="nil"/>
              <w:right w:val="nil"/>
            </w:tcBorders>
            <w:shd w:val="clear" w:color="000000" w:fill="FFFFFF"/>
            <w:vAlign w:val="center"/>
            <w:hideMark/>
          </w:tcPr>
          <w:p w:rsidR="00D0082C" w:rsidRPr="00D0082C" w:rsidRDefault="004809FB" w:rsidP="00D0082C">
            <w:pPr>
              <w:ind w:left="0"/>
              <w:rPr>
                <w:rFonts w:ascii="Bookman Old Style" w:hAnsi="Bookman Old Style" w:cs="Arial"/>
                <w:color w:val="000000"/>
                <w:sz w:val="20"/>
                <w:szCs w:val="20"/>
                <w:lang w:val="es-CO" w:eastAsia="es-CO"/>
              </w:rPr>
            </w:pPr>
            <w:r>
              <w:rPr>
                <w:rFonts w:ascii="Bookman Old Style" w:hAnsi="Bookman Old Style" w:cs="Arial"/>
                <w:color w:val="000000"/>
                <w:sz w:val="20"/>
                <w:szCs w:val="20"/>
                <w:lang w:val="es-CO" w:eastAsia="es-CO"/>
              </w:rPr>
              <w:t>Sueldos y S</w:t>
            </w:r>
            <w:r w:rsidRPr="00D0082C">
              <w:rPr>
                <w:rFonts w:ascii="Bookman Old Style" w:hAnsi="Bookman Old Style" w:cs="Arial"/>
                <w:color w:val="000000"/>
                <w:sz w:val="20"/>
                <w:szCs w:val="20"/>
                <w:lang w:val="es-CO" w:eastAsia="es-CO"/>
              </w:rPr>
              <w:t>alarios</w:t>
            </w:r>
          </w:p>
        </w:tc>
        <w:tc>
          <w:tcPr>
            <w:tcW w:w="3487" w:type="dxa"/>
            <w:tcBorders>
              <w:top w:val="nil"/>
              <w:left w:val="nil"/>
              <w:bottom w:val="nil"/>
              <w:right w:val="nil"/>
            </w:tcBorders>
            <w:shd w:val="clear" w:color="000000" w:fill="FFFFFF"/>
            <w:vAlign w:val="center"/>
            <w:hideMark/>
          </w:tcPr>
          <w:p w:rsidR="00D0082C" w:rsidRPr="00D0082C" w:rsidRDefault="004809FB" w:rsidP="004809FB">
            <w:pPr>
              <w:ind w:left="0"/>
              <w:rPr>
                <w:rFonts w:ascii="Bookman Old Style" w:hAnsi="Bookman Old Style" w:cs="Arial"/>
                <w:color w:val="000000"/>
                <w:sz w:val="20"/>
                <w:szCs w:val="20"/>
                <w:lang w:val="es-CO" w:eastAsia="es-CO"/>
              </w:rPr>
            </w:pPr>
            <w:r>
              <w:rPr>
                <w:rFonts w:ascii="Bookman Old Style" w:hAnsi="Bookman Old Style" w:cs="Arial"/>
                <w:color w:val="000000"/>
                <w:sz w:val="20"/>
                <w:szCs w:val="20"/>
                <w:lang w:val="es-CO" w:eastAsia="es-CO"/>
              </w:rPr>
              <w:t>$     1.222.743.658</w:t>
            </w:r>
            <w:r w:rsidR="00D0082C" w:rsidRPr="00D0082C">
              <w:rPr>
                <w:rFonts w:ascii="Bookman Old Style" w:hAnsi="Bookman Old Style" w:cs="Arial"/>
                <w:color w:val="000000"/>
                <w:sz w:val="20"/>
                <w:szCs w:val="20"/>
                <w:lang w:val="es-CO" w:eastAsia="es-CO"/>
              </w:rPr>
              <w:t xml:space="preserve"> </w:t>
            </w:r>
          </w:p>
        </w:tc>
      </w:tr>
      <w:tr w:rsidR="00D0082C" w:rsidRPr="00D0082C" w:rsidTr="004809FB">
        <w:trPr>
          <w:trHeight w:val="420"/>
        </w:trPr>
        <w:tc>
          <w:tcPr>
            <w:tcW w:w="1656" w:type="dxa"/>
            <w:tcBorders>
              <w:top w:val="nil"/>
              <w:left w:val="nil"/>
              <w:bottom w:val="nil"/>
              <w:right w:val="nil"/>
            </w:tcBorders>
            <w:shd w:val="clear" w:color="000000" w:fill="FFFFFF"/>
            <w:vAlign w:val="center"/>
            <w:hideMark/>
          </w:tcPr>
          <w:p w:rsidR="00D0082C" w:rsidRPr="00D0082C" w:rsidRDefault="00D0082C" w:rsidP="00D0082C">
            <w:pPr>
              <w:ind w:left="0"/>
              <w:jc w:val="center"/>
              <w:rPr>
                <w:rFonts w:ascii="Bookman Old Style" w:hAnsi="Bookman Old Style" w:cs="Arial"/>
                <w:color w:val="000000"/>
                <w:sz w:val="20"/>
                <w:szCs w:val="20"/>
                <w:lang w:val="es-CO" w:eastAsia="es-CO"/>
              </w:rPr>
            </w:pPr>
            <w:r w:rsidRPr="00D0082C">
              <w:rPr>
                <w:rFonts w:ascii="Bookman Old Style" w:hAnsi="Bookman Old Style" w:cs="Arial"/>
                <w:color w:val="000000"/>
                <w:sz w:val="20"/>
                <w:szCs w:val="20"/>
                <w:lang w:val="es-CO" w:eastAsia="es-CO"/>
              </w:rPr>
              <w:t>5102</w:t>
            </w:r>
          </w:p>
        </w:tc>
        <w:tc>
          <w:tcPr>
            <w:tcW w:w="3251" w:type="dxa"/>
            <w:tcBorders>
              <w:top w:val="nil"/>
              <w:left w:val="nil"/>
              <w:bottom w:val="nil"/>
              <w:right w:val="nil"/>
            </w:tcBorders>
            <w:shd w:val="clear" w:color="000000" w:fill="FFFFFF"/>
            <w:vAlign w:val="center"/>
            <w:hideMark/>
          </w:tcPr>
          <w:p w:rsidR="00D0082C" w:rsidRPr="00D0082C" w:rsidRDefault="004809FB" w:rsidP="004809FB">
            <w:pPr>
              <w:ind w:left="0"/>
              <w:rPr>
                <w:rFonts w:ascii="Bookman Old Style" w:hAnsi="Bookman Old Style" w:cs="Arial"/>
                <w:color w:val="000000"/>
                <w:sz w:val="20"/>
                <w:szCs w:val="20"/>
                <w:lang w:val="es-CO" w:eastAsia="es-CO"/>
              </w:rPr>
            </w:pPr>
            <w:r>
              <w:rPr>
                <w:rFonts w:ascii="Bookman Old Style" w:hAnsi="Bookman Old Style" w:cs="Arial"/>
                <w:color w:val="000000"/>
                <w:sz w:val="20"/>
                <w:szCs w:val="20"/>
                <w:lang w:val="es-CO" w:eastAsia="es-CO"/>
              </w:rPr>
              <w:t>C</w:t>
            </w:r>
            <w:r w:rsidRPr="00D0082C">
              <w:rPr>
                <w:rFonts w:ascii="Bookman Old Style" w:hAnsi="Bookman Old Style" w:cs="Arial"/>
                <w:color w:val="000000"/>
                <w:sz w:val="20"/>
                <w:szCs w:val="20"/>
                <w:lang w:val="es-CO" w:eastAsia="es-CO"/>
              </w:rPr>
              <w:t xml:space="preserve">ontribuciones </w:t>
            </w:r>
            <w:r>
              <w:rPr>
                <w:rFonts w:ascii="Bookman Old Style" w:hAnsi="Bookman Old Style" w:cs="Arial"/>
                <w:color w:val="000000"/>
                <w:sz w:val="20"/>
                <w:szCs w:val="20"/>
                <w:lang w:val="es-CO" w:eastAsia="es-CO"/>
              </w:rPr>
              <w:t>I</w:t>
            </w:r>
            <w:r w:rsidRPr="00D0082C">
              <w:rPr>
                <w:rFonts w:ascii="Bookman Old Style" w:hAnsi="Bookman Old Style" w:cs="Arial"/>
                <w:color w:val="000000"/>
                <w:sz w:val="20"/>
                <w:szCs w:val="20"/>
                <w:lang w:val="es-CO" w:eastAsia="es-CO"/>
              </w:rPr>
              <w:t>mputad</w:t>
            </w:r>
            <w:r>
              <w:rPr>
                <w:rFonts w:ascii="Bookman Old Style" w:hAnsi="Bookman Old Style" w:cs="Arial"/>
                <w:color w:val="000000"/>
                <w:sz w:val="20"/>
                <w:szCs w:val="20"/>
                <w:lang w:val="es-CO" w:eastAsia="es-CO"/>
              </w:rPr>
              <w:t>as</w:t>
            </w:r>
          </w:p>
        </w:tc>
        <w:tc>
          <w:tcPr>
            <w:tcW w:w="3487" w:type="dxa"/>
            <w:tcBorders>
              <w:top w:val="nil"/>
              <w:left w:val="nil"/>
              <w:bottom w:val="nil"/>
              <w:right w:val="nil"/>
            </w:tcBorders>
            <w:shd w:val="clear" w:color="000000" w:fill="FFFFFF"/>
            <w:vAlign w:val="center"/>
            <w:hideMark/>
          </w:tcPr>
          <w:p w:rsidR="00D0082C" w:rsidRPr="00D0082C" w:rsidRDefault="004809FB" w:rsidP="004809FB">
            <w:pPr>
              <w:ind w:left="0"/>
              <w:rPr>
                <w:rFonts w:ascii="Bookman Old Style" w:hAnsi="Bookman Old Style" w:cs="Arial"/>
                <w:color w:val="000000"/>
                <w:sz w:val="20"/>
                <w:szCs w:val="20"/>
                <w:lang w:val="es-CO" w:eastAsia="es-CO"/>
              </w:rPr>
            </w:pPr>
            <w:r>
              <w:rPr>
                <w:rFonts w:ascii="Bookman Old Style" w:hAnsi="Bookman Old Style" w:cs="Arial"/>
                <w:color w:val="000000"/>
                <w:sz w:val="20"/>
                <w:szCs w:val="20"/>
                <w:lang w:val="es-CO" w:eastAsia="es-CO"/>
              </w:rPr>
              <w:t>$         95.910.805</w:t>
            </w:r>
            <w:r w:rsidR="00D0082C" w:rsidRPr="00D0082C">
              <w:rPr>
                <w:rFonts w:ascii="Bookman Old Style" w:hAnsi="Bookman Old Style" w:cs="Arial"/>
                <w:color w:val="000000"/>
                <w:sz w:val="20"/>
                <w:szCs w:val="20"/>
                <w:lang w:val="es-CO" w:eastAsia="es-CO"/>
              </w:rPr>
              <w:t xml:space="preserve"> </w:t>
            </w:r>
          </w:p>
        </w:tc>
      </w:tr>
      <w:tr w:rsidR="00D0082C" w:rsidRPr="00D0082C" w:rsidTr="004809FB">
        <w:trPr>
          <w:trHeight w:val="420"/>
        </w:trPr>
        <w:tc>
          <w:tcPr>
            <w:tcW w:w="1656" w:type="dxa"/>
            <w:tcBorders>
              <w:top w:val="nil"/>
              <w:left w:val="nil"/>
              <w:bottom w:val="nil"/>
              <w:right w:val="nil"/>
            </w:tcBorders>
            <w:shd w:val="clear" w:color="000000" w:fill="FFFFFF"/>
            <w:vAlign w:val="center"/>
            <w:hideMark/>
          </w:tcPr>
          <w:p w:rsidR="00D0082C" w:rsidRPr="00D0082C" w:rsidRDefault="00D0082C" w:rsidP="00D0082C">
            <w:pPr>
              <w:ind w:left="0"/>
              <w:jc w:val="center"/>
              <w:rPr>
                <w:rFonts w:ascii="Bookman Old Style" w:hAnsi="Bookman Old Style" w:cs="Arial"/>
                <w:color w:val="000000"/>
                <w:sz w:val="20"/>
                <w:szCs w:val="20"/>
                <w:lang w:val="es-CO" w:eastAsia="es-CO"/>
              </w:rPr>
            </w:pPr>
            <w:r w:rsidRPr="00D0082C">
              <w:rPr>
                <w:rFonts w:ascii="Bookman Old Style" w:hAnsi="Bookman Old Style" w:cs="Arial"/>
                <w:color w:val="000000"/>
                <w:sz w:val="20"/>
                <w:szCs w:val="20"/>
                <w:lang w:val="es-CO" w:eastAsia="es-CO"/>
              </w:rPr>
              <w:t>5103</w:t>
            </w:r>
          </w:p>
        </w:tc>
        <w:tc>
          <w:tcPr>
            <w:tcW w:w="3251" w:type="dxa"/>
            <w:tcBorders>
              <w:top w:val="nil"/>
              <w:left w:val="nil"/>
              <w:bottom w:val="nil"/>
              <w:right w:val="nil"/>
            </w:tcBorders>
            <w:shd w:val="clear" w:color="000000" w:fill="FFFFFF"/>
            <w:vAlign w:val="center"/>
            <w:hideMark/>
          </w:tcPr>
          <w:p w:rsidR="00D0082C" w:rsidRPr="00D0082C" w:rsidRDefault="004809FB" w:rsidP="004809FB">
            <w:pPr>
              <w:ind w:left="0"/>
              <w:rPr>
                <w:rFonts w:ascii="Bookman Old Style" w:hAnsi="Bookman Old Style" w:cs="Arial"/>
                <w:color w:val="000000"/>
                <w:sz w:val="20"/>
                <w:szCs w:val="20"/>
                <w:lang w:val="es-CO" w:eastAsia="es-CO"/>
              </w:rPr>
            </w:pPr>
            <w:r>
              <w:rPr>
                <w:rFonts w:ascii="Bookman Old Style" w:hAnsi="Bookman Old Style" w:cs="Arial"/>
                <w:color w:val="000000"/>
                <w:sz w:val="20"/>
                <w:szCs w:val="20"/>
                <w:lang w:val="es-CO" w:eastAsia="es-CO"/>
              </w:rPr>
              <w:t>C</w:t>
            </w:r>
            <w:r w:rsidRPr="00D0082C">
              <w:rPr>
                <w:rFonts w:ascii="Bookman Old Style" w:hAnsi="Bookman Old Style" w:cs="Arial"/>
                <w:color w:val="000000"/>
                <w:sz w:val="20"/>
                <w:szCs w:val="20"/>
                <w:lang w:val="es-CO" w:eastAsia="es-CO"/>
              </w:rPr>
              <w:t xml:space="preserve">ontribuciones </w:t>
            </w:r>
            <w:r>
              <w:rPr>
                <w:rFonts w:ascii="Bookman Old Style" w:hAnsi="Bookman Old Style" w:cs="Arial"/>
                <w:color w:val="000000"/>
                <w:sz w:val="20"/>
                <w:szCs w:val="20"/>
                <w:lang w:val="es-CO" w:eastAsia="es-CO"/>
              </w:rPr>
              <w:t>E</w:t>
            </w:r>
            <w:r w:rsidRPr="00D0082C">
              <w:rPr>
                <w:rFonts w:ascii="Bookman Old Style" w:hAnsi="Bookman Old Style" w:cs="Arial"/>
                <w:color w:val="000000"/>
                <w:sz w:val="20"/>
                <w:szCs w:val="20"/>
                <w:lang w:val="es-CO" w:eastAsia="es-CO"/>
              </w:rPr>
              <w:t>fectiv</w:t>
            </w:r>
            <w:r>
              <w:rPr>
                <w:rFonts w:ascii="Bookman Old Style" w:hAnsi="Bookman Old Style" w:cs="Arial"/>
                <w:color w:val="000000"/>
                <w:sz w:val="20"/>
                <w:szCs w:val="20"/>
                <w:lang w:val="es-CO" w:eastAsia="es-CO"/>
              </w:rPr>
              <w:t>as</w:t>
            </w:r>
          </w:p>
        </w:tc>
        <w:tc>
          <w:tcPr>
            <w:tcW w:w="3487" w:type="dxa"/>
            <w:tcBorders>
              <w:top w:val="nil"/>
              <w:left w:val="nil"/>
              <w:bottom w:val="nil"/>
              <w:right w:val="nil"/>
            </w:tcBorders>
            <w:shd w:val="clear" w:color="000000" w:fill="FFFFFF"/>
            <w:vAlign w:val="center"/>
            <w:hideMark/>
          </w:tcPr>
          <w:p w:rsidR="00D0082C" w:rsidRPr="00D0082C" w:rsidRDefault="00D0082C" w:rsidP="004809FB">
            <w:pPr>
              <w:ind w:left="0"/>
              <w:rPr>
                <w:rFonts w:ascii="Bookman Old Style" w:hAnsi="Bookman Old Style" w:cs="Arial"/>
                <w:color w:val="000000"/>
                <w:sz w:val="20"/>
                <w:szCs w:val="20"/>
                <w:lang w:val="es-CO" w:eastAsia="es-CO"/>
              </w:rPr>
            </w:pPr>
            <w:r w:rsidRPr="00D0082C">
              <w:rPr>
                <w:rFonts w:ascii="Bookman Old Style" w:hAnsi="Bookman Old Style" w:cs="Arial"/>
                <w:color w:val="000000"/>
                <w:sz w:val="20"/>
                <w:szCs w:val="20"/>
                <w:lang w:val="es-CO" w:eastAsia="es-CO"/>
              </w:rPr>
              <w:t xml:space="preserve">$       146.174.433 </w:t>
            </w:r>
          </w:p>
        </w:tc>
      </w:tr>
      <w:tr w:rsidR="00D0082C" w:rsidRPr="00D0082C" w:rsidTr="004809FB">
        <w:trPr>
          <w:trHeight w:val="420"/>
        </w:trPr>
        <w:tc>
          <w:tcPr>
            <w:tcW w:w="1656" w:type="dxa"/>
            <w:tcBorders>
              <w:top w:val="nil"/>
              <w:left w:val="nil"/>
              <w:bottom w:val="nil"/>
              <w:right w:val="nil"/>
            </w:tcBorders>
            <w:shd w:val="clear" w:color="000000" w:fill="FFFFFF"/>
            <w:vAlign w:val="center"/>
            <w:hideMark/>
          </w:tcPr>
          <w:p w:rsidR="00D0082C" w:rsidRPr="00D0082C" w:rsidRDefault="00D0082C" w:rsidP="00D0082C">
            <w:pPr>
              <w:ind w:left="0"/>
              <w:jc w:val="center"/>
              <w:rPr>
                <w:rFonts w:ascii="Bookman Old Style" w:hAnsi="Bookman Old Style" w:cs="Arial"/>
                <w:color w:val="000000"/>
                <w:sz w:val="20"/>
                <w:szCs w:val="20"/>
                <w:lang w:val="es-CO" w:eastAsia="es-CO"/>
              </w:rPr>
            </w:pPr>
            <w:r w:rsidRPr="00D0082C">
              <w:rPr>
                <w:rFonts w:ascii="Bookman Old Style" w:hAnsi="Bookman Old Style" w:cs="Arial"/>
                <w:color w:val="000000"/>
                <w:sz w:val="20"/>
                <w:szCs w:val="20"/>
                <w:lang w:val="es-CO" w:eastAsia="es-CO"/>
              </w:rPr>
              <w:t>5104</w:t>
            </w:r>
          </w:p>
        </w:tc>
        <w:tc>
          <w:tcPr>
            <w:tcW w:w="3251" w:type="dxa"/>
            <w:tcBorders>
              <w:top w:val="nil"/>
              <w:left w:val="nil"/>
              <w:bottom w:val="nil"/>
              <w:right w:val="nil"/>
            </w:tcBorders>
            <w:shd w:val="clear" w:color="000000" w:fill="FFFFFF"/>
            <w:vAlign w:val="center"/>
            <w:hideMark/>
          </w:tcPr>
          <w:p w:rsidR="00D0082C" w:rsidRPr="00D0082C" w:rsidRDefault="004809FB" w:rsidP="004809FB">
            <w:pPr>
              <w:ind w:left="0"/>
              <w:rPr>
                <w:rFonts w:ascii="Bookman Old Style" w:hAnsi="Bookman Old Style" w:cs="Arial"/>
                <w:color w:val="000000"/>
                <w:sz w:val="20"/>
                <w:szCs w:val="20"/>
                <w:lang w:val="es-CO" w:eastAsia="es-CO"/>
              </w:rPr>
            </w:pPr>
            <w:r>
              <w:rPr>
                <w:rFonts w:ascii="Bookman Old Style" w:hAnsi="Bookman Old Style" w:cs="Arial"/>
                <w:color w:val="000000"/>
                <w:sz w:val="20"/>
                <w:szCs w:val="20"/>
                <w:lang w:val="es-CO" w:eastAsia="es-CO"/>
              </w:rPr>
              <w:t>A</w:t>
            </w:r>
            <w:r w:rsidRPr="00D0082C">
              <w:rPr>
                <w:rFonts w:ascii="Bookman Old Style" w:hAnsi="Bookman Old Style" w:cs="Arial"/>
                <w:color w:val="000000"/>
                <w:sz w:val="20"/>
                <w:szCs w:val="20"/>
                <w:lang w:val="es-CO" w:eastAsia="es-CO"/>
              </w:rPr>
              <w:t xml:space="preserve">portes sobre la </w:t>
            </w:r>
            <w:r>
              <w:rPr>
                <w:rFonts w:ascii="Bookman Old Style" w:hAnsi="Bookman Old Style" w:cs="Arial"/>
                <w:color w:val="000000"/>
                <w:sz w:val="20"/>
                <w:szCs w:val="20"/>
                <w:lang w:val="es-CO" w:eastAsia="es-CO"/>
              </w:rPr>
              <w:t>Nó</w:t>
            </w:r>
            <w:r w:rsidRPr="00D0082C">
              <w:rPr>
                <w:rFonts w:ascii="Bookman Old Style" w:hAnsi="Bookman Old Style" w:cs="Arial"/>
                <w:color w:val="000000"/>
                <w:sz w:val="20"/>
                <w:szCs w:val="20"/>
                <w:lang w:val="es-CO" w:eastAsia="es-CO"/>
              </w:rPr>
              <w:t>min</w:t>
            </w:r>
            <w:r>
              <w:rPr>
                <w:rFonts w:ascii="Bookman Old Style" w:hAnsi="Bookman Old Style" w:cs="Arial"/>
                <w:color w:val="000000"/>
                <w:sz w:val="20"/>
                <w:szCs w:val="20"/>
                <w:lang w:val="es-CO" w:eastAsia="es-CO"/>
              </w:rPr>
              <w:t>a</w:t>
            </w:r>
          </w:p>
        </w:tc>
        <w:tc>
          <w:tcPr>
            <w:tcW w:w="3487" w:type="dxa"/>
            <w:tcBorders>
              <w:top w:val="nil"/>
              <w:left w:val="nil"/>
              <w:bottom w:val="nil"/>
              <w:right w:val="nil"/>
            </w:tcBorders>
            <w:shd w:val="clear" w:color="000000" w:fill="FFFFFF"/>
            <w:vAlign w:val="center"/>
            <w:hideMark/>
          </w:tcPr>
          <w:p w:rsidR="00D0082C" w:rsidRPr="00D0082C" w:rsidRDefault="004809FB" w:rsidP="004809FB">
            <w:pPr>
              <w:ind w:left="0"/>
              <w:rPr>
                <w:rFonts w:ascii="Bookman Old Style" w:hAnsi="Bookman Old Style" w:cs="Arial"/>
                <w:color w:val="000000"/>
                <w:sz w:val="20"/>
                <w:szCs w:val="20"/>
                <w:lang w:val="es-CO" w:eastAsia="es-CO"/>
              </w:rPr>
            </w:pPr>
            <w:r>
              <w:rPr>
                <w:rFonts w:ascii="Bookman Old Style" w:hAnsi="Bookman Old Style" w:cs="Arial"/>
                <w:color w:val="000000"/>
                <w:sz w:val="20"/>
                <w:szCs w:val="20"/>
                <w:lang w:val="es-CO" w:eastAsia="es-CO"/>
              </w:rPr>
              <w:t>$         21.143.780</w:t>
            </w:r>
            <w:r w:rsidR="00D0082C" w:rsidRPr="00D0082C">
              <w:rPr>
                <w:rFonts w:ascii="Bookman Old Style" w:hAnsi="Bookman Old Style" w:cs="Arial"/>
                <w:color w:val="000000"/>
                <w:sz w:val="20"/>
                <w:szCs w:val="20"/>
                <w:lang w:val="es-CO" w:eastAsia="es-CO"/>
              </w:rPr>
              <w:t xml:space="preserve"> </w:t>
            </w:r>
          </w:p>
        </w:tc>
      </w:tr>
      <w:tr w:rsidR="00D0082C" w:rsidRPr="00D0082C" w:rsidTr="004809FB">
        <w:trPr>
          <w:trHeight w:val="210"/>
        </w:trPr>
        <w:tc>
          <w:tcPr>
            <w:tcW w:w="1656" w:type="dxa"/>
            <w:tcBorders>
              <w:top w:val="nil"/>
              <w:left w:val="nil"/>
              <w:bottom w:val="nil"/>
              <w:right w:val="nil"/>
            </w:tcBorders>
            <w:shd w:val="clear" w:color="000000" w:fill="FFFFFF"/>
            <w:vAlign w:val="center"/>
            <w:hideMark/>
          </w:tcPr>
          <w:p w:rsidR="00D0082C" w:rsidRPr="00D0082C" w:rsidRDefault="00D0082C" w:rsidP="00D0082C">
            <w:pPr>
              <w:ind w:left="0"/>
              <w:jc w:val="center"/>
              <w:rPr>
                <w:rFonts w:ascii="Bookman Old Style" w:hAnsi="Bookman Old Style" w:cs="Arial"/>
                <w:color w:val="000000"/>
                <w:sz w:val="20"/>
                <w:szCs w:val="20"/>
                <w:lang w:val="es-CO" w:eastAsia="es-CO"/>
              </w:rPr>
            </w:pPr>
            <w:r w:rsidRPr="00D0082C">
              <w:rPr>
                <w:rFonts w:ascii="Bookman Old Style" w:hAnsi="Bookman Old Style" w:cs="Arial"/>
                <w:color w:val="000000"/>
                <w:sz w:val="20"/>
                <w:szCs w:val="20"/>
                <w:lang w:val="es-CO" w:eastAsia="es-CO"/>
              </w:rPr>
              <w:t>5111</w:t>
            </w:r>
          </w:p>
        </w:tc>
        <w:tc>
          <w:tcPr>
            <w:tcW w:w="3251" w:type="dxa"/>
            <w:tcBorders>
              <w:top w:val="nil"/>
              <w:left w:val="nil"/>
              <w:bottom w:val="nil"/>
              <w:right w:val="nil"/>
            </w:tcBorders>
            <w:shd w:val="clear" w:color="000000" w:fill="FFFFFF"/>
            <w:vAlign w:val="center"/>
            <w:hideMark/>
          </w:tcPr>
          <w:p w:rsidR="00D0082C" w:rsidRPr="00D0082C" w:rsidRDefault="004809FB" w:rsidP="00D0082C">
            <w:pPr>
              <w:ind w:left="0"/>
              <w:rPr>
                <w:rFonts w:ascii="Bookman Old Style" w:hAnsi="Bookman Old Style" w:cs="Arial"/>
                <w:color w:val="000000"/>
                <w:sz w:val="20"/>
                <w:szCs w:val="20"/>
                <w:lang w:val="es-CO" w:eastAsia="es-CO"/>
              </w:rPr>
            </w:pPr>
            <w:r>
              <w:rPr>
                <w:rFonts w:ascii="Bookman Old Style" w:hAnsi="Bookman Old Style" w:cs="Arial"/>
                <w:color w:val="000000"/>
                <w:sz w:val="20"/>
                <w:szCs w:val="20"/>
                <w:lang w:val="es-CO" w:eastAsia="es-CO"/>
              </w:rPr>
              <w:t>G</w:t>
            </w:r>
            <w:r w:rsidRPr="00D0082C">
              <w:rPr>
                <w:rFonts w:ascii="Bookman Old Style" w:hAnsi="Bookman Old Style" w:cs="Arial"/>
                <w:color w:val="000000"/>
                <w:sz w:val="20"/>
                <w:szCs w:val="20"/>
                <w:lang w:val="es-CO" w:eastAsia="es-CO"/>
              </w:rPr>
              <w:t>enerales</w:t>
            </w:r>
          </w:p>
        </w:tc>
        <w:tc>
          <w:tcPr>
            <w:tcW w:w="3487" w:type="dxa"/>
            <w:tcBorders>
              <w:top w:val="nil"/>
              <w:left w:val="nil"/>
              <w:bottom w:val="nil"/>
              <w:right w:val="nil"/>
            </w:tcBorders>
            <w:shd w:val="clear" w:color="000000" w:fill="FFFFFF"/>
            <w:vAlign w:val="center"/>
            <w:hideMark/>
          </w:tcPr>
          <w:p w:rsidR="00D0082C" w:rsidRPr="00D0082C" w:rsidRDefault="00D0082C" w:rsidP="004809FB">
            <w:pPr>
              <w:ind w:left="0"/>
              <w:rPr>
                <w:rFonts w:ascii="Bookman Old Style" w:hAnsi="Bookman Old Style" w:cs="Arial"/>
                <w:color w:val="000000"/>
                <w:sz w:val="20"/>
                <w:szCs w:val="20"/>
                <w:lang w:val="es-CO" w:eastAsia="es-CO"/>
              </w:rPr>
            </w:pPr>
            <w:r w:rsidRPr="00D0082C">
              <w:rPr>
                <w:rFonts w:ascii="Bookman Old Style" w:hAnsi="Bookman Old Style" w:cs="Arial"/>
                <w:color w:val="000000"/>
                <w:sz w:val="20"/>
                <w:szCs w:val="20"/>
                <w:lang w:val="es-CO" w:eastAsia="es-CO"/>
              </w:rPr>
              <w:t xml:space="preserve">$     3.014.887.832 </w:t>
            </w:r>
          </w:p>
        </w:tc>
      </w:tr>
      <w:tr w:rsidR="00D0082C" w:rsidRPr="00D0082C" w:rsidTr="004809FB">
        <w:trPr>
          <w:trHeight w:val="420"/>
        </w:trPr>
        <w:tc>
          <w:tcPr>
            <w:tcW w:w="1656" w:type="dxa"/>
            <w:tcBorders>
              <w:top w:val="nil"/>
              <w:left w:val="nil"/>
              <w:bottom w:val="nil"/>
              <w:right w:val="nil"/>
            </w:tcBorders>
            <w:shd w:val="clear" w:color="000000" w:fill="FFFFFF"/>
            <w:vAlign w:val="center"/>
            <w:hideMark/>
          </w:tcPr>
          <w:p w:rsidR="00D0082C" w:rsidRPr="00D0082C" w:rsidRDefault="00D0082C" w:rsidP="00D0082C">
            <w:pPr>
              <w:ind w:left="0"/>
              <w:jc w:val="center"/>
              <w:rPr>
                <w:rFonts w:ascii="Bookman Old Style" w:hAnsi="Bookman Old Style" w:cs="Arial"/>
                <w:color w:val="000000"/>
                <w:sz w:val="20"/>
                <w:szCs w:val="20"/>
                <w:lang w:val="es-CO" w:eastAsia="es-CO"/>
              </w:rPr>
            </w:pPr>
            <w:r w:rsidRPr="00D0082C">
              <w:rPr>
                <w:rFonts w:ascii="Bookman Old Style" w:hAnsi="Bookman Old Style" w:cs="Arial"/>
                <w:color w:val="000000"/>
                <w:sz w:val="20"/>
                <w:szCs w:val="20"/>
                <w:lang w:val="es-CO" w:eastAsia="es-CO"/>
              </w:rPr>
              <w:t>5120</w:t>
            </w:r>
          </w:p>
        </w:tc>
        <w:tc>
          <w:tcPr>
            <w:tcW w:w="3251" w:type="dxa"/>
            <w:tcBorders>
              <w:top w:val="nil"/>
              <w:left w:val="nil"/>
              <w:bottom w:val="nil"/>
              <w:right w:val="nil"/>
            </w:tcBorders>
            <w:shd w:val="clear" w:color="000000" w:fill="FFFFFF"/>
            <w:vAlign w:val="center"/>
            <w:hideMark/>
          </w:tcPr>
          <w:p w:rsidR="00D0082C" w:rsidRPr="00D0082C" w:rsidRDefault="004809FB" w:rsidP="004809FB">
            <w:pPr>
              <w:ind w:left="0"/>
              <w:rPr>
                <w:rFonts w:ascii="Bookman Old Style" w:hAnsi="Bookman Old Style" w:cs="Arial"/>
                <w:color w:val="000000"/>
                <w:sz w:val="20"/>
                <w:szCs w:val="20"/>
                <w:lang w:val="es-CO" w:eastAsia="es-CO"/>
              </w:rPr>
            </w:pPr>
            <w:r>
              <w:rPr>
                <w:rFonts w:ascii="Bookman Old Style" w:hAnsi="Bookman Old Style" w:cs="Arial"/>
                <w:color w:val="000000"/>
                <w:sz w:val="20"/>
                <w:szCs w:val="20"/>
                <w:lang w:val="es-CO" w:eastAsia="es-CO"/>
              </w:rPr>
              <w:t>I</w:t>
            </w:r>
            <w:r w:rsidRPr="00D0082C">
              <w:rPr>
                <w:rFonts w:ascii="Bookman Old Style" w:hAnsi="Bookman Old Style" w:cs="Arial"/>
                <w:color w:val="000000"/>
                <w:sz w:val="20"/>
                <w:szCs w:val="20"/>
                <w:lang w:val="es-CO" w:eastAsia="es-CO"/>
              </w:rPr>
              <w:t xml:space="preserve">mpuestos </w:t>
            </w:r>
            <w:r>
              <w:rPr>
                <w:rFonts w:ascii="Bookman Old Style" w:hAnsi="Bookman Old Style" w:cs="Arial"/>
                <w:color w:val="000000"/>
                <w:sz w:val="20"/>
                <w:szCs w:val="20"/>
                <w:lang w:val="es-CO" w:eastAsia="es-CO"/>
              </w:rPr>
              <w:t>C</w:t>
            </w:r>
            <w:r w:rsidRPr="00D0082C">
              <w:rPr>
                <w:rFonts w:ascii="Bookman Old Style" w:hAnsi="Bookman Old Style" w:cs="Arial"/>
                <w:color w:val="000000"/>
                <w:sz w:val="20"/>
                <w:szCs w:val="20"/>
                <w:lang w:val="es-CO" w:eastAsia="es-CO"/>
              </w:rPr>
              <w:t>ontribucio</w:t>
            </w:r>
            <w:r>
              <w:rPr>
                <w:rFonts w:ascii="Bookman Old Style" w:hAnsi="Bookman Old Style" w:cs="Arial"/>
                <w:color w:val="000000"/>
                <w:sz w:val="20"/>
                <w:szCs w:val="20"/>
                <w:lang w:val="es-CO" w:eastAsia="es-CO"/>
              </w:rPr>
              <w:t>nes y Tasas</w:t>
            </w:r>
          </w:p>
        </w:tc>
        <w:tc>
          <w:tcPr>
            <w:tcW w:w="3487" w:type="dxa"/>
            <w:tcBorders>
              <w:top w:val="nil"/>
              <w:left w:val="nil"/>
              <w:bottom w:val="nil"/>
              <w:right w:val="nil"/>
            </w:tcBorders>
            <w:shd w:val="clear" w:color="000000" w:fill="FFFFFF"/>
            <w:vAlign w:val="center"/>
            <w:hideMark/>
          </w:tcPr>
          <w:p w:rsidR="00D0082C" w:rsidRPr="00D0082C" w:rsidRDefault="00D0082C" w:rsidP="004809FB">
            <w:pPr>
              <w:ind w:left="0"/>
              <w:rPr>
                <w:rFonts w:ascii="Bookman Old Style" w:hAnsi="Bookman Old Style" w:cs="Arial"/>
                <w:color w:val="000000"/>
                <w:sz w:val="20"/>
                <w:szCs w:val="20"/>
                <w:lang w:val="es-CO" w:eastAsia="es-CO"/>
              </w:rPr>
            </w:pPr>
            <w:r w:rsidRPr="00D0082C">
              <w:rPr>
                <w:rFonts w:ascii="Bookman Old Style" w:hAnsi="Bookman Old Style" w:cs="Arial"/>
                <w:color w:val="000000"/>
                <w:sz w:val="20"/>
                <w:szCs w:val="20"/>
                <w:lang w:val="es-CO" w:eastAsia="es-CO"/>
              </w:rPr>
              <w:t xml:space="preserve">$     1.661.360.136 </w:t>
            </w:r>
          </w:p>
        </w:tc>
      </w:tr>
      <w:tr w:rsidR="00D0082C" w:rsidRPr="00D0082C" w:rsidTr="004809FB">
        <w:trPr>
          <w:trHeight w:val="210"/>
        </w:trPr>
        <w:tc>
          <w:tcPr>
            <w:tcW w:w="1656" w:type="dxa"/>
            <w:tcBorders>
              <w:top w:val="nil"/>
              <w:left w:val="nil"/>
              <w:bottom w:val="nil"/>
              <w:right w:val="nil"/>
            </w:tcBorders>
            <w:shd w:val="clear" w:color="auto" w:fill="auto"/>
            <w:noWrap/>
            <w:vAlign w:val="bottom"/>
            <w:hideMark/>
          </w:tcPr>
          <w:p w:rsidR="00D0082C" w:rsidRPr="00D0082C" w:rsidRDefault="00D0082C" w:rsidP="00D0082C">
            <w:pPr>
              <w:ind w:left="0"/>
              <w:rPr>
                <w:rFonts w:ascii="Bookman Old Style" w:hAnsi="Bookman Old Style" w:cs="Calibri"/>
                <w:color w:val="000000"/>
                <w:sz w:val="20"/>
                <w:szCs w:val="20"/>
                <w:lang w:val="es-CO" w:eastAsia="es-CO"/>
              </w:rPr>
            </w:pPr>
          </w:p>
        </w:tc>
        <w:tc>
          <w:tcPr>
            <w:tcW w:w="3251" w:type="dxa"/>
            <w:tcBorders>
              <w:top w:val="nil"/>
              <w:left w:val="nil"/>
              <w:bottom w:val="nil"/>
              <w:right w:val="nil"/>
            </w:tcBorders>
            <w:shd w:val="clear" w:color="auto" w:fill="auto"/>
            <w:noWrap/>
            <w:vAlign w:val="bottom"/>
            <w:hideMark/>
          </w:tcPr>
          <w:p w:rsidR="00D0082C" w:rsidRPr="00D0082C" w:rsidRDefault="00D0082C" w:rsidP="00D0082C">
            <w:pPr>
              <w:ind w:left="0"/>
              <w:rPr>
                <w:rFonts w:ascii="Bookman Old Style" w:hAnsi="Bookman Old Style" w:cs="Calibri"/>
                <w:color w:val="000000"/>
                <w:sz w:val="20"/>
                <w:szCs w:val="20"/>
                <w:lang w:val="es-CO" w:eastAsia="es-CO"/>
              </w:rPr>
            </w:pPr>
          </w:p>
        </w:tc>
        <w:tc>
          <w:tcPr>
            <w:tcW w:w="3487" w:type="dxa"/>
            <w:tcBorders>
              <w:top w:val="nil"/>
              <w:left w:val="nil"/>
              <w:bottom w:val="nil"/>
              <w:right w:val="nil"/>
            </w:tcBorders>
            <w:shd w:val="clear" w:color="auto" w:fill="auto"/>
            <w:noWrap/>
            <w:vAlign w:val="bottom"/>
            <w:hideMark/>
          </w:tcPr>
          <w:p w:rsidR="00D0082C" w:rsidRPr="00D0082C" w:rsidRDefault="004809FB" w:rsidP="004809FB">
            <w:pPr>
              <w:ind w:left="0"/>
              <w:rPr>
                <w:rFonts w:ascii="Bookman Old Style" w:hAnsi="Bookman Old Style" w:cs="Calibri"/>
                <w:b/>
                <w:color w:val="000000"/>
                <w:sz w:val="20"/>
                <w:szCs w:val="20"/>
                <w:lang w:val="es-CO" w:eastAsia="es-CO"/>
              </w:rPr>
            </w:pPr>
            <w:r>
              <w:rPr>
                <w:rFonts w:ascii="Bookman Old Style" w:hAnsi="Bookman Old Style" w:cs="Calibri"/>
                <w:b/>
                <w:color w:val="000000"/>
                <w:sz w:val="20"/>
                <w:szCs w:val="20"/>
                <w:lang w:val="es-CO" w:eastAsia="es-CO"/>
              </w:rPr>
              <w:t xml:space="preserve">$   </w:t>
            </w:r>
            <w:r w:rsidR="00D0082C" w:rsidRPr="00D0082C">
              <w:rPr>
                <w:rFonts w:ascii="Bookman Old Style" w:hAnsi="Bookman Old Style" w:cs="Calibri"/>
                <w:b/>
                <w:color w:val="000000"/>
                <w:sz w:val="20"/>
                <w:szCs w:val="20"/>
                <w:lang w:val="es-CO" w:eastAsia="es-CO"/>
              </w:rPr>
              <w:t xml:space="preserve">6.162.220.644 </w:t>
            </w:r>
          </w:p>
        </w:tc>
      </w:tr>
    </w:tbl>
    <w:p w:rsidR="00D0082C" w:rsidRDefault="00D0082C" w:rsidP="00D0082C">
      <w:pPr>
        <w:pStyle w:val="Prrafodelista"/>
        <w:ind w:left="720"/>
        <w:jc w:val="both"/>
        <w:rPr>
          <w:rFonts w:ascii="Bookman Old Style" w:hAnsi="Bookman Old Style"/>
          <w:sz w:val="24"/>
          <w:szCs w:val="24"/>
        </w:rPr>
      </w:pPr>
    </w:p>
    <w:p w:rsidR="00163797" w:rsidRDefault="004809FB" w:rsidP="00D0082C">
      <w:pPr>
        <w:pStyle w:val="Prrafodelista"/>
        <w:ind w:left="720"/>
        <w:jc w:val="both"/>
        <w:rPr>
          <w:rFonts w:ascii="Bookman Old Style" w:hAnsi="Bookman Old Style"/>
          <w:sz w:val="24"/>
          <w:szCs w:val="24"/>
        </w:rPr>
      </w:pPr>
      <w:r>
        <w:rPr>
          <w:rFonts w:ascii="Bookman Old Style" w:hAnsi="Bookman Old Style"/>
          <w:sz w:val="24"/>
          <w:szCs w:val="24"/>
        </w:rPr>
        <w:t>Al</w:t>
      </w:r>
      <w:r w:rsidR="004C0F0C" w:rsidRPr="00D0082C">
        <w:rPr>
          <w:rFonts w:ascii="Bookman Old Style" w:hAnsi="Bookman Old Style"/>
          <w:sz w:val="24"/>
          <w:szCs w:val="24"/>
        </w:rPr>
        <w:t xml:space="preserve"> </w:t>
      </w:r>
      <w:r w:rsidR="00466996" w:rsidRPr="00D0082C">
        <w:rPr>
          <w:rFonts w:ascii="Bookman Old Style" w:hAnsi="Bookman Old Style"/>
          <w:sz w:val="24"/>
          <w:szCs w:val="24"/>
        </w:rPr>
        <w:t>excluir de la base gravable</w:t>
      </w:r>
      <w:r w:rsidR="004C0F0C" w:rsidRPr="00D0082C">
        <w:rPr>
          <w:rFonts w:ascii="Bookman Old Style" w:hAnsi="Bookman Old Style"/>
          <w:sz w:val="24"/>
          <w:szCs w:val="24"/>
        </w:rPr>
        <w:t xml:space="preserve"> lo correspondiente a impuestos tasas y contribuciones el resultado sería el siguiente:</w:t>
      </w:r>
    </w:p>
    <w:p w:rsidR="004809FB" w:rsidRDefault="004809FB" w:rsidP="00D0082C">
      <w:pPr>
        <w:pStyle w:val="Prrafodelista"/>
        <w:ind w:left="720"/>
        <w:jc w:val="both"/>
        <w:rPr>
          <w:rFonts w:ascii="Bookman Old Style" w:hAnsi="Bookman Old Style"/>
          <w:sz w:val="24"/>
          <w:szCs w:val="24"/>
        </w:rPr>
      </w:pPr>
    </w:p>
    <w:tbl>
      <w:tblPr>
        <w:tblW w:w="8394" w:type="dxa"/>
        <w:tblInd w:w="639" w:type="dxa"/>
        <w:tblCellMar>
          <w:left w:w="70" w:type="dxa"/>
          <w:right w:w="70" w:type="dxa"/>
        </w:tblCellMar>
        <w:tblLook w:val="04A0" w:firstRow="1" w:lastRow="0" w:firstColumn="1" w:lastColumn="0" w:noHBand="0" w:noVBand="1"/>
      </w:tblPr>
      <w:tblGrid>
        <w:gridCol w:w="1656"/>
        <w:gridCol w:w="3251"/>
        <w:gridCol w:w="3487"/>
      </w:tblGrid>
      <w:tr w:rsidR="004809FB" w:rsidRPr="00D0082C" w:rsidTr="00545C7C">
        <w:trPr>
          <w:trHeight w:val="210"/>
        </w:trPr>
        <w:tc>
          <w:tcPr>
            <w:tcW w:w="1656" w:type="dxa"/>
            <w:vMerge w:val="restart"/>
            <w:tcBorders>
              <w:top w:val="nil"/>
              <w:left w:val="nil"/>
              <w:bottom w:val="nil"/>
              <w:right w:val="nil"/>
            </w:tcBorders>
            <w:shd w:val="clear" w:color="auto" w:fill="auto"/>
            <w:vAlign w:val="center"/>
            <w:hideMark/>
          </w:tcPr>
          <w:p w:rsidR="004809FB" w:rsidRPr="00D0082C" w:rsidRDefault="004809FB" w:rsidP="00545C7C">
            <w:pPr>
              <w:ind w:left="0"/>
              <w:jc w:val="center"/>
              <w:rPr>
                <w:rFonts w:ascii="Bookman Old Style" w:hAnsi="Bookman Old Style" w:cs="Arial"/>
                <w:color w:val="000000"/>
                <w:sz w:val="20"/>
                <w:szCs w:val="20"/>
                <w:lang w:val="es-CO" w:eastAsia="es-CO"/>
              </w:rPr>
            </w:pPr>
            <w:r w:rsidRPr="00D0082C">
              <w:rPr>
                <w:rFonts w:ascii="Bookman Old Style" w:hAnsi="Bookman Old Style" w:cs="Arial"/>
                <w:color w:val="000000"/>
                <w:sz w:val="20"/>
                <w:szCs w:val="20"/>
                <w:lang w:val="es-CO" w:eastAsia="es-CO"/>
              </w:rPr>
              <w:t>CODIGO</w:t>
            </w:r>
          </w:p>
        </w:tc>
        <w:tc>
          <w:tcPr>
            <w:tcW w:w="3251" w:type="dxa"/>
            <w:vMerge w:val="restart"/>
            <w:tcBorders>
              <w:top w:val="nil"/>
              <w:left w:val="nil"/>
              <w:bottom w:val="nil"/>
              <w:right w:val="nil"/>
            </w:tcBorders>
            <w:shd w:val="clear" w:color="auto" w:fill="auto"/>
            <w:vAlign w:val="center"/>
            <w:hideMark/>
          </w:tcPr>
          <w:p w:rsidR="004809FB" w:rsidRPr="00D0082C" w:rsidRDefault="004809FB" w:rsidP="00545C7C">
            <w:pPr>
              <w:ind w:left="0"/>
              <w:jc w:val="center"/>
              <w:rPr>
                <w:rFonts w:ascii="Bookman Old Style" w:hAnsi="Bookman Old Style" w:cs="Arial"/>
                <w:color w:val="000000"/>
                <w:sz w:val="20"/>
                <w:szCs w:val="20"/>
                <w:lang w:val="es-CO" w:eastAsia="es-CO"/>
              </w:rPr>
            </w:pPr>
            <w:r w:rsidRPr="00D0082C">
              <w:rPr>
                <w:rFonts w:ascii="Bookman Old Style" w:hAnsi="Bookman Old Style" w:cs="Arial"/>
                <w:color w:val="000000"/>
                <w:sz w:val="20"/>
                <w:szCs w:val="20"/>
                <w:lang w:val="es-CO" w:eastAsia="es-CO"/>
              </w:rPr>
              <w:t>DESCRIPCION</w:t>
            </w:r>
          </w:p>
        </w:tc>
        <w:tc>
          <w:tcPr>
            <w:tcW w:w="3487" w:type="dxa"/>
            <w:tcBorders>
              <w:top w:val="nil"/>
              <w:left w:val="nil"/>
              <w:bottom w:val="nil"/>
              <w:right w:val="nil"/>
            </w:tcBorders>
            <w:shd w:val="clear" w:color="auto" w:fill="auto"/>
            <w:vAlign w:val="center"/>
            <w:hideMark/>
          </w:tcPr>
          <w:p w:rsidR="004809FB" w:rsidRPr="00D0082C" w:rsidRDefault="004809FB" w:rsidP="00545C7C">
            <w:pPr>
              <w:ind w:left="0"/>
              <w:jc w:val="center"/>
              <w:rPr>
                <w:rFonts w:ascii="Bookman Old Style" w:hAnsi="Bookman Old Style" w:cs="Calibri"/>
                <w:color w:val="000000"/>
                <w:sz w:val="20"/>
                <w:szCs w:val="20"/>
                <w:lang w:val="es-CO" w:eastAsia="es-CO"/>
              </w:rPr>
            </w:pPr>
          </w:p>
        </w:tc>
      </w:tr>
      <w:tr w:rsidR="004809FB" w:rsidRPr="00D0082C" w:rsidTr="00545C7C">
        <w:trPr>
          <w:trHeight w:val="210"/>
        </w:trPr>
        <w:tc>
          <w:tcPr>
            <w:tcW w:w="1656" w:type="dxa"/>
            <w:vMerge/>
            <w:tcBorders>
              <w:top w:val="nil"/>
              <w:left w:val="nil"/>
              <w:bottom w:val="nil"/>
              <w:right w:val="nil"/>
            </w:tcBorders>
            <w:vAlign w:val="center"/>
            <w:hideMark/>
          </w:tcPr>
          <w:p w:rsidR="004809FB" w:rsidRPr="00D0082C" w:rsidRDefault="004809FB" w:rsidP="00545C7C">
            <w:pPr>
              <w:ind w:left="0"/>
              <w:rPr>
                <w:rFonts w:ascii="Bookman Old Style" w:hAnsi="Bookman Old Style" w:cs="Arial"/>
                <w:color w:val="000000"/>
                <w:sz w:val="20"/>
                <w:szCs w:val="20"/>
                <w:lang w:val="es-CO" w:eastAsia="es-CO"/>
              </w:rPr>
            </w:pPr>
          </w:p>
        </w:tc>
        <w:tc>
          <w:tcPr>
            <w:tcW w:w="3251" w:type="dxa"/>
            <w:vMerge/>
            <w:tcBorders>
              <w:top w:val="nil"/>
              <w:left w:val="nil"/>
              <w:bottom w:val="nil"/>
              <w:right w:val="nil"/>
            </w:tcBorders>
            <w:vAlign w:val="center"/>
            <w:hideMark/>
          </w:tcPr>
          <w:p w:rsidR="004809FB" w:rsidRPr="00D0082C" w:rsidRDefault="004809FB" w:rsidP="00545C7C">
            <w:pPr>
              <w:ind w:left="0"/>
              <w:rPr>
                <w:rFonts w:ascii="Bookman Old Style" w:hAnsi="Bookman Old Style" w:cs="Arial"/>
                <w:color w:val="000000"/>
                <w:sz w:val="20"/>
                <w:szCs w:val="20"/>
                <w:lang w:val="es-CO" w:eastAsia="es-CO"/>
              </w:rPr>
            </w:pPr>
          </w:p>
        </w:tc>
        <w:tc>
          <w:tcPr>
            <w:tcW w:w="3487" w:type="dxa"/>
            <w:tcBorders>
              <w:top w:val="nil"/>
              <w:left w:val="nil"/>
              <w:bottom w:val="nil"/>
              <w:right w:val="nil"/>
            </w:tcBorders>
            <w:shd w:val="clear" w:color="auto" w:fill="auto"/>
            <w:vAlign w:val="center"/>
            <w:hideMark/>
          </w:tcPr>
          <w:p w:rsidR="004809FB" w:rsidRPr="00D0082C" w:rsidRDefault="004809FB" w:rsidP="00545C7C">
            <w:pPr>
              <w:ind w:left="0"/>
              <w:jc w:val="center"/>
              <w:rPr>
                <w:rFonts w:ascii="Bookman Old Style" w:hAnsi="Bookman Old Style" w:cs="Arial"/>
                <w:color w:val="000000"/>
                <w:sz w:val="20"/>
                <w:szCs w:val="20"/>
                <w:lang w:val="es-CO" w:eastAsia="es-CO"/>
              </w:rPr>
            </w:pPr>
            <w:r w:rsidRPr="00D0082C">
              <w:rPr>
                <w:rFonts w:ascii="Bookman Old Style" w:hAnsi="Bookman Old Style" w:cs="Arial"/>
                <w:color w:val="000000"/>
                <w:sz w:val="20"/>
                <w:szCs w:val="20"/>
                <w:lang w:val="es-CO" w:eastAsia="es-CO"/>
              </w:rPr>
              <w:t xml:space="preserve">Total. </w:t>
            </w:r>
          </w:p>
        </w:tc>
      </w:tr>
      <w:tr w:rsidR="004809FB" w:rsidRPr="00D0082C" w:rsidTr="00545C7C">
        <w:trPr>
          <w:trHeight w:val="420"/>
        </w:trPr>
        <w:tc>
          <w:tcPr>
            <w:tcW w:w="1656" w:type="dxa"/>
            <w:tcBorders>
              <w:top w:val="nil"/>
              <w:left w:val="nil"/>
              <w:bottom w:val="nil"/>
              <w:right w:val="nil"/>
            </w:tcBorders>
            <w:shd w:val="clear" w:color="000000" w:fill="FFFFFF"/>
            <w:vAlign w:val="center"/>
            <w:hideMark/>
          </w:tcPr>
          <w:p w:rsidR="004809FB" w:rsidRPr="00D0082C" w:rsidRDefault="004809FB" w:rsidP="00545C7C">
            <w:pPr>
              <w:ind w:left="0"/>
              <w:jc w:val="center"/>
              <w:rPr>
                <w:rFonts w:ascii="Bookman Old Style" w:hAnsi="Bookman Old Style" w:cs="Arial"/>
                <w:color w:val="000000"/>
                <w:sz w:val="20"/>
                <w:szCs w:val="20"/>
                <w:lang w:val="es-CO" w:eastAsia="es-CO"/>
              </w:rPr>
            </w:pPr>
            <w:r w:rsidRPr="00D0082C">
              <w:rPr>
                <w:rFonts w:ascii="Bookman Old Style" w:hAnsi="Bookman Old Style" w:cs="Arial"/>
                <w:color w:val="000000"/>
                <w:sz w:val="20"/>
                <w:szCs w:val="20"/>
                <w:lang w:val="es-CO" w:eastAsia="es-CO"/>
              </w:rPr>
              <w:t>5101</w:t>
            </w:r>
          </w:p>
        </w:tc>
        <w:tc>
          <w:tcPr>
            <w:tcW w:w="3251" w:type="dxa"/>
            <w:tcBorders>
              <w:top w:val="nil"/>
              <w:left w:val="nil"/>
              <w:bottom w:val="nil"/>
              <w:right w:val="nil"/>
            </w:tcBorders>
            <w:shd w:val="clear" w:color="000000" w:fill="FFFFFF"/>
            <w:vAlign w:val="center"/>
            <w:hideMark/>
          </w:tcPr>
          <w:p w:rsidR="004809FB" w:rsidRPr="00D0082C" w:rsidRDefault="004809FB" w:rsidP="00545C7C">
            <w:pPr>
              <w:ind w:left="0"/>
              <w:rPr>
                <w:rFonts w:ascii="Bookman Old Style" w:hAnsi="Bookman Old Style" w:cs="Arial"/>
                <w:color w:val="000000"/>
                <w:sz w:val="20"/>
                <w:szCs w:val="20"/>
                <w:lang w:val="es-CO" w:eastAsia="es-CO"/>
              </w:rPr>
            </w:pPr>
            <w:r>
              <w:rPr>
                <w:rFonts w:ascii="Bookman Old Style" w:hAnsi="Bookman Old Style" w:cs="Arial"/>
                <w:color w:val="000000"/>
                <w:sz w:val="20"/>
                <w:szCs w:val="20"/>
                <w:lang w:val="es-CO" w:eastAsia="es-CO"/>
              </w:rPr>
              <w:t>Sueldos y S</w:t>
            </w:r>
            <w:r w:rsidRPr="00D0082C">
              <w:rPr>
                <w:rFonts w:ascii="Bookman Old Style" w:hAnsi="Bookman Old Style" w:cs="Arial"/>
                <w:color w:val="000000"/>
                <w:sz w:val="20"/>
                <w:szCs w:val="20"/>
                <w:lang w:val="es-CO" w:eastAsia="es-CO"/>
              </w:rPr>
              <w:t>alarios</w:t>
            </w:r>
          </w:p>
        </w:tc>
        <w:tc>
          <w:tcPr>
            <w:tcW w:w="3487" w:type="dxa"/>
            <w:tcBorders>
              <w:top w:val="nil"/>
              <w:left w:val="nil"/>
              <w:bottom w:val="nil"/>
              <w:right w:val="nil"/>
            </w:tcBorders>
            <w:shd w:val="clear" w:color="000000" w:fill="FFFFFF"/>
            <w:vAlign w:val="center"/>
            <w:hideMark/>
          </w:tcPr>
          <w:p w:rsidR="004809FB" w:rsidRPr="00D0082C" w:rsidRDefault="004809FB" w:rsidP="004809FB">
            <w:pPr>
              <w:ind w:left="0"/>
              <w:rPr>
                <w:rFonts w:ascii="Bookman Old Style" w:hAnsi="Bookman Old Style" w:cs="Arial"/>
                <w:color w:val="000000"/>
                <w:sz w:val="20"/>
                <w:szCs w:val="20"/>
                <w:lang w:val="es-CO" w:eastAsia="es-CO"/>
              </w:rPr>
            </w:pPr>
            <w:r w:rsidRPr="00D0082C">
              <w:rPr>
                <w:rFonts w:ascii="Bookman Old Style" w:hAnsi="Bookman Old Style" w:cs="Arial"/>
                <w:color w:val="000000"/>
                <w:sz w:val="20"/>
                <w:szCs w:val="20"/>
                <w:lang w:val="es-CO" w:eastAsia="es-CO"/>
              </w:rPr>
              <w:t xml:space="preserve">$     1.222.743.658 </w:t>
            </w:r>
          </w:p>
        </w:tc>
      </w:tr>
      <w:tr w:rsidR="004809FB" w:rsidRPr="00D0082C" w:rsidTr="00545C7C">
        <w:trPr>
          <w:trHeight w:val="420"/>
        </w:trPr>
        <w:tc>
          <w:tcPr>
            <w:tcW w:w="1656" w:type="dxa"/>
            <w:tcBorders>
              <w:top w:val="nil"/>
              <w:left w:val="nil"/>
              <w:bottom w:val="nil"/>
              <w:right w:val="nil"/>
            </w:tcBorders>
            <w:shd w:val="clear" w:color="000000" w:fill="FFFFFF"/>
            <w:vAlign w:val="center"/>
            <w:hideMark/>
          </w:tcPr>
          <w:p w:rsidR="004809FB" w:rsidRPr="00D0082C" w:rsidRDefault="004809FB" w:rsidP="00545C7C">
            <w:pPr>
              <w:ind w:left="0"/>
              <w:jc w:val="center"/>
              <w:rPr>
                <w:rFonts w:ascii="Bookman Old Style" w:hAnsi="Bookman Old Style" w:cs="Arial"/>
                <w:color w:val="000000"/>
                <w:sz w:val="20"/>
                <w:szCs w:val="20"/>
                <w:lang w:val="es-CO" w:eastAsia="es-CO"/>
              </w:rPr>
            </w:pPr>
            <w:r w:rsidRPr="00D0082C">
              <w:rPr>
                <w:rFonts w:ascii="Bookman Old Style" w:hAnsi="Bookman Old Style" w:cs="Arial"/>
                <w:color w:val="000000"/>
                <w:sz w:val="20"/>
                <w:szCs w:val="20"/>
                <w:lang w:val="es-CO" w:eastAsia="es-CO"/>
              </w:rPr>
              <w:t>5102</w:t>
            </w:r>
          </w:p>
        </w:tc>
        <w:tc>
          <w:tcPr>
            <w:tcW w:w="3251" w:type="dxa"/>
            <w:tcBorders>
              <w:top w:val="nil"/>
              <w:left w:val="nil"/>
              <w:bottom w:val="nil"/>
              <w:right w:val="nil"/>
            </w:tcBorders>
            <w:shd w:val="clear" w:color="000000" w:fill="FFFFFF"/>
            <w:vAlign w:val="center"/>
            <w:hideMark/>
          </w:tcPr>
          <w:p w:rsidR="004809FB" w:rsidRPr="00D0082C" w:rsidRDefault="004809FB" w:rsidP="00545C7C">
            <w:pPr>
              <w:ind w:left="0"/>
              <w:rPr>
                <w:rFonts w:ascii="Bookman Old Style" w:hAnsi="Bookman Old Style" w:cs="Arial"/>
                <w:color w:val="000000"/>
                <w:sz w:val="20"/>
                <w:szCs w:val="20"/>
                <w:lang w:val="es-CO" w:eastAsia="es-CO"/>
              </w:rPr>
            </w:pPr>
            <w:r>
              <w:rPr>
                <w:rFonts w:ascii="Bookman Old Style" w:hAnsi="Bookman Old Style" w:cs="Arial"/>
                <w:color w:val="000000"/>
                <w:sz w:val="20"/>
                <w:szCs w:val="20"/>
                <w:lang w:val="es-CO" w:eastAsia="es-CO"/>
              </w:rPr>
              <w:t>C</w:t>
            </w:r>
            <w:r w:rsidRPr="00D0082C">
              <w:rPr>
                <w:rFonts w:ascii="Bookman Old Style" w:hAnsi="Bookman Old Style" w:cs="Arial"/>
                <w:color w:val="000000"/>
                <w:sz w:val="20"/>
                <w:szCs w:val="20"/>
                <w:lang w:val="es-CO" w:eastAsia="es-CO"/>
              </w:rPr>
              <w:t xml:space="preserve">ontribuciones </w:t>
            </w:r>
            <w:r>
              <w:rPr>
                <w:rFonts w:ascii="Bookman Old Style" w:hAnsi="Bookman Old Style" w:cs="Arial"/>
                <w:color w:val="000000"/>
                <w:sz w:val="20"/>
                <w:szCs w:val="20"/>
                <w:lang w:val="es-CO" w:eastAsia="es-CO"/>
              </w:rPr>
              <w:t>I</w:t>
            </w:r>
            <w:r w:rsidRPr="00D0082C">
              <w:rPr>
                <w:rFonts w:ascii="Bookman Old Style" w:hAnsi="Bookman Old Style" w:cs="Arial"/>
                <w:color w:val="000000"/>
                <w:sz w:val="20"/>
                <w:szCs w:val="20"/>
                <w:lang w:val="es-CO" w:eastAsia="es-CO"/>
              </w:rPr>
              <w:t>mputad</w:t>
            </w:r>
            <w:r>
              <w:rPr>
                <w:rFonts w:ascii="Bookman Old Style" w:hAnsi="Bookman Old Style" w:cs="Arial"/>
                <w:color w:val="000000"/>
                <w:sz w:val="20"/>
                <w:szCs w:val="20"/>
                <w:lang w:val="es-CO" w:eastAsia="es-CO"/>
              </w:rPr>
              <w:t>as</w:t>
            </w:r>
          </w:p>
        </w:tc>
        <w:tc>
          <w:tcPr>
            <w:tcW w:w="3487" w:type="dxa"/>
            <w:tcBorders>
              <w:top w:val="nil"/>
              <w:left w:val="nil"/>
              <w:bottom w:val="nil"/>
              <w:right w:val="nil"/>
            </w:tcBorders>
            <w:shd w:val="clear" w:color="000000" w:fill="FFFFFF"/>
            <w:vAlign w:val="center"/>
            <w:hideMark/>
          </w:tcPr>
          <w:p w:rsidR="004809FB" w:rsidRPr="00D0082C" w:rsidRDefault="004809FB" w:rsidP="004809FB">
            <w:pPr>
              <w:ind w:left="0"/>
              <w:rPr>
                <w:rFonts w:ascii="Bookman Old Style" w:hAnsi="Bookman Old Style" w:cs="Arial"/>
                <w:color w:val="000000"/>
                <w:sz w:val="20"/>
                <w:szCs w:val="20"/>
                <w:lang w:val="es-CO" w:eastAsia="es-CO"/>
              </w:rPr>
            </w:pPr>
            <w:r w:rsidRPr="00D0082C">
              <w:rPr>
                <w:rFonts w:ascii="Bookman Old Style" w:hAnsi="Bookman Old Style" w:cs="Arial"/>
                <w:color w:val="000000"/>
                <w:sz w:val="20"/>
                <w:szCs w:val="20"/>
                <w:lang w:val="es-CO" w:eastAsia="es-CO"/>
              </w:rPr>
              <w:t xml:space="preserve">$         95.910.805 </w:t>
            </w:r>
          </w:p>
        </w:tc>
      </w:tr>
      <w:tr w:rsidR="004809FB" w:rsidRPr="00D0082C" w:rsidTr="00545C7C">
        <w:trPr>
          <w:trHeight w:val="420"/>
        </w:trPr>
        <w:tc>
          <w:tcPr>
            <w:tcW w:w="1656" w:type="dxa"/>
            <w:tcBorders>
              <w:top w:val="nil"/>
              <w:left w:val="nil"/>
              <w:bottom w:val="nil"/>
              <w:right w:val="nil"/>
            </w:tcBorders>
            <w:shd w:val="clear" w:color="000000" w:fill="FFFFFF"/>
            <w:vAlign w:val="center"/>
            <w:hideMark/>
          </w:tcPr>
          <w:p w:rsidR="004809FB" w:rsidRPr="00D0082C" w:rsidRDefault="004809FB" w:rsidP="00545C7C">
            <w:pPr>
              <w:ind w:left="0"/>
              <w:jc w:val="center"/>
              <w:rPr>
                <w:rFonts w:ascii="Bookman Old Style" w:hAnsi="Bookman Old Style" w:cs="Arial"/>
                <w:color w:val="000000"/>
                <w:sz w:val="20"/>
                <w:szCs w:val="20"/>
                <w:lang w:val="es-CO" w:eastAsia="es-CO"/>
              </w:rPr>
            </w:pPr>
            <w:r w:rsidRPr="00D0082C">
              <w:rPr>
                <w:rFonts w:ascii="Bookman Old Style" w:hAnsi="Bookman Old Style" w:cs="Arial"/>
                <w:color w:val="000000"/>
                <w:sz w:val="20"/>
                <w:szCs w:val="20"/>
                <w:lang w:val="es-CO" w:eastAsia="es-CO"/>
              </w:rPr>
              <w:t>5103</w:t>
            </w:r>
          </w:p>
        </w:tc>
        <w:tc>
          <w:tcPr>
            <w:tcW w:w="3251" w:type="dxa"/>
            <w:tcBorders>
              <w:top w:val="nil"/>
              <w:left w:val="nil"/>
              <w:bottom w:val="nil"/>
              <w:right w:val="nil"/>
            </w:tcBorders>
            <w:shd w:val="clear" w:color="000000" w:fill="FFFFFF"/>
            <w:vAlign w:val="center"/>
            <w:hideMark/>
          </w:tcPr>
          <w:p w:rsidR="004809FB" w:rsidRPr="00D0082C" w:rsidRDefault="004809FB" w:rsidP="00545C7C">
            <w:pPr>
              <w:ind w:left="0"/>
              <w:rPr>
                <w:rFonts w:ascii="Bookman Old Style" w:hAnsi="Bookman Old Style" w:cs="Arial"/>
                <w:color w:val="000000"/>
                <w:sz w:val="20"/>
                <w:szCs w:val="20"/>
                <w:lang w:val="es-CO" w:eastAsia="es-CO"/>
              </w:rPr>
            </w:pPr>
            <w:r>
              <w:rPr>
                <w:rFonts w:ascii="Bookman Old Style" w:hAnsi="Bookman Old Style" w:cs="Arial"/>
                <w:color w:val="000000"/>
                <w:sz w:val="20"/>
                <w:szCs w:val="20"/>
                <w:lang w:val="es-CO" w:eastAsia="es-CO"/>
              </w:rPr>
              <w:t>C</w:t>
            </w:r>
            <w:r w:rsidRPr="00D0082C">
              <w:rPr>
                <w:rFonts w:ascii="Bookman Old Style" w:hAnsi="Bookman Old Style" w:cs="Arial"/>
                <w:color w:val="000000"/>
                <w:sz w:val="20"/>
                <w:szCs w:val="20"/>
                <w:lang w:val="es-CO" w:eastAsia="es-CO"/>
              </w:rPr>
              <w:t xml:space="preserve">ontribuciones </w:t>
            </w:r>
            <w:r>
              <w:rPr>
                <w:rFonts w:ascii="Bookman Old Style" w:hAnsi="Bookman Old Style" w:cs="Arial"/>
                <w:color w:val="000000"/>
                <w:sz w:val="20"/>
                <w:szCs w:val="20"/>
                <w:lang w:val="es-CO" w:eastAsia="es-CO"/>
              </w:rPr>
              <w:t>E</w:t>
            </w:r>
            <w:r w:rsidRPr="00D0082C">
              <w:rPr>
                <w:rFonts w:ascii="Bookman Old Style" w:hAnsi="Bookman Old Style" w:cs="Arial"/>
                <w:color w:val="000000"/>
                <w:sz w:val="20"/>
                <w:szCs w:val="20"/>
                <w:lang w:val="es-CO" w:eastAsia="es-CO"/>
              </w:rPr>
              <w:t>fectiv</w:t>
            </w:r>
            <w:r>
              <w:rPr>
                <w:rFonts w:ascii="Bookman Old Style" w:hAnsi="Bookman Old Style" w:cs="Arial"/>
                <w:color w:val="000000"/>
                <w:sz w:val="20"/>
                <w:szCs w:val="20"/>
                <w:lang w:val="es-CO" w:eastAsia="es-CO"/>
              </w:rPr>
              <w:t>as</w:t>
            </w:r>
          </w:p>
        </w:tc>
        <w:tc>
          <w:tcPr>
            <w:tcW w:w="3487" w:type="dxa"/>
            <w:tcBorders>
              <w:top w:val="nil"/>
              <w:left w:val="nil"/>
              <w:bottom w:val="nil"/>
              <w:right w:val="nil"/>
            </w:tcBorders>
            <w:shd w:val="clear" w:color="000000" w:fill="FFFFFF"/>
            <w:vAlign w:val="center"/>
            <w:hideMark/>
          </w:tcPr>
          <w:p w:rsidR="004809FB" w:rsidRPr="00D0082C" w:rsidRDefault="004809FB" w:rsidP="004809FB">
            <w:pPr>
              <w:ind w:left="0"/>
              <w:rPr>
                <w:rFonts w:ascii="Bookman Old Style" w:hAnsi="Bookman Old Style" w:cs="Arial"/>
                <w:color w:val="000000"/>
                <w:sz w:val="20"/>
                <w:szCs w:val="20"/>
                <w:lang w:val="es-CO" w:eastAsia="es-CO"/>
              </w:rPr>
            </w:pPr>
            <w:r w:rsidRPr="00D0082C">
              <w:rPr>
                <w:rFonts w:ascii="Bookman Old Style" w:hAnsi="Bookman Old Style" w:cs="Arial"/>
                <w:color w:val="000000"/>
                <w:sz w:val="20"/>
                <w:szCs w:val="20"/>
                <w:lang w:val="es-CO" w:eastAsia="es-CO"/>
              </w:rPr>
              <w:t xml:space="preserve">$       146.174.433 </w:t>
            </w:r>
          </w:p>
        </w:tc>
      </w:tr>
      <w:tr w:rsidR="004809FB" w:rsidRPr="00D0082C" w:rsidTr="00545C7C">
        <w:trPr>
          <w:trHeight w:val="420"/>
        </w:trPr>
        <w:tc>
          <w:tcPr>
            <w:tcW w:w="1656" w:type="dxa"/>
            <w:tcBorders>
              <w:top w:val="nil"/>
              <w:left w:val="nil"/>
              <w:bottom w:val="nil"/>
              <w:right w:val="nil"/>
            </w:tcBorders>
            <w:shd w:val="clear" w:color="000000" w:fill="FFFFFF"/>
            <w:vAlign w:val="center"/>
            <w:hideMark/>
          </w:tcPr>
          <w:p w:rsidR="004809FB" w:rsidRPr="00D0082C" w:rsidRDefault="004809FB" w:rsidP="00545C7C">
            <w:pPr>
              <w:ind w:left="0"/>
              <w:jc w:val="center"/>
              <w:rPr>
                <w:rFonts w:ascii="Bookman Old Style" w:hAnsi="Bookman Old Style" w:cs="Arial"/>
                <w:color w:val="000000"/>
                <w:sz w:val="20"/>
                <w:szCs w:val="20"/>
                <w:lang w:val="es-CO" w:eastAsia="es-CO"/>
              </w:rPr>
            </w:pPr>
            <w:r w:rsidRPr="00D0082C">
              <w:rPr>
                <w:rFonts w:ascii="Bookman Old Style" w:hAnsi="Bookman Old Style" w:cs="Arial"/>
                <w:color w:val="000000"/>
                <w:sz w:val="20"/>
                <w:szCs w:val="20"/>
                <w:lang w:val="es-CO" w:eastAsia="es-CO"/>
              </w:rPr>
              <w:t>5104</w:t>
            </w:r>
          </w:p>
        </w:tc>
        <w:tc>
          <w:tcPr>
            <w:tcW w:w="3251" w:type="dxa"/>
            <w:tcBorders>
              <w:top w:val="nil"/>
              <w:left w:val="nil"/>
              <w:bottom w:val="nil"/>
              <w:right w:val="nil"/>
            </w:tcBorders>
            <w:shd w:val="clear" w:color="000000" w:fill="FFFFFF"/>
            <w:vAlign w:val="center"/>
            <w:hideMark/>
          </w:tcPr>
          <w:p w:rsidR="004809FB" w:rsidRPr="00D0082C" w:rsidRDefault="004809FB" w:rsidP="00545C7C">
            <w:pPr>
              <w:ind w:left="0"/>
              <w:rPr>
                <w:rFonts w:ascii="Bookman Old Style" w:hAnsi="Bookman Old Style" w:cs="Arial"/>
                <w:color w:val="000000"/>
                <w:sz w:val="20"/>
                <w:szCs w:val="20"/>
                <w:lang w:val="es-CO" w:eastAsia="es-CO"/>
              </w:rPr>
            </w:pPr>
            <w:r>
              <w:rPr>
                <w:rFonts w:ascii="Bookman Old Style" w:hAnsi="Bookman Old Style" w:cs="Arial"/>
                <w:color w:val="000000"/>
                <w:sz w:val="20"/>
                <w:szCs w:val="20"/>
                <w:lang w:val="es-CO" w:eastAsia="es-CO"/>
              </w:rPr>
              <w:t>A</w:t>
            </w:r>
            <w:r w:rsidRPr="00D0082C">
              <w:rPr>
                <w:rFonts w:ascii="Bookman Old Style" w:hAnsi="Bookman Old Style" w:cs="Arial"/>
                <w:color w:val="000000"/>
                <w:sz w:val="20"/>
                <w:szCs w:val="20"/>
                <w:lang w:val="es-CO" w:eastAsia="es-CO"/>
              </w:rPr>
              <w:t xml:space="preserve">portes sobre la </w:t>
            </w:r>
            <w:r>
              <w:rPr>
                <w:rFonts w:ascii="Bookman Old Style" w:hAnsi="Bookman Old Style" w:cs="Arial"/>
                <w:color w:val="000000"/>
                <w:sz w:val="20"/>
                <w:szCs w:val="20"/>
                <w:lang w:val="es-CO" w:eastAsia="es-CO"/>
              </w:rPr>
              <w:t>Nó</w:t>
            </w:r>
            <w:r w:rsidRPr="00D0082C">
              <w:rPr>
                <w:rFonts w:ascii="Bookman Old Style" w:hAnsi="Bookman Old Style" w:cs="Arial"/>
                <w:color w:val="000000"/>
                <w:sz w:val="20"/>
                <w:szCs w:val="20"/>
                <w:lang w:val="es-CO" w:eastAsia="es-CO"/>
              </w:rPr>
              <w:t>min</w:t>
            </w:r>
            <w:r>
              <w:rPr>
                <w:rFonts w:ascii="Bookman Old Style" w:hAnsi="Bookman Old Style" w:cs="Arial"/>
                <w:color w:val="000000"/>
                <w:sz w:val="20"/>
                <w:szCs w:val="20"/>
                <w:lang w:val="es-CO" w:eastAsia="es-CO"/>
              </w:rPr>
              <w:t>a</w:t>
            </w:r>
          </w:p>
        </w:tc>
        <w:tc>
          <w:tcPr>
            <w:tcW w:w="3487" w:type="dxa"/>
            <w:tcBorders>
              <w:top w:val="nil"/>
              <w:left w:val="nil"/>
              <w:bottom w:val="nil"/>
              <w:right w:val="nil"/>
            </w:tcBorders>
            <w:shd w:val="clear" w:color="000000" w:fill="FFFFFF"/>
            <w:vAlign w:val="center"/>
            <w:hideMark/>
          </w:tcPr>
          <w:p w:rsidR="004809FB" w:rsidRPr="00D0082C" w:rsidRDefault="004809FB" w:rsidP="004809FB">
            <w:pPr>
              <w:ind w:left="0"/>
              <w:rPr>
                <w:rFonts w:ascii="Bookman Old Style" w:hAnsi="Bookman Old Style" w:cs="Arial"/>
                <w:color w:val="000000"/>
                <w:sz w:val="20"/>
                <w:szCs w:val="20"/>
                <w:lang w:val="es-CO" w:eastAsia="es-CO"/>
              </w:rPr>
            </w:pPr>
            <w:r w:rsidRPr="00D0082C">
              <w:rPr>
                <w:rFonts w:ascii="Bookman Old Style" w:hAnsi="Bookman Old Style" w:cs="Arial"/>
                <w:color w:val="000000"/>
                <w:sz w:val="20"/>
                <w:szCs w:val="20"/>
                <w:lang w:val="es-CO" w:eastAsia="es-CO"/>
              </w:rPr>
              <w:t xml:space="preserve">$         21.143.780 </w:t>
            </w:r>
          </w:p>
        </w:tc>
      </w:tr>
      <w:tr w:rsidR="004809FB" w:rsidRPr="00D0082C" w:rsidTr="00545C7C">
        <w:trPr>
          <w:trHeight w:val="210"/>
        </w:trPr>
        <w:tc>
          <w:tcPr>
            <w:tcW w:w="1656" w:type="dxa"/>
            <w:tcBorders>
              <w:top w:val="nil"/>
              <w:left w:val="nil"/>
              <w:bottom w:val="nil"/>
              <w:right w:val="nil"/>
            </w:tcBorders>
            <w:shd w:val="clear" w:color="000000" w:fill="FFFFFF"/>
            <w:vAlign w:val="center"/>
            <w:hideMark/>
          </w:tcPr>
          <w:p w:rsidR="004809FB" w:rsidRPr="00D0082C" w:rsidRDefault="004809FB" w:rsidP="00545C7C">
            <w:pPr>
              <w:ind w:left="0"/>
              <w:jc w:val="center"/>
              <w:rPr>
                <w:rFonts w:ascii="Bookman Old Style" w:hAnsi="Bookman Old Style" w:cs="Arial"/>
                <w:color w:val="000000"/>
                <w:sz w:val="20"/>
                <w:szCs w:val="20"/>
                <w:lang w:val="es-CO" w:eastAsia="es-CO"/>
              </w:rPr>
            </w:pPr>
            <w:r w:rsidRPr="00D0082C">
              <w:rPr>
                <w:rFonts w:ascii="Bookman Old Style" w:hAnsi="Bookman Old Style" w:cs="Arial"/>
                <w:color w:val="000000"/>
                <w:sz w:val="20"/>
                <w:szCs w:val="20"/>
                <w:lang w:val="es-CO" w:eastAsia="es-CO"/>
              </w:rPr>
              <w:t>5111</w:t>
            </w:r>
          </w:p>
        </w:tc>
        <w:tc>
          <w:tcPr>
            <w:tcW w:w="3251" w:type="dxa"/>
            <w:tcBorders>
              <w:top w:val="nil"/>
              <w:left w:val="nil"/>
              <w:bottom w:val="nil"/>
              <w:right w:val="nil"/>
            </w:tcBorders>
            <w:shd w:val="clear" w:color="000000" w:fill="FFFFFF"/>
            <w:vAlign w:val="center"/>
            <w:hideMark/>
          </w:tcPr>
          <w:p w:rsidR="004809FB" w:rsidRPr="00D0082C" w:rsidRDefault="004809FB" w:rsidP="00545C7C">
            <w:pPr>
              <w:ind w:left="0"/>
              <w:rPr>
                <w:rFonts w:ascii="Bookman Old Style" w:hAnsi="Bookman Old Style" w:cs="Arial"/>
                <w:color w:val="000000"/>
                <w:sz w:val="20"/>
                <w:szCs w:val="20"/>
                <w:lang w:val="es-CO" w:eastAsia="es-CO"/>
              </w:rPr>
            </w:pPr>
            <w:r>
              <w:rPr>
                <w:rFonts w:ascii="Bookman Old Style" w:hAnsi="Bookman Old Style" w:cs="Arial"/>
                <w:color w:val="000000"/>
                <w:sz w:val="20"/>
                <w:szCs w:val="20"/>
                <w:lang w:val="es-CO" w:eastAsia="es-CO"/>
              </w:rPr>
              <w:t>G</w:t>
            </w:r>
            <w:r w:rsidRPr="00D0082C">
              <w:rPr>
                <w:rFonts w:ascii="Bookman Old Style" w:hAnsi="Bookman Old Style" w:cs="Arial"/>
                <w:color w:val="000000"/>
                <w:sz w:val="20"/>
                <w:szCs w:val="20"/>
                <w:lang w:val="es-CO" w:eastAsia="es-CO"/>
              </w:rPr>
              <w:t>enerales</w:t>
            </w:r>
          </w:p>
        </w:tc>
        <w:tc>
          <w:tcPr>
            <w:tcW w:w="3487" w:type="dxa"/>
            <w:tcBorders>
              <w:top w:val="nil"/>
              <w:left w:val="nil"/>
              <w:bottom w:val="nil"/>
              <w:right w:val="nil"/>
            </w:tcBorders>
            <w:shd w:val="clear" w:color="000000" w:fill="FFFFFF"/>
            <w:vAlign w:val="center"/>
            <w:hideMark/>
          </w:tcPr>
          <w:p w:rsidR="004809FB" w:rsidRPr="00D0082C" w:rsidRDefault="004809FB" w:rsidP="004809FB">
            <w:pPr>
              <w:ind w:left="0"/>
              <w:rPr>
                <w:rFonts w:ascii="Bookman Old Style" w:hAnsi="Bookman Old Style" w:cs="Arial"/>
                <w:color w:val="000000"/>
                <w:sz w:val="20"/>
                <w:szCs w:val="20"/>
                <w:lang w:val="es-CO" w:eastAsia="es-CO"/>
              </w:rPr>
            </w:pPr>
            <w:r w:rsidRPr="00D0082C">
              <w:rPr>
                <w:rFonts w:ascii="Bookman Old Style" w:hAnsi="Bookman Old Style" w:cs="Arial"/>
                <w:color w:val="000000"/>
                <w:sz w:val="20"/>
                <w:szCs w:val="20"/>
                <w:lang w:val="es-CO" w:eastAsia="es-CO"/>
              </w:rPr>
              <w:t xml:space="preserve">$     3.014.887.832 </w:t>
            </w:r>
          </w:p>
        </w:tc>
      </w:tr>
      <w:tr w:rsidR="004809FB" w:rsidRPr="00D0082C" w:rsidTr="00545C7C">
        <w:trPr>
          <w:trHeight w:val="210"/>
        </w:trPr>
        <w:tc>
          <w:tcPr>
            <w:tcW w:w="1656" w:type="dxa"/>
            <w:tcBorders>
              <w:top w:val="nil"/>
              <w:left w:val="nil"/>
              <w:bottom w:val="nil"/>
              <w:right w:val="nil"/>
            </w:tcBorders>
            <w:shd w:val="clear" w:color="auto" w:fill="auto"/>
            <w:noWrap/>
            <w:vAlign w:val="bottom"/>
            <w:hideMark/>
          </w:tcPr>
          <w:p w:rsidR="004809FB" w:rsidRPr="00D0082C" w:rsidRDefault="004809FB" w:rsidP="00545C7C">
            <w:pPr>
              <w:ind w:left="0"/>
              <w:rPr>
                <w:rFonts w:ascii="Bookman Old Style" w:hAnsi="Bookman Old Style" w:cs="Calibri"/>
                <w:color w:val="000000"/>
                <w:sz w:val="20"/>
                <w:szCs w:val="20"/>
                <w:lang w:val="es-CO" w:eastAsia="es-CO"/>
              </w:rPr>
            </w:pPr>
          </w:p>
        </w:tc>
        <w:tc>
          <w:tcPr>
            <w:tcW w:w="3251" w:type="dxa"/>
            <w:tcBorders>
              <w:top w:val="nil"/>
              <w:left w:val="nil"/>
              <w:bottom w:val="nil"/>
              <w:right w:val="nil"/>
            </w:tcBorders>
            <w:shd w:val="clear" w:color="auto" w:fill="auto"/>
            <w:noWrap/>
            <w:vAlign w:val="bottom"/>
            <w:hideMark/>
          </w:tcPr>
          <w:p w:rsidR="004809FB" w:rsidRPr="00D0082C" w:rsidRDefault="004809FB" w:rsidP="00545C7C">
            <w:pPr>
              <w:ind w:left="0"/>
              <w:rPr>
                <w:rFonts w:ascii="Bookman Old Style" w:hAnsi="Bookman Old Style" w:cs="Calibri"/>
                <w:color w:val="000000"/>
                <w:sz w:val="20"/>
                <w:szCs w:val="20"/>
                <w:lang w:val="es-CO" w:eastAsia="es-CO"/>
              </w:rPr>
            </w:pPr>
          </w:p>
        </w:tc>
        <w:tc>
          <w:tcPr>
            <w:tcW w:w="3487" w:type="dxa"/>
            <w:tcBorders>
              <w:top w:val="nil"/>
              <w:left w:val="nil"/>
              <w:bottom w:val="nil"/>
              <w:right w:val="nil"/>
            </w:tcBorders>
            <w:shd w:val="clear" w:color="auto" w:fill="auto"/>
            <w:noWrap/>
            <w:vAlign w:val="bottom"/>
            <w:hideMark/>
          </w:tcPr>
          <w:p w:rsidR="004809FB" w:rsidRPr="00D0082C" w:rsidRDefault="004809FB" w:rsidP="004809FB">
            <w:pPr>
              <w:ind w:left="0"/>
              <w:rPr>
                <w:rFonts w:ascii="Bookman Old Style" w:hAnsi="Bookman Old Style" w:cs="Calibri"/>
                <w:b/>
                <w:color w:val="000000"/>
                <w:sz w:val="20"/>
                <w:szCs w:val="20"/>
                <w:lang w:val="es-CO" w:eastAsia="es-CO"/>
              </w:rPr>
            </w:pPr>
            <w:r>
              <w:rPr>
                <w:rFonts w:ascii="Bookman Old Style" w:hAnsi="Bookman Old Style" w:cs="Calibri"/>
                <w:b/>
                <w:color w:val="000000"/>
                <w:sz w:val="20"/>
                <w:szCs w:val="20"/>
                <w:lang w:val="es-CO" w:eastAsia="es-CO"/>
              </w:rPr>
              <w:t>$   4.500.860.508</w:t>
            </w:r>
            <w:r w:rsidRPr="00D0082C">
              <w:rPr>
                <w:rFonts w:ascii="Bookman Old Style" w:hAnsi="Bookman Old Style" w:cs="Calibri"/>
                <w:b/>
                <w:color w:val="000000"/>
                <w:sz w:val="20"/>
                <w:szCs w:val="20"/>
                <w:lang w:val="es-CO" w:eastAsia="es-CO"/>
              </w:rPr>
              <w:t xml:space="preserve"> </w:t>
            </w:r>
          </w:p>
        </w:tc>
      </w:tr>
    </w:tbl>
    <w:p w:rsidR="004809FB" w:rsidRPr="00D0082C" w:rsidRDefault="004809FB" w:rsidP="00D0082C">
      <w:pPr>
        <w:pStyle w:val="Prrafodelista"/>
        <w:ind w:left="720"/>
        <w:jc w:val="both"/>
        <w:rPr>
          <w:rFonts w:ascii="Bookman Old Style" w:hAnsi="Bookman Old Style"/>
          <w:sz w:val="24"/>
          <w:szCs w:val="24"/>
        </w:rPr>
      </w:pPr>
    </w:p>
    <w:p w:rsidR="004C0F0C" w:rsidRDefault="004C0F0C" w:rsidP="00163797">
      <w:pPr>
        <w:ind w:left="709"/>
        <w:jc w:val="both"/>
        <w:rPr>
          <w:rFonts w:ascii="Bookman Old Style" w:hAnsi="Bookman Old Style"/>
          <w:lang w:val="es-CO"/>
        </w:rPr>
      </w:pPr>
    </w:p>
    <w:p w:rsidR="00466996" w:rsidRDefault="004C0F0C" w:rsidP="002B45E3">
      <w:pPr>
        <w:ind w:left="709"/>
        <w:jc w:val="both"/>
        <w:rPr>
          <w:rFonts w:ascii="Bookman Old Style" w:hAnsi="Bookman Old Style"/>
          <w:lang w:val="es-CO"/>
        </w:rPr>
      </w:pPr>
      <w:r>
        <w:rPr>
          <w:rFonts w:ascii="Bookman Old Style" w:hAnsi="Bookman Old Style"/>
          <w:lang w:val="es-CO"/>
        </w:rPr>
        <w:t>Lo anterior muestra que el valor que debió tomarse para calcular la contribución que debía pagar la empresa</w:t>
      </w:r>
      <w:r w:rsidR="004809FB">
        <w:rPr>
          <w:rFonts w:ascii="Bookman Old Style" w:hAnsi="Bookman Old Style"/>
          <w:lang w:val="es-CO"/>
        </w:rPr>
        <w:t xml:space="preserve"> Combustibles Líquidos de Colombia S.A E.S.P</w:t>
      </w:r>
      <w:r>
        <w:rPr>
          <w:rFonts w:ascii="Bookman Old Style" w:hAnsi="Bookman Old Style"/>
          <w:lang w:val="es-CO"/>
        </w:rPr>
        <w:t xml:space="preserve"> es de $</w:t>
      </w:r>
      <w:r w:rsidR="004809FB">
        <w:rPr>
          <w:rFonts w:ascii="Bookman Old Style" w:hAnsi="Bookman Old Style"/>
          <w:lang w:val="es-CO"/>
        </w:rPr>
        <w:t>4.500.860.508</w:t>
      </w:r>
      <w:r>
        <w:rPr>
          <w:rFonts w:ascii="Bookman Old Style" w:hAnsi="Bookman Old Style"/>
          <w:lang w:val="es-CO"/>
        </w:rPr>
        <w:t xml:space="preserve">, el cual al multiplicarse por el porcentaje señalado en la resolución CREG-118 de 2012, es decir 0.9154%, daría un valor a pagar por concepto de la contribución especial de </w:t>
      </w:r>
      <w:r w:rsidR="004809FB">
        <w:rPr>
          <w:rFonts w:ascii="Bookman Old Style" w:hAnsi="Bookman Old Style"/>
          <w:lang w:val="es-CO"/>
        </w:rPr>
        <w:t>CUARENTA Y UN</w:t>
      </w:r>
      <w:r>
        <w:rPr>
          <w:rFonts w:ascii="Bookman Old Style" w:hAnsi="Bookman Old Style"/>
          <w:lang w:val="es-CO"/>
        </w:rPr>
        <w:t xml:space="preserve"> MILLONES </w:t>
      </w:r>
      <w:r w:rsidR="004809FB">
        <w:rPr>
          <w:rFonts w:ascii="Bookman Old Style" w:hAnsi="Bookman Old Style"/>
          <w:lang w:val="es-CO"/>
        </w:rPr>
        <w:t>DOSCIENTOS</w:t>
      </w:r>
      <w:r>
        <w:rPr>
          <w:rFonts w:ascii="Bookman Old Style" w:hAnsi="Bookman Old Style"/>
          <w:lang w:val="es-CO"/>
        </w:rPr>
        <w:t xml:space="preserve"> MIL OCHOCIENTOS </w:t>
      </w:r>
      <w:r w:rsidR="004809FB">
        <w:rPr>
          <w:rFonts w:ascii="Bookman Old Style" w:hAnsi="Bookman Old Style"/>
          <w:lang w:val="es-CO"/>
        </w:rPr>
        <w:t>SETENTA Y SIETE</w:t>
      </w:r>
      <w:r>
        <w:rPr>
          <w:rFonts w:ascii="Bookman Old Style" w:hAnsi="Bookman Old Style"/>
          <w:lang w:val="es-CO"/>
        </w:rPr>
        <w:t xml:space="preserve"> PESOS ($ </w:t>
      </w:r>
      <w:r w:rsidR="004809FB">
        <w:rPr>
          <w:rFonts w:ascii="Bookman Old Style" w:hAnsi="Bookman Old Style"/>
          <w:lang w:val="es-CO"/>
        </w:rPr>
        <w:t>41.200.877</w:t>
      </w:r>
      <w:r>
        <w:rPr>
          <w:rFonts w:ascii="Bookman Old Style" w:hAnsi="Bookman Old Style"/>
          <w:lang w:val="es-CO"/>
        </w:rPr>
        <w:t>) M/CTE.</w:t>
      </w:r>
    </w:p>
    <w:p w:rsidR="004C0F0C" w:rsidRPr="00AD526C" w:rsidRDefault="004809FB" w:rsidP="00AE5125">
      <w:pPr>
        <w:ind w:left="709"/>
        <w:jc w:val="both"/>
        <w:rPr>
          <w:rFonts w:ascii="Bookman Old Style" w:hAnsi="Bookman Old Style"/>
          <w:lang w:val="es-CO"/>
        </w:rPr>
      </w:pPr>
      <w:r>
        <w:rPr>
          <w:rFonts w:ascii="Bookman Old Style" w:hAnsi="Bookman Old Style"/>
          <w:lang w:val="es-CO"/>
        </w:rPr>
        <w:t xml:space="preserve"> </w:t>
      </w:r>
    </w:p>
    <w:p w:rsidR="00FB7F69" w:rsidRDefault="00783120" w:rsidP="000C6857">
      <w:pPr>
        <w:ind w:left="0"/>
        <w:jc w:val="both"/>
        <w:rPr>
          <w:rFonts w:ascii="Bookman Old Style" w:eastAsiaTheme="minorEastAsia" w:hAnsi="Bookman Old Style"/>
        </w:rPr>
      </w:pPr>
      <w:r>
        <w:rPr>
          <w:rFonts w:ascii="Bookman Old Style" w:eastAsiaTheme="minorEastAsia" w:hAnsi="Bookman Old Style"/>
        </w:rPr>
        <w:t>Con base en</w:t>
      </w:r>
      <w:r w:rsidR="00FB7F69" w:rsidRPr="00D944AE">
        <w:rPr>
          <w:rFonts w:ascii="Bookman Old Style" w:eastAsiaTheme="minorEastAsia" w:hAnsi="Bookman Old Style"/>
        </w:rPr>
        <w:t xml:space="preserve"> lo anterior, </w:t>
      </w:r>
      <w:r w:rsidR="00D26540">
        <w:rPr>
          <w:rFonts w:ascii="Bookman Old Style" w:eastAsiaTheme="minorEastAsia" w:hAnsi="Bookman Old Style"/>
        </w:rPr>
        <w:t>la Comisión de Regulación de Energía y Gas –CREG, repondrá la Resolución CREG-119 de 2012 en lo que respecta a</w:t>
      </w:r>
      <w:r w:rsidR="00771124">
        <w:rPr>
          <w:rFonts w:ascii="Bookman Old Style" w:eastAsiaTheme="minorEastAsia" w:hAnsi="Bookman Old Style"/>
        </w:rPr>
        <w:t xml:space="preserve"> las empresas</w:t>
      </w:r>
      <w:r w:rsidR="00D26540">
        <w:rPr>
          <w:rFonts w:ascii="Bookman Old Style" w:eastAsiaTheme="minorEastAsia" w:hAnsi="Bookman Old Style"/>
        </w:rPr>
        <w:t xml:space="preserve"> </w:t>
      </w:r>
      <w:r w:rsidR="00771124">
        <w:rPr>
          <w:rFonts w:ascii="Bookman Old Style" w:hAnsi="Bookman Old Style"/>
        </w:rPr>
        <w:t>SIVA S.A E.S.P y PLUS S.A E.S.P</w:t>
      </w:r>
    </w:p>
    <w:p w:rsidR="000C6857" w:rsidRPr="009E03F7" w:rsidRDefault="000C6857" w:rsidP="000C6857">
      <w:pPr>
        <w:ind w:left="0"/>
        <w:jc w:val="both"/>
        <w:rPr>
          <w:rFonts w:ascii="Bookman Old Style" w:hAnsi="Bookman Old Style" w:cs="Arial"/>
          <w:lang w:eastAsia="es-CO"/>
        </w:rPr>
      </w:pPr>
    </w:p>
    <w:p w:rsidR="00C219A0" w:rsidRPr="00ED3C17" w:rsidRDefault="00C219A0" w:rsidP="00C219A0">
      <w:pPr>
        <w:ind w:left="0"/>
        <w:jc w:val="both"/>
        <w:rPr>
          <w:rFonts w:ascii="Bookman Old Style" w:hAnsi="Bookman Old Style"/>
        </w:rPr>
      </w:pPr>
      <w:r w:rsidRPr="00ED3C17">
        <w:rPr>
          <w:rFonts w:ascii="Bookman Old Style" w:hAnsi="Bookman Old Style" w:cs="Arial"/>
          <w:spacing w:val="-3"/>
        </w:rPr>
        <w:t>La Comisión de Regulación de</w:t>
      </w:r>
      <w:r>
        <w:rPr>
          <w:rFonts w:ascii="Bookman Old Style" w:hAnsi="Bookman Old Style" w:cs="Arial"/>
          <w:spacing w:val="-3"/>
        </w:rPr>
        <w:t xml:space="preserve"> Energía y Gas, en su sesión </w:t>
      </w:r>
      <w:r w:rsidR="000E2580">
        <w:rPr>
          <w:rFonts w:ascii="Bookman Old Style" w:hAnsi="Bookman Old Style" w:cs="Arial"/>
          <w:spacing w:val="-3"/>
        </w:rPr>
        <w:t>54</w:t>
      </w:r>
      <w:r w:rsidR="005F05E0">
        <w:rPr>
          <w:rFonts w:ascii="Bookman Old Style" w:hAnsi="Bookman Old Style" w:cs="Arial"/>
          <w:spacing w:val="-3"/>
        </w:rPr>
        <w:t>9</w:t>
      </w:r>
      <w:r w:rsidRPr="00ED3C17">
        <w:rPr>
          <w:rFonts w:ascii="Bookman Old Style" w:hAnsi="Bookman Old Style" w:cs="Arial"/>
          <w:spacing w:val="-3"/>
        </w:rPr>
        <w:t xml:space="preserve">, llevada a cabo </w:t>
      </w:r>
      <w:r>
        <w:rPr>
          <w:rFonts w:ascii="Bookman Old Style" w:hAnsi="Bookman Old Style" w:cs="Arial"/>
          <w:spacing w:val="-3"/>
        </w:rPr>
        <w:t xml:space="preserve">el día </w:t>
      </w:r>
      <w:r w:rsidR="005F05E0">
        <w:rPr>
          <w:rFonts w:ascii="Bookman Old Style" w:hAnsi="Bookman Old Style" w:cs="Arial"/>
          <w:spacing w:val="-3"/>
        </w:rPr>
        <w:t>22</w:t>
      </w:r>
      <w:r w:rsidRPr="00ED3C17">
        <w:rPr>
          <w:rFonts w:ascii="Bookman Old Style" w:hAnsi="Bookman Old Style" w:cs="Arial"/>
          <w:spacing w:val="-3"/>
        </w:rPr>
        <w:t xml:space="preserve"> de </w:t>
      </w:r>
      <w:r w:rsidR="005F05E0">
        <w:rPr>
          <w:rFonts w:ascii="Bookman Old Style" w:hAnsi="Bookman Old Style" w:cs="Arial"/>
          <w:spacing w:val="-3"/>
        </w:rPr>
        <w:t>febrero</w:t>
      </w:r>
      <w:r w:rsidRPr="00ED3C17">
        <w:rPr>
          <w:rFonts w:ascii="Bookman Old Style" w:hAnsi="Bookman Old Style" w:cs="Arial"/>
          <w:spacing w:val="-3"/>
        </w:rPr>
        <w:t xml:space="preserve"> de 201</w:t>
      </w:r>
      <w:r w:rsidR="005F05E0">
        <w:rPr>
          <w:rFonts w:ascii="Bookman Old Style" w:hAnsi="Bookman Old Style" w:cs="Arial"/>
          <w:spacing w:val="-3"/>
        </w:rPr>
        <w:t>3</w:t>
      </w:r>
      <w:r w:rsidRPr="00ED3C17">
        <w:rPr>
          <w:rFonts w:ascii="Bookman Old Style" w:hAnsi="Bookman Old Style"/>
        </w:rPr>
        <w:t xml:space="preserve">, acordó expedir </w:t>
      </w:r>
      <w:r w:rsidR="00653557">
        <w:rPr>
          <w:rFonts w:ascii="Bookman Old Style" w:hAnsi="Bookman Old Style"/>
        </w:rPr>
        <w:t xml:space="preserve">la presente </w:t>
      </w:r>
      <w:r w:rsidRPr="00ED3C17">
        <w:rPr>
          <w:rFonts w:ascii="Bookman Old Style" w:hAnsi="Bookman Old Style"/>
        </w:rPr>
        <w:t>resolución.</w:t>
      </w:r>
    </w:p>
    <w:p w:rsidR="00FB7F69" w:rsidRPr="002E4FCA" w:rsidRDefault="00FB7F69" w:rsidP="00FB7F69">
      <w:pPr>
        <w:ind w:left="0"/>
        <w:jc w:val="both"/>
        <w:rPr>
          <w:rFonts w:ascii="Bookman Old Style" w:hAnsi="Bookman Old Style" w:cs="Arial"/>
        </w:rPr>
      </w:pPr>
    </w:p>
    <w:p w:rsidR="00FB7F69" w:rsidRPr="002073B8" w:rsidRDefault="00FB7F69" w:rsidP="00FB7F69">
      <w:pPr>
        <w:ind w:left="0"/>
        <w:rPr>
          <w:rFonts w:ascii="Bookman Old Style" w:hAnsi="Bookman Old Style"/>
          <w:lang w:val="es-CO"/>
        </w:rPr>
      </w:pPr>
      <w:r>
        <w:rPr>
          <w:rFonts w:ascii="Bookman Old Style" w:hAnsi="Bookman Old Style"/>
          <w:spacing w:val="-3"/>
        </w:rPr>
        <w:t>Por las razones expuestas, la Comisión de Regulación de Energía y Gas -CREG-,</w:t>
      </w:r>
    </w:p>
    <w:p w:rsidR="00FB7F69" w:rsidRDefault="00FB7F69" w:rsidP="00FB7F69">
      <w:pPr>
        <w:tabs>
          <w:tab w:val="center" w:pos="4512"/>
        </w:tabs>
        <w:suppressAutoHyphens/>
        <w:ind w:left="0"/>
        <w:jc w:val="both"/>
        <w:rPr>
          <w:rFonts w:ascii="Bookman Old Style" w:hAnsi="Bookman Old Style"/>
          <w:b/>
          <w:spacing w:val="-3"/>
        </w:rPr>
      </w:pPr>
    </w:p>
    <w:p w:rsidR="003F6BC0" w:rsidRDefault="003F6BC0" w:rsidP="00FB7F69">
      <w:pPr>
        <w:tabs>
          <w:tab w:val="center" w:pos="4512"/>
        </w:tabs>
        <w:suppressAutoHyphens/>
        <w:ind w:left="170"/>
        <w:jc w:val="center"/>
        <w:rPr>
          <w:rFonts w:ascii="Bookman Old Style" w:hAnsi="Bookman Old Style"/>
          <w:b/>
          <w:spacing w:val="-3"/>
        </w:rPr>
      </w:pPr>
    </w:p>
    <w:p w:rsidR="00FB7F69" w:rsidRPr="00C051A8" w:rsidRDefault="00FB7F69" w:rsidP="00FB7F69">
      <w:pPr>
        <w:tabs>
          <w:tab w:val="center" w:pos="4512"/>
        </w:tabs>
        <w:suppressAutoHyphens/>
        <w:ind w:left="170"/>
        <w:jc w:val="center"/>
        <w:rPr>
          <w:rFonts w:ascii="Bookman Old Style" w:hAnsi="Bookman Old Style"/>
          <w:b/>
          <w:spacing w:val="-3"/>
        </w:rPr>
      </w:pPr>
      <w:r w:rsidRPr="00C051A8">
        <w:rPr>
          <w:rFonts w:ascii="Bookman Old Style" w:hAnsi="Bookman Old Style"/>
          <w:b/>
          <w:spacing w:val="-3"/>
        </w:rPr>
        <w:t>R E S U E L V E:</w:t>
      </w:r>
    </w:p>
    <w:p w:rsidR="00D84580" w:rsidRDefault="00D84580" w:rsidP="00FB7F69">
      <w:pPr>
        <w:ind w:left="0"/>
        <w:jc w:val="both"/>
        <w:rPr>
          <w:rFonts w:ascii="Bookman Old Style" w:hAnsi="Bookman Old Style"/>
          <w:b/>
        </w:rPr>
      </w:pPr>
    </w:p>
    <w:p w:rsidR="00D26540" w:rsidRDefault="00D26540" w:rsidP="00D26540">
      <w:pPr>
        <w:ind w:left="0"/>
        <w:jc w:val="both"/>
        <w:rPr>
          <w:rFonts w:ascii="Bookman Old Style" w:hAnsi="Bookman Old Style"/>
        </w:rPr>
      </w:pPr>
      <w:r w:rsidRPr="00C051A8">
        <w:rPr>
          <w:rFonts w:ascii="Bookman Old Style" w:hAnsi="Bookman Old Style"/>
          <w:b/>
        </w:rPr>
        <w:t>ARTÍCULO</w:t>
      </w:r>
      <w:r>
        <w:rPr>
          <w:rFonts w:ascii="Bookman Old Style" w:hAnsi="Bookman Old Style"/>
          <w:b/>
        </w:rPr>
        <w:t xml:space="preserve"> </w:t>
      </w:r>
      <w:r w:rsidR="005F05E0">
        <w:rPr>
          <w:rFonts w:ascii="Bookman Old Style" w:hAnsi="Bookman Old Style"/>
          <w:b/>
        </w:rPr>
        <w:t>1</w:t>
      </w:r>
      <w:r w:rsidRPr="00C051A8">
        <w:rPr>
          <w:rFonts w:ascii="Bookman Old Style" w:hAnsi="Bookman Old Style"/>
          <w:b/>
        </w:rPr>
        <w:t>.</w:t>
      </w:r>
      <w:r w:rsidRPr="00C051A8">
        <w:rPr>
          <w:rFonts w:ascii="Bookman Old Style" w:hAnsi="Bookman Old Style"/>
        </w:rPr>
        <w:t xml:space="preserve"> </w:t>
      </w:r>
      <w:r>
        <w:rPr>
          <w:rFonts w:ascii="Bookman Old Style" w:hAnsi="Bookman Old Style"/>
          <w:b/>
        </w:rPr>
        <w:t xml:space="preserve">REPONER, </w:t>
      </w:r>
      <w:r>
        <w:rPr>
          <w:rFonts w:ascii="Bookman Old Style" w:hAnsi="Bookman Old Style"/>
        </w:rPr>
        <w:t xml:space="preserve">en lo concerniente a la empresa </w:t>
      </w:r>
      <w:r w:rsidR="003F6BC0">
        <w:rPr>
          <w:rFonts w:ascii="Bookman Old Style" w:hAnsi="Bookman Old Style"/>
        </w:rPr>
        <w:t>PLUS</w:t>
      </w:r>
      <w:r>
        <w:rPr>
          <w:rFonts w:ascii="Bookman Old Style" w:hAnsi="Bookman Old Style"/>
        </w:rPr>
        <w:t xml:space="preserve"> S.A E.S.P, la resolución CREG-119 de 2012, con fundamento en las razones expuestas en la parte motiva de este proveído.</w:t>
      </w:r>
    </w:p>
    <w:p w:rsidR="003F6BC0" w:rsidRDefault="003F6BC0" w:rsidP="00D26540">
      <w:pPr>
        <w:ind w:left="0"/>
        <w:jc w:val="both"/>
        <w:rPr>
          <w:rFonts w:ascii="Bookman Old Style" w:hAnsi="Bookman Old Style"/>
        </w:rPr>
      </w:pPr>
    </w:p>
    <w:p w:rsidR="003F6BC0" w:rsidRDefault="003F6BC0" w:rsidP="003F6BC0">
      <w:pPr>
        <w:ind w:left="0"/>
        <w:jc w:val="both"/>
        <w:rPr>
          <w:rFonts w:ascii="Bookman Old Style" w:hAnsi="Bookman Old Style"/>
        </w:rPr>
      </w:pPr>
      <w:r w:rsidRPr="00C051A8">
        <w:rPr>
          <w:rFonts w:ascii="Bookman Old Style" w:hAnsi="Bookman Old Style"/>
          <w:b/>
        </w:rPr>
        <w:t xml:space="preserve">ARTÍCULO </w:t>
      </w:r>
      <w:r w:rsidR="005F05E0">
        <w:rPr>
          <w:rFonts w:ascii="Bookman Old Style" w:hAnsi="Bookman Old Style"/>
          <w:b/>
        </w:rPr>
        <w:t>2</w:t>
      </w:r>
      <w:r w:rsidRPr="00C051A8">
        <w:rPr>
          <w:rFonts w:ascii="Bookman Old Style" w:hAnsi="Bookman Old Style"/>
          <w:b/>
        </w:rPr>
        <w:t>.</w:t>
      </w:r>
      <w:r w:rsidRPr="00C051A8">
        <w:rPr>
          <w:rFonts w:ascii="Bookman Old Style" w:hAnsi="Bookman Old Style"/>
        </w:rPr>
        <w:t xml:space="preserve"> </w:t>
      </w:r>
      <w:r w:rsidRPr="00C051A8">
        <w:rPr>
          <w:rFonts w:ascii="Bookman Old Style" w:hAnsi="Bookman Old Style"/>
        </w:rPr>
        <w:tab/>
      </w:r>
      <w:r>
        <w:rPr>
          <w:rFonts w:ascii="Bookman Old Style" w:hAnsi="Bookman Old Style"/>
        </w:rPr>
        <w:t xml:space="preserve">En virtud de lo anterior </w:t>
      </w:r>
      <w:r>
        <w:rPr>
          <w:rFonts w:ascii="Bookman Old Style" w:hAnsi="Bookman Old Style"/>
          <w:b/>
        </w:rPr>
        <w:t xml:space="preserve">SEÑALAR </w:t>
      </w:r>
      <w:r w:rsidRPr="00556CF9">
        <w:rPr>
          <w:rFonts w:ascii="Bookman Old Style" w:hAnsi="Bookman Old Style"/>
        </w:rPr>
        <w:t>que</w:t>
      </w:r>
      <w:r>
        <w:rPr>
          <w:rFonts w:ascii="Bookman Old Style" w:hAnsi="Bookman Old Style"/>
        </w:rPr>
        <w:t xml:space="preserve"> PLUS S.A E.S.P</w:t>
      </w:r>
      <w:r>
        <w:rPr>
          <w:rFonts w:ascii="Bookman Old Style" w:hAnsi="Bookman Old Style"/>
          <w:b/>
        </w:rPr>
        <w:t xml:space="preserve"> </w:t>
      </w:r>
      <w:r>
        <w:rPr>
          <w:rFonts w:ascii="Bookman Old Style" w:hAnsi="Bookman Old Style"/>
        </w:rPr>
        <w:t xml:space="preserve">no debe pagar contribución especial a la Comisión de Regulación de Energía y Gas –CREG para el año 2012. </w:t>
      </w:r>
    </w:p>
    <w:p w:rsidR="003F6BC0" w:rsidRDefault="003F6BC0" w:rsidP="00D26540">
      <w:pPr>
        <w:ind w:left="0"/>
        <w:jc w:val="both"/>
        <w:rPr>
          <w:rFonts w:ascii="Bookman Old Style" w:hAnsi="Bookman Old Style"/>
        </w:rPr>
      </w:pPr>
    </w:p>
    <w:p w:rsidR="003F6BC0" w:rsidRDefault="003F6BC0" w:rsidP="003F6BC0">
      <w:pPr>
        <w:ind w:left="0"/>
        <w:jc w:val="both"/>
        <w:rPr>
          <w:rFonts w:ascii="Bookman Old Style" w:hAnsi="Bookman Old Style"/>
        </w:rPr>
      </w:pPr>
      <w:r w:rsidRPr="00C051A8">
        <w:rPr>
          <w:rFonts w:ascii="Bookman Old Style" w:hAnsi="Bookman Old Style"/>
          <w:b/>
        </w:rPr>
        <w:t>ARTÍCULO</w:t>
      </w:r>
      <w:r>
        <w:rPr>
          <w:rFonts w:ascii="Bookman Old Style" w:hAnsi="Bookman Old Style"/>
          <w:b/>
        </w:rPr>
        <w:t xml:space="preserve"> </w:t>
      </w:r>
      <w:r w:rsidR="005F05E0">
        <w:rPr>
          <w:rFonts w:ascii="Bookman Old Style" w:hAnsi="Bookman Old Style"/>
          <w:b/>
        </w:rPr>
        <w:t>3</w:t>
      </w:r>
      <w:r w:rsidRPr="00C051A8">
        <w:rPr>
          <w:rFonts w:ascii="Bookman Old Style" w:hAnsi="Bookman Old Style"/>
          <w:b/>
        </w:rPr>
        <w:t>.</w:t>
      </w:r>
      <w:r w:rsidRPr="00C051A8">
        <w:rPr>
          <w:rFonts w:ascii="Bookman Old Style" w:hAnsi="Bookman Old Style"/>
        </w:rPr>
        <w:t xml:space="preserve"> </w:t>
      </w:r>
      <w:r>
        <w:rPr>
          <w:rFonts w:ascii="Bookman Old Style" w:hAnsi="Bookman Old Style"/>
          <w:b/>
        </w:rPr>
        <w:t xml:space="preserve">REPONER, </w:t>
      </w:r>
      <w:r>
        <w:rPr>
          <w:rFonts w:ascii="Bookman Old Style" w:hAnsi="Bookman Old Style"/>
        </w:rPr>
        <w:t>en lo concerniente a la empresa SIVA S.A E.S.P, la resolución CREG-119 de 2012, con fundamento en las razones expuestas en la parte motiva de este proveído.</w:t>
      </w:r>
    </w:p>
    <w:p w:rsidR="003F6BC0" w:rsidRDefault="003F6BC0" w:rsidP="00D26540">
      <w:pPr>
        <w:ind w:left="0"/>
        <w:jc w:val="both"/>
        <w:rPr>
          <w:rFonts w:ascii="Bookman Old Style" w:hAnsi="Bookman Old Style"/>
        </w:rPr>
      </w:pPr>
    </w:p>
    <w:p w:rsidR="00D26540" w:rsidRDefault="00D26540" w:rsidP="00D26540">
      <w:pPr>
        <w:ind w:left="0"/>
        <w:jc w:val="both"/>
        <w:rPr>
          <w:rFonts w:ascii="Bookman Old Style" w:hAnsi="Bookman Old Style"/>
        </w:rPr>
      </w:pPr>
      <w:r w:rsidRPr="00C051A8">
        <w:rPr>
          <w:rFonts w:ascii="Bookman Old Style" w:hAnsi="Bookman Old Style"/>
          <w:b/>
        </w:rPr>
        <w:t xml:space="preserve">ARTÍCULO </w:t>
      </w:r>
      <w:r w:rsidR="005F05E0">
        <w:rPr>
          <w:rFonts w:ascii="Bookman Old Style" w:hAnsi="Bookman Old Style"/>
          <w:b/>
        </w:rPr>
        <w:t>4</w:t>
      </w:r>
      <w:r w:rsidRPr="00C051A8">
        <w:rPr>
          <w:rFonts w:ascii="Bookman Old Style" w:hAnsi="Bookman Old Style"/>
          <w:b/>
        </w:rPr>
        <w:t>.</w:t>
      </w:r>
      <w:r w:rsidRPr="00C051A8">
        <w:rPr>
          <w:rFonts w:ascii="Bookman Old Style" w:hAnsi="Bookman Old Style"/>
        </w:rPr>
        <w:t xml:space="preserve"> </w:t>
      </w:r>
      <w:r w:rsidRPr="00C051A8">
        <w:rPr>
          <w:rFonts w:ascii="Bookman Old Style" w:hAnsi="Bookman Old Style"/>
        </w:rPr>
        <w:tab/>
      </w:r>
      <w:r>
        <w:rPr>
          <w:rFonts w:ascii="Bookman Old Style" w:hAnsi="Bookman Old Style"/>
        </w:rPr>
        <w:t xml:space="preserve">En virtud de lo anterior </w:t>
      </w:r>
      <w:r>
        <w:rPr>
          <w:rFonts w:ascii="Bookman Old Style" w:hAnsi="Bookman Old Style"/>
          <w:b/>
        </w:rPr>
        <w:t xml:space="preserve">SEÑALAR </w:t>
      </w:r>
      <w:r w:rsidRPr="00556CF9">
        <w:rPr>
          <w:rFonts w:ascii="Bookman Old Style" w:hAnsi="Bookman Old Style"/>
        </w:rPr>
        <w:t>que</w:t>
      </w:r>
      <w:r>
        <w:rPr>
          <w:rFonts w:ascii="Bookman Old Style" w:hAnsi="Bookman Old Style"/>
        </w:rPr>
        <w:t xml:space="preserve"> </w:t>
      </w:r>
      <w:r w:rsidR="003F6BC0">
        <w:rPr>
          <w:rFonts w:ascii="Bookman Old Style" w:hAnsi="Bookman Old Style"/>
        </w:rPr>
        <w:t>SIVA</w:t>
      </w:r>
      <w:r>
        <w:rPr>
          <w:rFonts w:ascii="Bookman Old Style" w:hAnsi="Bookman Old Style"/>
        </w:rPr>
        <w:t xml:space="preserve"> S.A E.S.P</w:t>
      </w:r>
      <w:r>
        <w:rPr>
          <w:rFonts w:ascii="Bookman Old Style" w:hAnsi="Bookman Old Style"/>
          <w:b/>
        </w:rPr>
        <w:t xml:space="preserve"> </w:t>
      </w:r>
      <w:r>
        <w:rPr>
          <w:rFonts w:ascii="Bookman Old Style" w:hAnsi="Bookman Old Style"/>
        </w:rPr>
        <w:t xml:space="preserve">no debe pagar contribución especial a la Comisión de Regulación de Energía y Gas –CREG para el año 2012. </w:t>
      </w:r>
    </w:p>
    <w:p w:rsidR="00D26540" w:rsidRDefault="00D26540" w:rsidP="00D26540">
      <w:pPr>
        <w:ind w:left="170"/>
        <w:jc w:val="both"/>
        <w:rPr>
          <w:rFonts w:ascii="Bookman Old Style" w:hAnsi="Bookman Old Style" w:cs="Arial"/>
          <w:color w:val="000000"/>
        </w:rPr>
      </w:pPr>
    </w:p>
    <w:p w:rsidR="00D26540" w:rsidRDefault="00D26540" w:rsidP="00D26540">
      <w:pPr>
        <w:ind w:left="0"/>
        <w:jc w:val="both"/>
        <w:rPr>
          <w:rFonts w:ascii="Bookman Old Style" w:hAnsi="Bookman Old Style" w:cs="Arial"/>
        </w:rPr>
      </w:pPr>
      <w:r w:rsidRPr="00C051A8">
        <w:rPr>
          <w:rFonts w:ascii="Bookman Old Style" w:hAnsi="Bookman Old Style"/>
          <w:b/>
        </w:rPr>
        <w:t xml:space="preserve">ARTÍCULO </w:t>
      </w:r>
      <w:r w:rsidR="005F05E0">
        <w:rPr>
          <w:rFonts w:ascii="Bookman Old Style" w:hAnsi="Bookman Old Style"/>
          <w:b/>
        </w:rPr>
        <w:t>5</w:t>
      </w:r>
      <w:r w:rsidRPr="00C051A8">
        <w:rPr>
          <w:rFonts w:ascii="Bookman Old Style" w:hAnsi="Bookman Old Style"/>
          <w:b/>
        </w:rPr>
        <w:t>.</w:t>
      </w:r>
      <w:r>
        <w:rPr>
          <w:rFonts w:ascii="Bookman Old Style" w:hAnsi="Bookman Old Style"/>
          <w:b/>
        </w:rPr>
        <w:t xml:space="preserve"> NOTIFICAR </w:t>
      </w:r>
      <w:r>
        <w:rPr>
          <w:rFonts w:ascii="Bookman Old Style" w:hAnsi="Bookman Old Style"/>
        </w:rPr>
        <w:t xml:space="preserve">al representante legal de la empresa </w:t>
      </w:r>
      <w:r w:rsidR="003F6BC0">
        <w:rPr>
          <w:rFonts w:ascii="Bookman Old Style" w:hAnsi="Bookman Old Style"/>
        </w:rPr>
        <w:t xml:space="preserve">COMBUSTIBLES LÍQUIDOS DE COLOMBIA – CLC </w:t>
      </w:r>
      <w:r>
        <w:rPr>
          <w:rFonts w:ascii="Bookman Old Style" w:hAnsi="Bookman Old Style"/>
        </w:rPr>
        <w:t>S.A E.S.P</w:t>
      </w:r>
      <w:r>
        <w:rPr>
          <w:rFonts w:ascii="Bookman Old Style" w:hAnsi="Bookman Old Style" w:cs="Arial"/>
        </w:rPr>
        <w:t xml:space="preserve"> el contenido de la presente resolución, conforme con lo establecido en los artículos 66 y subsiguientes del Código de Procedimiento Administrativo y de lo Contencioso Administrativo. </w:t>
      </w:r>
    </w:p>
    <w:p w:rsidR="00D26540" w:rsidRDefault="00D26540" w:rsidP="00D26540">
      <w:pPr>
        <w:ind w:left="0"/>
        <w:jc w:val="both"/>
        <w:rPr>
          <w:rFonts w:ascii="Bookman Old Style" w:hAnsi="Bookman Old Style" w:cs="Arial"/>
        </w:rPr>
      </w:pPr>
    </w:p>
    <w:p w:rsidR="00D26540" w:rsidRDefault="00D26540" w:rsidP="00D26540">
      <w:pPr>
        <w:ind w:left="0"/>
        <w:jc w:val="both"/>
        <w:rPr>
          <w:rFonts w:ascii="Bookman Old Style" w:hAnsi="Bookman Old Style"/>
        </w:rPr>
      </w:pPr>
      <w:r w:rsidRPr="00C051A8">
        <w:rPr>
          <w:rFonts w:ascii="Bookman Old Style" w:hAnsi="Bookman Old Style"/>
          <w:b/>
        </w:rPr>
        <w:t>ARTÍCULO</w:t>
      </w:r>
      <w:r w:rsidR="003F6BC0">
        <w:rPr>
          <w:rFonts w:ascii="Bookman Old Style" w:hAnsi="Bookman Old Style"/>
          <w:b/>
        </w:rPr>
        <w:t xml:space="preserve"> </w:t>
      </w:r>
      <w:r w:rsidR="005F05E0">
        <w:rPr>
          <w:rFonts w:ascii="Bookman Old Style" w:hAnsi="Bookman Old Style"/>
          <w:b/>
        </w:rPr>
        <w:t>6</w:t>
      </w:r>
      <w:r w:rsidRPr="00C051A8">
        <w:rPr>
          <w:rFonts w:ascii="Bookman Old Style" w:hAnsi="Bookman Old Style"/>
          <w:b/>
        </w:rPr>
        <w:t>.</w:t>
      </w:r>
      <w:r>
        <w:rPr>
          <w:rFonts w:ascii="Bookman Old Style" w:hAnsi="Bookman Old Style"/>
          <w:b/>
        </w:rPr>
        <w:t xml:space="preserve"> </w:t>
      </w:r>
      <w:r w:rsidRPr="00E8432B">
        <w:rPr>
          <w:rFonts w:ascii="Bookman Old Style" w:hAnsi="Bookman Old Style"/>
        </w:rPr>
        <w:t>Contra la presente resolución no procede recurso alguno</w:t>
      </w:r>
      <w:r>
        <w:rPr>
          <w:rFonts w:ascii="Bookman Old Style" w:hAnsi="Bookman Old Style"/>
        </w:rPr>
        <w:t>.</w:t>
      </w:r>
    </w:p>
    <w:p w:rsidR="00D26540" w:rsidRDefault="00D26540" w:rsidP="00D26540">
      <w:pPr>
        <w:ind w:left="170"/>
        <w:jc w:val="both"/>
        <w:rPr>
          <w:rFonts w:ascii="Bookman Old Style" w:hAnsi="Bookman Old Style" w:cs="Arial"/>
        </w:rPr>
      </w:pPr>
    </w:p>
    <w:p w:rsidR="00D26540" w:rsidRDefault="00D26540" w:rsidP="00D26540">
      <w:pPr>
        <w:ind w:left="170"/>
        <w:jc w:val="both"/>
        <w:rPr>
          <w:rFonts w:ascii="Bookman Old Style" w:hAnsi="Bookman Old Style" w:cs="Arial"/>
        </w:rPr>
      </w:pPr>
    </w:p>
    <w:p w:rsidR="00D26540" w:rsidRDefault="00D26540" w:rsidP="00D26540">
      <w:pPr>
        <w:ind w:left="170"/>
        <w:jc w:val="center"/>
        <w:rPr>
          <w:rFonts w:ascii="Bookman Old Style" w:hAnsi="Bookman Old Style" w:cs="Arial"/>
          <w:b/>
        </w:rPr>
      </w:pPr>
      <w:r w:rsidRPr="00E8432B">
        <w:rPr>
          <w:rFonts w:ascii="Bookman Old Style" w:hAnsi="Bookman Old Style" w:cs="Arial"/>
          <w:b/>
        </w:rPr>
        <w:t>NOTIFÍQUESE Y CÚMPLASE</w:t>
      </w:r>
    </w:p>
    <w:p w:rsidR="00D26540" w:rsidRDefault="00D26540" w:rsidP="00D26540">
      <w:pPr>
        <w:ind w:left="170"/>
        <w:jc w:val="center"/>
        <w:rPr>
          <w:rFonts w:ascii="Bookman Old Style" w:hAnsi="Bookman Old Style" w:cs="Arial"/>
          <w:b/>
        </w:rPr>
      </w:pPr>
    </w:p>
    <w:p w:rsidR="00D26540" w:rsidRPr="00AD0D15" w:rsidRDefault="00D26540" w:rsidP="00D26540">
      <w:pPr>
        <w:ind w:left="170"/>
        <w:rPr>
          <w:rFonts w:ascii="Bookman Old Style" w:hAnsi="Bookman Old Style" w:cs="Arial"/>
        </w:rPr>
      </w:pPr>
      <w:r w:rsidRPr="00AD0D15">
        <w:rPr>
          <w:rFonts w:ascii="Bookman Old Style" w:hAnsi="Bookman Old Style" w:cs="Arial"/>
        </w:rPr>
        <w:t>Dada en Bogotá D.C, a los</w:t>
      </w:r>
    </w:p>
    <w:p w:rsidR="00FB7F69" w:rsidRDefault="00FB7F69" w:rsidP="000C6857">
      <w:pPr>
        <w:ind w:left="0"/>
        <w:jc w:val="both"/>
        <w:rPr>
          <w:rFonts w:ascii="Bookman Old Style" w:hAnsi="Bookman Old Style" w:cs="Arial"/>
          <w:b/>
        </w:rPr>
      </w:pPr>
    </w:p>
    <w:p w:rsidR="00FB7F69" w:rsidRPr="00E8432B" w:rsidRDefault="00FB7F69" w:rsidP="00FB7F69">
      <w:pPr>
        <w:ind w:left="0"/>
        <w:jc w:val="both"/>
        <w:rPr>
          <w:rFonts w:ascii="Bookman Old Style" w:hAnsi="Bookman Old Style" w:cs="Arial"/>
          <w:b/>
          <w:color w:val="000000"/>
        </w:rPr>
      </w:pPr>
    </w:p>
    <w:p w:rsidR="00FB7F69" w:rsidRDefault="00FB7F69" w:rsidP="00FB7F69">
      <w:pPr>
        <w:ind w:left="170"/>
        <w:jc w:val="both"/>
        <w:rPr>
          <w:rFonts w:ascii="Bookman Old Style" w:hAnsi="Bookman Old Style" w:cs="Arial"/>
          <w:color w:val="000000"/>
        </w:rPr>
      </w:pPr>
    </w:p>
    <w:p w:rsidR="00D84580" w:rsidRDefault="00D84580" w:rsidP="00FB7F69">
      <w:pPr>
        <w:ind w:left="170"/>
        <w:jc w:val="both"/>
        <w:rPr>
          <w:rFonts w:ascii="Bookman Old Style" w:hAnsi="Bookman Old Style" w:cs="Arial"/>
          <w:color w:val="000000"/>
        </w:rPr>
      </w:pPr>
    </w:p>
    <w:p w:rsidR="00FB7F69" w:rsidRPr="00C051A8" w:rsidRDefault="00FB7F69" w:rsidP="00FB7F69">
      <w:pPr>
        <w:ind w:left="170"/>
        <w:jc w:val="both"/>
        <w:rPr>
          <w:rFonts w:ascii="Bookman Old Style" w:hAnsi="Bookman Old Style" w:cs="Arial"/>
          <w:color w:val="000000"/>
        </w:rPr>
      </w:pPr>
    </w:p>
    <w:tbl>
      <w:tblPr>
        <w:tblW w:w="0" w:type="auto"/>
        <w:jc w:val="center"/>
        <w:tblCellSpacing w:w="0" w:type="dxa"/>
        <w:tblCellMar>
          <w:left w:w="0" w:type="dxa"/>
          <w:right w:w="0" w:type="dxa"/>
        </w:tblCellMar>
        <w:tblLook w:val="04A0" w:firstRow="1" w:lastRow="0" w:firstColumn="1" w:lastColumn="0" w:noHBand="0" w:noVBand="1"/>
      </w:tblPr>
      <w:tblGrid>
        <w:gridCol w:w="4828"/>
        <w:gridCol w:w="4528"/>
      </w:tblGrid>
      <w:tr w:rsidR="00FB7F69" w:rsidRPr="00C051A8" w:rsidTr="00617704">
        <w:trPr>
          <w:tblCellSpacing w:w="0" w:type="dxa"/>
          <w:jc w:val="center"/>
        </w:trPr>
        <w:tc>
          <w:tcPr>
            <w:tcW w:w="4962" w:type="dxa"/>
            <w:hideMark/>
          </w:tcPr>
          <w:p w:rsidR="00FB7F69" w:rsidRPr="00C051A8" w:rsidRDefault="00FB7F69" w:rsidP="00617704">
            <w:pPr>
              <w:ind w:left="170"/>
              <w:jc w:val="center"/>
              <w:rPr>
                <w:rFonts w:ascii="Bookman Old Style" w:hAnsi="Bookman Old Style" w:cs="Arial"/>
                <w:color w:val="000000"/>
              </w:rPr>
            </w:pPr>
            <w:r>
              <w:rPr>
                <w:rFonts w:ascii="Bookman Old Style" w:hAnsi="Bookman Old Style" w:cs="Arial"/>
                <w:b/>
                <w:bCs/>
              </w:rPr>
              <w:t>TOMÁS GONZÁLEZ ESTRADA</w:t>
            </w:r>
          </w:p>
        </w:tc>
        <w:tc>
          <w:tcPr>
            <w:tcW w:w="4655" w:type="dxa"/>
            <w:hideMark/>
          </w:tcPr>
          <w:p w:rsidR="00FB7F69" w:rsidRPr="00C051A8" w:rsidRDefault="00FB7F69" w:rsidP="00617704">
            <w:pPr>
              <w:ind w:left="170"/>
              <w:jc w:val="center"/>
              <w:rPr>
                <w:rFonts w:ascii="Bookman Old Style" w:hAnsi="Bookman Old Style" w:cs="Arial"/>
                <w:color w:val="000000"/>
              </w:rPr>
            </w:pPr>
            <w:r>
              <w:rPr>
                <w:rFonts w:ascii="Bookman Old Style" w:hAnsi="Bookman Old Style" w:cs="Arial"/>
                <w:b/>
                <w:bCs/>
                <w:color w:val="000000"/>
              </w:rPr>
              <w:t>GERMÁN CASTRO FERREIRA</w:t>
            </w:r>
          </w:p>
        </w:tc>
      </w:tr>
      <w:tr w:rsidR="00FB7F69" w:rsidRPr="00C051A8" w:rsidTr="00617704">
        <w:trPr>
          <w:tblCellSpacing w:w="0" w:type="dxa"/>
          <w:jc w:val="center"/>
        </w:trPr>
        <w:tc>
          <w:tcPr>
            <w:tcW w:w="4962" w:type="dxa"/>
            <w:hideMark/>
          </w:tcPr>
          <w:p w:rsidR="00FB7F69" w:rsidRPr="00C051A8" w:rsidRDefault="00FB7F69" w:rsidP="00617704">
            <w:pPr>
              <w:ind w:left="170"/>
              <w:jc w:val="center"/>
              <w:rPr>
                <w:rFonts w:ascii="Bookman Old Style" w:hAnsi="Bookman Old Style" w:cs="Arial"/>
                <w:color w:val="000000"/>
              </w:rPr>
            </w:pPr>
            <w:r w:rsidRPr="00C051A8">
              <w:rPr>
                <w:rFonts w:ascii="Bookman Old Style" w:hAnsi="Bookman Old Style" w:cs="Arial"/>
              </w:rPr>
              <w:t>Viceministr</w:t>
            </w:r>
            <w:r>
              <w:rPr>
                <w:rFonts w:ascii="Bookman Old Style" w:hAnsi="Bookman Old Style" w:cs="Arial"/>
              </w:rPr>
              <w:t>o</w:t>
            </w:r>
            <w:r w:rsidRPr="00C051A8">
              <w:rPr>
                <w:rFonts w:ascii="Bookman Old Style" w:hAnsi="Bookman Old Style" w:cs="Arial"/>
              </w:rPr>
              <w:t xml:space="preserve"> de Energía</w:t>
            </w:r>
          </w:p>
        </w:tc>
        <w:tc>
          <w:tcPr>
            <w:tcW w:w="4655" w:type="dxa"/>
            <w:hideMark/>
          </w:tcPr>
          <w:p w:rsidR="00FB7F69" w:rsidRPr="00C051A8" w:rsidRDefault="00FB7F69" w:rsidP="00617704">
            <w:pPr>
              <w:ind w:left="170"/>
              <w:jc w:val="center"/>
              <w:rPr>
                <w:rFonts w:ascii="Bookman Old Style" w:hAnsi="Bookman Old Style" w:cs="Arial"/>
                <w:color w:val="000000"/>
              </w:rPr>
            </w:pPr>
            <w:r w:rsidRPr="00C051A8">
              <w:rPr>
                <w:rFonts w:ascii="Bookman Old Style" w:hAnsi="Bookman Old Style" w:cs="Arial"/>
                <w:color w:val="000000"/>
              </w:rPr>
              <w:t>Director Ejecutivo</w:t>
            </w:r>
          </w:p>
        </w:tc>
      </w:tr>
      <w:tr w:rsidR="00FB7F69" w:rsidRPr="00C051A8" w:rsidTr="00617704">
        <w:trPr>
          <w:tblCellSpacing w:w="0" w:type="dxa"/>
          <w:jc w:val="center"/>
        </w:trPr>
        <w:tc>
          <w:tcPr>
            <w:tcW w:w="4962" w:type="dxa"/>
            <w:hideMark/>
          </w:tcPr>
          <w:p w:rsidR="00FB7F69" w:rsidRPr="00C051A8" w:rsidRDefault="00FB7F69" w:rsidP="00617704">
            <w:pPr>
              <w:ind w:left="170"/>
              <w:jc w:val="center"/>
              <w:rPr>
                <w:rFonts w:ascii="Bookman Old Style" w:hAnsi="Bookman Old Style" w:cs="Arial"/>
                <w:color w:val="000000"/>
              </w:rPr>
            </w:pPr>
            <w:r w:rsidRPr="00C051A8">
              <w:rPr>
                <w:rFonts w:ascii="Bookman Old Style" w:hAnsi="Bookman Old Style" w:cs="Arial"/>
                <w:color w:val="000000"/>
              </w:rPr>
              <w:t>Delegad</w:t>
            </w:r>
            <w:r>
              <w:rPr>
                <w:rFonts w:ascii="Bookman Old Style" w:hAnsi="Bookman Old Style" w:cs="Arial"/>
                <w:color w:val="000000"/>
              </w:rPr>
              <w:t>o</w:t>
            </w:r>
            <w:r w:rsidRPr="00C051A8">
              <w:rPr>
                <w:rFonts w:ascii="Bookman Old Style" w:hAnsi="Bookman Old Style" w:cs="Arial"/>
                <w:color w:val="000000"/>
              </w:rPr>
              <w:t xml:space="preserve"> del Ministro de Minas y Energía</w:t>
            </w:r>
            <w:r w:rsidRPr="00C051A8">
              <w:rPr>
                <w:rFonts w:ascii="Bookman Old Style" w:hAnsi="Bookman Old Style" w:cs="Arial"/>
                <w:color w:val="000000"/>
              </w:rPr>
              <w:br/>
              <w:t>Presidente</w:t>
            </w:r>
          </w:p>
        </w:tc>
        <w:tc>
          <w:tcPr>
            <w:tcW w:w="4655" w:type="dxa"/>
            <w:hideMark/>
          </w:tcPr>
          <w:p w:rsidR="00FB7F69" w:rsidRPr="00C051A8" w:rsidRDefault="00FB7F69" w:rsidP="00617704">
            <w:pPr>
              <w:ind w:left="170"/>
              <w:jc w:val="center"/>
              <w:rPr>
                <w:rFonts w:ascii="Bookman Old Style" w:hAnsi="Bookman Old Style" w:cs="Arial"/>
                <w:color w:val="000000"/>
              </w:rPr>
            </w:pPr>
            <w:r w:rsidRPr="00C051A8">
              <w:rPr>
                <w:rFonts w:ascii="Bookman Old Style" w:hAnsi="Bookman Old Style" w:cs="Arial"/>
                <w:noProof/>
                <w:color w:val="000000"/>
                <w:lang w:val="es-CO" w:eastAsia="es-CO"/>
              </w:rPr>
              <w:drawing>
                <wp:inline distT="0" distB="0" distL="0" distR="0" wp14:anchorId="7B907AC8" wp14:editId="70C354D2">
                  <wp:extent cx="152400" cy="9525"/>
                  <wp:effectExtent l="19050" t="0" r="0" b="0"/>
                  <wp:docPr id="1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3"/>
                          <a:srcRect/>
                          <a:stretch>
                            <a:fillRect/>
                          </a:stretch>
                        </pic:blipFill>
                        <pic:spPr bwMode="auto">
                          <a:xfrm>
                            <a:off x="0" y="0"/>
                            <a:ext cx="152400" cy="9525"/>
                          </a:xfrm>
                          <a:prstGeom prst="rect">
                            <a:avLst/>
                          </a:prstGeom>
                          <a:noFill/>
                          <a:ln w="9525">
                            <a:noFill/>
                            <a:miter lim="800000"/>
                            <a:headEnd/>
                            <a:tailEnd/>
                          </a:ln>
                        </pic:spPr>
                      </pic:pic>
                    </a:graphicData>
                  </a:graphic>
                </wp:inline>
              </w:drawing>
            </w:r>
          </w:p>
        </w:tc>
      </w:tr>
    </w:tbl>
    <w:p w:rsidR="00FB7F69" w:rsidRDefault="00FB7F69" w:rsidP="00FB7F69">
      <w:pPr>
        <w:pStyle w:val="Sinespaciado"/>
        <w:jc w:val="both"/>
        <w:rPr>
          <w:rFonts w:ascii="Bookman Old Style" w:hAnsi="Bookman Old Style" w:cs="Arial"/>
          <w:sz w:val="24"/>
          <w:szCs w:val="24"/>
        </w:rPr>
      </w:pPr>
    </w:p>
    <w:p w:rsidR="00FB7F69" w:rsidRPr="00C051A8" w:rsidRDefault="00FB7F69" w:rsidP="00FB7F69">
      <w:pPr>
        <w:pStyle w:val="Sinespaciado"/>
        <w:jc w:val="both"/>
        <w:rPr>
          <w:rFonts w:ascii="Bookman Old Style" w:hAnsi="Bookman Old Style" w:cs="Arial"/>
          <w:sz w:val="24"/>
          <w:szCs w:val="24"/>
        </w:rPr>
      </w:pPr>
    </w:p>
    <w:p w:rsidR="006675CD" w:rsidRPr="00FB7F69" w:rsidRDefault="006675CD" w:rsidP="00FB7F69"/>
    <w:sectPr w:rsidR="006675CD" w:rsidRPr="00FB7F69" w:rsidSect="005A59EF">
      <w:headerReference w:type="default" r:id="rId14"/>
      <w:headerReference w:type="first" r:id="rId15"/>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3E1" w:rsidRDefault="005623E1">
      <w:r>
        <w:separator/>
      </w:r>
    </w:p>
  </w:endnote>
  <w:endnote w:type="continuationSeparator" w:id="0">
    <w:p w:rsidR="005623E1" w:rsidRDefault="00562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3E1" w:rsidRDefault="005623E1">
      <w:r>
        <w:separator/>
      </w:r>
    </w:p>
  </w:footnote>
  <w:footnote w:type="continuationSeparator" w:id="0">
    <w:p w:rsidR="005623E1" w:rsidRDefault="005623E1">
      <w:r>
        <w:continuationSeparator/>
      </w:r>
    </w:p>
  </w:footnote>
  <w:footnote w:id="1">
    <w:p w:rsidR="00A657E2" w:rsidRPr="005E535A" w:rsidRDefault="00A657E2" w:rsidP="00115262">
      <w:pPr>
        <w:rPr>
          <w:rFonts w:ascii="Bookman Old Style" w:hAnsi="Bookman Old Style" w:cs="Arial"/>
          <w:sz w:val="16"/>
          <w:szCs w:val="16"/>
        </w:rPr>
      </w:pPr>
      <w:r w:rsidRPr="005E535A">
        <w:rPr>
          <w:rStyle w:val="Refdenotaalpie"/>
          <w:rFonts w:ascii="Bookman Old Style" w:hAnsi="Bookman Old Style"/>
          <w:sz w:val="16"/>
          <w:szCs w:val="16"/>
        </w:rPr>
        <w:footnoteRef/>
      </w:r>
      <w:r w:rsidRPr="005E535A">
        <w:rPr>
          <w:rFonts w:ascii="Bookman Old Style" w:hAnsi="Bookman Old Style"/>
          <w:sz w:val="16"/>
          <w:szCs w:val="16"/>
        </w:rPr>
        <w:t xml:space="preserve"> -</w:t>
      </w:r>
      <w:r w:rsidRPr="005E535A">
        <w:rPr>
          <w:rFonts w:ascii="Bookman Old Style" w:hAnsi="Bookman Old Style" w:cs="Arial"/>
          <w:sz w:val="16"/>
          <w:szCs w:val="16"/>
        </w:rPr>
        <w:t>Consejo de Estado, Sentencia del 23 de septiembre de 2010, Radicación número 2007-00049 (16874), C. P. Martha Teresa Briceño de Valencia</w:t>
      </w:r>
      <w:r>
        <w:rPr>
          <w:rFonts w:ascii="Bookman Old Style" w:hAnsi="Bookman Old Style" w:cs="Arial"/>
          <w:sz w:val="16"/>
          <w:szCs w:val="16"/>
        </w:rPr>
        <w:t>.</w:t>
      </w:r>
    </w:p>
    <w:p w:rsidR="00A657E2" w:rsidRPr="005E535A" w:rsidRDefault="00A657E2" w:rsidP="00115262">
      <w:pPr>
        <w:rPr>
          <w:rFonts w:ascii="Bookman Old Style" w:hAnsi="Bookman Old Style" w:cs="Arial"/>
          <w:sz w:val="16"/>
          <w:szCs w:val="16"/>
        </w:rPr>
      </w:pPr>
      <w:r w:rsidRPr="005E535A">
        <w:rPr>
          <w:rFonts w:ascii="Bookman Old Style" w:hAnsi="Bookman Old Style" w:cs="Arial"/>
          <w:sz w:val="16"/>
          <w:szCs w:val="16"/>
        </w:rPr>
        <w:t>-Consejo de Estado Sentencia del 14 de octubre de 2010, Radicación  número 2007-00031 (16650), C. P. Hugo Fernando Bastidas Bárcenas.</w:t>
      </w:r>
    </w:p>
    <w:p w:rsidR="00A657E2" w:rsidRPr="005E535A" w:rsidRDefault="00A657E2" w:rsidP="00115262">
      <w:pPr>
        <w:rPr>
          <w:rFonts w:ascii="Bookman Old Style" w:hAnsi="Bookman Old Style" w:cs="Arial"/>
          <w:sz w:val="16"/>
          <w:szCs w:val="16"/>
        </w:rPr>
      </w:pPr>
      <w:r w:rsidRPr="005E535A">
        <w:rPr>
          <w:rFonts w:ascii="Bookman Old Style" w:hAnsi="Bookman Old Style" w:cs="Arial"/>
          <w:sz w:val="16"/>
          <w:szCs w:val="16"/>
        </w:rPr>
        <w:t>-Consejo de Estado, Sentencia del 13 de diciembre de 2011, Radicación  número 2008-00023 (17709), C. P. Carmen Teresa Ortiz de Rodríguez.</w:t>
      </w:r>
    </w:p>
    <w:p w:rsidR="00A657E2" w:rsidRPr="005B0EEB" w:rsidRDefault="00A657E2" w:rsidP="00115262">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7E2" w:rsidRDefault="00A657E2" w:rsidP="00951F79">
    <w:pPr>
      <w:pStyle w:val="Ttulo1"/>
      <w:ind w:right="6"/>
      <w:jc w:val="left"/>
      <w:rPr>
        <w:rFonts w:ascii="Bookman Old Style" w:hAnsi="Bookman Old Style" w:cs="Arial"/>
        <w:b w:val="0"/>
        <w:sz w:val="22"/>
        <w:szCs w:val="22"/>
      </w:rPr>
    </w:pPr>
  </w:p>
  <w:p w:rsidR="00A657E2" w:rsidRPr="00951F79" w:rsidRDefault="00A657E2"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FC6364">
      <w:rPr>
        <w:rFonts w:ascii="Bookman Old Style" w:hAnsi="Bookman Old Style" w:cs="Arial"/>
        <w:b w:val="0"/>
        <w:noProof/>
        <w:sz w:val="22"/>
        <w:szCs w:val="22"/>
      </w:rPr>
      <w:t>14</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FC6364" w:rsidRPr="00FC6364">
        <w:rPr>
          <w:rFonts w:ascii="Bookman Old Style" w:hAnsi="Bookman Old Style" w:cs="Arial"/>
          <w:b w:val="0"/>
          <w:noProof/>
          <w:sz w:val="22"/>
          <w:szCs w:val="22"/>
        </w:rPr>
        <w:t>14</w:t>
      </w:r>
    </w:fldSimple>
  </w:p>
  <w:p w:rsidR="00A657E2" w:rsidRDefault="00A657E2"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1DC4A49A" wp14:editId="1BEB6610">
              <wp:simplePos x="0" y="0"/>
              <wp:positionH relativeFrom="column">
                <wp:posOffset>-175260</wp:posOffset>
              </wp:positionH>
              <wp:positionV relativeFrom="paragraph">
                <wp:posOffset>139065</wp:posOffset>
              </wp:positionV>
              <wp:extent cx="6267450" cy="9900920"/>
              <wp:effectExtent l="15240" t="15240" r="13335" b="1841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CpdfuzegIA&#10;AP0EAAAOAAAAAAAAAAAAAAAAAC4CAABkcnMvZTJvRG9jLnhtbFBLAQItABQABgAIAAAAIQBXFkFY&#10;4wAAAAsBAAAPAAAAAAAAAAAAAAAAANQEAABkcnMvZG93bnJldi54bWxQSwUGAAAAAAQABADzAAAA&#10;5AUAAAAA&#10;" filled="f" strokeweight="1.5pt"/>
          </w:pict>
        </mc:Fallback>
      </mc:AlternateContent>
    </w:r>
  </w:p>
  <w:p w:rsidR="00A657E2" w:rsidRPr="00617704" w:rsidRDefault="00A657E2" w:rsidP="00617704">
    <w:pPr>
      <w:ind w:left="0"/>
      <w:jc w:val="both"/>
      <w:rPr>
        <w:rFonts w:ascii="Bookman Old Style" w:hAnsi="Bookman Old Style" w:cs="Arial"/>
        <w:sz w:val="22"/>
        <w:szCs w:val="22"/>
      </w:rPr>
    </w:pPr>
    <w:r w:rsidRPr="00617704">
      <w:rPr>
        <w:rFonts w:ascii="Bookman Old Style" w:hAnsi="Bookman Old Style" w:cs="Arial"/>
        <w:sz w:val="22"/>
        <w:szCs w:val="22"/>
      </w:rPr>
      <w:t>Por medio de la cual se resuelve un recurso de reposición en contra de la Resolución CREG 1</w:t>
    </w:r>
    <w:r>
      <w:rPr>
        <w:rFonts w:ascii="Bookman Old Style" w:hAnsi="Bookman Old Style" w:cs="Arial"/>
        <w:sz w:val="22"/>
        <w:szCs w:val="22"/>
      </w:rPr>
      <w:t>19</w:t>
    </w:r>
    <w:r w:rsidRPr="00617704">
      <w:rPr>
        <w:rFonts w:ascii="Bookman Old Style" w:hAnsi="Bookman Old Style" w:cs="Arial"/>
        <w:sz w:val="22"/>
        <w:szCs w:val="22"/>
      </w:rPr>
      <w:t xml:space="preserve"> de 201</w:t>
    </w:r>
    <w:r>
      <w:rPr>
        <w:rFonts w:ascii="Bookman Old Style" w:hAnsi="Bookman Old Style" w:cs="Arial"/>
        <w:sz w:val="22"/>
        <w:szCs w:val="22"/>
      </w:rPr>
      <w:t>2</w:t>
    </w:r>
  </w:p>
  <w:p w:rsidR="00A657E2" w:rsidRPr="00CB5DD0" w:rsidRDefault="00A657E2" w:rsidP="00AD01E4">
    <w:pPr>
      <w:pBdr>
        <w:bottom w:val="single" w:sz="4" w:space="1" w:color="auto"/>
      </w:pBdr>
      <w:ind w:left="142" w:right="148"/>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7E2" w:rsidRDefault="00A657E2"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A657E2" w:rsidRDefault="00A657E2">
    <w:pPr>
      <w:pStyle w:val="Encabezado"/>
      <w:jc w:val="center"/>
      <w:rPr>
        <w:rFonts w:ascii="Arial" w:hAnsi="Arial" w:cs="Arial"/>
        <w:spacing w:val="20"/>
        <w:sz w:val="20"/>
      </w:rPr>
    </w:pPr>
  </w:p>
  <w:p w:rsidR="00A657E2" w:rsidRDefault="00A657E2"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6621F295" wp14:editId="3F642B26">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nsid w:val="059679FE"/>
    <w:multiLevelType w:val="hybridMultilevel"/>
    <w:tmpl w:val="5652E1A2"/>
    <w:lvl w:ilvl="0" w:tplc="FE50D68C">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4F8257D"/>
    <w:multiLevelType w:val="hybridMultilevel"/>
    <w:tmpl w:val="B5562946"/>
    <w:lvl w:ilvl="0" w:tplc="0CCE7BF4">
      <w:start w:val="3"/>
      <w:numFmt w:val="bullet"/>
      <w:lvlText w:val=""/>
      <w:lvlJc w:val="left"/>
      <w:pPr>
        <w:ind w:left="1077" w:hanging="360"/>
      </w:pPr>
      <w:rPr>
        <w:rFonts w:ascii="Symbol" w:eastAsia="Times New Roman" w:hAnsi="Symbol" w:cs="Times New Roman" w:hint="default"/>
      </w:rPr>
    </w:lvl>
    <w:lvl w:ilvl="1" w:tplc="0C0A0003" w:tentative="1">
      <w:start w:val="1"/>
      <w:numFmt w:val="bullet"/>
      <w:lvlText w:val="o"/>
      <w:lvlJc w:val="left"/>
      <w:pPr>
        <w:ind w:left="1797" w:hanging="360"/>
      </w:pPr>
      <w:rPr>
        <w:rFonts w:ascii="Courier New" w:hAnsi="Courier New" w:cs="Courier New" w:hint="default"/>
      </w:rPr>
    </w:lvl>
    <w:lvl w:ilvl="2" w:tplc="0C0A0005" w:tentative="1">
      <w:start w:val="1"/>
      <w:numFmt w:val="bullet"/>
      <w:lvlText w:val=""/>
      <w:lvlJc w:val="left"/>
      <w:pPr>
        <w:ind w:left="2517" w:hanging="360"/>
      </w:pPr>
      <w:rPr>
        <w:rFonts w:ascii="Wingdings" w:hAnsi="Wingdings" w:hint="default"/>
      </w:rPr>
    </w:lvl>
    <w:lvl w:ilvl="3" w:tplc="0C0A0001" w:tentative="1">
      <w:start w:val="1"/>
      <w:numFmt w:val="bullet"/>
      <w:lvlText w:val=""/>
      <w:lvlJc w:val="left"/>
      <w:pPr>
        <w:ind w:left="3237" w:hanging="360"/>
      </w:pPr>
      <w:rPr>
        <w:rFonts w:ascii="Symbol" w:hAnsi="Symbol" w:hint="default"/>
      </w:rPr>
    </w:lvl>
    <w:lvl w:ilvl="4" w:tplc="0C0A0003" w:tentative="1">
      <w:start w:val="1"/>
      <w:numFmt w:val="bullet"/>
      <w:lvlText w:val="o"/>
      <w:lvlJc w:val="left"/>
      <w:pPr>
        <w:ind w:left="3957" w:hanging="360"/>
      </w:pPr>
      <w:rPr>
        <w:rFonts w:ascii="Courier New" w:hAnsi="Courier New" w:cs="Courier New" w:hint="default"/>
      </w:rPr>
    </w:lvl>
    <w:lvl w:ilvl="5" w:tplc="0C0A0005" w:tentative="1">
      <w:start w:val="1"/>
      <w:numFmt w:val="bullet"/>
      <w:lvlText w:val=""/>
      <w:lvlJc w:val="left"/>
      <w:pPr>
        <w:ind w:left="4677" w:hanging="360"/>
      </w:pPr>
      <w:rPr>
        <w:rFonts w:ascii="Wingdings" w:hAnsi="Wingdings" w:hint="default"/>
      </w:rPr>
    </w:lvl>
    <w:lvl w:ilvl="6" w:tplc="0C0A0001" w:tentative="1">
      <w:start w:val="1"/>
      <w:numFmt w:val="bullet"/>
      <w:lvlText w:val=""/>
      <w:lvlJc w:val="left"/>
      <w:pPr>
        <w:ind w:left="5397" w:hanging="360"/>
      </w:pPr>
      <w:rPr>
        <w:rFonts w:ascii="Symbol" w:hAnsi="Symbol" w:hint="default"/>
      </w:rPr>
    </w:lvl>
    <w:lvl w:ilvl="7" w:tplc="0C0A0003" w:tentative="1">
      <w:start w:val="1"/>
      <w:numFmt w:val="bullet"/>
      <w:lvlText w:val="o"/>
      <w:lvlJc w:val="left"/>
      <w:pPr>
        <w:ind w:left="6117" w:hanging="360"/>
      </w:pPr>
      <w:rPr>
        <w:rFonts w:ascii="Courier New" w:hAnsi="Courier New" w:cs="Courier New" w:hint="default"/>
      </w:rPr>
    </w:lvl>
    <w:lvl w:ilvl="8" w:tplc="0C0A0005" w:tentative="1">
      <w:start w:val="1"/>
      <w:numFmt w:val="bullet"/>
      <w:lvlText w:val=""/>
      <w:lvlJc w:val="left"/>
      <w:pPr>
        <w:ind w:left="6837" w:hanging="360"/>
      </w:pPr>
      <w:rPr>
        <w:rFonts w:ascii="Wingdings" w:hAnsi="Wingdings" w:hint="default"/>
      </w:rPr>
    </w:lvl>
  </w:abstractNum>
  <w:abstractNum w:abstractNumId="5">
    <w:nsid w:val="15C96404"/>
    <w:multiLevelType w:val="hybridMultilevel"/>
    <w:tmpl w:val="D40A1D7E"/>
    <w:lvl w:ilvl="0" w:tplc="58E84DD8">
      <w:start w:val="1"/>
      <w:numFmt w:val="decimal"/>
      <w:lvlText w:val="%1."/>
      <w:lvlJc w:val="left"/>
      <w:pPr>
        <w:ind w:left="530" w:hanging="360"/>
      </w:pPr>
      <w:rPr>
        <w:rFonts w:hint="default"/>
      </w:rPr>
    </w:lvl>
    <w:lvl w:ilvl="1" w:tplc="0C0A0019" w:tentative="1">
      <w:start w:val="1"/>
      <w:numFmt w:val="lowerLetter"/>
      <w:lvlText w:val="%2."/>
      <w:lvlJc w:val="left"/>
      <w:pPr>
        <w:ind w:left="1250" w:hanging="360"/>
      </w:pPr>
    </w:lvl>
    <w:lvl w:ilvl="2" w:tplc="0C0A001B" w:tentative="1">
      <w:start w:val="1"/>
      <w:numFmt w:val="lowerRoman"/>
      <w:lvlText w:val="%3."/>
      <w:lvlJc w:val="right"/>
      <w:pPr>
        <w:ind w:left="1970" w:hanging="180"/>
      </w:pPr>
    </w:lvl>
    <w:lvl w:ilvl="3" w:tplc="0C0A000F" w:tentative="1">
      <w:start w:val="1"/>
      <w:numFmt w:val="decimal"/>
      <w:lvlText w:val="%4."/>
      <w:lvlJc w:val="left"/>
      <w:pPr>
        <w:ind w:left="2690" w:hanging="360"/>
      </w:pPr>
    </w:lvl>
    <w:lvl w:ilvl="4" w:tplc="0C0A0019" w:tentative="1">
      <w:start w:val="1"/>
      <w:numFmt w:val="lowerLetter"/>
      <w:lvlText w:val="%5."/>
      <w:lvlJc w:val="left"/>
      <w:pPr>
        <w:ind w:left="3410" w:hanging="360"/>
      </w:pPr>
    </w:lvl>
    <w:lvl w:ilvl="5" w:tplc="0C0A001B" w:tentative="1">
      <w:start w:val="1"/>
      <w:numFmt w:val="lowerRoman"/>
      <w:lvlText w:val="%6."/>
      <w:lvlJc w:val="right"/>
      <w:pPr>
        <w:ind w:left="4130" w:hanging="180"/>
      </w:pPr>
    </w:lvl>
    <w:lvl w:ilvl="6" w:tplc="0C0A000F" w:tentative="1">
      <w:start w:val="1"/>
      <w:numFmt w:val="decimal"/>
      <w:lvlText w:val="%7."/>
      <w:lvlJc w:val="left"/>
      <w:pPr>
        <w:ind w:left="4850" w:hanging="360"/>
      </w:pPr>
    </w:lvl>
    <w:lvl w:ilvl="7" w:tplc="0C0A0019" w:tentative="1">
      <w:start w:val="1"/>
      <w:numFmt w:val="lowerLetter"/>
      <w:lvlText w:val="%8."/>
      <w:lvlJc w:val="left"/>
      <w:pPr>
        <w:ind w:left="5570" w:hanging="360"/>
      </w:pPr>
    </w:lvl>
    <w:lvl w:ilvl="8" w:tplc="0C0A001B" w:tentative="1">
      <w:start w:val="1"/>
      <w:numFmt w:val="lowerRoman"/>
      <w:lvlText w:val="%9."/>
      <w:lvlJc w:val="right"/>
      <w:pPr>
        <w:ind w:left="6290" w:hanging="180"/>
      </w:pPr>
    </w:lvl>
  </w:abstractNum>
  <w:abstractNum w:abstractNumId="6">
    <w:nsid w:val="1DA56A59"/>
    <w:multiLevelType w:val="hybridMultilevel"/>
    <w:tmpl w:val="6AF4A89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1EC23274"/>
    <w:multiLevelType w:val="hybridMultilevel"/>
    <w:tmpl w:val="72B63080"/>
    <w:lvl w:ilvl="0" w:tplc="EE90B4A8">
      <w:start w:val="1"/>
      <w:numFmt w:val="lowerLetter"/>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2178213F"/>
    <w:multiLevelType w:val="hybridMultilevel"/>
    <w:tmpl w:val="CD9C77C2"/>
    <w:lvl w:ilvl="0" w:tplc="EDFEC6A6">
      <w:start w:val="1"/>
      <w:numFmt w:val="decimal"/>
      <w:lvlText w:val="%1."/>
      <w:lvlJc w:val="left"/>
      <w:pPr>
        <w:ind w:left="530" w:hanging="360"/>
      </w:pPr>
      <w:rPr>
        <w:rFonts w:hint="default"/>
        <w:sz w:val="24"/>
        <w:szCs w:val="24"/>
      </w:rPr>
    </w:lvl>
    <w:lvl w:ilvl="1" w:tplc="0C0A0019" w:tentative="1">
      <w:start w:val="1"/>
      <w:numFmt w:val="lowerLetter"/>
      <w:lvlText w:val="%2."/>
      <w:lvlJc w:val="left"/>
      <w:pPr>
        <w:ind w:left="1250" w:hanging="360"/>
      </w:pPr>
    </w:lvl>
    <w:lvl w:ilvl="2" w:tplc="0C0A001B" w:tentative="1">
      <w:start w:val="1"/>
      <w:numFmt w:val="lowerRoman"/>
      <w:lvlText w:val="%3."/>
      <w:lvlJc w:val="right"/>
      <w:pPr>
        <w:ind w:left="1970" w:hanging="180"/>
      </w:pPr>
    </w:lvl>
    <w:lvl w:ilvl="3" w:tplc="0C0A000F" w:tentative="1">
      <w:start w:val="1"/>
      <w:numFmt w:val="decimal"/>
      <w:lvlText w:val="%4."/>
      <w:lvlJc w:val="left"/>
      <w:pPr>
        <w:ind w:left="2690" w:hanging="360"/>
      </w:pPr>
    </w:lvl>
    <w:lvl w:ilvl="4" w:tplc="0C0A0019" w:tentative="1">
      <w:start w:val="1"/>
      <w:numFmt w:val="lowerLetter"/>
      <w:lvlText w:val="%5."/>
      <w:lvlJc w:val="left"/>
      <w:pPr>
        <w:ind w:left="3410" w:hanging="360"/>
      </w:pPr>
    </w:lvl>
    <w:lvl w:ilvl="5" w:tplc="0C0A001B" w:tentative="1">
      <w:start w:val="1"/>
      <w:numFmt w:val="lowerRoman"/>
      <w:lvlText w:val="%6."/>
      <w:lvlJc w:val="right"/>
      <w:pPr>
        <w:ind w:left="4130" w:hanging="180"/>
      </w:pPr>
    </w:lvl>
    <w:lvl w:ilvl="6" w:tplc="0C0A000F" w:tentative="1">
      <w:start w:val="1"/>
      <w:numFmt w:val="decimal"/>
      <w:lvlText w:val="%7."/>
      <w:lvlJc w:val="left"/>
      <w:pPr>
        <w:ind w:left="4850" w:hanging="360"/>
      </w:pPr>
    </w:lvl>
    <w:lvl w:ilvl="7" w:tplc="0C0A0019" w:tentative="1">
      <w:start w:val="1"/>
      <w:numFmt w:val="lowerLetter"/>
      <w:lvlText w:val="%8."/>
      <w:lvlJc w:val="left"/>
      <w:pPr>
        <w:ind w:left="5570" w:hanging="360"/>
      </w:pPr>
    </w:lvl>
    <w:lvl w:ilvl="8" w:tplc="0C0A001B" w:tentative="1">
      <w:start w:val="1"/>
      <w:numFmt w:val="lowerRoman"/>
      <w:lvlText w:val="%9."/>
      <w:lvlJc w:val="right"/>
      <w:pPr>
        <w:ind w:left="6290" w:hanging="180"/>
      </w:pPr>
    </w:lvl>
  </w:abstractNum>
  <w:abstractNum w:abstractNumId="9">
    <w:nsid w:val="23831E60"/>
    <w:multiLevelType w:val="hybridMultilevel"/>
    <w:tmpl w:val="0882C48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A7A4E1B"/>
    <w:multiLevelType w:val="hybridMultilevel"/>
    <w:tmpl w:val="773EEAE8"/>
    <w:lvl w:ilvl="0" w:tplc="6C825630">
      <w:start w:val="1"/>
      <w:numFmt w:val="decimal"/>
      <w:lvlText w:val="%1."/>
      <w:lvlJc w:val="left"/>
      <w:pPr>
        <w:ind w:left="720" w:hanging="360"/>
      </w:pPr>
      <w:rPr>
        <w:rFonts w:hint="default"/>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2EB5205D"/>
    <w:multiLevelType w:val="hybridMultilevel"/>
    <w:tmpl w:val="CE529B4A"/>
    <w:lvl w:ilvl="0" w:tplc="E7984822">
      <w:start w:val="1"/>
      <w:numFmt w:val="decimal"/>
      <w:lvlText w:val="%1."/>
      <w:lvlJc w:val="left"/>
      <w:pPr>
        <w:ind w:left="942" w:hanging="375"/>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3">
    <w:nsid w:val="30ED1F9A"/>
    <w:multiLevelType w:val="hybridMultilevel"/>
    <w:tmpl w:val="B3683A9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3379783B"/>
    <w:multiLevelType w:val="hybridMultilevel"/>
    <w:tmpl w:val="86B095B8"/>
    <w:lvl w:ilvl="0" w:tplc="5E8450E4">
      <w:start w:val="1"/>
      <w:numFmt w:val="decimal"/>
      <w:lvlText w:val="2.%1"/>
      <w:lvlJc w:val="left"/>
      <w:pPr>
        <w:ind w:left="720" w:hanging="360"/>
      </w:pPr>
      <w:rPr>
        <w:rFonts w:hint="default"/>
        <w:b/>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7051DE"/>
    <w:multiLevelType w:val="hybridMultilevel"/>
    <w:tmpl w:val="C1820B34"/>
    <w:lvl w:ilvl="0" w:tplc="680E6B46">
      <w:start w:val="3"/>
      <w:numFmt w:val="bullet"/>
      <w:lvlText w:val=""/>
      <w:lvlJc w:val="left"/>
      <w:pPr>
        <w:ind w:left="2520" w:hanging="360"/>
      </w:pPr>
      <w:rPr>
        <w:rFonts w:ascii="Symbol" w:eastAsia="Times New Roman" w:hAnsi="Symbol" w:cs="Times New Roman" w:hint="default"/>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17">
    <w:nsid w:val="41BC0AEC"/>
    <w:multiLevelType w:val="hybridMultilevel"/>
    <w:tmpl w:val="3078EDC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9">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4D0D2EA0"/>
    <w:multiLevelType w:val="hybridMultilevel"/>
    <w:tmpl w:val="0FAE0988"/>
    <w:lvl w:ilvl="0" w:tplc="688052DA">
      <w:start w:val="1"/>
      <w:numFmt w:val="lowerLetter"/>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1">
    <w:nsid w:val="58A16BC6"/>
    <w:multiLevelType w:val="hybridMultilevel"/>
    <w:tmpl w:val="F64A23B6"/>
    <w:lvl w:ilvl="0" w:tplc="DB0CF014">
      <w:start w:val="1"/>
      <w:numFmt w:val="decimal"/>
      <w:lvlText w:val="%1."/>
      <w:lvlJc w:val="left"/>
      <w:pPr>
        <w:ind w:left="942" w:hanging="375"/>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2">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4">
    <w:nsid w:val="626F0ADA"/>
    <w:multiLevelType w:val="hybridMultilevel"/>
    <w:tmpl w:val="D158B05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
    <w:nsid w:val="6365781C"/>
    <w:multiLevelType w:val="hybridMultilevel"/>
    <w:tmpl w:val="D40A262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nsid w:val="68060C8C"/>
    <w:multiLevelType w:val="hybridMultilevel"/>
    <w:tmpl w:val="379CB43E"/>
    <w:lvl w:ilvl="0" w:tplc="ADC85E46">
      <w:start w:val="1"/>
      <w:numFmt w:val="decimal"/>
      <w:lvlText w:val="%1."/>
      <w:lvlJc w:val="left"/>
      <w:pPr>
        <w:ind w:left="530" w:hanging="360"/>
      </w:pPr>
      <w:rPr>
        <w:rFonts w:hint="default"/>
      </w:rPr>
    </w:lvl>
    <w:lvl w:ilvl="1" w:tplc="0C0A0019" w:tentative="1">
      <w:start w:val="1"/>
      <w:numFmt w:val="lowerLetter"/>
      <w:lvlText w:val="%2."/>
      <w:lvlJc w:val="left"/>
      <w:pPr>
        <w:ind w:left="1250" w:hanging="360"/>
      </w:pPr>
    </w:lvl>
    <w:lvl w:ilvl="2" w:tplc="0C0A001B" w:tentative="1">
      <w:start w:val="1"/>
      <w:numFmt w:val="lowerRoman"/>
      <w:lvlText w:val="%3."/>
      <w:lvlJc w:val="right"/>
      <w:pPr>
        <w:ind w:left="1970" w:hanging="180"/>
      </w:pPr>
    </w:lvl>
    <w:lvl w:ilvl="3" w:tplc="0C0A000F" w:tentative="1">
      <w:start w:val="1"/>
      <w:numFmt w:val="decimal"/>
      <w:lvlText w:val="%4."/>
      <w:lvlJc w:val="left"/>
      <w:pPr>
        <w:ind w:left="2690" w:hanging="360"/>
      </w:pPr>
    </w:lvl>
    <w:lvl w:ilvl="4" w:tplc="0C0A0019" w:tentative="1">
      <w:start w:val="1"/>
      <w:numFmt w:val="lowerLetter"/>
      <w:lvlText w:val="%5."/>
      <w:lvlJc w:val="left"/>
      <w:pPr>
        <w:ind w:left="3410" w:hanging="360"/>
      </w:pPr>
    </w:lvl>
    <w:lvl w:ilvl="5" w:tplc="0C0A001B" w:tentative="1">
      <w:start w:val="1"/>
      <w:numFmt w:val="lowerRoman"/>
      <w:lvlText w:val="%6."/>
      <w:lvlJc w:val="right"/>
      <w:pPr>
        <w:ind w:left="4130" w:hanging="180"/>
      </w:pPr>
    </w:lvl>
    <w:lvl w:ilvl="6" w:tplc="0C0A000F" w:tentative="1">
      <w:start w:val="1"/>
      <w:numFmt w:val="decimal"/>
      <w:lvlText w:val="%7."/>
      <w:lvlJc w:val="left"/>
      <w:pPr>
        <w:ind w:left="4850" w:hanging="360"/>
      </w:pPr>
    </w:lvl>
    <w:lvl w:ilvl="7" w:tplc="0C0A0019" w:tentative="1">
      <w:start w:val="1"/>
      <w:numFmt w:val="lowerLetter"/>
      <w:lvlText w:val="%8."/>
      <w:lvlJc w:val="left"/>
      <w:pPr>
        <w:ind w:left="5570" w:hanging="360"/>
      </w:pPr>
    </w:lvl>
    <w:lvl w:ilvl="8" w:tplc="0C0A001B" w:tentative="1">
      <w:start w:val="1"/>
      <w:numFmt w:val="lowerRoman"/>
      <w:lvlText w:val="%9."/>
      <w:lvlJc w:val="right"/>
      <w:pPr>
        <w:ind w:left="6290" w:hanging="180"/>
      </w:pPr>
    </w:lvl>
  </w:abstractNum>
  <w:abstractNum w:abstractNumId="28">
    <w:nsid w:val="6ADF420A"/>
    <w:multiLevelType w:val="hybridMultilevel"/>
    <w:tmpl w:val="8D1E5926"/>
    <w:lvl w:ilvl="0" w:tplc="5EFC7B5A">
      <w:start w:val="1"/>
      <w:numFmt w:val="bullet"/>
      <w:lvlText w:val="•"/>
      <w:lvlJc w:val="left"/>
      <w:pPr>
        <w:tabs>
          <w:tab w:val="num" w:pos="720"/>
        </w:tabs>
        <w:ind w:left="720" w:hanging="360"/>
      </w:pPr>
      <w:rPr>
        <w:rFonts w:ascii="Arial" w:hAnsi="Arial" w:hint="default"/>
      </w:rPr>
    </w:lvl>
    <w:lvl w:ilvl="1" w:tplc="C254868A" w:tentative="1">
      <w:start w:val="1"/>
      <w:numFmt w:val="bullet"/>
      <w:lvlText w:val="•"/>
      <w:lvlJc w:val="left"/>
      <w:pPr>
        <w:tabs>
          <w:tab w:val="num" w:pos="1440"/>
        </w:tabs>
        <w:ind w:left="1440" w:hanging="360"/>
      </w:pPr>
      <w:rPr>
        <w:rFonts w:ascii="Arial" w:hAnsi="Arial" w:hint="default"/>
      </w:rPr>
    </w:lvl>
    <w:lvl w:ilvl="2" w:tplc="E0FE22D6" w:tentative="1">
      <w:start w:val="1"/>
      <w:numFmt w:val="bullet"/>
      <w:lvlText w:val="•"/>
      <w:lvlJc w:val="left"/>
      <w:pPr>
        <w:tabs>
          <w:tab w:val="num" w:pos="2160"/>
        </w:tabs>
        <w:ind w:left="2160" w:hanging="360"/>
      </w:pPr>
      <w:rPr>
        <w:rFonts w:ascii="Arial" w:hAnsi="Arial" w:hint="default"/>
      </w:rPr>
    </w:lvl>
    <w:lvl w:ilvl="3" w:tplc="F2B6E006" w:tentative="1">
      <w:start w:val="1"/>
      <w:numFmt w:val="bullet"/>
      <w:lvlText w:val="•"/>
      <w:lvlJc w:val="left"/>
      <w:pPr>
        <w:tabs>
          <w:tab w:val="num" w:pos="2880"/>
        </w:tabs>
        <w:ind w:left="2880" w:hanging="360"/>
      </w:pPr>
      <w:rPr>
        <w:rFonts w:ascii="Arial" w:hAnsi="Arial" w:hint="default"/>
      </w:rPr>
    </w:lvl>
    <w:lvl w:ilvl="4" w:tplc="F6A80D46" w:tentative="1">
      <w:start w:val="1"/>
      <w:numFmt w:val="bullet"/>
      <w:lvlText w:val="•"/>
      <w:lvlJc w:val="left"/>
      <w:pPr>
        <w:tabs>
          <w:tab w:val="num" w:pos="3600"/>
        </w:tabs>
        <w:ind w:left="3600" w:hanging="360"/>
      </w:pPr>
      <w:rPr>
        <w:rFonts w:ascii="Arial" w:hAnsi="Arial" w:hint="default"/>
      </w:rPr>
    </w:lvl>
    <w:lvl w:ilvl="5" w:tplc="B2502958" w:tentative="1">
      <w:start w:val="1"/>
      <w:numFmt w:val="bullet"/>
      <w:lvlText w:val="•"/>
      <w:lvlJc w:val="left"/>
      <w:pPr>
        <w:tabs>
          <w:tab w:val="num" w:pos="4320"/>
        </w:tabs>
        <w:ind w:left="4320" w:hanging="360"/>
      </w:pPr>
      <w:rPr>
        <w:rFonts w:ascii="Arial" w:hAnsi="Arial" w:hint="default"/>
      </w:rPr>
    </w:lvl>
    <w:lvl w:ilvl="6" w:tplc="62C6A440" w:tentative="1">
      <w:start w:val="1"/>
      <w:numFmt w:val="bullet"/>
      <w:lvlText w:val="•"/>
      <w:lvlJc w:val="left"/>
      <w:pPr>
        <w:tabs>
          <w:tab w:val="num" w:pos="5040"/>
        </w:tabs>
        <w:ind w:left="5040" w:hanging="360"/>
      </w:pPr>
      <w:rPr>
        <w:rFonts w:ascii="Arial" w:hAnsi="Arial" w:hint="default"/>
      </w:rPr>
    </w:lvl>
    <w:lvl w:ilvl="7" w:tplc="9DD213BA" w:tentative="1">
      <w:start w:val="1"/>
      <w:numFmt w:val="bullet"/>
      <w:lvlText w:val="•"/>
      <w:lvlJc w:val="left"/>
      <w:pPr>
        <w:tabs>
          <w:tab w:val="num" w:pos="5760"/>
        </w:tabs>
        <w:ind w:left="5760" w:hanging="360"/>
      </w:pPr>
      <w:rPr>
        <w:rFonts w:ascii="Arial" w:hAnsi="Arial" w:hint="default"/>
      </w:rPr>
    </w:lvl>
    <w:lvl w:ilvl="8" w:tplc="3C7E1E72" w:tentative="1">
      <w:start w:val="1"/>
      <w:numFmt w:val="bullet"/>
      <w:lvlText w:val="•"/>
      <w:lvlJc w:val="left"/>
      <w:pPr>
        <w:tabs>
          <w:tab w:val="num" w:pos="6480"/>
        </w:tabs>
        <w:ind w:left="6480" w:hanging="360"/>
      </w:pPr>
      <w:rPr>
        <w:rFonts w:ascii="Arial" w:hAnsi="Arial" w:hint="default"/>
      </w:rPr>
    </w:lvl>
  </w:abstractNum>
  <w:abstractNum w:abstractNumId="29">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75FC0DDC"/>
    <w:multiLevelType w:val="hybridMultilevel"/>
    <w:tmpl w:val="D766E370"/>
    <w:lvl w:ilvl="0" w:tplc="95AED278">
      <w:start w:val="1"/>
      <w:numFmt w:val="lowerLetter"/>
      <w:lvlText w:val="%1."/>
      <w:lvlJc w:val="left"/>
      <w:pPr>
        <w:ind w:left="530" w:hanging="360"/>
      </w:pPr>
      <w:rPr>
        <w:rFonts w:hint="default"/>
      </w:rPr>
    </w:lvl>
    <w:lvl w:ilvl="1" w:tplc="240A0019" w:tentative="1">
      <w:start w:val="1"/>
      <w:numFmt w:val="lowerLetter"/>
      <w:lvlText w:val="%2."/>
      <w:lvlJc w:val="left"/>
      <w:pPr>
        <w:ind w:left="1250" w:hanging="360"/>
      </w:pPr>
    </w:lvl>
    <w:lvl w:ilvl="2" w:tplc="240A001B" w:tentative="1">
      <w:start w:val="1"/>
      <w:numFmt w:val="lowerRoman"/>
      <w:lvlText w:val="%3."/>
      <w:lvlJc w:val="right"/>
      <w:pPr>
        <w:ind w:left="1970" w:hanging="180"/>
      </w:pPr>
    </w:lvl>
    <w:lvl w:ilvl="3" w:tplc="240A000F" w:tentative="1">
      <w:start w:val="1"/>
      <w:numFmt w:val="decimal"/>
      <w:lvlText w:val="%4."/>
      <w:lvlJc w:val="left"/>
      <w:pPr>
        <w:ind w:left="2690" w:hanging="360"/>
      </w:pPr>
    </w:lvl>
    <w:lvl w:ilvl="4" w:tplc="240A0019" w:tentative="1">
      <w:start w:val="1"/>
      <w:numFmt w:val="lowerLetter"/>
      <w:lvlText w:val="%5."/>
      <w:lvlJc w:val="left"/>
      <w:pPr>
        <w:ind w:left="3410" w:hanging="360"/>
      </w:pPr>
    </w:lvl>
    <w:lvl w:ilvl="5" w:tplc="240A001B" w:tentative="1">
      <w:start w:val="1"/>
      <w:numFmt w:val="lowerRoman"/>
      <w:lvlText w:val="%6."/>
      <w:lvlJc w:val="right"/>
      <w:pPr>
        <w:ind w:left="4130" w:hanging="180"/>
      </w:pPr>
    </w:lvl>
    <w:lvl w:ilvl="6" w:tplc="240A000F" w:tentative="1">
      <w:start w:val="1"/>
      <w:numFmt w:val="decimal"/>
      <w:lvlText w:val="%7."/>
      <w:lvlJc w:val="left"/>
      <w:pPr>
        <w:ind w:left="4850" w:hanging="360"/>
      </w:pPr>
    </w:lvl>
    <w:lvl w:ilvl="7" w:tplc="240A0019" w:tentative="1">
      <w:start w:val="1"/>
      <w:numFmt w:val="lowerLetter"/>
      <w:lvlText w:val="%8."/>
      <w:lvlJc w:val="left"/>
      <w:pPr>
        <w:ind w:left="5570" w:hanging="360"/>
      </w:pPr>
    </w:lvl>
    <w:lvl w:ilvl="8" w:tplc="240A001B" w:tentative="1">
      <w:start w:val="1"/>
      <w:numFmt w:val="lowerRoman"/>
      <w:lvlText w:val="%9."/>
      <w:lvlJc w:val="right"/>
      <w:pPr>
        <w:ind w:left="6290" w:hanging="180"/>
      </w:pPr>
    </w:lvl>
  </w:abstractNum>
  <w:abstractNum w:abstractNumId="31">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2">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7B6A5BBE"/>
    <w:multiLevelType w:val="hybridMultilevel"/>
    <w:tmpl w:val="6FC8D6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8"/>
  </w:num>
  <w:num w:numId="2">
    <w:abstractNumId w:val="3"/>
  </w:num>
  <w:num w:numId="3">
    <w:abstractNumId w:val="31"/>
  </w:num>
  <w:num w:numId="4">
    <w:abstractNumId w:val="10"/>
  </w:num>
  <w:num w:numId="5">
    <w:abstractNumId w:val="22"/>
  </w:num>
  <w:num w:numId="6">
    <w:abstractNumId w:val="1"/>
  </w:num>
  <w:num w:numId="7">
    <w:abstractNumId w:val="0"/>
  </w:num>
  <w:num w:numId="8">
    <w:abstractNumId w:val="25"/>
  </w:num>
  <w:num w:numId="9">
    <w:abstractNumId w:val="23"/>
  </w:num>
  <w:num w:numId="10">
    <w:abstractNumId w:val="19"/>
  </w:num>
  <w:num w:numId="11">
    <w:abstractNumId w:val="32"/>
  </w:num>
  <w:num w:numId="12">
    <w:abstractNumId w:val="29"/>
  </w:num>
  <w:num w:numId="13">
    <w:abstractNumId w:val="15"/>
  </w:num>
  <w:num w:numId="14">
    <w:abstractNumId w:val="5"/>
  </w:num>
  <w:num w:numId="15">
    <w:abstractNumId w:val="9"/>
  </w:num>
  <w:num w:numId="16">
    <w:abstractNumId w:val="8"/>
  </w:num>
  <w:num w:numId="17">
    <w:abstractNumId w:val="17"/>
  </w:num>
  <w:num w:numId="18">
    <w:abstractNumId w:val="27"/>
  </w:num>
  <w:num w:numId="19">
    <w:abstractNumId w:val="14"/>
  </w:num>
  <w:num w:numId="20">
    <w:abstractNumId w:val="16"/>
  </w:num>
  <w:num w:numId="21">
    <w:abstractNumId w:val="4"/>
  </w:num>
  <w:num w:numId="22">
    <w:abstractNumId w:val="20"/>
  </w:num>
  <w:num w:numId="23">
    <w:abstractNumId w:val="30"/>
  </w:num>
  <w:num w:numId="24">
    <w:abstractNumId w:val="26"/>
  </w:num>
  <w:num w:numId="25">
    <w:abstractNumId w:val="13"/>
  </w:num>
  <w:num w:numId="26">
    <w:abstractNumId w:val="11"/>
  </w:num>
  <w:num w:numId="27">
    <w:abstractNumId w:val="12"/>
  </w:num>
  <w:num w:numId="28">
    <w:abstractNumId w:val="21"/>
  </w:num>
  <w:num w:numId="29">
    <w:abstractNumId w:val="7"/>
  </w:num>
  <w:num w:numId="30">
    <w:abstractNumId w:val="28"/>
  </w:num>
  <w:num w:numId="31">
    <w:abstractNumId w:val="2"/>
  </w:num>
  <w:num w:numId="32">
    <w:abstractNumId w:val="6"/>
  </w:num>
  <w:num w:numId="33">
    <w:abstractNumId w:val="24"/>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6AE2"/>
    <w:rsid w:val="000076A1"/>
    <w:rsid w:val="000170F4"/>
    <w:rsid w:val="00017C80"/>
    <w:rsid w:val="00025383"/>
    <w:rsid w:val="000374C7"/>
    <w:rsid w:val="00045A70"/>
    <w:rsid w:val="00047121"/>
    <w:rsid w:val="00052EE6"/>
    <w:rsid w:val="00063657"/>
    <w:rsid w:val="000660F1"/>
    <w:rsid w:val="000701C5"/>
    <w:rsid w:val="00073C48"/>
    <w:rsid w:val="00076643"/>
    <w:rsid w:val="00076680"/>
    <w:rsid w:val="00077A2B"/>
    <w:rsid w:val="0008073E"/>
    <w:rsid w:val="00083389"/>
    <w:rsid w:val="00083603"/>
    <w:rsid w:val="00087F5F"/>
    <w:rsid w:val="00091CDB"/>
    <w:rsid w:val="000A19AC"/>
    <w:rsid w:val="000A1F5E"/>
    <w:rsid w:val="000C4E08"/>
    <w:rsid w:val="000C6857"/>
    <w:rsid w:val="000C6AAC"/>
    <w:rsid w:val="000D1DDF"/>
    <w:rsid w:val="000D26F8"/>
    <w:rsid w:val="000D55D5"/>
    <w:rsid w:val="000D5E22"/>
    <w:rsid w:val="000E2580"/>
    <w:rsid w:val="000E4BA9"/>
    <w:rsid w:val="001009B4"/>
    <w:rsid w:val="00112D58"/>
    <w:rsid w:val="00115262"/>
    <w:rsid w:val="00117EE2"/>
    <w:rsid w:val="001232CD"/>
    <w:rsid w:val="00123F54"/>
    <w:rsid w:val="001332AC"/>
    <w:rsid w:val="00136A8E"/>
    <w:rsid w:val="001405C6"/>
    <w:rsid w:val="00141013"/>
    <w:rsid w:val="00150151"/>
    <w:rsid w:val="00162B93"/>
    <w:rsid w:val="00163797"/>
    <w:rsid w:val="00165352"/>
    <w:rsid w:val="00184AA7"/>
    <w:rsid w:val="00190880"/>
    <w:rsid w:val="00192CBF"/>
    <w:rsid w:val="00192FF1"/>
    <w:rsid w:val="001972AD"/>
    <w:rsid w:val="001A18CE"/>
    <w:rsid w:val="001A5F1B"/>
    <w:rsid w:val="001A758C"/>
    <w:rsid w:val="001B1752"/>
    <w:rsid w:val="001B1C22"/>
    <w:rsid w:val="001B34C6"/>
    <w:rsid w:val="001C527C"/>
    <w:rsid w:val="001C5355"/>
    <w:rsid w:val="001D7832"/>
    <w:rsid w:val="001E360D"/>
    <w:rsid w:val="001E6C65"/>
    <w:rsid w:val="001F17FF"/>
    <w:rsid w:val="001F77E4"/>
    <w:rsid w:val="001F780F"/>
    <w:rsid w:val="002073B8"/>
    <w:rsid w:val="00211D34"/>
    <w:rsid w:val="00214F04"/>
    <w:rsid w:val="00227116"/>
    <w:rsid w:val="00230318"/>
    <w:rsid w:val="0023309C"/>
    <w:rsid w:val="00241FF5"/>
    <w:rsid w:val="0024490F"/>
    <w:rsid w:val="0025652B"/>
    <w:rsid w:val="00262013"/>
    <w:rsid w:val="00266CD6"/>
    <w:rsid w:val="002725F5"/>
    <w:rsid w:val="00277793"/>
    <w:rsid w:val="002852CB"/>
    <w:rsid w:val="00286AB0"/>
    <w:rsid w:val="00290BD4"/>
    <w:rsid w:val="0029375D"/>
    <w:rsid w:val="002A19A0"/>
    <w:rsid w:val="002A2365"/>
    <w:rsid w:val="002B11E2"/>
    <w:rsid w:val="002B1E8F"/>
    <w:rsid w:val="002B24B8"/>
    <w:rsid w:val="002B45E3"/>
    <w:rsid w:val="002B5BBE"/>
    <w:rsid w:val="002C04A7"/>
    <w:rsid w:val="002C24A8"/>
    <w:rsid w:val="002D375C"/>
    <w:rsid w:val="002D3AE9"/>
    <w:rsid w:val="002D5E14"/>
    <w:rsid w:val="002E4FCA"/>
    <w:rsid w:val="002F05A4"/>
    <w:rsid w:val="002F0734"/>
    <w:rsid w:val="002F46E7"/>
    <w:rsid w:val="002F5196"/>
    <w:rsid w:val="002F768A"/>
    <w:rsid w:val="0030405F"/>
    <w:rsid w:val="003101DA"/>
    <w:rsid w:val="00314757"/>
    <w:rsid w:val="003211CE"/>
    <w:rsid w:val="003309B3"/>
    <w:rsid w:val="00336D06"/>
    <w:rsid w:val="00350ECC"/>
    <w:rsid w:val="0036394B"/>
    <w:rsid w:val="003709B5"/>
    <w:rsid w:val="0037171B"/>
    <w:rsid w:val="0037249A"/>
    <w:rsid w:val="003759C2"/>
    <w:rsid w:val="00397365"/>
    <w:rsid w:val="003A18EB"/>
    <w:rsid w:val="003A31F6"/>
    <w:rsid w:val="003B25BC"/>
    <w:rsid w:val="003B3FC7"/>
    <w:rsid w:val="003B6778"/>
    <w:rsid w:val="003C3447"/>
    <w:rsid w:val="003C6DD4"/>
    <w:rsid w:val="003D076C"/>
    <w:rsid w:val="003D2C3F"/>
    <w:rsid w:val="003E555D"/>
    <w:rsid w:val="003F6BC0"/>
    <w:rsid w:val="003F737E"/>
    <w:rsid w:val="00401AB2"/>
    <w:rsid w:val="004028F3"/>
    <w:rsid w:val="00414B60"/>
    <w:rsid w:val="00415BAB"/>
    <w:rsid w:val="00415ED2"/>
    <w:rsid w:val="004216F3"/>
    <w:rsid w:val="00434D05"/>
    <w:rsid w:val="00435ACA"/>
    <w:rsid w:val="00442C7E"/>
    <w:rsid w:val="00443E1F"/>
    <w:rsid w:val="00445707"/>
    <w:rsid w:val="00446C8B"/>
    <w:rsid w:val="00447D79"/>
    <w:rsid w:val="0045003B"/>
    <w:rsid w:val="0046483A"/>
    <w:rsid w:val="00465A28"/>
    <w:rsid w:val="00466996"/>
    <w:rsid w:val="00467C0B"/>
    <w:rsid w:val="0047122B"/>
    <w:rsid w:val="00473B7A"/>
    <w:rsid w:val="004809FB"/>
    <w:rsid w:val="00482D48"/>
    <w:rsid w:val="00483093"/>
    <w:rsid w:val="00484E2D"/>
    <w:rsid w:val="004A1CF6"/>
    <w:rsid w:val="004A2E88"/>
    <w:rsid w:val="004A5305"/>
    <w:rsid w:val="004A63E2"/>
    <w:rsid w:val="004C0F0C"/>
    <w:rsid w:val="004C2C99"/>
    <w:rsid w:val="004D45B7"/>
    <w:rsid w:val="004D7634"/>
    <w:rsid w:val="004E15CF"/>
    <w:rsid w:val="004F70F0"/>
    <w:rsid w:val="00515779"/>
    <w:rsid w:val="005300D3"/>
    <w:rsid w:val="005372D5"/>
    <w:rsid w:val="00544F82"/>
    <w:rsid w:val="0055084E"/>
    <w:rsid w:val="00556CF9"/>
    <w:rsid w:val="00556FDF"/>
    <w:rsid w:val="00561715"/>
    <w:rsid w:val="005623E1"/>
    <w:rsid w:val="0056476A"/>
    <w:rsid w:val="005748E9"/>
    <w:rsid w:val="00593C4F"/>
    <w:rsid w:val="005946A8"/>
    <w:rsid w:val="00597E59"/>
    <w:rsid w:val="005A1A8D"/>
    <w:rsid w:val="005A4407"/>
    <w:rsid w:val="005A59EF"/>
    <w:rsid w:val="005B5BE4"/>
    <w:rsid w:val="005B78A9"/>
    <w:rsid w:val="005C1177"/>
    <w:rsid w:val="005D5486"/>
    <w:rsid w:val="005D6AF6"/>
    <w:rsid w:val="005F05E0"/>
    <w:rsid w:val="0060237D"/>
    <w:rsid w:val="00617704"/>
    <w:rsid w:val="00623B3E"/>
    <w:rsid w:val="00625DC6"/>
    <w:rsid w:val="00627C78"/>
    <w:rsid w:val="00651821"/>
    <w:rsid w:val="00653557"/>
    <w:rsid w:val="00654384"/>
    <w:rsid w:val="006553DA"/>
    <w:rsid w:val="00657CD2"/>
    <w:rsid w:val="00663D20"/>
    <w:rsid w:val="006675CD"/>
    <w:rsid w:val="0067106A"/>
    <w:rsid w:val="006710AF"/>
    <w:rsid w:val="00684D9B"/>
    <w:rsid w:val="00687C56"/>
    <w:rsid w:val="00697556"/>
    <w:rsid w:val="006A2E15"/>
    <w:rsid w:val="006A6322"/>
    <w:rsid w:val="006B4C2B"/>
    <w:rsid w:val="006B6D47"/>
    <w:rsid w:val="006C02AF"/>
    <w:rsid w:val="006C3E12"/>
    <w:rsid w:val="006C6918"/>
    <w:rsid w:val="006C6CE8"/>
    <w:rsid w:val="006D16E5"/>
    <w:rsid w:val="006E0F1B"/>
    <w:rsid w:val="006F08E2"/>
    <w:rsid w:val="006F5186"/>
    <w:rsid w:val="006F6D95"/>
    <w:rsid w:val="006F7AAC"/>
    <w:rsid w:val="0070015E"/>
    <w:rsid w:val="00706AA0"/>
    <w:rsid w:val="00706F13"/>
    <w:rsid w:val="007072E8"/>
    <w:rsid w:val="00712417"/>
    <w:rsid w:val="0071618D"/>
    <w:rsid w:val="00722C2D"/>
    <w:rsid w:val="00725BA4"/>
    <w:rsid w:val="00725FA4"/>
    <w:rsid w:val="00740446"/>
    <w:rsid w:val="007438A9"/>
    <w:rsid w:val="0074491E"/>
    <w:rsid w:val="00751664"/>
    <w:rsid w:val="00755783"/>
    <w:rsid w:val="00771124"/>
    <w:rsid w:val="00772693"/>
    <w:rsid w:val="00775964"/>
    <w:rsid w:val="007763DC"/>
    <w:rsid w:val="00776C34"/>
    <w:rsid w:val="007809FF"/>
    <w:rsid w:val="00783120"/>
    <w:rsid w:val="00795BFB"/>
    <w:rsid w:val="00796B49"/>
    <w:rsid w:val="007A4672"/>
    <w:rsid w:val="007A540F"/>
    <w:rsid w:val="007A6A98"/>
    <w:rsid w:val="007B00BB"/>
    <w:rsid w:val="007B2760"/>
    <w:rsid w:val="007B30C4"/>
    <w:rsid w:val="007C2921"/>
    <w:rsid w:val="007C3AAF"/>
    <w:rsid w:val="007E379B"/>
    <w:rsid w:val="007E5258"/>
    <w:rsid w:val="00806C01"/>
    <w:rsid w:val="0081464F"/>
    <w:rsid w:val="008148CC"/>
    <w:rsid w:val="008211A4"/>
    <w:rsid w:val="0083440D"/>
    <w:rsid w:val="008420D6"/>
    <w:rsid w:val="00842572"/>
    <w:rsid w:val="00843511"/>
    <w:rsid w:val="0084375E"/>
    <w:rsid w:val="00873150"/>
    <w:rsid w:val="0087657D"/>
    <w:rsid w:val="008807D5"/>
    <w:rsid w:val="00880832"/>
    <w:rsid w:val="00880C11"/>
    <w:rsid w:val="0088221A"/>
    <w:rsid w:val="00883035"/>
    <w:rsid w:val="00886EE1"/>
    <w:rsid w:val="0088727D"/>
    <w:rsid w:val="00891BA1"/>
    <w:rsid w:val="00897C75"/>
    <w:rsid w:val="008A49CF"/>
    <w:rsid w:val="008D0D1C"/>
    <w:rsid w:val="008D13AD"/>
    <w:rsid w:val="008D18E6"/>
    <w:rsid w:val="008D469B"/>
    <w:rsid w:val="008D54D1"/>
    <w:rsid w:val="008D55B6"/>
    <w:rsid w:val="008D7A9B"/>
    <w:rsid w:val="008E76E0"/>
    <w:rsid w:val="008F21F6"/>
    <w:rsid w:val="008F3710"/>
    <w:rsid w:val="008F3D28"/>
    <w:rsid w:val="008F755E"/>
    <w:rsid w:val="00901A6A"/>
    <w:rsid w:val="00902045"/>
    <w:rsid w:val="0092615A"/>
    <w:rsid w:val="00936470"/>
    <w:rsid w:val="00944E6A"/>
    <w:rsid w:val="00946888"/>
    <w:rsid w:val="00951F79"/>
    <w:rsid w:val="00952CB0"/>
    <w:rsid w:val="0097377D"/>
    <w:rsid w:val="00974AB5"/>
    <w:rsid w:val="0098706D"/>
    <w:rsid w:val="00987432"/>
    <w:rsid w:val="0099021D"/>
    <w:rsid w:val="00992C0E"/>
    <w:rsid w:val="009935FB"/>
    <w:rsid w:val="009A20CD"/>
    <w:rsid w:val="009C528C"/>
    <w:rsid w:val="009C71C5"/>
    <w:rsid w:val="009C7370"/>
    <w:rsid w:val="009C76E6"/>
    <w:rsid w:val="009D0419"/>
    <w:rsid w:val="009D1513"/>
    <w:rsid w:val="009E03F7"/>
    <w:rsid w:val="009E3C14"/>
    <w:rsid w:val="009F0269"/>
    <w:rsid w:val="009F062B"/>
    <w:rsid w:val="009F366C"/>
    <w:rsid w:val="009F4A54"/>
    <w:rsid w:val="009F4BEC"/>
    <w:rsid w:val="009F4CD4"/>
    <w:rsid w:val="00A2078C"/>
    <w:rsid w:val="00A23EFD"/>
    <w:rsid w:val="00A25248"/>
    <w:rsid w:val="00A25FD7"/>
    <w:rsid w:val="00A33EC9"/>
    <w:rsid w:val="00A36A6D"/>
    <w:rsid w:val="00A43AFF"/>
    <w:rsid w:val="00A50220"/>
    <w:rsid w:val="00A63D69"/>
    <w:rsid w:val="00A657E2"/>
    <w:rsid w:val="00A7793A"/>
    <w:rsid w:val="00A81615"/>
    <w:rsid w:val="00A91BB2"/>
    <w:rsid w:val="00A94677"/>
    <w:rsid w:val="00AA5706"/>
    <w:rsid w:val="00AB1B29"/>
    <w:rsid w:val="00AB6AB7"/>
    <w:rsid w:val="00AD01E4"/>
    <w:rsid w:val="00AD0858"/>
    <w:rsid w:val="00AD0E56"/>
    <w:rsid w:val="00AD526C"/>
    <w:rsid w:val="00AE5125"/>
    <w:rsid w:val="00AE6EBB"/>
    <w:rsid w:val="00AE7340"/>
    <w:rsid w:val="00AF1BBD"/>
    <w:rsid w:val="00B00479"/>
    <w:rsid w:val="00B10207"/>
    <w:rsid w:val="00B10B63"/>
    <w:rsid w:val="00B138CD"/>
    <w:rsid w:val="00B141E7"/>
    <w:rsid w:val="00B144FC"/>
    <w:rsid w:val="00B25763"/>
    <w:rsid w:val="00B33D6D"/>
    <w:rsid w:val="00B46BCA"/>
    <w:rsid w:val="00B6218D"/>
    <w:rsid w:val="00B63E79"/>
    <w:rsid w:val="00B67AC2"/>
    <w:rsid w:val="00B80FF3"/>
    <w:rsid w:val="00B87806"/>
    <w:rsid w:val="00B87EC9"/>
    <w:rsid w:val="00B9127F"/>
    <w:rsid w:val="00B978DC"/>
    <w:rsid w:val="00BA4817"/>
    <w:rsid w:val="00BC28AA"/>
    <w:rsid w:val="00BC38FD"/>
    <w:rsid w:val="00BE2A9B"/>
    <w:rsid w:val="00BE3449"/>
    <w:rsid w:val="00BE3502"/>
    <w:rsid w:val="00C00B83"/>
    <w:rsid w:val="00C034CB"/>
    <w:rsid w:val="00C051A8"/>
    <w:rsid w:val="00C054BC"/>
    <w:rsid w:val="00C07B6B"/>
    <w:rsid w:val="00C16B95"/>
    <w:rsid w:val="00C17897"/>
    <w:rsid w:val="00C219A0"/>
    <w:rsid w:val="00C409D5"/>
    <w:rsid w:val="00C532BD"/>
    <w:rsid w:val="00C57F3E"/>
    <w:rsid w:val="00C60705"/>
    <w:rsid w:val="00C60926"/>
    <w:rsid w:val="00C61EF3"/>
    <w:rsid w:val="00C6234B"/>
    <w:rsid w:val="00C63EAE"/>
    <w:rsid w:val="00C73897"/>
    <w:rsid w:val="00C750CA"/>
    <w:rsid w:val="00C7629F"/>
    <w:rsid w:val="00C76CBA"/>
    <w:rsid w:val="00C8661B"/>
    <w:rsid w:val="00C90E95"/>
    <w:rsid w:val="00C91049"/>
    <w:rsid w:val="00C93E07"/>
    <w:rsid w:val="00CA139A"/>
    <w:rsid w:val="00CA1B9D"/>
    <w:rsid w:val="00CA2107"/>
    <w:rsid w:val="00CA2899"/>
    <w:rsid w:val="00CA3103"/>
    <w:rsid w:val="00CA4006"/>
    <w:rsid w:val="00CA6136"/>
    <w:rsid w:val="00CA77FB"/>
    <w:rsid w:val="00CB1C0B"/>
    <w:rsid w:val="00CB26E6"/>
    <w:rsid w:val="00CB379B"/>
    <w:rsid w:val="00CB5DD0"/>
    <w:rsid w:val="00CC2BBE"/>
    <w:rsid w:val="00CC51D4"/>
    <w:rsid w:val="00CC5A42"/>
    <w:rsid w:val="00CC65DA"/>
    <w:rsid w:val="00CD08B3"/>
    <w:rsid w:val="00CD4C08"/>
    <w:rsid w:val="00CD5AF2"/>
    <w:rsid w:val="00CE74EE"/>
    <w:rsid w:val="00CF032A"/>
    <w:rsid w:val="00CF1096"/>
    <w:rsid w:val="00CF21B9"/>
    <w:rsid w:val="00CF3DB0"/>
    <w:rsid w:val="00CF57CB"/>
    <w:rsid w:val="00CF6BF9"/>
    <w:rsid w:val="00D0082C"/>
    <w:rsid w:val="00D0251E"/>
    <w:rsid w:val="00D03800"/>
    <w:rsid w:val="00D065D3"/>
    <w:rsid w:val="00D0698C"/>
    <w:rsid w:val="00D10034"/>
    <w:rsid w:val="00D14C94"/>
    <w:rsid w:val="00D15C73"/>
    <w:rsid w:val="00D26540"/>
    <w:rsid w:val="00D271EE"/>
    <w:rsid w:val="00D342A6"/>
    <w:rsid w:val="00D431F0"/>
    <w:rsid w:val="00D464BF"/>
    <w:rsid w:val="00D52C0D"/>
    <w:rsid w:val="00D53E26"/>
    <w:rsid w:val="00D57B58"/>
    <w:rsid w:val="00D63F9E"/>
    <w:rsid w:val="00D70055"/>
    <w:rsid w:val="00D74143"/>
    <w:rsid w:val="00D84580"/>
    <w:rsid w:val="00D94FF6"/>
    <w:rsid w:val="00DA0098"/>
    <w:rsid w:val="00DC2D8D"/>
    <w:rsid w:val="00DD4F0E"/>
    <w:rsid w:val="00DD7CE1"/>
    <w:rsid w:val="00E05E0A"/>
    <w:rsid w:val="00E10FCD"/>
    <w:rsid w:val="00E13AD0"/>
    <w:rsid w:val="00E2754D"/>
    <w:rsid w:val="00E36613"/>
    <w:rsid w:val="00E534CF"/>
    <w:rsid w:val="00E60327"/>
    <w:rsid w:val="00E6127B"/>
    <w:rsid w:val="00E64AB7"/>
    <w:rsid w:val="00E7010B"/>
    <w:rsid w:val="00E70DAB"/>
    <w:rsid w:val="00E70E93"/>
    <w:rsid w:val="00E81CB4"/>
    <w:rsid w:val="00E8432B"/>
    <w:rsid w:val="00E8585B"/>
    <w:rsid w:val="00E917A3"/>
    <w:rsid w:val="00EA3F15"/>
    <w:rsid w:val="00EA7847"/>
    <w:rsid w:val="00EB3A2D"/>
    <w:rsid w:val="00EC1A6D"/>
    <w:rsid w:val="00ED28F7"/>
    <w:rsid w:val="00EE0A5F"/>
    <w:rsid w:val="00EE2E6E"/>
    <w:rsid w:val="00EE731E"/>
    <w:rsid w:val="00EF401F"/>
    <w:rsid w:val="00F0218F"/>
    <w:rsid w:val="00F0759E"/>
    <w:rsid w:val="00F171C4"/>
    <w:rsid w:val="00F26D5B"/>
    <w:rsid w:val="00F31DF3"/>
    <w:rsid w:val="00F4428F"/>
    <w:rsid w:val="00F514F1"/>
    <w:rsid w:val="00F63CF5"/>
    <w:rsid w:val="00F6523D"/>
    <w:rsid w:val="00F666E8"/>
    <w:rsid w:val="00F73086"/>
    <w:rsid w:val="00F7411A"/>
    <w:rsid w:val="00F763C8"/>
    <w:rsid w:val="00F821A3"/>
    <w:rsid w:val="00F86BD2"/>
    <w:rsid w:val="00F9314A"/>
    <w:rsid w:val="00FA15B4"/>
    <w:rsid w:val="00FA5C8E"/>
    <w:rsid w:val="00FA7637"/>
    <w:rsid w:val="00FB239F"/>
    <w:rsid w:val="00FB7F69"/>
    <w:rsid w:val="00FC58EF"/>
    <w:rsid w:val="00FC5982"/>
    <w:rsid w:val="00FC6364"/>
    <w:rsid w:val="00FD0329"/>
    <w:rsid w:val="00FD33DF"/>
    <w:rsid w:val="00FE2A94"/>
    <w:rsid w:val="00FE39D7"/>
    <w:rsid w:val="00FE6739"/>
    <w:rsid w:val="00FE723F"/>
    <w:rsid w:val="00FF48D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semiHidden/>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101DA"/>
    <w:pPr>
      <w:tabs>
        <w:tab w:val="center" w:pos="4252"/>
        <w:tab w:val="right" w:pos="8504"/>
      </w:tabs>
    </w:pPr>
    <w:rPr>
      <w:rFonts w:ascii="CG Times" w:hAnsi="CG Times"/>
      <w:szCs w:val="20"/>
      <w:lang w:val="es-CO"/>
    </w:rPr>
  </w:style>
  <w:style w:type="paragraph" w:styleId="Piedepgina">
    <w:name w:val="footer"/>
    <w:basedOn w:val="Normal"/>
    <w:link w:val="PiedepginaCar"/>
    <w:uiPriority w:val="99"/>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uiPriority w:val="99"/>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semiHidden/>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ar">
    <w:name w:val="Título 6 Car"/>
    <w:basedOn w:val="Fuentedeprrafopredeter"/>
    <w:link w:val="Ttulo6"/>
    <w:uiPriority w:val="9"/>
    <w:semiHidden/>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styleId="Hipervnculo">
    <w:name w:val="Hyperlink"/>
    <w:basedOn w:val="Fuentedeprrafopredeter"/>
    <w:uiPriority w:val="99"/>
    <w:unhideWhenUsed/>
    <w:rsid w:val="0083440D"/>
    <w:rPr>
      <w:color w:val="0000FF"/>
      <w:u w:val="single"/>
    </w:rPr>
  </w:style>
  <w:style w:type="character" w:customStyle="1" w:styleId="textotitulonorma">
    <w:name w:val="textotitulonorma"/>
    <w:basedOn w:val="Fuentedeprrafopredeter"/>
    <w:rsid w:val="0083440D"/>
  </w:style>
  <w:style w:type="paragraph" w:customStyle="1" w:styleId="Car">
    <w:name w:val="Car"/>
    <w:basedOn w:val="Normal"/>
    <w:rsid w:val="00944E6A"/>
    <w:pPr>
      <w:spacing w:after="160" w:line="240" w:lineRule="exact"/>
      <w:ind w:left="0"/>
    </w:pPr>
    <w:rPr>
      <w:noProof/>
      <w:color w:val="000000"/>
      <w:sz w:val="20"/>
      <w:szCs w:val="20"/>
      <w:lang w:val="es-CO"/>
    </w:rPr>
  </w:style>
  <w:style w:type="paragraph" w:styleId="NormalWeb">
    <w:name w:val="Normal (Web)"/>
    <w:basedOn w:val="Normal"/>
    <w:uiPriority w:val="99"/>
    <w:unhideWhenUsed/>
    <w:rsid w:val="007809FF"/>
    <w:pPr>
      <w:spacing w:before="100" w:beforeAutospacing="1" w:after="100" w:afterAutospacing="1"/>
      <w:ind w:left="0"/>
    </w:pPr>
    <w:rPr>
      <w:lang w:val="es-CO" w:eastAsia="es-CO"/>
    </w:rPr>
  </w:style>
  <w:style w:type="paragraph" w:customStyle="1" w:styleId="Default">
    <w:name w:val="Default"/>
    <w:rsid w:val="00755783"/>
    <w:pPr>
      <w:autoSpaceDE w:val="0"/>
      <w:autoSpaceDN w:val="0"/>
      <w:adjustRightInd w:val="0"/>
    </w:pPr>
    <w:rPr>
      <w:rFonts w:ascii="Arial" w:eastAsiaTheme="minorHAnsi" w:hAnsi="Arial" w:cs="Arial"/>
      <w:color w:val="000000"/>
      <w:sz w:val="24"/>
      <w:szCs w:val="24"/>
      <w:lang w:val="es-CO" w:eastAsia="en-US"/>
    </w:rPr>
  </w:style>
  <w:style w:type="character" w:customStyle="1" w:styleId="PiedepginaCar">
    <w:name w:val="Pie de página Car"/>
    <w:basedOn w:val="Fuentedeprrafopredeter"/>
    <w:link w:val="Piedepgina"/>
    <w:uiPriority w:val="99"/>
    <w:rsid w:val="004216F3"/>
    <w:rPr>
      <w:sz w:val="24"/>
      <w:szCs w:val="24"/>
    </w:rPr>
  </w:style>
  <w:style w:type="paragraph" w:styleId="Textonotapie">
    <w:name w:val="footnote text"/>
    <w:basedOn w:val="Normal"/>
    <w:link w:val="TextonotapieCar"/>
    <w:uiPriority w:val="99"/>
    <w:semiHidden/>
    <w:unhideWhenUsed/>
    <w:rsid w:val="00FB7F69"/>
    <w:rPr>
      <w:sz w:val="20"/>
      <w:szCs w:val="20"/>
    </w:rPr>
  </w:style>
  <w:style w:type="character" w:customStyle="1" w:styleId="TextonotapieCar">
    <w:name w:val="Texto nota pie Car"/>
    <w:basedOn w:val="Fuentedeprrafopredeter"/>
    <w:link w:val="Textonotapie"/>
    <w:uiPriority w:val="99"/>
    <w:semiHidden/>
    <w:rsid w:val="00FB7F69"/>
  </w:style>
  <w:style w:type="character" w:styleId="Refdenotaalpie">
    <w:name w:val="footnote reference"/>
    <w:basedOn w:val="Fuentedeprrafopredeter"/>
    <w:uiPriority w:val="99"/>
    <w:semiHidden/>
    <w:unhideWhenUsed/>
    <w:rsid w:val="00FB7F6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semiHidden/>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101DA"/>
    <w:pPr>
      <w:tabs>
        <w:tab w:val="center" w:pos="4252"/>
        <w:tab w:val="right" w:pos="8504"/>
      </w:tabs>
    </w:pPr>
    <w:rPr>
      <w:rFonts w:ascii="CG Times" w:hAnsi="CG Times"/>
      <w:szCs w:val="20"/>
      <w:lang w:val="es-CO"/>
    </w:rPr>
  </w:style>
  <w:style w:type="paragraph" w:styleId="Piedepgina">
    <w:name w:val="footer"/>
    <w:basedOn w:val="Normal"/>
    <w:link w:val="PiedepginaCar"/>
    <w:uiPriority w:val="99"/>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uiPriority w:val="99"/>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semiHidden/>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ar">
    <w:name w:val="Título 6 Car"/>
    <w:basedOn w:val="Fuentedeprrafopredeter"/>
    <w:link w:val="Ttulo6"/>
    <w:uiPriority w:val="9"/>
    <w:semiHidden/>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styleId="Hipervnculo">
    <w:name w:val="Hyperlink"/>
    <w:basedOn w:val="Fuentedeprrafopredeter"/>
    <w:uiPriority w:val="99"/>
    <w:unhideWhenUsed/>
    <w:rsid w:val="0083440D"/>
    <w:rPr>
      <w:color w:val="0000FF"/>
      <w:u w:val="single"/>
    </w:rPr>
  </w:style>
  <w:style w:type="character" w:customStyle="1" w:styleId="textotitulonorma">
    <w:name w:val="textotitulonorma"/>
    <w:basedOn w:val="Fuentedeprrafopredeter"/>
    <w:rsid w:val="0083440D"/>
  </w:style>
  <w:style w:type="paragraph" w:customStyle="1" w:styleId="Car">
    <w:name w:val="Car"/>
    <w:basedOn w:val="Normal"/>
    <w:rsid w:val="00944E6A"/>
    <w:pPr>
      <w:spacing w:after="160" w:line="240" w:lineRule="exact"/>
      <w:ind w:left="0"/>
    </w:pPr>
    <w:rPr>
      <w:noProof/>
      <w:color w:val="000000"/>
      <w:sz w:val="20"/>
      <w:szCs w:val="20"/>
      <w:lang w:val="es-CO"/>
    </w:rPr>
  </w:style>
  <w:style w:type="paragraph" w:styleId="NormalWeb">
    <w:name w:val="Normal (Web)"/>
    <w:basedOn w:val="Normal"/>
    <w:uiPriority w:val="99"/>
    <w:unhideWhenUsed/>
    <w:rsid w:val="007809FF"/>
    <w:pPr>
      <w:spacing w:before="100" w:beforeAutospacing="1" w:after="100" w:afterAutospacing="1"/>
      <w:ind w:left="0"/>
    </w:pPr>
    <w:rPr>
      <w:lang w:val="es-CO" w:eastAsia="es-CO"/>
    </w:rPr>
  </w:style>
  <w:style w:type="paragraph" w:customStyle="1" w:styleId="Default">
    <w:name w:val="Default"/>
    <w:rsid w:val="00755783"/>
    <w:pPr>
      <w:autoSpaceDE w:val="0"/>
      <w:autoSpaceDN w:val="0"/>
      <w:adjustRightInd w:val="0"/>
    </w:pPr>
    <w:rPr>
      <w:rFonts w:ascii="Arial" w:eastAsiaTheme="minorHAnsi" w:hAnsi="Arial" w:cs="Arial"/>
      <w:color w:val="000000"/>
      <w:sz w:val="24"/>
      <w:szCs w:val="24"/>
      <w:lang w:val="es-CO" w:eastAsia="en-US"/>
    </w:rPr>
  </w:style>
  <w:style w:type="character" w:customStyle="1" w:styleId="PiedepginaCar">
    <w:name w:val="Pie de página Car"/>
    <w:basedOn w:val="Fuentedeprrafopredeter"/>
    <w:link w:val="Piedepgina"/>
    <w:uiPriority w:val="99"/>
    <w:rsid w:val="004216F3"/>
    <w:rPr>
      <w:sz w:val="24"/>
      <w:szCs w:val="24"/>
    </w:rPr>
  </w:style>
  <w:style w:type="paragraph" w:styleId="Textonotapie">
    <w:name w:val="footnote text"/>
    <w:basedOn w:val="Normal"/>
    <w:link w:val="TextonotapieCar"/>
    <w:uiPriority w:val="99"/>
    <w:semiHidden/>
    <w:unhideWhenUsed/>
    <w:rsid w:val="00FB7F69"/>
    <w:rPr>
      <w:sz w:val="20"/>
      <w:szCs w:val="20"/>
    </w:rPr>
  </w:style>
  <w:style w:type="character" w:customStyle="1" w:styleId="TextonotapieCar">
    <w:name w:val="Texto nota pie Car"/>
    <w:basedOn w:val="Fuentedeprrafopredeter"/>
    <w:link w:val="Textonotapie"/>
    <w:uiPriority w:val="99"/>
    <w:semiHidden/>
    <w:rsid w:val="00FB7F69"/>
  </w:style>
  <w:style w:type="character" w:styleId="Refdenotaalpie">
    <w:name w:val="footnote reference"/>
    <w:basedOn w:val="Fuentedeprrafopredeter"/>
    <w:uiPriority w:val="99"/>
    <w:semiHidden/>
    <w:unhideWhenUsed/>
    <w:rsid w:val="00FB7F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2343">
      <w:bodyDiv w:val="1"/>
      <w:marLeft w:val="0"/>
      <w:marRight w:val="0"/>
      <w:marTop w:val="0"/>
      <w:marBottom w:val="0"/>
      <w:divBdr>
        <w:top w:val="none" w:sz="0" w:space="0" w:color="auto"/>
        <w:left w:val="none" w:sz="0" w:space="0" w:color="auto"/>
        <w:bottom w:val="none" w:sz="0" w:space="0" w:color="auto"/>
        <w:right w:val="none" w:sz="0" w:space="0" w:color="auto"/>
      </w:divBdr>
    </w:div>
    <w:div w:id="31268760">
      <w:bodyDiv w:val="1"/>
      <w:marLeft w:val="0"/>
      <w:marRight w:val="0"/>
      <w:marTop w:val="0"/>
      <w:marBottom w:val="0"/>
      <w:divBdr>
        <w:top w:val="none" w:sz="0" w:space="0" w:color="auto"/>
        <w:left w:val="none" w:sz="0" w:space="0" w:color="auto"/>
        <w:bottom w:val="none" w:sz="0" w:space="0" w:color="auto"/>
        <w:right w:val="none" w:sz="0" w:space="0" w:color="auto"/>
      </w:divBdr>
    </w:div>
    <w:div w:id="140655591">
      <w:bodyDiv w:val="1"/>
      <w:marLeft w:val="0"/>
      <w:marRight w:val="0"/>
      <w:marTop w:val="0"/>
      <w:marBottom w:val="0"/>
      <w:divBdr>
        <w:top w:val="none" w:sz="0" w:space="0" w:color="auto"/>
        <w:left w:val="none" w:sz="0" w:space="0" w:color="auto"/>
        <w:bottom w:val="none" w:sz="0" w:space="0" w:color="auto"/>
        <w:right w:val="none" w:sz="0" w:space="0" w:color="auto"/>
      </w:divBdr>
      <w:divsChild>
        <w:div w:id="210192809">
          <w:marLeft w:val="0"/>
          <w:marRight w:val="0"/>
          <w:marTop w:val="0"/>
          <w:marBottom w:val="0"/>
          <w:divBdr>
            <w:top w:val="none" w:sz="0" w:space="0" w:color="auto"/>
            <w:left w:val="none" w:sz="0" w:space="0" w:color="auto"/>
            <w:bottom w:val="none" w:sz="0" w:space="0" w:color="auto"/>
            <w:right w:val="none" w:sz="0" w:space="0" w:color="auto"/>
          </w:divBdr>
          <w:divsChild>
            <w:div w:id="174374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608026">
      <w:bodyDiv w:val="1"/>
      <w:marLeft w:val="0"/>
      <w:marRight w:val="0"/>
      <w:marTop w:val="0"/>
      <w:marBottom w:val="0"/>
      <w:divBdr>
        <w:top w:val="none" w:sz="0" w:space="0" w:color="auto"/>
        <w:left w:val="none" w:sz="0" w:space="0" w:color="auto"/>
        <w:bottom w:val="none" w:sz="0" w:space="0" w:color="auto"/>
        <w:right w:val="none" w:sz="0" w:space="0" w:color="auto"/>
      </w:divBdr>
      <w:divsChild>
        <w:div w:id="1169952349">
          <w:marLeft w:val="0"/>
          <w:marRight w:val="0"/>
          <w:marTop w:val="0"/>
          <w:marBottom w:val="0"/>
          <w:divBdr>
            <w:top w:val="none" w:sz="0" w:space="0" w:color="auto"/>
            <w:left w:val="none" w:sz="0" w:space="0" w:color="auto"/>
            <w:bottom w:val="none" w:sz="0" w:space="0" w:color="auto"/>
            <w:right w:val="none" w:sz="0" w:space="0" w:color="auto"/>
          </w:divBdr>
          <w:divsChild>
            <w:div w:id="51415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444985">
      <w:bodyDiv w:val="1"/>
      <w:marLeft w:val="0"/>
      <w:marRight w:val="0"/>
      <w:marTop w:val="0"/>
      <w:marBottom w:val="0"/>
      <w:divBdr>
        <w:top w:val="none" w:sz="0" w:space="0" w:color="auto"/>
        <w:left w:val="none" w:sz="0" w:space="0" w:color="auto"/>
        <w:bottom w:val="none" w:sz="0" w:space="0" w:color="auto"/>
        <w:right w:val="none" w:sz="0" w:space="0" w:color="auto"/>
      </w:divBdr>
    </w:div>
    <w:div w:id="439835475">
      <w:bodyDiv w:val="1"/>
      <w:marLeft w:val="0"/>
      <w:marRight w:val="0"/>
      <w:marTop w:val="0"/>
      <w:marBottom w:val="0"/>
      <w:divBdr>
        <w:top w:val="none" w:sz="0" w:space="0" w:color="auto"/>
        <w:left w:val="none" w:sz="0" w:space="0" w:color="auto"/>
        <w:bottom w:val="none" w:sz="0" w:space="0" w:color="auto"/>
        <w:right w:val="none" w:sz="0" w:space="0" w:color="auto"/>
      </w:divBdr>
    </w:div>
    <w:div w:id="446589047">
      <w:bodyDiv w:val="1"/>
      <w:marLeft w:val="0"/>
      <w:marRight w:val="0"/>
      <w:marTop w:val="0"/>
      <w:marBottom w:val="0"/>
      <w:divBdr>
        <w:top w:val="none" w:sz="0" w:space="0" w:color="auto"/>
        <w:left w:val="none" w:sz="0" w:space="0" w:color="auto"/>
        <w:bottom w:val="none" w:sz="0" w:space="0" w:color="auto"/>
        <w:right w:val="none" w:sz="0" w:space="0" w:color="auto"/>
      </w:divBdr>
    </w:div>
    <w:div w:id="480584321">
      <w:bodyDiv w:val="1"/>
      <w:marLeft w:val="0"/>
      <w:marRight w:val="0"/>
      <w:marTop w:val="0"/>
      <w:marBottom w:val="0"/>
      <w:divBdr>
        <w:top w:val="none" w:sz="0" w:space="0" w:color="auto"/>
        <w:left w:val="none" w:sz="0" w:space="0" w:color="auto"/>
        <w:bottom w:val="none" w:sz="0" w:space="0" w:color="auto"/>
        <w:right w:val="none" w:sz="0" w:space="0" w:color="auto"/>
      </w:divBdr>
    </w:div>
    <w:div w:id="519316552">
      <w:bodyDiv w:val="1"/>
      <w:marLeft w:val="0"/>
      <w:marRight w:val="0"/>
      <w:marTop w:val="0"/>
      <w:marBottom w:val="0"/>
      <w:divBdr>
        <w:top w:val="none" w:sz="0" w:space="0" w:color="auto"/>
        <w:left w:val="none" w:sz="0" w:space="0" w:color="auto"/>
        <w:bottom w:val="none" w:sz="0" w:space="0" w:color="auto"/>
        <w:right w:val="none" w:sz="0" w:space="0" w:color="auto"/>
      </w:divBdr>
    </w:div>
    <w:div w:id="560948499">
      <w:bodyDiv w:val="1"/>
      <w:marLeft w:val="0"/>
      <w:marRight w:val="0"/>
      <w:marTop w:val="0"/>
      <w:marBottom w:val="0"/>
      <w:divBdr>
        <w:top w:val="none" w:sz="0" w:space="0" w:color="auto"/>
        <w:left w:val="none" w:sz="0" w:space="0" w:color="auto"/>
        <w:bottom w:val="none" w:sz="0" w:space="0" w:color="auto"/>
        <w:right w:val="none" w:sz="0" w:space="0" w:color="auto"/>
      </w:divBdr>
    </w:div>
    <w:div w:id="564992245">
      <w:bodyDiv w:val="1"/>
      <w:marLeft w:val="0"/>
      <w:marRight w:val="0"/>
      <w:marTop w:val="0"/>
      <w:marBottom w:val="0"/>
      <w:divBdr>
        <w:top w:val="none" w:sz="0" w:space="0" w:color="auto"/>
        <w:left w:val="none" w:sz="0" w:space="0" w:color="auto"/>
        <w:bottom w:val="none" w:sz="0" w:space="0" w:color="auto"/>
        <w:right w:val="none" w:sz="0" w:space="0" w:color="auto"/>
      </w:divBdr>
    </w:div>
    <w:div w:id="615865669">
      <w:bodyDiv w:val="1"/>
      <w:marLeft w:val="0"/>
      <w:marRight w:val="0"/>
      <w:marTop w:val="0"/>
      <w:marBottom w:val="0"/>
      <w:divBdr>
        <w:top w:val="none" w:sz="0" w:space="0" w:color="auto"/>
        <w:left w:val="none" w:sz="0" w:space="0" w:color="auto"/>
        <w:bottom w:val="none" w:sz="0" w:space="0" w:color="auto"/>
        <w:right w:val="none" w:sz="0" w:space="0" w:color="auto"/>
      </w:divBdr>
    </w:div>
    <w:div w:id="835846565">
      <w:bodyDiv w:val="1"/>
      <w:marLeft w:val="0"/>
      <w:marRight w:val="0"/>
      <w:marTop w:val="0"/>
      <w:marBottom w:val="0"/>
      <w:divBdr>
        <w:top w:val="none" w:sz="0" w:space="0" w:color="auto"/>
        <w:left w:val="none" w:sz="0" w:space="0" w:color="auto"/>
        <w:bottom w:val="none" w:sz="0" w:space="0" w:color="auto"/>
        <w:right w:val="none" w:sz="0" w:space="0" w:color="auto"/>
      </w:divBdr>
    </w:div>
    <w:div w:id="917638055">
      <w:bodyDiv w:val="1"/>
      <w:marLeft w:val="0"/>
      <w:marRight w:val="0"/>
      <w:marTop w:val="0"/>
      <w:marBottom w:val="0"/>
      <w:divBdr>
        <w:top w:val="none" w:sz="0" w:space="0" w:color="auto"/>
        <w:left w:val="none" w:sz="0" w:space="0" w:color="auto"/>
        <w:bottom w:val="none" w:sz="0" w:space="0" w:color="auto"/>
        <w:right w:val="none" w:sz="0" w:space="0" w:color="auto"/>
      </w:divBdr>
    </w:div>
    <w:div w:id="1039624831">
      <w:bodyDiv w:val="1"/>
      <w:marLeft w:val="0"/>
      <w:marRight w:val="0"/>
      <w:marTop w:val="0"/>
      <w:marBottom w:val="0"/>
      <w:divBdr>
        <w:top w:val="none" w:sz="0" w:space="0" w:color="auto"/>
        <w:left w:val="none" w:sz="0" w:space="0" w:color="auto"/>
        <w:bottom w:val="none" w:sz="0" w:space="0" w:color="auto"/>
        <w:right w:val="none" w:sz="0" w:space="0" w:color="auto"/>
      </w:divBdr>
    </w:div>
    <w:div w:id="1086728768">
      <w:bodyDiv w:val="1"/>
      <w:marLeft w:val="0"/>
      <w:marRight w:val="0"/>
      <w:marTop w:val="0"/>
      <w:marBottom w:val="0"/>
      <w:divBdr>
        <w:top w:val="none" w:sz="0" w:space="0" w:color="auto"/>
        <w:left w:val="none" w:sz="0" w:space="0" w:color="auto"/>
        <w:bottom w:val="none" w:sz="0" w:space="0" w:color="auto"/>
        <w:right w:val="none" w:sz="0" w:space="0" w:color="auto"/>
      </w:divBdr>
    </w:div>
    <w:div w:id="1126394645">
      <w:bodyDiv w:val="1"/>
      <w:marLeft w:val="0"/>
      <w:marRight w:val="0"/>
      <w:marTop w:val="0"/>
      <w:marBottom w:val="0"/>
      <w:divBdr>
        <w:top w:val="none" w:sz="0" w:space="0" w:color="auto"/>
        <w:left w:val="none" w:sz="0" w:space="0" w:color="auto"/>
        <w:bottom w:val="none" w:sz="0" w:space="0" w:color="auto"/>
        <w:right w:val="none" w:sz="0" w:space="0" w:color="auto"/>
      </w:divBdr>
    </w:div>
    <w:div w:id="1181889976">
      <w:bodyDiv w:val="1"/>
      <w:marLeft w:val="0"/>
      <w:marRight w:val="0"/>
      <w:marTop w:val="0"/>
      <w:marBottom w:val="0"/>
      <w:divBdr>
        <w:top w:val="none" w:sz="0" w:space="0" w:color="auto"/>
        <w:left w:val="none" w:sz="0" w:space="0" w:color="auto"/>
        <w:bottom w:val="none" w:sz="0" w:space="0" w:color="auto"/>
        <w:right w:val="none" w:sz="0" w:space="0" w:color="auto"/>
      </w:divBdr>
      <w:divsChild>
        <w:div w:id="2060208542">
          <w:marLeft w:val="547"/>
          <w:marRight w:val="0"/>
          <w:marTop w:val="0"/>
          <w:marBottom w:val="0"/>
          <w:divBdr>
            <w:top w:val="none" w:sz="0" w:space="0" w:color="auto"/>
            <w:left w:val="none" w:sz="0" w:space="0" w:color="auto"/>
            <w:bottom w:val="none" w:sz="0" w:space="0" w:color="auto"/>
            <w:right w:val="none" w:sz="0" w:space="0" w:color="auto"/>
          </w:divBdr>
        </w:div>
      </w:divsChild>
    </w:div>
    <w:div w:id="1219590318">
      <w:bodyDiv w:val="1"/>
      <w:marLeft w:val="0"/>
      <w:marRight w:val="0"/>
      <w:marTop w:val="0"/>
      <w:marBottom w:val="0"/>
      <w:divBdr>
        <w:top w:val="none" w:sz="0" w:space="0" w:color="auto"/>
        <w:left w:val="none" w:sz="0" w:space="0" w:color="auto"/>
        <w:bottom w:val="none" w:sz="0" w:space="0" w:color="auto"/>
        <w:right w:val="none" w:sz="0" w:space="0" w:color="auto"/>
      </w:divBdr>
    </w:div>
    <w:div w:id="1259633705">
      <w:bodyDiv w:val="1"/>
      <w:marLeft w:val="0"/>
      <w:marRight w:val="0"/>
      <w:marTop w:val="0"/>
      <w:marBottom w:val="0"/>
      <w:divBdr>
        <w:top w:val="none" w:sz="0" w:space="0" w:color="auto"/>
        <w:left w:val="none" w:sz="0" w:space="0" w:color="auto"/>
        <w:bottom w:val="none" w:sz="0" w:space="0" w:color="auto"/>
        <w:right w:val="none" w:sz="0" w:space="0" w:color="auto"/>
      </w:divBdr>
    </w:div>
    <w:div w:id="1269460997">
      <w:bodyDiv w:val="1"/>
      <w:marLeft w:val="0"/>
      <w:marRight w:val="0"/>
      <w:marTop w:val="0"/>
      <w:marBottom w:val="0"/>
      <w:divBdr>
        <w:top w:val="none" w:sz="0" w:space="0" w:color="auto"/>
        <w:left w:val="none" w:sz="0" w:space="0" w:color="auto"/>
        <w:bottom w:val="none" w:sz="0" w:space="0" w:color="auto"/>
        <w:right w:val="none" w:sz="0" w:space="0" w:color="auto"/>
      </w:divBdr>
    </w:div>
    <w:div w:id="1288393914">
      <w:bodyDiv w:val="1"/>
      <w:marLeft w:val="0"/>
      <w:marRight w:val="0"/>
      <w:marTop w:val="0"/>
      <w:marBottom w:val="0"/>
      <w:divBdr>
        <w:top w:val="none" w:sz="0" w:space="0" w:color="auto"/>
        <w:left w:val="none" w:sz="0" w:space="0" w:color="auto"/>
        <w:bottom w:val="none" w:sz="0" w:space="0" w:color="auto"/>
        <w:right w:val="none" w:sz="0" w:space="0" w:color="auto"/>
      </w:divBdr>
      <w:divsChild>
        <w:div w:id="442190745">
          <w:marLeft w:val="0"/>
          <w:marRight w:val="0"/>
          <w:marTop w:val="0"/>
          <w:marBottom w:val="0"/>
          <w:divBdr>
            <w:top w:val="none" w:sz="0" w:space="0" w:color="auto"/>
            <w:left w:val="none" w:sz="0" w:space="0" w:color="auto"/>
            <w:bottom w:val="none" w:sz="0" w:space="0" w:color="auto"/>
            <w:right w:val="none" w:sz="0" w:space="0" w:color="auto"/>
          </w:divBdr>
          <w:divsChild>
            <w:div w:id="133695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974599">
      <w:bodyDiv w:val="1"/>
      <w:marLeft w:val="0"/>
      <w:marRight w:val="0"/>
      <w:marTop w:val="0"/>
      <w:marBottom w:val="0"/>
      <w:divBdr>
        <w:top w:val="none" w:sz="0" w:space="0" w:color="auto"/>
        <w:left w:val="none" w:sz="0" w:space="0" w:color="auto"/>
        <w:bottom w:val="none" w:sz="0" w:space="0" w:color="auto"/>
        <w:right w:val="none" w:sz="0" w:space="0" w:color="auto"/>
      </w:divBdr>
    </w:div>
    <w:div w:id="1392385338">
      <w:bodyDiv w:val="1"/>
      <w:marLeft w:val="0"/>
      <w:marRight w:val="0"/>
      <w:marTop w:val="0"/>
      <w:marBottom w:val="0"/>
      <w:divBdr>
        <w:top w:val="none" w:sz="0" w:space="0" w:color="auto"/>
        <w:left w:val="none" w:sz="0" w:space="0" w:color="auto"/>
        <w:bottom w:val="none" w:sz="0" w:space="0" w:color="auto"/>
        <w:right w:val="none" w:sz="0" w:space="0" w:color="auto"/>
      </w:divBdr>
    </w:div>
    <w:div w:id="1486514096">
      <w:bodyDiv w:val="1"/>
      <w:marLeft w:val="0"/>
      <w:marRight w:val="0"/>
      <w:marTop w:val="0"/>
      <w:marBottom w:val="0"/>
      <w:divBdr>
        <w:top w:val="none" w:sz="0" w:space="0" w:color="auto"/>
        <w:left w:val="none" w:sz="0" w:space="0" w:color="auto"/>
        <w:bottom w:val="none" w:sz="0" w:space="0" w:color="auto"/>
        <w:right w:val="none" w:sz="0" w:space="0" w:color="auto"/>
      </w:divBdr>
    </w:div>
    <w:div w:id="1552884042">
      <w:bodyDiv w:val="1"/>
      <w:marLeft w:val="0"/>
      <w:marRight w:val="0"/>
      <w:marTop w:val="0"/>
      <w:marBottom w:val="0"/>
      <w:divBdr>
        <w:top w:val="none" w:sz="0" w:space="0" w:color="auto"/>
        <w:left w:val="none" w:sz="0" w:space="0" w:color="auto"/>
        <w:bottom w:val="none" w:sz="0" w:space="0" w:color="auto"/>
        <w:right w:val="none" w:sz="0" w:space="0" w:color="auto"/>
      </w:divBdr>
    </w:div>
    <w:div w:id="1579362798">
      <w:bodyDiv w:val="1"/>
      <w:marLeft w:val="0"/>
      <w:marRight w:val="0"/>
      <w:marTop w:val="0"/>
      <w:marBottom w:val="0"/>
      <w:divBdr>
        <w:top w:val="none" w:sz="0" w:space="0" w:color="auto"/>
        <w:left w:val="none" w:sz="0" w:space="0" w:color="auto"/>
        <w:bottom w:val="none" w:sz="0" w:space="0" w:color="auto"/>
        <w:right w:val="none" w:sz="0" w:space="0" w:color="auto"/>
      </w:divBdr>
    </w:div>
    <w:div w:id="1605306922">
      <w:bodyDiv w:val="1"/>
      <w:marLeft w:val="0"/>
      <w:marRight w:val="0"/>
      <w:marTop w:val="0"/>
      <w:marBottom w:val="0"/>
      <w:divBdr>
        <w:top w:val="none" w:sz="0" w:space="0" w:color="auto"/>
        <w:left w:val="none" w:sz="0" w:space="0" w:color="auto"/>
        <w:bottom w:val="none" w:sz="0" w:space="0" w:color="auto"/>
        <w:right w:val="none" w:sz="0" w:space="0" w:color="auto"/>
      </w:divBdr>
    </w:div>
    <w:div w:id="1804615948">
      <w:bodyDiv w:val="1"/>
      <w:marLeft w:val="0"/>
      <w:marRight w:val="0"/>
      <w:marTop w:val="0"/>
      <w:marBottom w:val="0"/>
      <w:divBdr>
        <w:top w:val="none" w:sz="0" w:space="0" w:color="auto"/>
        <w:left w:val="none" w:sz="0" w:space="0" w:color="auto"/>
        <w:bottom w:val="none" w:sz="0" w:space="0" w:color="auto"/>
        <w:right w:val="none" w:sz="0" w:space="0" w:color="auto"/>
      </w:divBdr>
    </w:div>
    <w:div w:id="1826430235">
      <w:bodyDiv w:val="1"/>
      <w:marLeft w:val="0"/>
      <w:marRight w:val="0"/>
      <w:marTop w:val="0"/>
      <w:marBottom w:val="0"/>
      <w:divBdr>
        <w:top w:val="none" w:sz="0" w:space="0" w:color="auto"/>
        <w:left w:val="none" w:sz="0" w:space="0" w:color="auto"/>
        <w:bottom w:val="none" w:sz="0" w:space="0" w:color="auto"/>
        <w:right w:val="none" w:sz="0" w:space="0" w:color="auto"/>
      </w:divBdr>
    </w:div>
    <w:div w:id="1831360441">
      <w:bodyDiv w:val="1"/>
      <w:marLeft w:val="0"/>
      <w:marRight w:val="0"/>
      <w:marTop w:val="0"/>
      <w:marBottom w:val="0"/>
      <w:divBdr>
        <w:top w:val="none" w:sz="0" w:space="0" w:color="auto"/>
        <w:left w:val="none" w:sz="0" w:space="0" w:color="auto"/>
        <w:bottom w:val="none" w:sz="0" w:space="0" w:color="auto"/>
        <w:right w:val="none" w:sz="0" w:space="0" w:color="auto"/>
      </w:divBdr>
    </w:div>
    <w:div w:id="1895963389">
      <w:bodyDiv w:val="1"/>
      <w:marLeft w:val="0"/>
      <w:marRight w:val="0"/>
      <w:marTop w:val="0"/>
      <w:marBottom w:val="0"/>
      <w:divBdr>
        <w:top w:val="none" w:sz="0" w:space="0" w:color="auto"/>
        <w:left w:val="none" w:sz="0" w:space="0" w:color="auto"/>
        <w:bottom w:val="none" w:sz="0" w:space="0" w:color="auto"/>
        <w:right w:val="none" w:sz="0" w:space="0" w:color="auto"/>
      </w:divBdr>
    </w:div>
    <w:div w:id="2088843044">
      <w:bodyDiv w:val="1"/>
      <w:marLeft w:val="0"/>
      <w:marRight w:val="0"/>
      <w:marTop w:val="0"/>
      <w:marBottom w:val="0"/>
      <w:divBdr>
        <w:top w:val="none" w:sz="0" w:space="0" w:color="auto"/>
        <w:left w:val="none" w:sz="0" w:space="0" w:color="auto"/>
        <w:bottom w:val="none" w:sz="0" w:space="0" w:color="auto"/>
        <w:right w:val="none" w:sz="0" w:space="0" w:color="auto"/>
      </w:divBdr>
    </w:div>
    <w:div w:id="212869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srojas\Escritorio\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E9CB4-5A5E-4D57-862F-B38259F5B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0</TotalTime>
  <Pages>14</Pages>
  <Words>4891</Words>
  <Characters>25340</Characters>
  <Application>Microsoft Office Word</Application>
  <DocSecurity>0</DocSecurity>
  <Lines>211</Lines>
  <Paragraphs>60</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30171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2013-03-01T16:51:00Z</cp:lastPrinted>
  <dcterms:created xsi:type="dcterms:W3CDTF">2013-05-27T23:03:00Z</dcterms:created>
  <dcterms:modified xsi:type="dcterms:W3CDTF">2013-05-27T23:03:00Z</dcterms:modified>
</cp:coreProperties>
</file>