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D2" w:rsidRDefault="000A167C" w:rsidP="00804A6A">
      <w:pPr>
        <w:pStyle w:val="Encabezado"/>
        <w:tabs>
          <w:tab w:val="clear" w:pos="8504"/>
          <w:tab w:val="left" w:pos="0"/>
          <w:tab w:val="right" w:pos="9356"/>
        </w:tabs>
        <w:spacing w:before="120" w:after="120"/>
        <w:jc w:val="center"/>
        <w:rPr>
          <w:rFonts w:ascii="Bookman Old Style" w:hAnsi="Bookman Old Style"/>
          <w:b/>
          <w:bCs/>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95pt;margin-top:-60.4pt;width:52.5pt;height:48.75pt;z-index:251662848" fillcolor="#0c9">
            <v:imagedata r:id="rId9" o:title=""/>
          </v:shape>
          <o:OLEObject Type="Embed" ProgID="PBrush" ShapeID="_x0000_s1027" DrawAspect="Content" ObjectID="_1481965702" r:id="rId10"/>
        </w:pict>
      </w:r>
      <w:r w:rsidR="00E03BD2">
        <w:rPr>
          <w:rFonts w:ascii="Bookman Old Style" w:hAnsi="Bookman Old Style"/>
          <w:bCs/>
          <w:szCs w:val="24"/>
        </w:rPr>
        <w:t>Ministerio de Minas y Energía</w:t>
      </w:r>
    </w:p>
    <w:p w:rsidR="00E03BD2" w:rsidRDefault="00E03BD2" w:rsidP="00E03BD2">
      <w:pPr>
        <w:pStyle w:val="Ttulo3"/>
        <w:tabs>
          <w:tab w:val="left" w:pos="0"/>
          <w:tab w:val="right" w:pos="9356"/>
        </w:tabs>
        <w:rPr>
          <w:rFonts w:ascii="Bookman Old Style" w:hAnsi="Bookman Old Style" w:cs="Arial"/>
          <w:spacing w:val="20"/>
          <w:szCs w:val="24"/>
        </w:rPr>
      </w:pPr>
      <w:r>
        <w:rPr>
          <w:rFonts w:ascii="Bookman Old Style" w:hAnsi="Bookman Old Style" w:cs="Arial"/>
          <w:spacing w:val="20"/>
          <w:szCs w:val="24"/>
        </w:rPr>
        <w:t>COMISIÓN DE REGULACIÓN DE ENERGÍA Y GAS</w:t>
      </w:r>
    </w:p>
    <w:p w:rsidR="009E1157" w:rsidRPr="009E1157" w:rsidRDefault="009E1157" w:rsidP="009E1157">
      <w:pPr>
        <w:rPr>
          <w:lang w:val="es-ES_tradnl"/>
        </w:rPr>
      </w:pPr>
    </w:p>
    <w:p w:rsidR="00E03BD2" w:rsidRDefault="00E03BD2" w:rsidP="00E03BD2">
      <w:pPr>
        <w:pStyle w:val="Ttulo5"/>
        <w:tabs>
          <w:tab w:val="left" w:pos="0"/>
          <w:tab w:val="right" w:pos="9356"/>
        </w:tabs>
        <w:rPr>
          <w:rFonts w:ascii="Bookman Old Style" w:hAnsi="Bookman Old Style"/>
          <w:sz w:val="24"/>
          <w:szCs w:val="24"/>
        </w:rPr>
      </w:pPr>
      <w:r>
        <w:rPr>
          <w:rFonts w:ascii="Bookman Old Style" w:hAnsi="Bookman Old Style"/>
          <w:sz w:val="24"/>
          <w:szCs w:val="24"/>
        </w:rPr>
        <w:t>RESOLUCIÓN No.                   DE 201</w:t>
      </w:r>
      <w:r w:rsidR="00805A34">
        <w:rPr>
          <w:rFonts w:ascii="Bookman Old Style" w:hAnsi="Bookman Old Style"/>
          <w:sz w:val="24"/>
          <w:szCs w:val="24"/>
        </w:rPr>
        <w:t>4</w:t>
      </w:r>
    </w:p>
    <w:p w:rsidR="00E03BD2" w:rsidRDefault="00E03BD2" w:rsidP="00E03BD2">
      <w:pPr>
        <w:pStyle w:val="Ttulo3"/>
        <w:tabs>
          <w:tab w:val="left" w:pos="0"/>
          <w:tab w:val="right" w:pos="9356"/>
        </w:tabs>
        <w:rPr>
          <w:rFonts w:ascii="Bookman Old Style" w:hAnsi="Bookman Old Style"/>
          <w:b w:val="0"/>
          <w:szCs w:val="24"/>
        </w:rPr>
      </w:pPr>
      <w:r>
        <w:rPr>
          <w:rFonts w:ascii="Bookman Old Style" w:hAnsi="Bookman Old Style"/>
          <w:b w:val="0"/>
          <w:szCs w:val="24"/>
        </w:rPr>
        <w:t>(                                  )</w:t>
      </w:r>
    </w:p>
    <w:p w:rsidR="00CE51FF" w:rsidRDefault="00CE51FF" w:rsidP="00CE51FF">
      <w:pPr>
        <w:rPr>
          <w:lang w:val="es-ES_tradnl"/>
        </w:rPr>
      </w:pPr>
    </w:p>
    <w:p w:rsidR="00804A6A" w:rsidRPr="00CE51FF" w:rsidRDefault="00804A6A" w:rsidP="00CE51FF">
      <w:pPr>
        <w:rPr>
          <w:lang w:val="es-ES_tradnl"/>
        </w:rPr>
      </w:pPr>
    </w:p>
    <w:p w:rsidR="00E03BD2" w:rsidRDefault="00CF0B66" w:rsidP="00CF0B66">
      <w:pPr>
        <w:pStyle w:val="Textonotapie"/>
        <w:jc w:val="center"/>
        <w:rPr>
          <w:rFonts w:ascii="Bookman Old Style" w:hAnsi="Bookman Old Style" w:cs="Arial"/>
        </w:rPr>
      </w:pPr>
      <w:r w:rsidRPr="00ED56A2">
        <w:rPr>
          <w:rFonts w:ascii="Bookman Old Style" w:hAnsi="Bookman Old Style" w:cs="Arial"/>
          <w:sz w:val="24"/>
          <w:szCs w:val="24"/>
        </w:rPr>
        <w:t xml:space="preserve">Por la cual </w:t>
      </w:r>
      <w:r w:rsidR="00FD206E" w:rsidRPr="00FD206E">
        <w:rPr>
          <w:rFonts w:ascii="Bookman Old Style" w:hAnsi="Bookman Old Style" w:cs="Arial"/>
          <w:sz w:val="24"/>
          <w:szCs w:val="24"/>
        </w:rPr>
        <w:t>se resuelve el recurso de reposición interpuesto por Empresas Públicas de Medellín E.S.P. contra la Resolución CREG 1</w:t>
      </w:r>
      <w:r w:rsidR="00FD206E">
        <w:rPr>
          <w:rFonts w:ascii="Bookman Old Style" w:hAnsi="Bookman Old Style" w:cs="Arial"/>
          <w:sz w:val="24"/>
          <w:szCs w:val="24"/>
        </w:rPr>
        <w:t>31</w:t>
      </w:r>
      <w:r w:rsidR="00FD206E" w:rsidRPr="00FD206E">
        <w:rPr>
          <w:rFonts w:ascii="Bookman Old Style" w:hAnsi="Bookman Old Style" w:cs="Arial"/>
          <w:sz w:val="24"/>
          <w:szCs w:val="24"/>
        </w:rPr>
        <w:t xml:space="preserve"> de 201</w:t>
      </w:r>
      <w:r w:rsidR="00FD206E">
        <w:rPr>
          <w:rFonts w:ascii="Bookman Old Style" w:hAnsi="Bookman Old Style" w:cs="Arial"/>
          <w:sz w:val="24"/>
          <w:szCs w:val="24"/>
        </w:rPr>
        <w:t>4</w:t>
      </w:r>
      <w:r w:rsidRPr="00DF08CA">
        <w:rPr>
          <w:rFonts w:ascii="Bookman Old Style" w:hAnsi="Bookman Old Style" w:cs="Arial"/>
          <w:sz w:val="24"/>
          <w:szCs w:val="24"/>
        </w:rPr>
        <w:t>.</w:t>
      </w:r>
    </w:p>
    <w:p w:rsidR="00E03BD2" w:rsidRDefault="00E03BD2" w:rsidP="00885223">
      <w:pPr>
        <w:spacing w:before="480" w:after="480"/>
        <w:jc w:val="center"/>
        <w:rPr>
          <w:b/>
        </w:rPr>
      </w:pPr>
      <w:r>
        <w:rPr>
          <w:b/>
        </w:rPr>
        <w:t>LA COMISIÓN DE REGULACIÓN DE ENERGÍA Y GAS</w:t>
      </w:r>
    </w:p>
    <w:p w:rsidR="00E03BD2" w:rsidRDefault="00E03BD2" w:rsidP="00E03BD2">
      <w:pPr>
        <w:rPr>
          <w:rFonts w:cs="Arial"/>
        </w:rPr>
      </w:pPr>
      <w:r>
        <w:rPr>
          <w:rFonts w:cs="Arial"/>
        </w:rPr>
        <w:t>En ejercicio de las atribuciones legales, en especial las conferidas por las Leyes 142 y 143 de 1994, y los decretos 1524 y 2253 de 1994.</w:t>
      </w:r>
    </w:p>
    <w:p w:rsidR="00804A6A" w:rsidRDefault="00804A6A" w:rsidP="00804A6A">
      <w:pPr>
        <w:spacing w:before="0" w:after="0"/>
        <w:jc w:val="center"/>
        <w:rPr>
          <w:b/>
        </w:rPr>
      </w:pPr>
    </w:p>
    <w:p w:rsidR="00E03BD2" w:rsidRDefault="00E03BD2" w:rsidP="00DB043F">
      <w:pPr>
        <w:spacing w:before="360" w:after="360"/>
        <w:jc w:val="center"/>
        <w:rPr>
          <w:rFonts w:cs="Arial"/>
          <w:b/>
        </w:rPr>
      </w:pPr>
      <w:r>
        <w:rPr>
          <w:b/>
        </w:rPr>
        <w:t>C O N S I D E R A N D O</w:t>
      </w:r>
      <w:r w:rsidR="00804A6A">
        <w:rPr>
          <w:b/>
        </w:rPr>
        <w:t xml:space="preserve"> </w:t>
      </w:r>
      <w:r w:rsidR="006B5E80">
        <w:rPr>
          <w:b/>
        </w:rPr>
        <w:t xml:space="preserve"> Q</w:t>
      </w:r>
      <w:r w:rsidR="00804A6A">
        <w:rPr>
          <w:b/>
        </w:rPr>
        <w:t xml:space="preserve"> </w:t>
      </w:r>
      <w:r w:rsidR="006B5E80">
        <w:rPr>
          <w:b/>
        </w:rPr>
        <w:t>U</w:t>
      </w:r>
      <w:r w:rsidR="00804A6A">
        <w:rPr>
          <w:b/>
        </w:rPr>
        <w:t xml:space="preserve"> </w:t>
      </w:r>
      <w:r w:rsidR="006B5E80">
        <w:rPr>
          <w:b/>
        </w:rPr>
        <w:t>E</w:t>
      </w:r>
      <w:r>
        <w:rPr>
          <w:rFonts w:cs="Arial"/>
          <w:b/>
        </w:rPr>
        <w:t>:</w:t>
      </w:r>
    </w:p>
    <w:p w:rsidR="00D97B38" w:rsidRDefault="00D97B38" w:rsidP="00FD206E">
      <w:r w:rsidRPr="00D97B38">
        <w:t>De acuerdo con lo previsto en los artículos 23, literal d), y 41 de la Ley 143 de 1994, es función de la Comisión de Regulación de Energía y Gas fijar las tarifas por el acceso y uso de las redes eléctricas.</w:t>
      </w:r>
    </w:p>
    <w:p w:rsidR="00FD206E" w:rsidRDefault="00D97B38" w:rsidP="00FD206E">
      <w:r>
        <w:t>En cumplimiento de lo anterior l</w:t>
      </w:r>
      <w:r w:rsidR="00FD206E">
        <w:t xml:space="preserve">a </w:t>
      </w:r>
      <w:r w:rsidR="00F112CE">
        <w:t xml:space="preserve">CREG </w:t>
      </w:r>
      <w:r w:rsidR="00FD206E">
        <w:t xml:space="preserve">expidió la Resolución CREG 105 de 2009, Por la cual se fijan y aprueban el </w:t>
      </w:r>
      <w:r w:rsidR="00E969E7">
        <w:t xml:space="preserve">costo anual </w:t>
      </w:r>
      <w:r w:rsidR="00FD206E">
        <w:t xml:space="preserve">por el uso de los </w:t>
      </w:r>
      <w:r w:rsidR="00E969E7">
        <w:t xml:space="preserve">activos del nivel de tensión </w:t>
      </w:r>
      <w:r w:rsidR="00FD206E">
        <w:t xml:space="preserve">4, los cargos unificados de distribución y comercialización, aplicables a los usuarios del nuevo </w:t>
      </w:r>
      <w:r w:rsidR="00E969E7">
        <w:t>sistema de transmisión regional y/o distribución local</w:t>
      </w:r>
      <w:r w:rsidR="00FD206E">
        <w:t>, resultante de la integración de los mercados de comercialización y distribución de energía eléctrica operados por Empresas Públicas de Medellín E.S.P. y el Municipio de Campamento;</w:t>
      </w:r>
    </w:p>
    <w:p w:rsidR="00FD206E" w:rsidRDefault="00FD206E" w:rsidP="00FD206E">
      <w:r>
        <w:t xml:space="preserve">Mediante la Resolución CREG 131 de 2014, se actualizó el costo anual por el uso de los activos de nivel de tensión 4 operados por </w:t>
      </w:r>
      <w:r w:rsidR="00F112CE">
        <w:t xml:space="preserve">EPM </w:t>
      </w:r>
      <w:r>
        <w:t xml:space="preserve">E.S.P. en el </w:t>
      </w:r>
      <w:r w:rsidR="00E969E7">
        <w:t>STR</w:t>
      </w:r>
      <w:r w:rsidR="00702934">
        <w:t xml:space="preserve"> Centro - sur</w:t>
      </w:r>
      <w:r>
        <w:t>;</w:t>
      </w:r>
    </w:p>
    <w:p w:rsidR="00FD206E" w:rsidRDefault="00FD206E" w:rsidP="00FD206E">
      <w:r>
        <w:t xml:space="preserve">Mediante </w:t>
      </w:r>
      <w:r w:rsidR="00F112CE">
        <w:t xml:space="preserve">la </w:t>
      </w:r>
      <w:r>
        <w:t xml:space="preserve">comunicación con radicado CREG 2014-011271 del 10 de noviembre de 2014, </w:t>
      </w:r>
      <w:r w:rsidR="00F112CE">
        <w:t xml:space="preserve">EPM </w:t>
      </w:r>
      <w:r>
        <w:t>E.S.P. interpuso recurso de reposición contra la Resolución CREG 131 de 2014;</w:t>
      </w:r>
    </w:p>
    <w:p w:rsidR="00FD206E" w:rsidRDefault="00FD206E" w:rsidP="00FD206E">
      <w:r>
        <w:t>En el recurso de reposición presentado la empresa manifiesta lo siguiente:</w:t>
      </w:r>
    </w:p>
    <w:p w:rsidR="00FD206E" w:rsidRPr="00CD76B6" w:rsidRDefault="00FD206E" w:rsidP="00E969E7">
      <w:pPr>
        <w:ind w:left="567" w:right="567"/>
        <w:rPr>
          <w:i/>
          <w:sz w:val="22"/>
        </w:rPr>
      </w:pPr>
      <w:r w:rsidRPr="00CD76B6">
        <w:rPr>
          <w:i/>
          <w:sz w:val="22"/>
        </w:rPr>
        <w:t>El costo anual por el uso de los activos de nivel de tensión 4 operados por EE.PP.M E.S.P. (CA</w:t>
      </w:r>
      <w:r w:rsidRPr="00CD76B6">
        <w:rPr>
          <w:i/>
          <w:sz w:val="22"/>
          <w:vertAlign w:val="subscript"/>
        </w:rPr>
        <w:t>j</w:t>
      </w:r>
      <w:proofErr w:type="gramStart"/>
      <w:r w:rsidRPr="00CD76B6">
        <w:rPr>
          <w:i/>
          <w:sz w:val="22"/>
          <w:vertAlign w:val="subscript"/>
        </w:rPr>
        <w:t>,4</w:t>
      </w:r>
      <w:proofErr w:type="gramEnd"/>
      <w:r w:rsidRPr="00CD76B6">
        <w:rPr>
          <w:i/>
          <w:sz w:val="22"/>
        </w:rPr>
        <w:t xml:space="preserve">), aprobado en la Resolución 105 de 2009 modificada por la Resolución CREG 003 de 2014 es $131.477.046.310 ($ de diciembre de 2007). Como consecuencia de la actualización del STR por la entrada en </w:t>
      </w:r>
      <w:r w:rsidRPr="00CD76B6">
        <w:rPr>
          <w:i/>
          <w:sz w:val="22"/>
        </w:rPr>
        <w:lastRenderedPageBreak/>
        <w:t>operación de los activos de la subestación Sal Lorenzo, el nuevo costo de reposición aprobado en la Resolución CREG 131 de 2014 es $133.231.320.396 ($ de diciembre de 2007), el cual no es consecuente con la actualización de activos solicitada, ya que su aumento no refleja la totalidad de los costos correspondientes a ellos.</w:t>
      </w:r>
    </w:p>
    <w:p w:rsidR="00FD206E" w:rsidRPr="00CD76B6" w:rsidRDefault="00FD206E" w:rsidP="00F112CE">
      <w:pPr>
        <w:spacing w:before="120" w:after="120"/>
        <w:ind w:left="567" w:right="567"/>
        <w:rPr>
          <w:i/>
          <w:sz w:val="22"/>
        </w:rPr>
      </w:pPr>
      <w:r w:rsidRPr="00CD76B6">
        <w:rPr>
          <w:i/>
          <w:sz w:val="22"/>
        </w:rPr>
        <w:t xml:space="preserve">La diferencia al parecer radica en que las anualidades de activos no eléctricos (ANE) y costos de administración, operación y mantenimiento (AOM) relacionadas con los activos de la subestación San Lorenzo </w:t>
      </w:r>
      <w:r w:rsidR="00E969E7" w:rsidRPr="00CD76B6">
        <w:rPr>
          <w:i/>
          <w:sz w:val="22"/>
        </w:rPr>
        <w:t>correspondientes a la línea en circuito sencillo Calderas – Sal Lorenzo – Rio Claro, no fueron considerados en el cálculo del costo anual. Es importante anotar que tanto los ANE como los costos de AOM de los activos retirados del inventario de activos de EPM fueron restados en el cálculo del costo anual de los activos de que trata el artículo 1 de la resolución recurrida, y por lo tanto, al no considerarse dichos conceptos como parte de la anualidad de activos nuevos, quedarían sin reconocerse.</w:t>
      </w:r>
    </w:p>
    <w:p w:rsidR="00FD206E" w:rsidRPr="00CD76B6" w:rsidRDefault="00E969E7" w:rsidP="00F112CE">
      <w:pPr>
        <w:spacing w:before="120" w:after="120"/>
        <w:ind w:left="567" w:right="567"/>
        <w:rPr>
          <w:b/>
          <w:i/>
          <w:sz w:val="22"/>
        </w:rPr>
      </w:pPr>
      <w:r w:rsidRPr="00CD76B6">
        <w:rPr>
          <w:b/>
          <w:i/>
          <w:sz w:val="22"/>
        </w:rPr>
        <w:t>PETICIÓN</w:t>
      </w:r>
    </w:p>
    <w:p w:rsidR="00E969E7" w:rsidRPr="00CD76B6" w:rsidRDefault="00E969E7" w:rsidP="00E969E7">
      <w:pPr>
        <w:ind w:left="567" w:right="567"/>
        <w:rPr>
          <w:i/>
          <w:sz w:val="22"/>
        </w:rPr>
      </w:pPr>
      <w:r w:rsidRPr="00CD76B6">
        <w:rPr>
          <w:i/>
          <w:sz w:val="22"/>
        </w:rPr>
        <w:t>De conformidad con lo expuesto se solicita modificar el artículo 1 de la Resolución CREG 131 de 2014 “Por la cual se actualiza el costo anual por el uso de los activos de nivel de tensión 4 operados por Empresas públicas de Medellín E.S.P. en el Sistema de Transmisión Regional” en el sentido de considerar en el costo anual por el uso de los activos de nivel de tensión 4 (CAj,4), los costos anuales de activos no eléctricos (ANE) y costos de administración, operación y mantenimiento (AOM) relacionados con los activos de la subestación San Lorenzo correspondientes a la línea en circuito sencillo Calderas – Sal Lorenzo – Rio Claro,</w:t>
      </w:r>
    </w:p>
    <w:p w:rsidR="00562946" w:rsidRDefault="00F112CE" w:rsidP="00DB043F">
      <w:r>
        <w:t xml:space="preserve">Una vez revisados </w:t>
      </w:r>
      <w:r w:rsidR="00E969E7">
        <w:t xml:space="preserve">los cálculos utilizados </w:t>
      </w:r>
      <w:r w:rsidR="00344A00">
        <w:t xml:space="preserve">en la </w:t>
      </w:r>
      <w:r w:rsidR="00562946">
        <w:t>Resolución CREG 131 de 2014</w:t>
      </w:r>
      <w:r w:rsidR="00E969E7">
        <w:t xml:space="preserve">, </w:t>
      </w:r>
      <w:r w:rsidR="00562946">
        <w:t>se encontró que</w:t>
      </w:r>
      <w:r w:rsidR="00344A00">
        <w:t xml:space="preserve"> la Comisión </w:t>
      </w:r>
      <w:r w:rsidR="00562946">
        <w:t>incluy</w:t>
      </w:r>
      <w:r w:rsidR="00344A00">
        <w:t>ó</w:t>
      </w:r>
      <w:r w:rsidR="00562946">
        <w:t xml:space="preserve"> </w:t>
      </w:r>
      <w:r w:rsidR="00344A00">
        <w:t xml:space="preserve">los </w:t>
      </w:r>
      <w:r w:rsidR="00562946">
        <w:t xml:space="preserve">valores </w:t>
      </w:r>
      <w:r w:rsidR="00344A00">
        <w:t xml:space="preserve">correspondientes al costo anual </w:t>
      </w:r>
      <w:r w:rsidR="00343B5A">
        <w:t xml:space="preserve">equivalente de </w:t>
      </w:r>
      <w:r w:rsidR="00344A00">
        <w:t>activos no eléctricos</w:t>
      </w:r>
      <w:r w:rsidR="00343B5A">
        <w:t>, CAANE,</w:t>
      </w:r>
      <w:r w:rsidR="00344A00">
        <w:t xml:space="preserve"> y </w:t>
      </w:r>
      <w:r w:rsidR="00343B5A">
        <w:t xml:space="preserve">los </w:t>
      </w:r>
      <w:r w:rsidR="00344A00">
        <w:t>gastos anuales de administración, operación y mantenimiento</w:t>
      </w:r>
      <w:r w:rsidR="00343B5A">
        <w:t>, AOM,</w:t>
      </w:r>
      <w:r w:rsidR="00344A00">
        <w:t xml:space="preserve"> </w:t>
      </w:r>
      <w:r w:rsidR="00252020">
        <w:t xml:space="preserve">asociados a la subestación </w:t>
      </w:r>
      <w:r w:rsidR="00252020" w:rsidRPr="00252020">
        <w:t xml:space="preserve">San Lorenzo </w:t>
      </w:r>
      <w:r w:rsidR="00252020">
        <w:t xml:space="preserve">y </w:t>
      </w:r>
      <w:r w:rsidR="00252020" w:rsidRPr="00252020">
        <w:t>la línea Calderas – Sa</w:t>
      </w:r>
      <w:r w:rsidR="00252020">
        <w:t>n</w:t>
      </w:r>
      <w:r w:rsidR="00252020" w:rsidRPr="00252020">
        <w:t xml:space="preserve"> Lorenzo – Rio Claro</w:t>
      </w:r>
      <w:r w:rsidR="00252020">
        <w:t xml:space="preserve">. Todo lo anterior, </w:t>
      </w:r>
      <w:r w:rsidR="00344A00">
        <w:t xml:space="preserve">en aplicación de la </w:t>
      </w:r>
      <w:r w:rsidR="009922A5">
        <w:t xml:space="preserve">metodología </w:t>
      </w:r>
      <w:r w:rsidR="00252020">
        <w:t xml:space="preserve">contemplada en </w:t>
      </w:r>
      <w:r w:rsidR="009922A5">
        <w:t xml:space="preserve">la </w:t>
      </w:r>
      <w:r w:rsidR="00344A00">
        <w:t>R</w:t>
      </w:r>
      <w:r w:rsidR="009922A5">
        <w:t>esolución CREG 097 de 2008</w:t>
      </w:r>
      <w:r w:rsidR="000F1B55">
        <w:t>;</w:t>
      </w:r>
      <w:r w:rsidR="00562946">
        <w:t xml:space="preserve"> </w:t>
      </w:r>
    </w:p>
    <w:p w:rsidR="009922A5" w:rsidRDefault="00344A00" w:rsidP="00804A6A">
      <w:pPr>
        <w:spacing w:before="0" w:after="0"/>
      </w:pPr>
      <w:r>
        <w:t xml:space="preserve">En la siguiente tabla </w:t>
      </w:r>
      <w:r w:rsidR="009922A5">
        <w:t>se presenta</w:t>
      </w:r>
      <w:r>
        <w:t xml:space="preserve">n de manera desagregada los valores adicionales </w:t>
      </w:r>
      <w:r w:rsidR="00325820">
        <w:t xml:space="preserve">a reconocer como resultado de la actualización del inventario de activos de nivel de tensión 4 de </w:t>
      </w:r>
      <w:r w:rsidR="00252020">
        <w:t xml:space="preserve">la empresa </w:t>
      </w:r>
      <w:r w:rsidR="00325820">
        <w:t xml:space="preserve">EPM, en este cálculo se incluye tanto la incorporación como el retiro de </w:t>
      </w:r>
      <w:r w:rsidR="00252020">
        <w:t xml:space="preserve">las unidades constructivas, </w:t>
      </w:r>
      <w:r w:rsidR="00325820">
        <w:t>UC</w:t>
      </w:r>
      <w:r w:rsidR="00252020">
        <w:t>,</w:t>
      </w:r>
      <w:r w:rsidR="00252020" w:rsidRPr="00252020">
        <w:t xml:space="preserve"> </w:t>
      </w:r>
      <w:r w:rsidR="00252020">
        <w:t>asociadas a los referidos activos</w:t>
      </w:r>
      <w:r w:rsidR="00325820">
        <w:t>:</w:t>
      </w:r>
    </w:p>
    <w:p w:rsidR="00804A6A" w:rsidRDefault="00804A6A" w:rsidP="00804A6A">
      <w:pPr>
        <w:spacing w:before="0" w:after="0"/>
      </w:pPr>
    </w:p>
    <w:p w:rsidR="00804A6A" w:rsidRDefault="00804A6A" w:rsidP="00804A6A">
      <w:pPr>
        <w:spacing w:before="0" w:after="0"/>
      </w:pPr>
    </w:p>
    <w:tbl>
      <w:tblPr>
        <w:tblW w:w="0" w:type="auto"/>
        <w:jc w:val="center"/>
        <w:tblInd w:w="-1207" w:type="dxa"/>
        <w:tblLayout w:type="fixed"/>
        <w:tblCellMar>
          <w:left w:w="70" w:type="dxa"/>
          <w:right w:w="70" w:type="dxa"/>
        </w:tblCellMar>
        <w:tblLook w:val="04A0" w:firstRow="1" w:lastRow="0" w:firstColumn="1" w:lastColumn="0" w:noHBand="0" w:noVBand="1"/>
      </w:tblPr>
      <w:tblGrid>
        <w:gridCol w:w="7231"/>
        <w:gridCol w:w="1862"/>
      </w:tblGrid>
      <w:tr w:rsidR="00330A00" w:rsidRPr="00344A00" w:rsidTr="00325820">
        <w:trPr>
          <w:trHeight w:val="300"/>
          <w:jc w:val="center"/>
        </w:trPr>
        <w:tc>
          <w:tcPr>
            <w:tcW w:w="7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center"/>
              <w:rPr>
                <w:rFonts w:cs="Calibri"/>
                <w:b/>
                <w:bCs/>
                <w:iCs/>
                <w:color w:val="000000"/>
                <w:sz w:val="22"/>
                <w:szCs w:val="22"/>
                <w:lang w:val="es-CO" w:eastAsia="es-CO"/>
              </w:rPr>
            </w:pPr>
            <w:r w:rsidRPr="00344A00">
              <w:rPr>
                <w:rFonts w:cs="Calibri"/>
                <w:b/>
                <w:bCs/>
                <w:iCs/>
                <w:color w:val="000000"/>
                <w:sz w:val="22"/>
                <w:szCs w:val="22"/>
                <w:lang w:val="es-CO" w:eastAsia="es-CO"/>
              </w:rPr>
              <w:t>Variable</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center"/>
              <w:rPr>
                <w:rFonts w:cs="Calibri"/>
                <w:b/>
                <w:bCs/>
                <w:iCs/>
                <w:color w:val="000000"/>
                <w:sz w:val="22"/>
                <w:szCs w:val="22"/>
                <w:lang w:val="es-CO" w:eastAsia="es-CO"/>
              </w:rPr>
            </w:pPr>
            <w:r w:rsidRPr="00344A00">
              <w:rPr>
                <w:rFonts w:cs="Calibri"/>
                <w:b/>
                <w:bCs/>
                <w:iCs/>
                <w:color w:val="000000"/>
                <w:sz w:val="22"/>
                <w:szCs w:val="22"/>
                <w:lang w:val="es-CO" w:eastAsia="es-CO"/>
              </w:rPr>
              <w:t>Valor adicional</w:t>
            </w:r>
          </w:p>
        </w:tc>
      </w:tr>
      <w:tr w:rsidR="00330A00" w:rsidRPr="00344A00" w:rsidTr="00325820">
        <w:trPr>
          <w:trHeight w:val="300"/>
          <w:jc w:val="center"/>
        </w:trPr>
        <w:tc>
          <w:tcPr>
            <w:tcW w:w="7231" w:type="dxa"/>
            <w:tcBorders>
              <w:top w:val="nil"/>
              <w:left w:val="single" w:sz="4" w:space="0" w:color="auto"/>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left"/>
              <w:rPr>
                <w:rFonts w:cs="Calibri"/>
                <w:color w:val="000000"/>
                <w:sz w:val="22"/>
                <w:szCs w:val="22"/>
                <w:lang w:val="es-CO" w:eastAsia="es-CO"/>
              </w:rPr>
            </w:pPr>
            <w:r w:rsidRPr="009922A5">
              <w:rPr>
                <w:rFonts w:cs="Calibri"/>
                <w:color w:val="000000"/>
                <w:sz w:val="22"/>
                <w:szCs w:val="22"/>
                <w:lang w:val="es-CO" w:eastAsia="es-CO"/>
              </w:rPr>
              <w:t xml:space="preserve">Costo </w:t>
            </w:r>
            <w:r w:rsidRPr="00344A00">
              <w:rPr>
                <w:rFonts w:cs="Calibri"/>
                <w:color w:val="000000"/>
                <w:sz w:val="22"/>
                <w:szCs w:val="22"/>
                <w:lang w:val="es-CO" w:eastAsia="es-CO"/>
              </w:rPr>
              <w:t>a</w:t>
            </w:r>
            <w:r w:rsidRPr="009922A5">
              <w:rPr>
                <w:rFonts w:cs="Calibri"/>
                <w:color w:val="000000"/>
                <w:sz w:val="22"/>
                <w:szCs w:val="22"/>
                <w:lang w:val="es-CO" w:eastAsia="es-CO"/>
              </w:rPr>
              <w:t>nual para remunerar la inversión, CAI</w:t>
            </w:r>
            <w:r w:rsidRPr="009922A5">
              <w:rPr>
                <w:rFonts w:cs="Calibri"/>
                <w:color w:val="000000"/>
                <w:sz w:val="22"/>
                <w:szCs w:val="22"/>
                <w:vertAlign w:val="subscript"/>
                <w:lang w:val="es-CO" w:eastAsia="es-CO"/>
              </w:rPr>
              <w:t>j,4</w:t>
            </w:r>
          </w:p>
        </w:tc>
        <w:tc>
          <w:tcPr>
            <w:tcW w:w="1862" w:type="dxa"/>
            <w:tcBorders>
              <w:top w:val="nil"/>
              <w:left w:val="nil"/>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right"/>
              <w:rPr>
                <w:rFonts w:cs="Calibri"/>
                <w:color w:val="000000"/>
                <w:sz w:val="22"/>
                <w:szCs w:val="22"/>
                <w:lang w:val="es-CO" w:eastAsia="es-CO"/>
              </w:rPr>
            </w:pPr>
            <w:r w:rsidRPr="009922A5">
              <w:rPr>
                <w:rFonts w:cs="Calibri"/>
                <w:color w:val="000000"/>
                <w:sz w:val="22"/>
                <w:szCs w:val="22"/>
                <w:lang w:val="es-CO" w:eastAsia="es-CO"/>
              </w:rPr>
              <w:t>1.482.909.071</w:t>
            </w:r>
          </w:p>
        </w:tc>
      </w:tr>
      <w:tr w:rsidR="00330A00" w:rsidRPr="00344A00" w:rsidTr="00325820">
        <w:trPr>
          <w:trHeight w:val="300"/>
          <w:jc w:val="center"/>
        </w:trPr>
        <w:tc>
          <w:tcPr>
            <w:tcW w:w="7231" w:type="dxa"/>
            <w:tcBorders>
              <w:top w:val="nil"/>
              <w:left w:val="single" w:sz="4" w:space="0" w:color="auto"/>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left"/>
              <w:rPr>
                <w:rFonts w:cs="Calibri"/>
                <w:color w:val="000000"/>
                <w:sz w:val="22"/>
                <w:szCs w:val="22"/>
                <w:lang w:val="es-CO" w:eastAsia="es-CO"/>
              </w:rPr>
            </w:pPr>
            <w:r w:rsidRPr="009922A5">
              <w:rPr>
                <w:rFonts w:cs="Calibri"/>
                <w:color w:val="000000"/>
                <w:sz w:val="22"/>
                <w:szCs w:val="22"/>
                <w:lang w:val="es-CO" w:eastAsia="es-CO"/>
              </w:rPr>
              <w:t xml:space="preserve">Costo </w:t>
            </w:r>
            <w:r w:rsidRPr="00344A00">
              <w:rPr>
                <w:rFonts w:cs="Calibri"/>
                <w:color w:val="000000"/>
                <w:sz w:val="22"/>
                <w:szCs w:val="22"/>
                <w:lang w:val="es-CO" w:eastAsia="es-CO"/>
              </w:rPr>
              <w:t>a</w:t>
            </w:r>
            <w:r w:rsidRPr="009922A5">
              <w:rPr>
                <w:rFonts w:cs="Calibri"/>
                <w:color w:val="000000"/>
                <w:sz w:val="22"/>
                <w:szCs w:val="22"/>
                <w:lang w:val="es-CO" w:eastAsia="es-CO"/>
              </w:rPr>
              <w:t xml:space="preserve">nual de </w:t>
            </w:r>
            <w:r w:rsidRPr="00344A00">
              <w:rPr>
                <w:rFonts w:cs="Calibri"/>
                <w:color w:val="000000"/>
                <w:sz w:val="22"/>
                <w:szCs w:val="22"/>
                <w:lang w:val="es-CO" w:eastAsia="es-CO"/>
              </w:rPr>
              <w:t>t</w:t>
            </w:r>
            <w:r w:rsidRPr="009922A5">
              <w:rPr>
                <w:rFonts w:cs="Calibri"/>
                <w:color w:val="000000"/>
                <w:sz w:val="22"/>
                <w:szCs w:val="22"/>
                <w:lang w:val="es-CO" w:eastAsia="es-CO"/>
              </w:rPr>
              <w:t>errenos, CAT</w:t>
            </w:r>
            <w:r w:rsidRPr="009922A5">
              <w:rPr>
                <w:rFonts w:cs="Calibri"/>
                <w:color w:val="000000"/>
                <w:sz w:val="22"/>
                <w:szCs w:val="22"/>
                <w:vertAlign w:val="subscript"/>
                <w:lang w:val="es-CO" w:eastAsia="es-CO"/>
              </w:rPr>
              <w:t>j,4</w:t>
            </w:r>
          </w:p>
        </w:tc>
        <w:tc>
          <w:tcPr>
            <w:tcW w:w="1862" w:type="dxa"/>
            <w:tcBorders>
              <w:top w:val="nil"/>
              <w:left w:val="nil"/>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right"/>
              <w:rPr>
                <w:rFonts w:cs="Calibri"/>
                <w:color w:val="000000"/>
                <w:sz w:val="22"/>
                <w:szCs w:val="22"/>
                <w:lang w:val="es-CO" w:eastAsia="es-CO"/>
              </w:rPr>
            </w:pPr>
            <w:r w:rsidRPr="009922A5">
              <w:rPr>
                <w:rFonts w:cs="Calibri"/>
                <w:color w:val="000000"/>
                <w:sz w:val="22"/>
                <w:szCs w:val="22"/>
                <w:lang w:val="es-CO" w:eastAsia="es-CO"/>
              </w:rPr>
              <w:t>623.329</w:t>
            </w:r>
          </w:p>
        </w:tc>
      </w:tr>
      <w:tr w:rsidR="00330A00" w:rsidRPr="00344A00" w:rsidTr="00325820">
        <w:trPr>
          <w:trHeight w:val="300"/>
          <w:jc w:val="center"/>
        </w:trPr>
        <w:tc>
          <w:tcPr>
            <w:tcW w:w="7231" w:type="dxa"/>
            <w:tcBorders>
              <w:top w:val="nil"/>
              <w:left w:val="single" w:sz="4" w:space="0" w:color="auto"/>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left"/>
              <w:rPr>
                <w:rFonts w:cs="Calibri"/>
                <w:color w:val="000000"/>
                <w:sz w:val="22"/>
                <w:szCs w:val="22"/>
                <w:lang w:val="es-CO" w:eastAsia="es-CO"/>
              </w:rPr>
            </w:pPr>
            <w:r w:rsidRPr="009922A5">
              <w:rPr>
                <w:rFonts w:cs="Calibri"/>
                <w:color w:val="000000"/>
                <w:sz w:val="22"/>
                <w:szCs w:val="22"/>
                <w:lang w:val="es-CO" w:eastAsia="es-CO"/>
              </w:rPr>
              <w:t xml:space="preserve">Costo </w:t>
            </w:r>
            <w:r w:rsidRPr="00344A00">
              <w:rPr>
                <w:rFonts w:cs="Calibri"/>
                <w:color w:val="000000"/>
                <w:sz w:val="22"/>
                <w:szCs w:val="22"/>
                <w:lang w:val="es-CO" w:eastAsia="es-CO"/>
              </w:rPr>
              <w:t>a</w:t>
            </w:r>
            <w:r w:rsidRPr="009922A5">
              <w:rPr>
                <w:rFonts w:cs="Calibri"/>
                <w:color w:val="000000"/>
                <w:sz w:val="22"/>
                <w:szCs w:val="22"/>
                <w:lang w:val="es-CO" w:eastAsia="es-CO"/>
              </w:rPr>
              <w:t xml:space="preserve">nual </w:t>
            </w:r>
            <w:r w:rsidRPr="00344A00">
              <w:rPr>
                <w:rFonts w:cs="Calibri"/>
                <w:color w:val="000000"/>
                <w:sz w:val="22"/>
                <w:szCs w:val="22"/>
                <w:lang w:val="es-CO" w:eastAsia="es-CO"/>
              </w:rPr>
              <w:t>e</w:t>
            </w:r>
            <w:r w:rsidRPr="009922A5">
              <w:rPr>
                <w:rFonts w:cs="Calibri"/>
                <w:color w:val="000000"/>
                <w:sz w:val="22"/>
                <w:szCs w:val="22"/>
                <w:lang w:val="es-CO" w:eastAsia="es-CO"/>
              </w:rPr>
              <w:t xml:space="preserve">quivalente de </w:t>
            </w:r>
            <w:r w:rsidRPr="00344A00">
              <w:rPr>
                <w:rFonts w:cs="Calibri"/>
                <w:color w:val="000000"/>
                <w:sz w:val="22"/>
                <w:szCs w:val="22"/>
                <w:lang w:val="es-CO" w:eastAsia="es-CO"/>
              </w:rPr>
              <w:t>a</w:t>
            </w:r>
            <w:r w:rsidRPr="009922A5">
              <w:rPr>
                <w:rFonts w:cs="Calibri"/>
                <w:color w:val="000000"/>
                <w:sz w:val="22"/>
                <w:szCs w:val="22"/>
                <w:lang w:val="es-CO" w:eastAsia="es-CO"/>
              </w:rPr>
              <w:t xml:space="preserve">ctivos </w:t>
            </w:r>
            <w:r w:rsidRPr="00344A00">
              <w:rPr>
                <w:rFonts w:cs="Calibri"/>
                <w:color w:val="000000"/>
                <w:sz w:val="22"/>
                <w:szCs w:val="22"/>
                <w:lang w:val="es-CO" w:eastAsia="es-CO"/>
              </w:rPr>
              <w:t>n</w:t>
            </w:r>
            <w:r w:rsidRPr="009922A5">
              <w:rPr>
                <w:rFonts w:cs="Calibri"/>
                <w:color w:val="000000"/>
                <w:sz w:val="22"/>
                <w:szCs w:val="22"/>
                <w:lang w:val="es-CO" w:eastAsia="es-CO"/>
              </w:rPr>
              <w:t xml:space="preserve">o </w:t>
            </w:r>
            <w:r w:rsidRPr="00344A00">
              <w:rPr>
                <w:rFonts w:cs="Calibri"/>
                <w:color w:val="000000"/>
                <w:sz w:val="22"/>
                <w:szCs w:val="22"/>
                <w:lang w:val="es-CO" w:eastAsia="es-CO"/>
              </w:rPr>
              <w:t>e</w:t>
            </w:r>
            <w:r w:rsidRPr="009922A5">
              <w:rPr>
                <w:rFonts w:cs="Calibri"/>
                <w:color w:val="000000"/>
                <w:sz w:val="22"/>
                <w:szCs w:val="22"/>
                <w:lang w:val="es-CO" w:eastAsia="es-CO"/>
              </w:rPr>
              <w:t>léctricos, CAANE</w:t>
            </w:r>
            <w:r w:rsidRPr="009922A5">
              <w:rPr>
                <w:rFonts w:cs="Calibri"/>
                <w:color w:val="000000"/>
                <w:sz w:val="22"/>
                <w:szCs w:val="22"/>
                <w:vertAlign w:val="subscript"/>
                <w:lang w:val="es-CO" w:eastAsia="es-CO"/>
              </w:rPr>
              <w:t>j,4</w:t>
            </w:r>
          </w:p>
        </w:tc>
        <w:tc>
          <w:tcPr>
            <w:tcW w:w="1862" w:type="dxa"/>
            <w:tcBorders>
              <w:top w:val="nil"/>
              <w:left w:val="nil"/>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right"/>
              <w:rPr>
                <w:rFonts w:cs="Calibri"/>
                <w:color w:val="000000"/>
                <w:sz w:val="22"/>
                <w:szCs w:val="22"/>
                <w:lang w:val="es-CO" w:eastAsia="es-CO"/>
              </w:rPr>
            </w:pPr>
            <w:r w:rsidRPr="009922A5">
              <w:rPr>
                <w:rFonts w:cs="Calibri"/>
                <w:color w:val="000000"/>
                <w:sz w:val="22"/>
                <w:szCs w:val="22"/>
                <w:lang w:val="es-CO" w:eastAsia="es-CO"/>
              </w:rPr>
              <w:t>46.495.098</w:t>
            </w:r>
          </w:p>
        </w:tc>
      </w:tr>
      <w:tr w:rsidR="00330A00" w:rsidRPr="00344A00" w:rsidTr="00325820">
        <w:trPr>
          <w:trHeight w:val="300"/>
          <w:jc w:val="center"/>
        </w:trPr>
        <w:tc>
          <w:tcPr>
            <w:tcW w:w="7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left"/>
              <w:rPr>
                <w:rFonts w:cs="Calibri"/>
                <w:color w:val="000000"/>
                <w:sz w:val="22"/>
                <w:szCs w:val="22"/>
                <w:lang w:val="es-CO" w:eastAsia="es-CO"/>
              </w:rPr>
            </w:pPr>
            <w:r w:rsidRPr="009922A5">
              <w:rPr>
                <w:rFonts w:cs="Calibri"/>
                <w:color w:val="000000"/>
                <w:sz w:val="22"/>
                <w:szCs w:val="22"/>
                <w:lang w:val="es-CO" w:eastAsia="es-CO"/>
              </w:rPr>
              <w:t xml:space="preserve">Gastos anuales de </w:t>
            </w:r>
            <w:r w:rsidR="00344A00">
              <w:rPr>
                <w:rFonts w:cs="Calibri"/>
                <w:color w:val="000000"/>
                <w:sz w:val="22"/>
                <w:szCs w:val="22"/>
                <w:lang w:val="es-CO" w:eastAsia="es-CO"/>
              </w:rPr>
              <w:t>AOM</w:t>
            </w:r>
            <w:r w:rsidRPr="009922A5">
              <w:rPr>
                <w:rFonts w:cs="Calibri"/>
                <w:color w:val="000000"/>
                <w:sz w:val="22"/>
                <w:szCs w:val="22"/>
                <w:lang w:val="es-CO" w:eastAsia="es-CO"/>
              </w:rPr>
              <w:t>, AOM</w:t>
            </w:r>
            <w:r w:rsidRPr="009922A5">
              <w:rPr>
                <w:rFonts w:cs="Calibri"/>
                <w:color w:val="000000"/>
                <w:sz w:val="22"/>
                <w:szCs w:val="22"/>
                <w:vertAlign w:val="subscript"/>
                <w:lang w:val="es-CO" w:eastAsia="es-CO"/>
              </w:rPr>
              <w:t>j,4</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330A00" w:rsidRPr="009922A5" w:rsidRDefault="00330A00" w:rsidP="00F7071C">
            <w:pPr>
              <w:keepNext/>
              <w:spacing w:before="0" w:after="0"/>
              <w:jc w:val="right"/>
              <w:rPr>
                <w:rFonts w:cs="Calibri"/>
                <w:color w:val="000000"/>
                <w:sz w:val="22"/>
                <w:szCs w:val="22"/>
                <w:lang w:val="es-CO" w:eastAsia="es-CO"/>
              </w:rPr>
            </w:pPr>
            <w:r w:rsidRPr="009922A5">
              <w:rPr>
                <w:rFonts w:cs="Calibri"/>
                <w:color w:val="000000"/>
                <w:sz w:val="22"/>
                <w:szCs w:val="22"/>
                <w:lang w:val="es-CO" w:eastAsia="es-CO"/>
              </w:rPr>
              <w:t>254.246.589</w:t>
            </w:r>
          </w:p>
        </w:tc>
      </w:tr>
      <w:tr w:rsidR="00330A00" w:rsidRPr="00344A00" w:rsidTr="00325820">
        <w:trPr>
          <w:trHeight w:val="300"/>
          <w:jc w:val="center"/>
        </w:trPr>
        <w:tc>
          <w:tcPr>
            <w:tcW w:w="72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0A00" w:rsidRPr="00344A00" w:rsidRDefault="00330A00" w:rsidP="00325820">
            <w:pPr>
              <w:spacing w:before="0" w:after="0"/>
              <w:jc w:val="left"/>
              <w:rPr>
                <w:rFonts w:cs="Calibri"/>
                <w:b/>
                <w:color w:val="000000"/>
                <w:sz w:val="22"/>
                <w:szCs w:val="22"/>
                <w:lang w:val="es-CO" w:eastAsia="es-CO"/>
              </w:rPr>
            </w:pPr>
            <w:r w:rsidRPr="00344A00">
              <w:rPr>
                <w:rFonts w:cs="Calibri"/>
                <w:b/>
                <w:color w:val="000000"/>
                <w:sz w:val="22"/>
                <w:szCs w:val="22"/>
                <w:lang w:val="es-CO" w:eastAsia="es-CO"/>
              </w:rPr>
              <w:t>Costo anual por el uso de activos de nivel de tensión 4, C</w:t>
            </w:r>
            <w:r w:rsidR="00325820">
              <w:rPr>
                <w:rFonts w:cs="Calibri"/>
                <w:b/>
                <w:color w:val="000000"/>
                <w:sz w:val="22"/>
                <w:szCs w:val="22"/>
                <w:lang w:val="es-CO" w:eastAsia="es-CO"/>
              </w:rPr>
              <w:t>A</w:t>
            </w:r>
            <w:r w:rsidRPr="00325820">
              <w:rPr>
                <w:rFonts w:cs="Calibri"/>
                <w:b/>
                <w:color w:val="000000"/>
                <w:sz w:val="22"/>
                <w:szCs w:val="22"/>
                <w:vertAlign w:val="subscript"/>
                <w:lang w:val="es-CO" w:eastAsia="es-CO"/>
              </w:rPr>
              <w:t>j,4</w:t>
            </w:r>
            <w:r w:rsidRPr="00344A00">
              <w:rPr>
                <w:rFonts w:cs="Calibri"/>
                <w:b/>
                <w:color w:val="000000"/>
                <w:sz w:val="22"/>
                <w:szCs w:val="22"/>
                <w:lang w:val="es-CO" w:eastAsia="es-CO"/>
              </w:rPr>
              <w:t xml:space="preserve"> </w:t>
            </w:r>
          </w:p>
        </w:tc>
        <w:tc>
          <w:tcPr>
            <w:tcW w:w="1862" w:type="dxa"/>
            <w:tcBorders>
              <w:top w:val="single" w:sz="4" w:space="0" w:color="auto"/>
              <w:left w:val="nil"/>
              <w:bottom w:val="single" w:sz="4" w:space="0" w:color="auto"/>
              <w:right w:val="single" w:sz="4" w:space="0" w:color="auto"/>
            </w:tcBorders>
            <w:shd w:val="clear" w:color="auto" w:fill="auto"/>
            <w:noWrap/>
            <w:vAlign w:val="center"/>
          </w:tcPr>
          <w:p w:rsidR="00330A00" w:rsidRPr="00344A00" w:rsidRDefault="00330A00" w:rsidP="00330A00">
            <w:pPr>
              <w:spacing w:before="0" w:after="0"/>
              <w:jc w:val="right"/>
              <w:rPr>
                <w:rFonts w:cs="Calibri"/>
                <w:b/>
                <w:color w:val="000000"/>
                <w:sz w:val="22"/>
                <w:szCs w:val="22"/>
                <w:lang w:val="es-CO" w:eastAsia="es-CO"/>
              </w:rPr>
            </w:pPr>
            <w:r w:rsidRPr="00344A00">
              <w:rPr>
                <w:rFonts w:cs="Calibri"/>
                <w:b/>
                <w:color w:val="000000"/>
                <w:sz w:val="22"/>
                <w:szCs w:val="22"/>
                <w:lang w:val="es-CO" w:eastAsia="es-CO"/>
              </w:rPr>
              <w:t>1.784.274.086</w:t>
            </w:r>
          </w:p>
        </w:tc>
      </w:tr>
    </w:tbl>
    <w:p w:rsidR="00804A6A" w:rsidRDefault="00804A6A" w:rsidP="00804A6A">
      <w:pPr>
        <w:spacing w:before="0" w:after="0"/>
      </w:pPr>
    </w:p>
    <w:p w:rsidR="00187B90" w:rsidRDefault="00343B5A" w:rsidP="00DB043F">
      <w:r>
        <w:t xml:space="preserve">De acuerdo con lo establecido en el numeral 2.1.3 del anexo general de la Resolución CREG 097 de 2008, el CAANE corresponde al 4,1 % del costo anual de los activos de uso. </w:t>
      </w:r>
    </w:p>
    <w:p w:rsidR="00804A6A" w:rsidRDefault="00804A6A" w:rsidP="00DB043F"/>
    <w:p w:rsidR="00804A6A" w:rsidRDefault="00804A6A" w:rsidP="00804A6A">
      <w:pPr>
        <w:spacing w:before="0" w:after="0"/>
      </w:pPr>
      <w:bookmarkStart w:id="0" w:name="_GoBack"/>
      <w:bookmarkEnd w:id="0"/>
    </w:p>
    <w:p w:rsidR="00FB2F1F" w:rsidRDefault="00DB0A3F" w:rsidP="00804A6A">
      <w:pPr>
        <w:spacing w:before="0" w:after="0"/>
      </w:pPr>
      <w:r>
        <w:t xml:space="preserve">Los valores </w:t>
      </w:r>
      <w:r w:rsidR="00343B5A">
        <w:t xml:space="preserve">utilizados </w:t>
      </w:r>
      <w:r>
        <w:t xml:space="preserve">se presentan en la siguiente tabla, </w:t>
      </w:r>
      <w:r w:rsidR="00343B5A">
        <w:t>e</w:t>
      </w:r>
      <w:r>
        <w:t xml:space="preserve">l valor a reconocer </w:t>
      </w:r>
      <w:r w:rsidR="00343B5A">
        <w:t xml:space="preserve">corresponde </w:t>
      </w:r>
      <w:r>
        <w:t xml:space="preserve">al CAANE de los activos nuevos menos el valor de CAANE de los activos retirados. </w:t>
      </w:r>
    </w:p>
    <w:p w:rsidR="00804A6A" w:rsidRDefault="00804A6A" w:rsidP="00804A6A">
      <w:pPr>
        <w:spacing w:before="0"/>
      </w:pPr>
    </w:p>
    <w:tbl>
      <w:tblPr>
        <w:tblW w:w="0" w:type="auto"/>
        <w:jc w:val="center"/>
        <w:tblCellMar>
          <w:left w:w="70" w:type="dxa"/>
          <w:right w:w="70" w:type="dxa"/>
        </w:tblCellMar>
        <w:tblLook w:val="04A0" w:firstRow="1" w:lastRow="0" w:firstColumn="1" w:lastColumn="0" w:noHBand="0" w:noVBand="1"/>
      </w:tblPr>
      <w:tblGrid>
        <w:gridCol w:w="2314"/>
        <w:gridCol w:w="2410"/>
        <w:gridCol w:w="2693"/>
      </w:tblGrid>
      <w:tr w:rsidR="00DB0A3F" w:rsidRPr="00DB0A3F" w:rsidTr="00DB0A3F">
        <w:trPr>
          <w:cantSplit/>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left"/>
              <w:rPr>
                <w:rFonts w:cs="Calibri"/>
                <w:b/>
                <w:bCs/>
                <w:iCs/>
                <w:color w:val="000000"/>
                <w:sz w:val="22"/>
                <w:szCs w:val="22"/>
                <w:lang w:val="es-CO" w:eastAsia="es-CO"/>
              </w:rPr>
            </w:pPr>
            <w:r w:rsidRPr="00DB0A3F">
              <w:rPr>
                <w:rFonts w:cs="Calibri"/>
                <w:b/>
                <w:bCs/>
                <w:i/>
                <w:iCs/>
                <w:color w:val="000000"/>
                <w:sz w:val="22"/>
                <w:szCs w:val="22"/>
                <w:lang w:val="es-CO" w:eastAsia="es-CO"/>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center"/>
              <w:rPr>
                <w:rFonts w:cs="Calibri"/>
                <w:b/>
                <w:color w:val="000000"/>
                <w:sz w:val="22"/>
                <w:szCs w:val="22"/>
                <w:lang w:val="es-CO" w:eastAsia="es-CO"/>
              </w:rPr>
            </w:pPr>
            <w:r w:rsidRPr="00DB0A3F">
              <w:rPr>
                <w:rFonts w:cs="Calibri"/>
                <w:b/>
                <w:color w:val="000000"/>
                <w:sz w:val="22"/>
                <w:szCs w:val="22"/>
                <w:lang w:val="es-CO" w:eastAsia="es-CO"/>
              </w:rPr>
              <w:t xml:space="preserve"> Anualidad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center"/>
              <w:rPr>
                <w:rFonts w:cs="Calibri"/>
                <w:b/>
                <w:color w:val="000000"/>
                <w:sz w:val="22"/>
                <w:szCs w:val="22"/>
                <w:lang w:val="es-CO" w:eastAsia="es-CO"/>
              </w:rPr>
            </w:pPr>
            <w:r w:rsidRPr="00DB0A3F">
              <w:rPr>
                <w:rFonts w:cs="Calibri"/>
                <w:b/>
                <w:color w:val="000000"/>
                <w:sz w:val="22"/>
                <w:szCs w:val="22"/>
                <w:lang w:val="es-CO" w:eastAsia="es-CO"/>
              </w:rPr>
              <w:t>CAANE</w:t>
            </w:r>
          </w:p>
        </w:tc>
      </w:tr>
      <w:tr w:rsidR="00DB0A3F" w:rsidRPr="00DB0A3F" w:rsidTr="00DB0A3F">
        <w:trPr>
          <w:cantSplit/>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left"/>
              <w:rPr>
                <w:rFonts w:cs="Calibri"/>
                <w:color w:val="000000"/>
                <w:sz w:val="22"/>
                <w:szCs w:val="22"/>
                <w:lang w:val="es-CO" w:eastAsia="es-CO"/>
              </w:rPr>
            </w:pPr>
            <w:r w:rsidRPr="00DB0A3F">
              <w:rPr>
                <w:rFonts w:cs="Calibri"/>
                <w:color w:val="000000"/>
                <w:sz w:val="22"/>
                <w:szCs w:val="22"/>
                <w:lang w:val="es-CO" w:eastAsia="es-CO"/>
              </w:rPr>
              <w:t>Activos nuevos</w:t>
            </w:r>
          </w:p>
        </w:tc>
        <w:tc>
          <w:tcPr>
            <w:tcW w:w="2410"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color w:val="000000"/>
                <w:sz w:val="22"/>
                <w:szCs w:val="22"/>
                <w:lang w:val="es-CO" w:eastAsia="es-CO"/>
              </w:rPr>
            </w:pPr>
            <w:r w:rsidRPr="00DB0A3F">
              <w:rPr>
                <w:rFonts w:cs="Calibri"/>
                <w:color w:val="000000"/>
                <w:sz w:val="22"/>
                <w:szCs w:val="22"/>
                <w:lang w:val="es-CO" w:eastAsia="es-CO"/>
              </w:rPr>
              <w:t>2.368.801.122</w:t>
            </w:r>
          </w:p>
        </w:tc>
        <w:tc>
          <w:tcPr>
            <w:tcW w:w="2693"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color w:val="000000"/>
                <w:sz w:val="22"/>
                <w:szCs w:val="22"/>
                <w:lang w:val="es-CO" w:eastAsia="es-CO"/>
              </w:rPr>
            </w:pPr>
            <w:r w:rsidRPr="00DB0A3F">
              <w:rPr>
                <w:rFonts w:cs="Calibri"/>
                <w:color w:val="000000"/>
                <w:sz w:val="22"/>
                <w:szCs w:val="22"/>
                <w:lang w:val="es-CO" w:eastAsia="es-CO"/>
              </w:rPr>
              <w:t>97.120.846</w:t>
            </w:r>
          </w:p>
        </w:tc>
      </w:tr>
      <w:tr w:rsidR="00DB0A3F" w:rsidRPr="00DB0A3F" w:rsidTr="00DB0A3F">
        <w:trPr>
          <w:cantSplit/>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left"/>
              <w:rPr>
                <w:rFonts w:cs="Calibri"/>
                <w:color w:val="000000"/>
                <w:sz w:val="22"/>
                <w:szCs w:val="22"/>
                <w:lang w:val="es-CO" w:eastAsia="es-CO"/>
              </w:rPr>
            </w:pPr>
            <w:r w:rsidRPr="00DB0A3F">
              <w:rPr>
                <w:rFonts w:cs="Calibri"/>
                <w:color w:val="000000"/>
                <w:sz w:val="22"/>
                <w:szCs w:val="22"/>
                <w:lang w:val="es-CO" w:eastAsia="es-CO"/>
              </w:rPr>
              <w:t>Activos retirados</w:t>
            </w:r>
          </w:p>
        </w:tc>
        <w:tc>
          <w:tcPr>
            <w:tcW w:w="2410"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color w:val="000000"/>
                <w:sz w:val="22"/>
                <w:szCs w:val="22"/>
                <w:lang w:val="es-CO" w:eastAsia="es-CO"/>
              </w:rPr>
            </w:pPr>
            <w:r w:rsidRPr="00DB0A3F">
              <w:rPr>
                <w:rFonts w:cs="Calibri"/>
                <w:color w:val="000000"/>
                <w:sz w:val="22"/>
                <w:szCs w:val="22"/>
                <w:lang w:val="es-CO" w:eastAsia="es-CO"/>
              </w:rPr>
              <w:t>1.234.774.353</w:t>
            </w:r>
          </w:p>
        </w:tc>
        <w:tc>
          <w:tcPr>
            <w:tcW w:w="2693"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color w:val="000000"/>
                <w:sz w:val="22"/>
                <w:szCs w:val="22"/>
                <w:lang w:val="es-CO" w:eastAsia="es-CO"/>
              </w:rPr>
            </w:pPr>
            <w:r w:rsidRPr="00DB0A3F">
              <w:rPr>
                <w:rFonts w:cs="Calibri"/>
                <w:color w:val="000000"/>
                <w:sz w:val="22"/>
                <w:szCs w:val="22"/>
                <w:lang w:val="es-CO" w:eastAsia="es-CO"/>
              </w:rPr>
              <w:t>50.625.748</w:t>
            </w:r>
          </w:p>
        </w:tc>
      </w:tr>
      <w:tr w:rsidR="00DB0A3F" w:rsidRPr="00DB0A3F" w:rsidTr="00DB0A3F">
        <w:trPr>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bottom"/>
            <w:hideMark/>
          </w:tcPr>
          <w:p w:rsidR="00DB0A3F" w:rsidRPr="00DB0A3F" w:rsidRDefault="00187B90" w:rsidP="00DB0A3F">
            <w:pPr>
              <w:keepNext/>
              <w:spacing w:before="0" w:after="0"/>
              <w:contextualSpacing/>
              <w:jc w:val="left"/>
              <w:rPr>
                <w:rFonts w:cs="Calibri"/>
                <w:b/>
                <w:color w:val="000000"/>
                <w:sz w:val="22"/>
                <w:szCs w:val="22"/>
                <w:lang w:val="es-CO" w:eastAsia="es-CO"/>
              </w:rPr>
            </w:pPr>
            <w:r>
              <w:rPr>
                <w:rFonts w:cs="Calibri"/>
                <w:b/>
                <w:color w:val="000000"/>
                <w:sz w:val="22"/>
                <w:szCs w:val="22"/>
                <w:lang w:val="es-CO" w:eastAsia="es-CO"/>
              </w:rPr>
              <w:t>Valor a reconocer</w:t>
            </w:r>
          </w:p>
        </w:tc>
        <w:tc>
          <w:tcPr>
            <w:tcW w:w="2410"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
                <w:color w:val="000000"/>
                <w:sz w:val="22"/>
                <w:szCs w:val="22"/>
                <w:lang w:val="es-CO" w:eastAsia="es-CO"/>
              </w:rPr>
            </w:pPr>
            <w:r w:rsidRPr="00DB0A3F">
              <w:rPr>
                <w:rFonts w:cs="Calibri"/>
                <w:b/>
                <w:color w:val="000000"/>
                <w:sz w:val="22"/>
                <w:szCs w:val="22"/>
                <w:lang w:val="es-CO" w:eastAsia="es-CO"/>
              </w:rPr>
              <w:t>1.134.026.769</w:t>
            </w:r>
          </w:p>
        </w:tc>
        <w:tc>
          <w:tcPr>
            <w:tcW w:w="2693"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
                <w:color w:val="000000"/>
                <w:sz w:val="22"/>
                <w:szCs w:val="22"/>
                <w:lang w:val="es-CO" w:eastAsia="es-CO"/>
              </w:rPr>
            </w:pPr>
            <w:r w:rsidRPr="00DB0A3F">
              <w:rPr>
                <w:rFonts w:cs="Calibri"/>
                <w:b/>
                <w:color w:val="000000"/>
                <w:sz w:val="22"/>
                <w:szCs w:val="22"/>
                <w:lang w:val="es-CO" w:eastAsia="es-CO"/>
              </w:rPr>
              <w:t>46.495.098</w:t>
            </w:r>
          </w:p>
        </w:tc>
      </w:tr>
    </w:tbl>
    <w:p w:rsidR="00804A6A" w:rsidRDefault="00804A6A" w:rsidP="00804A6A">
      <w:pPr>
        <w:spacing w:before="0"/>
      </w:pPr>
    </w:p>
    <w:p w:rsidR="00343B5A" w:rsidRDefault="00187B90" w:rsidP="00804A6A">
      <w:pPr>
        <w:spacing w:before="0"/>
      </w:pPr>
      <w:r>
        <w:t xml:space="preserve">Según lo establecido en </w:t>
      </w:r>
      <w:r w:rsidR="00343B5A">
        <w:t>la Resolución CREG 097 de 2008, el AOM corresponde a un porcentaje del costo de reposición de la inversión, CRI. En la siguiente tabla se presentan los valores empleados</w:t>
      </w:r>
      <w:r>
        <w:t>, donde e</w:t>
      </w:r>
      <w:r w:rsidR="00343B5A">
        <w:t xml:space="preserve">l valor a reconocer corresponde al AOM de los activos nuevos menos el AOM de los activos retirados. </w:t>
      </w:r>
    </w:p>
    <w:tbl>
      <w:tblPr>
        <w:tblW w:w="0" w:type="auto"/>
        <w:jc w:val="center"/>
        <w:tblInd w:w="172" w:type="dxa"/>
        <w:tblLayout w:type="fixed"/>
        <w:tblCellMar>
          <w:left w:w="70" w:type="dxa"/>
          <w:right w:w="70" w:type="dxa"/>
        </w:tblCellMar>
        <w:tblLook w:val="04A0" w:firstRow="1" w:lastRow="0" w:firstColumn="1" w:lastColumn="0" w:noHBand="0" w:noVBand="1"/>
      </w:tblPr>
      <w:tblGrid>
        <w:gridCol w:w="2327"/>
        <w:gridCol w:w="2958"/>
        <w:gridCol w:w="2202"/>
      </w:tblGrid>
      <w:tr w:rsidR="00DB0A3F" w:rsidRPr="00DB0A3F" w:rsidTr="00DB0A3F">
        <w:trPr>
          <w:trHeight w:val="300"/>
          <w:jc w:val="center"/>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left"/>
              <w:rPr>
                <w:rFonts w:cs="Calibri"/>
                <w:b/>
                <w:bCs/>
                <w:iCs/>
                <w:color w:val="000000"/>
                <w:sz w:val="22"/>
                <w:szCs w:val="22"/>
                <w:lang w:val="es-CO" w:eastAsia="es-CO"/>
              </w:rPr>
            </w:pPr>
            <w:r w:rsidRPr="00DB0A3F">
              <w:rPr>
                <w:rFonts w:cs="Calibri"/>
                <w:b/>
                <w:bCs/>
                <w:iCs/>
                <w:color w:val="000000"/>
                <w:sz w:val="22"/>
                <w:szCs w:val="22"/>
                <w:lang w:val="es-CO" w:eastAsia="es-CO"/>
              </w:rPr>
              <w:t> </w:t>
            </w:r>
          </w:p>
        </w:tc>
        <w:tc>
          <w:tcPr>
            <w:tcW w:w="2958" w:type="dxa"/>
            <w:tcBorders>
              <w:top w:val="single" w:sz="4" w:space="0" w:color="auto"/>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center"/>
              <w:rPr>
                <w:rFonts w:cs="Calibri"/>
                <w:b/>
                <w:bCs/>
                <w:iCs/>
                <w:color w:val="000000"/>
                <w:sz w:val="22"/>
                <w:szCs w:val="22"/>
                <w:lang w:val="es-CO" w:eastAsia="es-CO"/>
              </w:rPr>
            </w:pPr>
            <w:r w:rsidRPr="00DB0A3F">
              <w:rPr>
                <w:rFonts w:cs="Calibri"/>
                <w:b/>
                <w:bCs/>
                <w:iCs/>
                <w:color w:val="000000"/>
                <w:sz w:val="22"/>
                <w:szCs w:val="22"/>
                <w:lang w:val="es-CO" w:eastAsia="es-CO"/>
              </w:rPr>
              <w:t xml:space="preserve"> CRI  </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center"/>
              <w:rPr>
                <w:rFonts w:cs="Calibri"/>
                <w:b/>
                <w:bCs/>
                <w:iCs/>
                <w:color w:val="000000"/>
                <w:sz w:val="22"/>
                <w:szCs w:val="22"/>
                <w:lang w:val="es-CO" w:eastAsia="es-CO"/>
              </w:rPr>
            </w:pPr>
            <w:r w:rsidRPr="00DB0A3F">
              <w:rPr>
                <w:rFonts w:cs="Calibri"/>
                <w:b/>
                <w:bCs/>
                <w:iCs/>
                <w:color w:val="000000"/>
                <w:sz w:val="22"/>
                <w:szCs w:val="22"/>
                <w:lang w:val="es-CO" w:eastAsia="es-CO"/>
              </w:rPr>
              <w:t>AOMj4</w:t>
            </w:r>
          </w:p>
        </w:tc>
      </w:tr>
      <w:tr w:rsidR="00DB0A3F" w:rsidRPr="00DB0A3F" w:rsidTr="00DB0A3F">
        <w:trPr>
          <w:trHeight w:val="300"/>
          <w:jc w:val="center"/>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left"/>
              <w:rPr>
                <w:rFonts w:cs="Calibri"/>
                <w:bCs/>
                <w:iCs/>
                <w:color w:val="000000"/>
                <w:sz w:val="22"/>
                <w:szCs w:val="22"/>
                <w:lang w:val="es-CO" w:eastAsia="es-CO"/>
              </w:rPr>
            </w:pPr>
            <w:r w:rsidRPr="00DB0A3F">
              <w:rPr>
                <w:rFonts w:cs="Calibri"/>
                <w:bCs/>
                <w:iCs/>
                <w:color w:val="000000"/>
                <w:sz w:val="22"/>
                <w:szCs w:val="22"/>
                <w:lang w:val="es-CO" w:eastAsia="es-CO"/>
              </w:rPr>
              <w:t>Activos nuevos</w:t>
            </w:r>
          </w:p>
        </w:tc>
        <w:tc>
          <w:tcPr>
            <w:tcW w:w="2958"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Cs/>
                <w:iCs/>
                <w:color w:val="000000"/>
                <w:sz w:val="22"/>
                <w:szCs w:val="22"/>
                <w:lang w:val="es-CO" w:eastAsia="es-CO"/>
              </w:rPr>
            </w:pPr>
            <w:r w:rsidRPr="00DB0A3F">
              <w:rPr>
                <w:rFonts w:cs="Calibri"/>
                <w:bCs/>
                <w:iCs/>
                <w:color w:val="000000"/>
                <w:sz w:val="22"/>
                <w:szCs w:val="22"/>
                <w:lang w:val="es-CO" w:eastAsia="es-CO"/>
              </w:rPr>
              <w:t xml:space="preserve">17.947.059.290 </w:t>
            </w:r>
          </w:p>
        </w:tc>
        <w:tc>
          <w:tcPr>
            <w:tcW w:w="2202"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Cs/>
                <w:iCs/>
                <w:color w:val="000000"/>
                <w:sz w:val="22"/>
                <w:szCs w:val="22"/>
                <w:lang w:val="es-CO" w:eastAsia="es-CO"/>
              </w:rPr>
            </w:pPr>
            <w:r w:rsidRPr="00DB0A3F">
              <w:rPr>
                <w:rFonts w:cs="Calibri"/>
                <w:bCs/>
                <w:iCs/>
                <w:color w:val="000000"/>
                <w:sz w:val="22"/>
                <w:szCs w:val="22"/>
                <w:lang w:val="es-CO" w:eastAsia="es-CO"/>
              </w:rPr>
              <w:t xml:space="preserve">535.540.249 </w:t>
            </w:r>
          </w:p>
        </w:tc>
      </w:tr>
      <w:tr w:rsidR="00DB0A3F" w:rsidRPr="00DB0A3F" w:rsidTr="00DB0A3F">
        <w:trPr>
          <w:trHeight w:val="300"/>
          <w:jc w:val="center"/>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left"/>
              <w:rPr>
                <w:rFonts w:cs="Calibri"/>
                <w:bCs/>
                <w:iCs/>
                <w:color w:val="000000"/>
                <w:sz w:val="22"/>
                <w:szCs w:val="22"/>
                <w:lang w:val="es-CO" w:eastAsia="es-CO"/>
              </w:rPr>
            </w:pPr>
            <w:r w:rsidRPr="00DB0A3F">
              <w:rPr>
                <w:rFonts w:cs="Calibri"/>
                <w:bCs/>
                <w:iCs/>
                <w:color w:val="000000"/>
                <w:sz w:val="22"/>
                <w:szCs w:val="22"/>
                <w:lang w:val="es-CO" w:eastAsia="es-CO"/>
              </w:rPr>
              <w:t>Activos retirados</w:t>
            </w:r>
          </w:p>
        </w:tc>
        <w:tc>
          <w:tcPr>
            <w:tcW w:w="2958"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Cs/>
                <w:iCs/>
                <w:color w:val="000000"/>
                <w:sz w:val="22"/>
                <w:szCs w:val="22"/>
                <w:lang w:val="es-CO" w:eastAsia="es-CO"/>
              </w:rPr>
            </w:pPr>
            <w:r w:rsidRPr="00DB0A3F">
              <w:rPr>
                <w:rFonts w:cs="Calibri"/>
                <w:bCs/>
                <w:iCs/>
                <w:color w:val="000000"/>
                <w:sz w:val="22"/>
                <w:szCs w:val="22"/>
                <w:lang w:val="es-CO" w:eastAsia="es-CO"/>
              </w:rPr>
              <w:t xml:space="preserve">9.426.731.241 </w:t>
            </w:r>
          </w:p>
        </w:tc>
        <w:tc>
          <w:tcPr>
            <w:tcW w:w="2202"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Cs/>
                <w:iCs/>
                <w:color w:val="000000"/>
                <w:sz w:val="22"/>
                <w:szCs w:val="22"/>
                <w:lang w:val="es-CO" w:eastAsia="es-CO"/>
              </w:rPr>
            </w:pPr>
            <w:r w:rsidRPr="00DB0A3F">
              <w:rPr>
                <w:rFonts w:cs="Calibri"/>
                <w:bCs/>
                <w:iCs/>
                <w:color w:val="000000"/>
                <w:sz w:val="22"/>
                <w:szCs w:val="22"/>
                <w:lang w:val="es-CO" w:eastAsia="es-CO"/>
              </w:rPr>
              <w:t xml:space="preserve">281.293.660 </w:t>
            </w:r>
          </w:p>
        </w:tc>
      </w:tr>
      <w:tr w:rsidR="00DB0A3F" w:rsidRPr="00DB0A3F" w:rsidTr="00DB0A3F">
        <w:trPr>
          <w:trHeight w:val="300"/>
          <w:jc w:val="center"/>
        </w:trPr>
        <w:tc>
          <w:tcPr>
            <w:tcW w:w="2327" w:type="dxa"/>
            <w:tcBorders>
              <w:top w:val="nil"/>
              <w:left w:val="single" w:sz="4" w:space="0" w:color="auto"/>
              <w:bottom w:val="single" w:sz="4" w:space="0" w:color="auto"/>
              <w:right w:val="single" w:sz="4" w:space="0" w:color="auto"/>
            </w:tcBorders>
            <w:shd w:val="clear" w:color="auto" w:fill="auto"/>
            <w:noWrap/>
            <w:vAlign w:val="bottom"/>
            <w:hideMark/>
          </w:tcPr>
          <w:p w:rsidR="00DB0A3F" w:rsidRPr="00DB0A3F" w:rsidRDefault="00187B90" w:rsidP="00DB0A3F">
            <w:pPr>
              <w:keepNext/>
              <w:spacing w:before="0" w:after="0"/>
              <w:contextualSpacing/>
              <w:jc w:val="left"/>
              <w:rPr>
                <w:rFonts w:cs="Calibri"/>
                <w:b/>
                <w:bCs/>
                <w:iCs/>
                <w:color w:val="000000"/>
                <w:sz w:val="22"/>
                <w:szCs w:val="22"/>
                <w:lang w:val="es-CO" w:eastAsia="es-CO"/>
              </w:rPr>
            </w:pPr>
            <w:r>
              <w:rPr>
                <w:rFonts w:cs="Calibri"/>
                <w:b/>
                <w:bCs/>
                <w:iCs/>
                <w:color w:val="000000"/>
                <w:sz w:val="22"/>
                <w:szCs w:val="22"/>
                <w:lang w:val="es-CO" w:eastAsia="es-CO"/>
              </w:rPr>
              <w:t>Valor a reconocer</w:t>
            </w:r>
          </w:p>
        </w:tc>
        <w:tc>
          <w:tcPr>
            <w:tcW w:w="2958"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
                <w:bCs/>
                <w:iCs/>
                <w:color w:val="000000"/>
                <w:sz w:val="22"/>
                <w:szCs w:val="22"/>
                <w:lang w:val="es-CO" w:eastAsia="es-CO"/>
              </w:rPr>
            </w:pPr>
            <w:r w:rsidRPr="00DB0A3F">
              <w:rPr>
                <w:rFonts w:cs="Calibri"/>
                <w:b/>
                <w:bCs/>
                <w:iCs/>
                <w:color w:val="000000"/>
                <w:sz w:val="22"/>
                <w:szCs w:val="22"/>
                <w:lang w:val="es-CO" w:eastAsia="es-CO"/>
              </w:rPr>
              <w:t xml:space="preserve">8.520.328.049 </w:t>
            </w:r>
          </w:p>
        </w:tc>
        <w:tc>
          <w:tcPr>
            <w:tcW w:w="2202" w:type="dxa"/>
            <w:tcBorders>
              <w:top w:val="nil"/>
              <w:left w:val="nil"/>
              <w:bottom w:val="single" w:sz="4" w:space="0" w:color="auto"/>
              <w:right w:val="single" w:sz="4" w:space="0" w:color="auto"/>
            </w:tcBorders>
            <w:shd w:val="clear" w:color="auto" w:fill="auto"/>
            <w:noWrap/>
            <w:vAlign w:val="bottom"/>
            <w:hideMark/>
          </w:tcPr>
          <w:p w:rsidR="00DB0A3F" w:rsidRPr="00DB0A3F" w:rsidRDefault="00DB0A3F" w:rsidP="00DB0A3F">
            <w:pPr>
              <w:keepNext/>
              <w:spacing w:before="0" w:after="0"/>
              <w:contextualSpacing/>
              <w:jc w:val="right"/>
              <w:rPr>
                <w:rFonts w:cs="Calibri"/>
                <w:b/>
                <w:bCs/>
                <w:iCs/>
                <w:color w:val="000000"/>
                <w:sz w:val="22"/>
                <w:szCs w:val="22"/>
                <w:lang w:val="es-CO" w:eastAsia="es-CO"/>
              </w:rPr>
            </w:pPr>
            <w:r w:rsidRPr="00DB0A3F">
              <w:rPr>
                <w:rFonts w:cs="Calibri"/>
                <w:b/>
                <w:bCs/>
                <w:iCs/>
                <w:color w:val="000000"/>
                <w:sz w:val="22"/>
                <w:szCs w:val="22"/>
                <w:lang w:val="es-CO" w:eastAsia="es-CO"/>
              </w:rPr>
              <w:t xml:space="preserve">254.246.589 </w:t>
            </w:r>
          </w:p>
        </w:tc>
      </w:tr>
    </w:tbl>
    <w:p w:rsidR="00804A6A" w:rsidRDefault="00804A6A" w:rsidP="00804A6A">
      <w:pPr>
        <w:spacing w:before="0"/>
      </w:pPr>
    </w:p>
    <w:p w:rsidR="009922A5" w:rsidRDefault="00325820" w:rsidP="00804A6A">
      <w:pPr>
        <w:spacing w:before="0"/>
      </w:pPr>
      <w:r>
        <w:t xml:space="preserve">En la siguiente tabla se presenta el costo anual por uso de los activos de nivel de tensión 4 </w:t>
      </w:r>
      <w:r w:rsidR="00344A00">
        <w:t>aprobado</w:t>
      </w:r>
      <w:r>
        <w:t xml:space="preserve"> a EPM en la Resolución CREG 003 de 2014, el valor adicional como resultado de la presente actualización y el valor final a aprobar:</w:t>
      </w:r>
    </w:p>
    <w:tbl>
      <w:tblPr>
        <w:tblW w:w="7465" w:type="dxa"/>
        <w:jc w:val="center"/>
        <w:tblInd w:w="-3321" w:type="dxa"/>
        <w:tblCellMar>
          <w:left w:w="70" w:type="dxa"/>
          <w:right w:w="70" w:type="dxa"/>
        </w:tblCellMar>
        <w:tblLook w:val="04A0" w:firstRow="1" w:lastRow="0" w:firstColumn="1" w:lastColumn="0" w:noHBand="0" w:noVBand="1"/>
      </w:tblPr>
      <w:tblGrid>
        <w:gridCol w:w="5476"/>
        <w:gridCol w:w="1989"/>
      </w:tblGrid>
      <w:tr w:rsidR="00344A00" w:rsidRPr="00344A00" w:rsidTr="00325820">
        <w:trPr>
          <w:trHeight w:val="300"/>
          <w:jc w:val="center"/>
        </w:trPr>
        <w:tc>
          <w:tcPr>
            <w:tcW w:w="5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A00" w:rsidRPr="00344A00" w:rsidRDefault="00344A00" w:rsidP="00F7071C">
            <w:pPr>
              <w:keepNext/>
              <w:spacing w:before="0" w:after="0"/>
              <w:jc w:val="left"/>
              <w:rPr>
                <w:rFonts w:cs="Calibri"/>
                <w:color w:val="000000"/>
                <w:sz w:val="22"/>
                <w:szCs w:val="22"/>
                <w:lang w:val="es-CO" w:eastAsia="es-CO"/>
              </w:rPr>
            </w:pPr>
            <w:r w:rsidRPr="00344A00">
              <w:rPr>
                <w:rFonts w:cs="Calibri"/>
                <w:color w:val="000000"/>
                <w:sz w:val="22"/>
                <w:szCs w:val="22"/>
                <w:lang w:val="es-CO" w:eastAsia="es-CO"/>
              </w:rPr>
              <w:t>CA</w:t>
            </w:r>
            <w:r w:rsidRPr="00344A00">
              <w:rPr>
                <w:rFonts w:cs="Calibri"/>
                <w:color w:val="000000"/>
                <w:sz w:val="22"/>
                <w:szCs w:val="22"/>
                <w:vertAlign w:val="subscript"/>
                <w:lang w:val="es-CO" w:eastAsia="es-CO"/>
              </w:rPr>
              <w:t>j4</w:t>
            </w:r>
            <w:r w:rsidRPr="00344A00">
              <w:rPr>
                <w:rFonts w:cs="Calibri"/>
                <w:color w:val="000000"/>
                <w:sz w:val="22"/>
                <w:szCs w:val="22"/>
                <w:lang w:val="es-CO" w:eastAsia="es-CO"/>
              </w:rPr>
              <w:t xml:space="preserve"> aprobado</w:t>
            </w:r>
            <w:r w:rsidR="00325820">
              <w:rPr>
                <w:rFonts w:cs="Calibri"/>
                <w:color w:val="000000"/>
                <w:sz w:val="22"/>
                <w:szCs w:val="22"/>
                <w:lang w:val="es-CO" w:eastAsia="es-CO"/>
              </w:rPr>
              <w:t xml:space="preserve"> en Resolución CREG 003 de 2014</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rsidR="00344A00" w:rsidRPr="00344A00" w:rsidRDefault="00344A00" w:rsidP="00F7071C">
            <w:pPr>
              <w:keepNext/>
              <w:spacing w:before="0" w:after="0"/>
              <w:jc w:val="right"/>
              <w:rPr>
                <w:rFonts w:cs="Calibri"/>
                <w:color w:val="000000"/>
                <w:sz w:val="22"/>
                <w:szCs w:val="22"/>
                <w:lang w:val="es-CO" w:eastAsia="es-CO"/>
              </w:rPr>
            </w:pPr>
            <w:r w:rsidRPr="00344A00">
              <w:rPr>
                <w:rFonts w:cs="Calibri"/>
                <w:color w:val="000000"/>
                <w:sz w:val="22"/>
                <w:szCs w:val="22"/>
                <w:lang w:val="es-CO" w:eastAsia="es-CO"/>
              </w:rPr>
              <w:t>131.447.046.310</w:t>
            </w:r>
          </w:p>
        </w:tc>
      </w:tr>
      <w:tr w:rsidR="00344A00" w:rsidRPr="00344A00" w:rsidTr="00325820">
        <w:trPr>
          <w:trHeight w:val="300"/>
          <w:jc w:val="center"/>
        </w:trPr>
        <w:tc>
          <w:tcPr>
            <w:tcW w:w="5476" w:type="dxa"/>
            <w:tcBorders>
              <w:top w:val="nil"/>
              <w:left w:val="single" w:sz="4" w:space="0" w:color="auto"/>
              <w:bottom w:val="single" w:sz="4" w:space="0" w:color="auto"/>
              <w:right w:val="single" w:sz="4" w:space="0" w:color="auto"/>
            </w:tcBorders>
            <w:shd w:val="clear" w:color="auto" w:fill="auto"/>
            <w:noWrap/>
            <w:vAlign w:val="bottom"/>
            <w:hideMark/>
          </w:tcPr>
          <w:p w:rsidR="00344A00" w:rsidRPr="00344A00" w:rsidRDefault="00344A00" w:rsidP="00F7071C">
            <w:pPr>
              <w:keepNext/>
              <w:spacing w:before="0" w:after="0"/>
              <w:jc w:val="left"/>
              <w:rPr>
                <w:rFonts w:cs="Calibri"/>
                <w:color w:val="000000"/>
                <w:sz w:val="22"/>
                <w:szCs w:val="22"/>
                <w:lang w:val="es-CO" w:eastAsia="es-CO"/>
              </w:rPr>
            </w:pPr>
            <w:r w:rsidRPr="00344A00">
              <w:rPr>
                <w:rFonts w:cs="Calibri"/>
                <w:color w:val="000000"/>
                <w:sz w:val="22"/>
                <w:szCs w:val="22"/>
                <w:lang w:val="es-CO" w:eastAsia="es-CO"/>
              </w:rPr>
              <w:t>CA</w:t>
            </w:r>
            <w:r w:rsidRPr="00344A00">
              <w:rPr>
                <w:rFonts w:cs="Calibri"/>
                <w:color w:val="000000"/>
                <w:sz w:val="22"/>
                <w:szCs w:val="22"/>
                <w:vertAlign w:val="subscript"/>
                <w:lang w:val="es-CO" w:eastAsia="es-CO"/>
              </w:rPr>
              <w:t>j4</w:t>
            </w:r>
            <w:r w:rsidRPr="00344A00">
              <w:rPr>
                <w:rFonts w:cs="Calibri"/>
                <w:color w:val="000000"/>
                <w:sz w:val="22"/>
                <w:szCs w:val="22"/>
                <w:lang w:val="es-CO" w:eastAsia="es-CO"/>
              </w:rPr>
              <w:t xml:space="preserve"> adicional</w:t>
            </w:r>
            <w:r w:rsidR="00325820">
              <w:rPr>
                <w:rFonts w:cs="Calibri"/>
                <w:color w:val="000000"/>
                <w:sz w:val="22"/>
                <w:szCs w:val="22"/>
                <w:lang w:val="es-CO" w:eastAsia="es-CO"/>
              </w:rPr>
              <w:t xml:space="preserve"> por actualización</w:t>
            </w:r>
          </w:p>
        </w:tc>
        <w:tc>
          <w:tcPr>
            <w:tcW w:w="1989" w:type="dxa"/>
            <w:tcBorders>
              <w:top w:val="nil"/>
              <w:left w:val="nil"/>
              <w:bottom w:val="single" w:sz="4" w:space="0" w:color="auto"/>
              <w:right w:val="single" w:sz="4" w:space="0" w:color="auto"/>
            </w:tcBorders>
            <w:shd w:val="clear" w:color="auto" w:fill="auto"/>
            <w:noWrap/>
            <w:vAlign w:val="bottom"/>
            <w:hideMark/>
          </w:tcPr>
          <w:p w:rsidR="00344A00" w:rsidRPr="00344A00" w:rsidRDefault="00344A00" w:rsidP="00F7071C">
            <w:pPr>
              <w:keepNext/>
              <w:spacing w:before="0" w:after="0"/>
              <w:jc w:val="right"/>
              <w:rPr>
                <w:rFonts w:cs="Calibri"/>
                <w:color w:val="000000"/>
                <w:sz w:val="22"/>
                <w:szCs w:val="22"/>
                <w:lang w:val="es-CO" w:eastAsia="es-CO"/>
              </w:rPr>
            </w:pPr>
            <w:r w:rsidRPr="00344A00">
              <w:rPr>
                <w:rFonts w:cs="Calibri"/>
                <w:color w:val="000000"/>
                <w:sz w:val="22"/>
                <w:szCs w:val="22"/>
                <w:lang w:val="es-CO" w:eastAsia="es-CO"/>
              </w:rPr>
              <w:t>1.784.274.086</w:t>
            </w:r>
          </w:p>
        </w:tc>
      </w:tr>
      <w:tr w:rsidR="00344A00" w:rsidRPr="00344A00" w:rsidTr="00325820">
        <w:trPr>
          <w:trHeight w:val="300"/>
          <w:jc w:val="center"/>
        </w:trPr>
        <w:tc>
          <w:tcPr>
            <w:tcW w:w="5476" w:type="dxa"/>
            <w:tcBorders>
              <w:top w:val="nil"/>
              <w:left w:val="single" w:sz="4" w:space="0" w:color="auto"/>
              <w:bottom w:val="single" w:sz="4" w:space="0" w:color="auto"/>
              <w:right w:val="single" w:sz="4" w:space="0" w:color="auto"/>
            </w:tcBorders>
            <w:shd w:val="clear" w:color="auto" w:fill="auto"/>
            <w:noWrap/>
            <w:vAlign w:val="bottom"/>
            <w:hideMark/>
          </w:tcPr>
          <w:p w:rsidR="00344A00" w:rsidRPr="00344A00" w:rsidRDefault="00344A00" w:rsidP="00325820">
            <w:pPr>
              <w:spacing w:before="0" w:after="0"/>
              <w:jc w:val="left"/>
              <w:rPr>
                <w:rFonts w:cs="Calibri"/>
                <w:color w:val="000000"/>
                <w:sz w:val="22"/>
                <w:szCs w:val="22"/>
                <w:lang w:val="es-CO" w:eastAsia="es-CO"/>
              </w:rPr>
            </w:pPr>
            <w:r w:rsidRPr="00344A00">
              <w:rPr>
                <w:rFonts w:cs="Calibri"/>
                <w:color w:val="000000"/>
                <w:sz w:val="22"/>
                <w:szCs w:val="22"/>
                <w:lang w:val="es-CO" w:eastAsia="es-CO"/>
              </w:rPr>
              <w:t>CA</w:t>
            </w:r>
            <w:r w:rsidRPr="00344A00">
              <w:rPr>
                <w:rFonts w:cs="Calibri"/>
                <w:color w:val="000000"/>
                <w:sz w:val="22"/>
                <w:szCs w:val="22"/>
                <w:vertAlign w:val="subscript"/>
                <w:lang w:val="es-CO" w:eastAsia="es-CO"/>
              </w:rPr>
              <w:t>j4</w:t>
            </w:r>
            <w:r w:rsidRPr="00344A00">
              <w:rPr>
                <w:rFonts w:cs="Calibri"/>
                <w:color w:val="000000"/>
                <w:sz w:val="22"/>
                <w:szCs w:val="22"/>
                <w:lang w:val="es-CO" w:eastAsia="es-CO"/>
              </w:rPr>
              <w:t xml:space="preserve"> nuevo</w:t>
            </w:r>
            <w:r w:rsidR="00325820">
              <w:rPr>
                <w:rFonts w:cs="Calibri"/>
                <w:color w:val="000000"/>
                <w:sz w:val="22"/>
                <w:szCs w:val="22"/>
                <w:lang w:val="es-CO" w:eastAsia="es-CO"/>
              </w:rPr>
              <w:t xml:space="preserve"> por actualización</w:t>
            </w:r>
          </w:p>
        </w:tc>
        <w:tc>
          <w:tcPr>
            <w:tcW w:w="1989" w:type="dxa"/>
            <w:tcBorders>
              <w:top w:val="nil"/>
              <w:left w:val="nil"/>
              <w:bottom w:val="single" w:sz="4" w:space="0" w:color="auto"/>
              <w:right w:val="single" w:sz="4" w:space="0" w:color="auto"/>
            </w:tcBorders>
            <w:shd w:val="clear" w:color="auto" w:fill="auto"/>
            <w:noWrap/>
            <w:vAlign w:val="bottom"/>
            <w:hideMark/>
          </w:tcPr>
          <w:p w:rsidR="00344A00" w:rsidRPr="00344A00" w:rsidRDefault="00344A00" w:rsidP="00344A00">
            <w:pPr>
              <w:spacing w:before="0" w:after="0"/>
              <w:jc w:val="right"/>
              <w:rPr>
                <w:rFonts w:cs="Calibri"/>
                <w:color w:val="000000"/>
                <w:sz w:val="22"/>
                <w:szCs w:val="22"/>
                <w:lang w:val="es-CO" w:eastAsia="es-CO"/>
              </w:rPr>
            </w:pPr>
            <w:r w:rsidRPr="00344A00">
              <w:rPr>
                <w:rFonts w:cs="Calibri"/>
                <w:color w:val="000000"/>
                <w:sz w:val="22"/>
                <w:szCs w:val="22"/>
                <w:lang w:val="es-CO" w:eastAsia="es-CO"/>
              </w:rPr>
              <w:t>133.231.320.396</w:t>
            </w:r>
          </w:p>
        </w:tc>
      </w:tr>
    </w:tbl>
    <w:p w:rsidR="00D97B38" w:rsidRDefault="00252020" w:rsidP="00DB043F">
      <w:r>
        <w:t xml:space="preserve">Tal como puede observarse, </w:t>
      </w:r>
      <w:r w:rsidRPr="00252020">
        <w:t xml:space="preserve">las anualidades de activos no eléctricos (ANE) y </w:t>
      </w:r>
      <w:r w:rsidR="004A456E">
        <w:t xml:space="preserve">los </w:t>
      </w:r>
      <w:r w:rsidRPr="00252020">
        <w:t>costos de administración, operación y mantenimiento (AOM) relacionadas con los activos de la subestación San Lorenzo</w:t>
      </w:r>
      <w:r>
        <w:t>,</w:t>
      </w:r>
      <w:r w:rsidRPr="00252020">
        <w:t xml:space="preserve"> </w:t>
      </w:r>
      <w:r w:rsidR="00D964D0">
        <w:t>y</w:t>
      </w:r>
      <w:r w:rsidRPr="00252020">
        <w:t xml:space="preserve"> la línea Calderas – Sa</w:t>
      </w:r>
      <w:r>
        <w:t>n</w:t>
      </w:r>
      <w:r w:rsidRPr="00252020">
        <w:t xml:space="preserve"> Lorenzo – Rio Claro,  fueron </w:t>
      </w:r>
      <w:r w:rsidR="004A456E" w:rsidRPr="004A456E">
        <w:t>en efecto</w:t>
      </w:r>
      <w:r w:rsidR="004A456E">
        <w:t>,</w:t>
      </w:r>
      <w:r w:rsidR="004A456E" w:rsidRPr="004A456E">
        <w:t xml:space="preserve"> </w:t>
      </w:r>
      <w:r w:rsidRPr="00252020">
        <w:t xml:space="preserve">considerados </w:t>
      </w:r>
      <w:r>
        <w:t xml:space="preserve">por la Comisión de Regulación de Energía y Gas para </w:t>
      </w:r>
      <w:r w:rsidRPr="00252020">
        <w:t>el cálculo del costo anual</w:t>
      </w:r>
      <w:r>
        <w:t xml:space="preserve"> de la empresa.</w:t>
      </w:r>
    </w:p>
    <w:p w:rsidR="00252020" w:rsidRDefault="00252020" w:rsidP="00DB043F">
      <w:r>
        <w:t xml:space="preserve">En la medida en que el recurrente no logra probar la ocurrencia de algún otro  error en el respectivo calculo, no se accederá a la solicitud de </w:t>
      </w:r>
      <w:r w:rsidRPr="00252020">
        <w:t>modificar el artículo 1</w:t>
      </w:r>
      <w:r>
        <w:t>°</w:t>
      </w:r>
      <w:r w:rsidRPr="00252020">
        <w:t xml:space="preserve"> de la Resolución CREG 131 de 2014</w:t>
      </w:r>
      <w:r>
        <w:t>.</w:t>
      </w:r>
      <w:r w:rsidRPr="00252020">
        <w:t xml:space="preserve"> </w:t>
      </w:r>
      <w:r>
        <w:t xml:space="preserve">    </w:t>
      </w:r>
    </w:p>
    <w:p w:rsidR="00E03BD2" w:rsidRDefault="00252020" w:rsidP="00DB043F">
      <w:r>
        <w:t>En mérito de lo expuesto, l</w:t>
      </w:r>
      <w:r w:rsidR="00E03BD2">
        <w:t xml:space="preserve">a Comisión de Regulación de Energía y Gas, en su sesión </w:t>
      </w:r>
      <w:r w:rsidR="00C850D9">
        <w:t>No.</w:t>
      </w:r>
      <w:r w:rsidR="005A200A">
        <w:t xml:space="preserve"> </w:t>
      </w:r>
      <w:r w:rsidR="00804A6A">
        <w:t>636</w:t>
      </w:r>
      <w:r w:rsidR="00E03BD2">
        <w:t xml:space="preserve"> de 201</w:t>
      </w:r>
      <w:r w:rsidR="000F038B">
        <w:t>4</w:t>
      </w:r>
      <w:r w:rsidR="00E03BD2">
        <w:t>, acordó expedir la presente resolución;</w:t>
      </w:r>
    </w:p>
    <w:p w:rsidR="00E03BD2" w:rsidRDefault="00E03BD2" w:rsidP="00F112CE">
      <w:pPr>
        <w:keepNext/>
        <w:spacing w:before="480" w:after="480"/>
        <w:jc w:val="center"/>
        <w:rPr>
          <w:b/>
          <w:spacing w:val="40"/>
        </w:rPr>
      </w:pPr>
      <w:r>
        <w:rPr>
          <w:b/>
        </w:rPr>
        <w:lastRenderedPageBreak/>
        <w:t xml:space="preserve">R E S U E L V </w:t>
      </w:r>
      <w:r>
        <w:rPr>
          <w:b/>
          <w:spacing w:val="40"/>
        </w:rPr>
        <w:t>E:</w:t>
      </w:r>
    </w:p>
    <w:p w:rsidR="00EE7684" w:rsidRDefault="00EE7684" w:rsidP="00EE7684">
      <w:pPr>
        <w:rPr>
          <w:rFonts w:cs="Arial"/>
        </w:rPr>
      </w:pPr>
      <w:r>
        <w:rPr>
          <w:rFonts w:cs="Arial"/>
          <w:b/>
        </w:rPr>
        <w:t xml:space="preserve">Artículo 1. </w:t>
      </w:r>
      <w:r>
        <w:rPr>
          <w:rFonts w:cs="Arial"/>
        </w:rPr>
        <w:t xml:space="preserve">No acceder a las pretensiones del </w:t>
      </w:r>
      <w:r w:rsidR="00252020">
        <w:rPr>
          <w:rFonts w:cs="Arial"/>
        </w:rPr>
        <w:t>recurrente por las razones expuestas en la parte motiva del presente</w:t>
      </w:r>
      <w:r>
        <w:rPr>
          <w:rFonts w:cs="Arial"/>
        </w:rPr>
        <w:t>.</w:t>
      </w:r>
    </w:p>
    <w:p w:rsidR="00EE7684" w:rsidRDefault="00EE7684" w:rsidP="00EE7684">
      <w:r>
        <w:rPr>
          <w:rFonts w:cs="Arial"/>
          <w:b/>
        </w:rPr>
        <w:t>Artículo 2.</w:t>
      </w:r>
      <w:r>
        <w:rPr>
          <w:b/>
          <w:bCs/>
        </w:rPr>
        <w:t xml:space="preserve"> </w:t>
      </w:r>
      <w:r>
        <w:rPr>
          <w:bCs/>
        </w:rPr>
        <w:t>La presente resolución deberá notificarse al representante legal o a</w:t>
      </w:r>
      <w:r w:rsidR="00D97B38">
        <w:rPr>
          <w:bCs/>
        </w:rPr>
        <w:t xml:space="preserve"> quien haga sus veces </w:t>
      </w:r>
      <w:r>
        <w:rPr>
          <w:bCs/>
        </w:rPr>
        <w:t>de Empresa</w:t>
      </w:r>
      <w:r w:rsidR="001C055A">
        <w:rPr>
          <w:bCs/>
        </w:rPr>
        <w:t>s</w:t>
      </w:r>
      <w:r>
        <w:rPr>
          <w:bCs/>
        </w:rPr>
        <w:t xml:space="preserve"> Públicas de Medellín E.S.P. Contra lo aquí dispuesto no procede recurso alguno en la vía gubernativa.</w:t>
      </w:r>
    </w:p>
    <w:p w:rsidR="00F66EB8" w:rsidRDefault="00F66EB8" w:rsidP="00EF6D78">
      <w:pPr>
        <w:jc w:val="center"/>
        <w:rPr>
          <w:b/>
        </w:rPr>
      </w:pPr>
    </w:p>
    <w:p w:rsidR="00EF6D78" w:rsidRPr="005F46C2" w:rsidRDefault="00870E87" w:rsidP="00EF6D78">
      <w:pPr>
        <w:jc w:val="center"/>
        <w:rPr>
          <w:b/>
        </w:rPr>
      </w:pPr>
      <w:r>
        <w:rPr>
          <w:b/>
        </w:rPr>
        <w:t xml:space="preserve">NOTIFÍQUESE </w:t>
      </w:r>
      <w:r w:rsidR="00EF6D78" w:rsidRPr="005F46C2">
        <w:rPr>
          <w:b/>
        </w:rPr>
        <w:t xml:space="preserve"> Y CÚMPLASE</w:t>
      </w:r>
    </w:p>
    <w:p w:rsidR="00EF6D78" w:rsidRDefault="00EF6D78" w:rsidP="00C850D9">
      <w:r w:rsidRPr="005F46C2">
        <w:t>Dado en Bogotá, D. C.</w:t>
      </w:r>
    </w:p>
    <w:p w:rsidR="004A456E" w:rsidRDefault="004A456E" w:rsidP="00C850D9"/>
    <w:p w:rsidR="00C666F5" w:rsidRPr="005F46C2" w:rsidRDefault="00C666F5" w:rsidP="00EF6D78"/>
    <w:tbl>
      <w:tblPr>
        <w:tblW w:w="0" w:type="auto"/>
        <w:jc w:val="center"/>
        <w:tblInd w:w="-293" w:type="dxa"/>
        <w:tblLayout w:type="fixed"/>
        <w:tblCellMar>
          <w:left w:w="70" w:type="dxa"/>
          <w:right w:w="70" w:type="dxa"/>
        </w:tblCellMar>
        <w:tblLook w:val="04A0" w:firstRow="1" w:lastRow="0" w:firstColumn="1" w:lastColumn="0" w:noHBand="0" w:noVBand="1"/>
      </w:tblPr>
      <w:tblGrid>
        <w:gridCol w:w="5022"/>
        <w:gridCol w:w="4374"/>
      </w:tblGrid>
      <w:tr w:rsidR="00350D9E" w:rsidTr="00804A6A">
        <w:trPr>
          <w:trHeight w:val="329"/>
          <w:jc w:val="center"/>
        </w:trPr>
        <w:tc>
          <w:tcPr>
            <w:tcW w:w="5022" w:type="dxa"/>
            <w:vAlign w:val="center"/>
            <w:hideMark/>
          </w:tcPr>
          <w:p w:rsidR="00350D9E" w:rsidRDefault="00AF433B" w:rsidP="00DB043F">
            <w:pPr>
              <w:suppressAutoHyphens/>
              <w:spacing w:before="0" w:after="0" w:line="216" w:lineRule="auto"/>
              <w:jc w:val="center"/>
              <w:rPr>
                <w:rFonts w:cs="Arial"/>
                <w:b/>
                <w:spacing w:val="-3"/>
              </w:rPr>
            </w:pPr>
            <w:r>
              <w:rPr>
                <w:rFonts w:cs="Arial"/>
                <w:b/>
                <w:bCs/>
              </w:rPr>
              <w:t>TOMÁS GONZÁLEZ ESTRADA</w:t>
            </w:r>
          </w:p>
        </w:tc>
        <w:tc>
          <w:tcPr>
            <w:tcW w:w="4374" w:type="dxa"/>
            <w:vAlign w:val="center"/>
            <w:hideMark/>
          </w:tcPr>
          <w:p w:rsidR="00350D9E" w:rsidRDefault="000F1B55" w:rsidP="00DB043F">
            <w:pPr>
              <w:suppressAutoHyphens/>
              <w:spacing w:before="0" w:after="0" w:line="216" w:lineRule="auto"/>
              <w:ind w:left="-9"/>
              <w:jc w:val="center"/>
              <w:rPr>
                <w:rFonts w:cs="Arial"/>
                <w:b/>
                <w:spacing w:val="-3"/>
              </w:rPr>
            </w:pPr>
            <w:r>
              <w:rPr>
                <w:rFonts w:cs="Arial"/>
                <w:b/>
                <w:spacing w:val="-3"/>
              </w:rPr>
              <w:t>JORGE PINTO NOLLA</w:t>
            </w:r>
          </w:p>
        </w:tc>
      </w:tr>
      <w:tr w:rsidR="00350D9E" w:rsidTr="00804A6A">
        <w:trPr>
          <w:trHeight w:val="329"/>
          <w:jc w:val="center"/>
        </w:trPr>
        <w:tc>
          <w:tcPr>
            <w:tcW w:w="5022" w:type="dxa"/>
            <w:vAlign w:val="center"/>
            <w:hideMark/>
          </w:tcPr>
          <w:p w:rsidR="000342F5" w:rsidRDefault="000342F5" w:rsidP="000342F5">
            <w:pPr>
              <w:suppressAutoHyphens/>
              <w:spacing w:before="0" w:after="0" w:line="216" w:lineRule="auto"/>
              <w:jc w:val="center"/>
              <w:rPr>
                <w:rFonts w:cs="Arial"/>
                <w:spacing w:val="-3"/>
              </w:rPr>
            </w:pPr>
            <w:r>
              <w:rPr>
                <w:rFonts w:cs="Arial"/>
                <w:spacing w:val="-3"/>
              </w:rPr>
              <w:t>Ministro de Minas y Energía</w:t>
            </w:r>
          </w:p>
        </w:tc>
        <w:tc>
          <w:tcPr>
            <w:tcW w:w="4374" w:type="dxa"/>
            <w:vAlign w:val="center"/>
            <w:hideMark/>
          </w:tcPr>
          <w:p w:rsidR="00350D9E" w:rsidRDefault="00350D9E" w:rsidP="00DB043F">
            <w:pPr>
              <w:suppressAutoHyphens/>
              <w:spacing w:before="0" w:after="0" w:line="216" w:lineRule="auto"/>
              <w:ind w:left="-9"/>
              <w:jc w:val="center"/>
              <w:rPr>
                <w:rFonts w:cs="Arial"/>
                <w:spacing w:val="-3"/>
              </w:rPr>
            </w:pPr>
            <w:r>
              <w:rPr>
                <w:rFonts w:cs="Arial"/>
                <w:spacing w:val="-3"/>
              </w:rPr>
              <w:t>Director Ejecutivo</w:t>
            </w:r>
          </w:p>
        </w:tc>
      </w:tr>
      <w:tr w:rsidR="00350D9E" w:rsidTr="00804A6A">
        <w:trPr>
          <w:trHeight w:val="329"/>
          <w:jc w:val="center"/>
        </w:trPr>
        <w:tc>
          <w:tcPr>
            <w:tcW w:w="5022" w:type="dxa"/>
            <w:vAlign w:val="center"/>
            <w:hideMark/>
          </w:tcPr>
          <w:p w:rsidR="00350D9E" w:rsidRDefault="00350D9E" w:rsidP="00DB043F">
            <w:pPr>
              <w:suppressAutoHyphens/>
              <w:spacing w:before="0" w:after="0" w:line="216" w:lineRule="auto"/>
              <w:jc w:val="center"/>
              <w:rPr>
                <w:rFonts w:cs="Arial"/>
                <w:spacing w:val="-3"/>
              </w:rPr>
            </w:pPr>
            <w:r>
              <w:rPr>
                <w:rFonts w:cs="Arial"/>
                <w:spacing w:val="-3"/>
              </w:rPr>
              <w:t>Presidente</w:t>
            </w:r>
          </w:p>
        </w:tc>
        <w:tc>
          <w:tcPr>
            <w:tcW w:w="4374" w:type="dxa"/>
            <w:vAlign w:val="center"/>
          </w:tcPr>
          <w:p w:rsidR="00350D9E" w:rsidRDefault="00350D9E" w:rsidP="00DB043F">
            <w:pPr>
              <w:tabs>
                <w:tab w:val="left" w:pos="-720"/>
              </w:tabs>
              <w:suppressAutoHyphens/>
              <w:spacing w:before="0" w:after="0" w:line="216" w:lineRule="auto"/>
              <w:rPr>
                <w:rFonts w:cs="Arial"/>
                <w:b/>
                <w:spacing w:val="-3"/>
              </w:rPr>
            </w:pPr>
          </w:p>
        </w:tc>
      </w:tr>
    </w:tbl>
    <w:p w:rsidR="00350D9E" w:rsidRDefault="00350D9E" w:rsidP="009E1157"/>
    <w:sectPr w:rsidR="00350D9E" w:rsidSect="00804A6A">
      <w:headerReference w:type="default" r:id="rId11"/>
      <w:headerReference w:type="first" r:id="rId12"/>
      <w:type w:val="continuous"/>
      <w:pgSz w:w="12242" w:h="18722" w:code="123"/>
      <w:pgMar w:top="2552" w:right="1185" w:bottom="1276"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20" w:rsidRDefault="00252020">
      <w:r>
        <w:separator/>
      </w:r>
    </w:p>
  </w:endnote>
  <w:endnote w:type="continuationSeparator" w:id="0">
    <w:p w:rsidR="00252020" w:rsidRDefault="0025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20" w:rsidRDefault="00252020">
      <w:r>
        <w:separator/>
      </w:r>
    </w:p>
  </w:footnote>
  <w:footnote w:type="continuationSeparator" w:id="0">
    <w:p w:rsidR="00252020" w:rsidRDefault="00252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20" w:rsidRDefault="00252020" w:rsidP="00951F79">
    <w:pPr>
      <w:pStyle w:val="Ttulo1"/>
      <w:ind w:right="6"/>
      <w:jc w:val="left"/>
      <w:rPr>
        <w:rFonts w:ascii="Bookman Old Style" w:hAnsi="Bookman Old Style" w:cs="Arial"/>
        <w:b w:val="0"/>
        <w:sz w:val="22"/>
        <w:szCs w:val="22"/>
      </w:rPr>
    </w:pPr>
  </w:p>
  <w:p w:rsidR="00252020" w:rsidRPr="00951F79" w:rsidRDefault="00252020"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A167C">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A167C">
      <w:fldChar w:fldCharType="begin"/>
    </w:r>
    <w:r w:rsidR="000A167C">
      <w:instrText xml:space="preserve"> NUMPAGES  \* MERGEFORMAT </w:instrText>
    </w:r>
    <w:r w:rsidR="000A167C">
      <w:fldChar w:fldCharType="separate"/>
    </w:r>
    <w:r w:rsidR="000A167C" w:rsidRPr="000A167C">
      <w:rPr>
        <w:rFonts w:ascii="Bookman Old Style" w:hAnsi="Bookman Old Style" w:cs="Arial"/>
        <w:b w:val="0"/>
        <w:noProof/>
        <w:sz w:val="22"/>
        <w:szCs w:val="22"/>
      </w:rPr>
      <w:t>4</w:t>
    </w:r>
    <w:r w:rsidR="000A167C">
      <w:rPr>
        <w:rFonts w:ascii="Bookman Old Style" w:hAnsi="Bookman Old Style" w:cs="Arial"/>
        <w:b w:val="0"/>
        <w:noProof/>
        <w:sz w:val="22"/>
        <w:szCs w:val="22"/>
      </w:rPr>
      <w:fldChar w:fldCharType="end"/>
    </w:r>
  </w:p>
  <w:p w:rsidR="00252020" w:rsidRDefault="00252020"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1A13D0CD" wp14:editId="053E0C96">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rsidR="00252020" w:rsidRPr="00DB043F" w:rsidRDefault="00252020" w:rsidP="00CD665F">
    <w:pPr>
      <w:ind w:left="142" w:right="148"/>
      <w:rPr>
        <w:rFonts w:cs="Arial"/>
        <w:sz w:val="20"/>
        <w:szCs w:val="22"/>
      </w:rPr>
    </w:pPr>
    <w:r>
      <w:rPr>
        <w:rFonts w:cs="Arial"/>
        <w:b/>
        <w:noProof/>
        <w:sz w:val="22"/>
        <w:szCs w:val="22"/>
        <w:lang w:val="es-CO" w:eastAsia="es-CO"/>
      </w:rPr>
      <mc:AlternateContent>
        <mc:Choice Requires="wps">
          <w:drawing>
            <wp:anchor distT="0" distB="0" distL="114300" distR="114300" simplePos="0" relativeHeight="251659264" behindDoc="0" locked="0" layoutInCell="1" allowOverlap="1" wp14:anchorId="38758E3D" wp14:editId="10DE9966">
              <wp:simplePos x="0" y="0"/>
              <wp:positionH relativeFrom="column">
                <wp:posOffset>-28575</wp:posOffset>
              </wp:positionH>
              <wp:positionV relativeFrom="paragraph">
                <wp:posOffset>419735</wp:posOffset>
              </wp:positionV>
              <wp:extent cx="5972175" cy="0"/>
              <wp:effectExtent l="0" t="0" r="9525"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2.25pt;margin-top:33.05pt;width:4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"/>
          </w:pict>
        </mc:Fallback>
      </mc:AlternateContent>
    </w:r>
    <w:r w:rsidRPr="00185F5F">
      <w:rPr>
        <w:rFonts w:cs="Arial"/>
        <w:sz w:val="22"/>
        <w:szCs w:val="22"/>
      </w:rPr>
      <w:t>Por la cual se resuelve el recurso de reposición interpuesto por Empresas Públicas de Medellín E.S.P. contra la Resolución CREG 131 de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20" w:rsidRDefault="00252020" w:rsidP="00025383">
    <w:pPr>
      <w:pStyle w:val="Encabezado"/>
      <w:rPr>
        <w:rFonts w:ascii="Arial" w:hAnsi="Arial" w:cs="Arial"/>
        <w:spacing w:val="20"/>
        <w:sz w:val="20"/>
      </w:rPr>
    </w:pPr>
    <w:r>
      <w:rPr>
        <w:rFonts w:ascii="Arial" w:hAnsi="Arial" w:cs="Arial"/>
        <w:spacing w:val="20"/>
        <w:sz w:val="20"/>
      </w:rPr>
      <w:t xml:space="preserve">                                           República de Colombia</w:t>
    </w:r>
  </w:p>
  <w:p w:rsidR="00252020" w:rsidRDefault="00252020">
    <w:pPr>
      <w:pStyle w:val="Encabezado"/>
      <w:jc w:val="center"/>
      <w:rPr>
        <w:rFonts w:ascii="Arial" w:hAnsi="Arial" w:cs="Arial"/>
        <w:spacing w:val="20"/>
        <w:sz w:val="20"/>
      </w:rPr>
    </w:pPr>
  </w:p>
  <w:p w:rsidR="00252020" w:rsidRDefault="0025202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38877D2" wp14:editId="05698D48">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7">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2EF74C9"/>
    <w:multiLevelType w:val="hybridMultilevel"/>
    <w:tmpl w:val="DE6C62E8"/>
    <w:lvl w:ilvl="0" w:tplc="DD2A2DA8">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4"/>
  </w:num>
  <w:num w:numId="6">
    <w:abstractNumId w:val="5"/>
  </w:num>
  <w:num w:numId="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0373"/>
    <w:rsid w:val="00011A72"/>
    <w:rsid w:val="00012259"/>
    <w:rsid w:val="00025383"/>
    <w:rsid w:val="00025F3B"/>
    <w:rsid w:val="000342F5"/>
    <w:rsid w:val="00036985"/>
    <w:rsid w:val="00041B54"/>
    <w:rsid w:val="00045D3D"/>
    <w:rsid w:val="000525F6"/>
    <w:rsid w:val="00055691"/>
    <w:rsid w:val="000577E1"/>
    <w:rsid w:val="0006350C"/>
    <w:rsid w:val="00063657"/>
    <w:rsid w:val="0006600D"/>
    <w:rsid w:val="00066500"/>
    <w:rsid w:val="00066E71"/>
    <w:rsid w:val="00074C28"/>
    <w:rsid w:val="00076680"/>
    <w:rsid w:val="00076A1D"/>
    <w:rsid w:val="00077527"/>
    <w:rsid w:val="0008073E"/>
    <w:rsid w:val="00081416"/>
    <w:rsid w:val="00086BC3"/>
    <w:rsid w:val="00091012"/>
    <w:rsid w:val="0009167C"/>
    <w:rsid w:val="00091CDB"/>
    <w:rsid w:val="00092426"/>
    <w:rsid w:val="00094219"/>
    <w:rsid w:val="00094FC1"/>
    <w:rsid w:val="000A1503"/>
    <w:rsid w:val="000A167C"/>
    <w:rsid w:val="000A19AC"/>
    <w:rsid w:val="000A2414"/>
    <w:rsid w:val="000A4B57"/>
    <w:rsid w:val="000B1944"/>
    <w:rsid w:val="000B2EC9"/>
    <w:rsid w:val="000B4E51"/>
    <w:rsid w:val="000B6433"/>
    <w:rsid w:val="000C1B79"/>
    <w:rsid w:val="000C7B41"/>
    <w:rsid w:val="000D17BD"/>
    <w:rsid w:val="000D2239"/>
    <w:rsid w:val="000D26F8"/>
    <w:rsid w:val="000D39CF"/>
    <w:rsid w:val="000E26E9"/>
    <w:rsid w:val="000F038B"/>
    <w:rsid w:val="000F1B55"/>
    <w:rsid w:val="000F39A1"/>
    <w:rsid w:val="001006BB"/>
    <w:rsid w:val="00100739"/>
    <w:rsid w:val="0010293A"/>
    <w:rsid w:val="0010689B"/>
    <w:rsid w:val="00114D4A"/>
    <w:rsid w:val="001159F3"/>
    <w:rsid w:val="00126A60"/>
    <w:rsid w:val="00127CE6"/>
    <w:rsid w:val="0013442B"/>
    <w:rsid w:val="0013526C"/>
    <w:rsid w:val="00136FDF"/>
    <w:rsid w:val="001405C6"/>
    <w:rsid w:val="00141013"/>
    <w:rsid w:val="00142A34"/>
    <w:rsid w:val="00150339"/>
    <w:rsid w:val="00156DB2"/>
    <w:rsid w:val="00157FD9"/>
    <w:rsid w:val="0017291B"/>
    <w:rsid w:val="00183ECF"/>
    <w:rsid w:val="00185F5F"/>
    <w:rsid w:val="00187B90"/>
    <w:rsid w:val="001921CF"/>
    <w:rsid w:val="00192CBF"/>
    <w:rsid w:val="00192FF1"/>
    <w:rsid w:val="001A5F1B"/>
    <w:rsid w:val="001B1C22"/>
    <w:rsid w:val="001B34C6"/>
    <w:rsid w:val="001B638B"/>
    <w:rsid w:val="001C055A"/>
    <w:rsid w:val="001D7832"/>
    <w:rsid w:val="001D7EFA"/>
    <w:rsid w:val="001E392A"/>
    <w:rsid w:val="001E5E65"/>
    <w:rsid w:val="001F6E1B"/>
    <w:rsid w:val="0020105F"/>
    <w:rsid w:val="00204D40"/>
    <w:rsid w:val="002066BA"/>
    <w:rsid w:val="002067EF"/>
    <w:rsid w:val="00210DC1"/>
    <w:rsid w:val="00211D34"/>
    <w:rsid w:val="00214F04"/>
    <w:rsid w:val="00222F95"/>
    <w:rsid w:val="002500C5"/>
    <w:rsid w:val="00250C72"/>
    <w:rsid w:val="00252020"/>
    <w:rsid w:val="0026111F"/>
    <w:rsid w:val="0026368E"/>
    <w:rsid w:val="002646F1"/>
    <w:rsid w:val="00266CD6"/>
    <w:rsid w:val="00275DAB"/>
    <w:rsid w:val="00292249"/>
    <w:rsid w:val="0029253B"/>
    <w:rsid w:val="002A782A"/>
    <w:rsid w:val="002B0C17"/>
    <w:rsid w:val="002B11E2"/>
    <w:rsid w:val="002B24B8"/>
    <w:rsid w:val="002B3288"/>
    <w:rsid w:val="002D3AE9"/>
    <w:rsid w:val="002D4510"/>
    <w:rsid w:val="002F0734"/>
    <w:rsid w:val="002F1F62"/>
    <w:rsid w:val="002F2BDE"/>
    <w:rsid w:val="002F46E7"/>
    <w:rsid w:val="00301B84"/>
    <w:rsid w:val="003023AC"/>
    <w:rsid w:val="00305842"/>
    <w:rsid w:val="003101DA"/>
    <w:rsid w:val="003111CA"/>
    <w:rsid w:val="00313EDE"/>
    <w:rsid w:val="00314715"/>
    <w:rsid w:val="00314757"/>
    <w:rsid w:val="003163BC"/>
    <w:rsid w:val="003211CE"/>
    <w:rsid w:val="003248F9"/>
    <w:rsid w:val="00325820"/>
    <w:rsid w:val="00325E06"/>
    <w:rsid w:val="003271B2"/>
    <w:rsid w:val="00330A00"/>
    <w:rsid w:val="00333A36"/>
    <w:rsid w:val="00334221"/>
    <w:rsid w:val="00343B5A"/>
    <w:rsid w:val="00344A00"/>
    <w:rsid w:val="00350D9E"/>
    <w:rsid w:val="0035403A"/>
    <w:rsid w:val="0035627D"/>
    <w:rsid w:val="00360FA9"/>
    <w:rsid w:val="003635CB"/>
    <w:rsid w:val="0036394B"/>
    <w:rsid w:val="00366DB6"/>
    <w:rsid w:val="003709B5"/>
    <w:rsid w:val="003759C2"/>
    <w:rsid w:val="003764CC"/>
    <w:rsid w:val="00380888"/>
    <w:rsid w:val="00380962"/>
    <w:rsid w:val="003857DE"/>
    <w:rsid w:val="003867C2"/>
    <w:rsid w:val="00392A0B"/>
    <w:rsid w:val="00397365"/>
    <w:rsid w:val="00397B9A"/>
    <w:rsid w:val="003A31F6"/>
    <w:rsid w:val="003A3455"/>
    <w:rsid w:val="003A40A8"/>
    <w:rsid w:val="003A496E"/>
    <w:rsid w:val="003B54EA"/>
    <w:rsid w:val="003C0750"/>
    <w:rsid w:val="003C2B93"/>
    <w:rsid w:val="003C3447"/>
    <w:rsid w:val="003D076C"/>
    <w:rsid w:val="003E2CE0"/>
    <w:rsid w:val="003E78B5"/>
    <w:rsid w:val="003F0DF9"/>
    <w:rsid w:val="003F24DF"/>
    <w:rsid w:val="003F2829"/>
    <w:rsid w:val="003F3E1F"/>
    <w:rsid w:val="003F5A6C"/>
    <w:rsid w:val="00413D2D"/>
    <w:rsid w:val="00414C52"/>
    <w:rsid w:val="0041585A"/>
    <w:rsid w:val="00415BAB"/>
    <w:rsid w:val="00415ED2"/>
    <w:rsid w:val="004165DF"/>
    <w:rsid w:val="0042068C"/>
    <w:rsid w:val="004219A9"/>
    <w:rsid w:val="004222A7"/>
    <w:rsid w:val="004228CD"/>
    <w:rsid w:val="00422D86"/>
    <w:rsid w:val="004232E6"/>
    <w:rsid w:val="00436F01"/>
    <w:rsid w:val="0044318E"/>
    <w:rsid w:val="00443B35"/>
    <w:rsid w:val="0045414E"/>
    <w:rsid w:val="00455259"/>
    <w:rsid w:val="00462AB7"/>
    <w:rsid w:val="00466740"/>
    <w:rsid w:val="004706E5"/>
    <w:rsid w:val="0047122B"/>
    <w:rsid w:val="0047244E"/>
    <w:rsid w:val="00472E1D"/>
    <w:rsid w:val="00473B7A"/>
    <w:rsid w:val="004762CE"/>
    <w:rsid w:val="00482E08"/>
    <w:rsid w:val="004861AB"/>
    <w:rsid w:val="00491BAF"/>
    <w:rsid w:val="004960E9"/>
    <w:rsid w:val="00496F84"/>
    <w:rsid w:val="004A2E88"/>
    <w:rsid w:val="004A2F7E"/>
    <w:rsid w:val="004A372F"/>
    <w:rsid w:val="004A3D15"/>
    <w:rsid w:val="004A40CF"/>
    <w:rsid w:val="004A456E"/>
    <w:rsid w:val="004A4FF1"/>
    <w:rsid w:val="004A5305"/>
    <w:rsid w:val="004B7AB9"/>
    <w:rsid w:val="004C0F9C"/>
    <w:rsid w:val="004D0991"/>
    <w:rsid w:val="004D5EAB"/>
    <w:rsid w:val="004D6A05"/>
    <w:rsid w:val="004D7634"/>
    <w:rsid w:val="004E3F58"/>
    <w:rsid w:val="004E611A"/>
    <w:rsid w:val="005003EF"/>
    <w:rsid w:val="00501843"/>
    <w:rsid w:val="00504C02"/>
    <w:rsid w:val="0052323C"/>
    <w:rsid w:val="00525E8D"/>
    <w:rsid w:val="0052779D"/>
    <w:rsid w:val="005300D3"/>
    <w:rsid w:val="00530D22"/>
    <w:rsid w:val="005331DF"/>
    <w:rsid w:val="00541E5B"/>
    <w:rsid w:val="00542821"/>
    <w:rsid w:val="00544F82"/>
    <w:rsid w:val="00545E52"/>
    <w:rsid w:val="00546F21"/>
    <w:rsid w:val="00547E7A"/>
    <w:rsid w:val="005509D2"/>
    <w:rsid w:val="005519A7"/>
    <w:rsid w:val="005562EC"/>
    <w:rsid w:val="00562946"/>
    <w:rsid w:val="0056519A"/>
    <w:rsid w:val="0057076D"/>
    <w:rsid w:val="005734BF"/>
    <w:rsid w:val="0057636B"/>
    <w:rsid w:val="005905A5"/>
    <w:rsid w:val="005908FE"/>
    <w:rsid w:val="00593076"/>
    <w:rsid w:val="00593C4F"/>
    <w:rsid w:val="005946A8"/>
    <w:rsid w:val="00594DF0"/>
    <w:rsid w:val="005A200A"/>
    <w:rsid w:val="005A4407"/>
    <w:rsid w:val="005A59EF"/>
    <w:rsid w:val="005A5BFB"/>
    <w:rsid w:val="005B1231"/>
    <w:rsid w:val="005B1C7E"/>
    <w:rsid w:val="005B4088"/>
    <w:rsid w:val="005C1DE0"/>
    <w:rsid w:val="005C284B"/>
    <w:rsid w:val="005C6976"/>
    <w:rsid w:val="005E2F54"/>
    <w:rsid w:val="005F12E1"/>
    <w:rsid w:val="005F3414"/>
    <w:rsid w:val="005F46C2"/>
    <w:rsid w:val="005F60BD"/>
    <w:rsid w:val="005F6F41"/>
    <w:rsid w:val="00604C10"/>
    <w:rsid w:val="00613841"/>
    <w:rsid w:val="006140E4"/>
    <w:rsid w:val="0062037A"/>
    <w:rsid w:val="00621968"/>
    <w:rsid w:val="0062370D"/>
    <w:rsid w:val="006238DF"/>
    <w:rsid w:val="00625DC6"/>
    <w:rsid w:val="006325C5"/>
    <w:rsid w:val="0063658B"/>
    <w:rsid w:val="00640DA9"/>
    <w:rsid w:val="0064391D"/>
    <w:rsid w:val="006456F9"/>
    <w:rsid w:val="00651821"/>
    <w:rsid w:val="00652988"/>
    <w:rsid w:val="006535AD"/>
    <w:rsid w:val="00654384"/>
    <w:rsid w:val="0065562B"/>
    <w:rsid w:val="006651B4"/>
    <w:rsid w:val="00666233"/>
    <w:rsid w:val="006665AE"/>
    <w:rsid w:val="006675CD"/>
    <w:rsid w:val="006708E8"/>
    <w:rsid w:val="00670B37"/>
    <w:rsid w:val="006712CA"/>
    <w:rsid w:val="00676C0B"/>
    <w:rsid w:val="00683629"/>
    <w:rsid w:val="00684D9B"/>
    <w:rsid w:val="00697556"/>
    <w:rsid w:val="006A597A"/>
    <w:rsid w:val="006B0313"/>
    <w:rsid w:val="006B4647"/>
    <w:rsid w:val="006B4C2B"/>
    <w:rsid w:val="006B5E80"/>
    <w:rsid w:val="006B6194"/>
    <w:rsid w:val="006B6D47"/>
    <w:rsid w:val="006C5473"/>
    <w:rsid w:val="006C5AFE"/>
    <w:rsid w:val="006D0604"/>
    <w:rsid w:val="006D067E"/>
    <w:rsid w:val="006D0EB2"/>
    <w:rsid w:val="006D1138"/>
    <w:rsid w:val="006D3CA0"/>
    <w:rsid w:val="006E3A5B"/>
    <w:rsid w:val="006E403F"/>
    <w:rsid w:val="006E50BB"/>
    <w:rsid w:val="006E657F"/>
    <w:rsid w:val="006E792E"/>
    <w:rsid w:val="006F6D95"/>
    <w:rsid w:val="006F7DCF"/>
    <w:rsid w:val="00702934"/>
    <w:rsid w:val="00706F13"/>
    <w:rsid w:val="007072E8"/>
    <w:rsid w:val="00710A3E"/>
    <w:rsid w:val="00714C78"/>
    <w:rsid w:val="00715994"/>
    <w:rsid w:val="0071618D"/>
    <w:rsid w:val="00725FA4"/>
    <w:rsid w:val="00732476"/>
    <w:rsid w:val="00733627"/>
    <w:rsid w:val="00740446"/>
    <w:rsid w:val="00743283"/>
    <w:rsid w:val="007438A9"/>
    <w:rsid w:val="0074491E"/>
    <w:rsid w:val="00761E79"/>
    <w:rsid w:val="0076247A"/>
    <w:rsid w:val="00775964"/>
    <w:rsid w:val="007765FE"/>
    <w:rsid w:val="00777738"/>
    <w:rsid w:val="007843AE"/>
    <w:rsid w:val="00785932"/>
    <w:rsid w:val="00785998"/>
    <w:rsid w:val="00794E2E"/>
    <w:rsid w:val="00795BFB"/>
    <w:rsid w:val="00795E23"/>
    <w:rsid w:val="0079743F"/>
    <w:rsid w:val="007A0A77"/>
    <w:rsid w:val="007A5B29"/>
    <w:rsid w:val="007B00CA"/>
    <w:rsid w:val="007B2760"/>
    <w:rsid w:val="007C6236"/>
    <w:rsid w:val="007D04E4"/>
    <w:rsid w:val="007D230E"/>
    <w:rsid w:val="007D5750"/>
    <w:rsid w:val="007E412B"/>
    <w:rsid w:val="007E5FAC"/>
    <w:rsid w:val="007E6A60"/>
    <w:rsid w:val="0080213C"/>
    <w:rsid w:val="00804A6A"/>
    <w:rsid w:val="00805A34"/>
    <w:rsid w:val="00806C01"/>
    <w:rsid w:val="008148CC"/>
    <w:rsid w:val="008170DF"/>
    <w:rsid w:val="008211A4"/>
    <w:rsid w:val="0082246B"/>
    <w:rsid w:val="00837924"/>
    <w:rsid w:val="00841FDE"/>
    <w:rsid w:val="00843E1F"/>
    <w:rsid w:val="0085623D"/>
    <w:rsid w:val="00857A4A"/>
    <w:rsid w:val="00864C08"/>
    <w:rsid w:val="00865FCA"/>
    <w:rsid w:val="00866F33"/>
    <w:rsid w:val="00870E87"/>
    <w:rsid w:val="00873150"/>
    <w:rsid w:val="0087657D"/>
    <w:rsid w:val="008807D5"/>
    <w:rsid w:val="00880832"/>
    <w:rsid w:val="00883A44"/>
    <w:rsid w:val="00885223"/>
    <w:rsid w:val="00886EE1"/>
    <w:rsid w:val="0088727D"/>
    <w:rsid w:val="00887827"/>
    <w:rsid w:val="00892346"/>
    <w:rsid w:val="008942B5"/>
    <w:rsid w:val="0089470C"/>
    <w:rsid w:val="00895C5A"/>
    <w:rsid w:val="00897C75"/>
    <w:rsid w:val="008B2FC5"/>
    <w:rsid w:val="008B5C74"/>
    <w:rsid w:val="008B6CE9"/>
    <w:rsid w:val="008C00BA"/>
    <w:rsid w:val="008C1130"/>
    <w:rsid w:val="008C283D"/>
    <w:rsid w:val="008D18E6"/>
    <w:rsid w:val="008D1B73"/>
    <w:rsid w:val="008D7A9B"/>
    <w:rsid w:val="008E0060"/>
    <w:rsid w:val="008E2AC4"/>
    <w:rsid w:val="008E38FD"/>
    <w:rsid w:val="008E5B78"/>
    <w:rsid w:val="008E6072"/>
    <w:rsid w:val="008E76AC"/>
    <w:rsid w:val="008F1A26"/>
    <w:rsid w:val="008F1FB2"/>
    <w:rsid w:val="008F21F6"/>
    <w:rsid w:val="008F7B6F"/>
    <w:rsid w:val="00904DCE"/>
    <w:rsid w:val="009129A4"/>
    <w:rsid w:val="00914768"/>
    <w:rsid w:val="00914C5D"/>
    <w:rsid w:val="009227DC"/>
    <w:rsid w:val="00923E7A"/>
    <w:rsid w:val="009322B8"/>
    <w:rsid w:val="00932BB4"/>
    <w:rsid w:val="00943D96"/>
    <w:rsid w:val="00951F79"/>
    <w:rsid w:val="00955950"/>
    <w:rsid w:val="00961C3E"/>
    <w:rsid w:val="00962DD6"/>
    <w:rsid w:val="009642C6"/>
    <w:rsid w:val="00974AB5"/>
    <w:rsid w:val="00980634"/>
    <w:rsid w:val="00983822"/>
    <w:rsid w:val="0098574C"/>
    <w:rsid w:val="0098706D"/>
    <w:rsid w:val="009922A5"/>
    <w:rsid w:val="009935FB"/>
    <w:rsid w:val="009A2F9C"/>
    <w:rsid w:val="009A46F7"/>
    <w:rsid w:val="009C1741"/>
    <w:rsid w:val="009C3EE0"/>
    <w:rsid w:val="009D31AA"/>
    <w:rsid w:val="009D7190"/>
    <w:rsid w:val="009E1157"/>
    <w:rsid w:val="009E1566"/>
    <w:rsid w:val="009F4A54"/>
    <w:rsid w:val="009F4B93"/>
    <w:rsid w:val="009F4BEC"/>
    <w:rsid w:val="009F5874"/>
    <w:rsid w:val="00A001BA"/>
    <w:rsid w:val="00A04E7D"/>
    <w:rsid w:val="00A0559F"/>
    <w:rsid w:val="00A208B5"/>
    <w:rsid w:val="00A25FD7"/>
    <w:rsid w:val="00A37A12"/>
    <w:rsid w:val="00A40710"/>
    <w:rsid w:val="00A43AFF"/>
    <w:rsid w:val="00A43B35"/>
    <w:rsid w:val="00A457CF"/>
    <w:rsid w:val="00A458E7"/>
    <w:rsid w:val="00A54BB3"/>
    <w:rsid w:val="00A61512"/>
    <w:rsid w:val="00A761B3"/>
    <w:rsid w:val="00A7793A"/>
    <w:rsid w:val="00A82C40"/>
    <w:rsid w:val="00A97286"/>
    <w:rsid w:val="00AA2DA0"/>
    <w:rsid w:val="00AA4CC7"/>
    <w:rsid w:val="00AA5E8E"/>
    <w:rsid w:val="00AB4706"/>
    <w:rsid w:val="00AB5E46"/>
    <w:rsid w:val="00AB6CA7"/>
    <w:rsid w:val="00AD01E4"/>
    <w:rsid w:val="00AD0858"/>
    <w:rsid w:val="00AD413B"/>
    <w:rsid w:val="00AE3E71"/>
    <w:rsid w:val="00AE7340"/>
    <w:rsid w:val="00AF181B"/>
    <w:rsid w:val="00AF1BBD"/>
    <w:rsid w:val="00AF433B"/>
    <w:rsid w:val="00AF6024"/>
    <w:rsid w:val="00B0723B"/>
    <w:rsid w:val="00B10207"/>
    <w:rsid w:val="00B11B0E"/>
    <w:rsid w:val="00B141E7"/>
    <w:rsid w:val="00B16E46"/>
    <w:rsid w:val="00B17290"/>
    <w:rsid w:val="00B216EB"/>
    <w:rsid w:val="00B27560"/>
    <w:rsid w:val="00B3027F"/>
    <w:rsid w:val="00B3289B"/>
    <w:rsid w:val="00B33E05"/>
    <w:rsid w:val="00B351B4"/>
    <w:rsid w:val="00B405DE"/>
    <w:rsid w:val="00B425EB"/>
    <w:rsid w:val="00B4283F"/>
    <w:rsid w:val="00B46BCA"/>
    <w:rsid w:val="00B478AA"/>
    <w:rsid w:val="00B55041"/>
    <w:rsid w:val="00B554C3"/>
    <w:rsid w:val="00B64BF4"/>
    <w:rsid w:val="00B76198"/>
    <w:rsid w:val="00B769CB"/>
    <w:rsid w:val="00B87806"/>
    <w:rsid w:val="00B87EC9"/>
    <w:rsid w:val="00B93259"/>
    <w:rsid w:val="00B95880"/>
    <w:rsid w:val="00BA39C6"/>
    <w:rsid w:val="00BB0386"/>
    <w:rsid w:val="00BB28E9"/>
    <w:rsid w:val="00BB4CC8"/>
    <w:rsid w:val="00BB7629"/>
    <w:rsid w:val="00BC0169"/>
    <w:rsid w:val="00BC21BE"/>
    <w:rsid w:val="00BC38FD"/>
    <w:rsid w:val="00BD0059"/>
    <w:rsid w:val="00BD1DBA"/>
    <w:rsid w:val="00BF0265"/>
    <w:rsid w:val="00BF0795"/>
    <w:rsid w:val="00BF2841"/>
    <w:rsid w:val="00BF52BE"/>
    <w:rsid w:val="00BF63E2"/>
    <w:rsid w:val="00BF7B83"/>
    <w:rsid w:val="00C034CB"/>
    <w:rsid w:val="00C051A8"/>
    <w:rsid w:val="00C054BC"/>
    <w:rsid w:val="00C10CD7"/>
    <w:rsid w:val="00C14D77"/>
    <w:rsid w:val="00C161DB"/>
    <w:rsid w:val="00C17897"/>
    <w:rsid w:val="00C27BE2"/>
    <w:rsid w:val="00C342E7"/>
    <w:rsid w:val="00C409D5"/>
    <w:rsid w:val="00C435C3"/>
    <w:rsid w:val="00C467B7"/>
    <w:rsid w:val="00C53260"/>
    <w:rsid w:val="00C532AD"/>
    <w:rsid w:val="00C56108"/>
    <w:rsid w:val="00C6234B"/>
    <w:rsid w:val="00C63637"/>
    <w:rsid w:val="00C63EAE"/>
    <w:rsid w:val="00C642D6"/>
    <w:rsid w:val="00C666F5"/>
    <w:rsid w:val="00C71CEF"/>
    <w:rsid w:val="00C74A6A"/>
    <w:rsid w:val="00C7629F"/>
    <w:rsid w:val="00C766A3"/>
    <w:rsid w:val="00C804B4"/>
    <w:rsid w:val="00C815FD"/>
    <w:rsid w:val="00C850D9"/>
    <w:rsid w:val="00C8661B"/>
    <w:rsid w:val="00C9033F"/>
    <w:rsid w:val="00CA139A"/>
    <w:rsid w:val="00CA2899"/>
    <w:rsid w:val="00CA3A3D"/>
    <w:rsid w:val="00CA72AC"/>
    <w:rsid w:val="00CA77FB"/>
    <w:rsid w:val="00CB0BDD"/>
    <w:rsid w:val="00CB379B"/>
    <w:rsid w:val="00CB5DD0"/>
    <w:rsid w:val="00CB6627"/>
    <w:rsid w:val="00CC14C1"/>
    <w:rsid w:val="00CC4242"/>
    <w:rsid w:val="00CC51D4"/>
    <w:rsid w:val="00CC65DA"/>
    <w:rsid w:val="00CD665F"/>
    <w:rsid w:val="00CD6DDF"/>
    <w:rsid w:val="00CD76B6"/>
    <w:rsid w:val="00CE1039"/>
    <w:rsid w:val="00CE1EC2"/>
    <w:rsid w:val="00CE51FF"/>
    <w:rsid w:val="00CF0B66"/>
    <w:rsid w:val="00CF21B9"/>
    <w:rsid w:val="00CF4245"/>
    <w:rsid w:val="00CF6032"/>
    <w:rsid w:val="00CF6BF9"/>
    <w:rsid w:val="00D00F22"/>
    <w:rsid w:val="00D00F64"/>
    <w:rsid w:val="00D03800"/>
    <w:rsid w:val="00D043DE"/>
    <w:rsid w:val="00D065D3"/>
    <w:rsid w:val="00D0704A"/>
    <w:rsid w:val="00D10A3C"/>
    <w:rsid w:val="00D14C94"/>
    <w:rsid w:val="00D150D2"/>
    <w:rsid w:val="00D16D33"/>
    <w:rsid w:val="00D17140"/>
    <w:rsid w:val="00D31AC4"/>
    <w:rsid w:val="00D3307A"/>
    <w:rsid w:val="00D331AD"/>
    <w:rsid w:val="00D342A6"/>
    <w:rsid w:val="00D4084B"/>
    <w:rsid w:val="00D45CA6"/>
    <w:rsid w:val="00D4638F"/>
    <w:rsid w:val="00D464BF"/>
    <w:rsid w:val="00D51AC0"/>
    <w:rsid w:val="00D53E26"/>
    <w:rsid w:val="00D61DFB"/>
    <w:rsid w:val="00D649F8"/>
    <w:rsid w:val="00D700EB"/>
    <w:rsid w:val="00D71510"/>
    <w:rsid w:val="00D7289B"/>
    <w:rsid w:val="00D74A6F"/>
    <w:rsid w:val="00D76880"/>
    <w:rsid w:val="00D82636"/>
    <w:rsid w:val="00D83129"/>
    <w:rsid w:val="00D9413E"/>
    <w:rsid w:val="00D964D0"/>
    <w:rsid w:val="00D96BEF"/>
    <w:rsid w:val="00D97B38"/>
    <w:rsid w:val="00DA1B43"/>
    <w:rsid w:val="00DA2F0A"/>
    <w:rsid w:val="00DA627A"/>
    <w:rsid w:val="00DA69D9"/>
    <w:rsid w:val="00DB02CF"/>
    <w:rsid w:val="00DB043F"/>
    <w:rsid w:val="00DB0A3F"/>
    <w:rsid w:val="00DB12A1"/>
    <w:rsid w:val="00DC0BC0"/>
    <w:rsid w:val="00DC43C4"/>
    <w:rsid w:val="00DC5B01"/>
    <w:rsid w:val="00DD4730"/>
    <w:rsid w:val="00DD4F0E"/>
    <w:rsid w:val="00DE387F"/>
    <w:rsid w:val="00DE6E3F"/>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219E5"/>
    <w:rsid w:val="00E30607"/>
    <w:rsid w:val="00E31CFC"/>
    <w:rsid w:val="00E40DAC"/>
    <w:rsid w:val="00E413EC"/>
    <w:rsid w:val="00E43925"/>
    <w:rsid w:val="00E534CF"/>
    <w:rsid w:val="00E55B4A"/>
    <w:rsid w:val="00E55F88"/>
    <w:rsid w:val="00E57869"/>
    <w:rsid w:val="00E60C09"/>
    <w:rsid w:val="00E673F6"/>
    <w:rsid w:val="00E72DCD"/>
    <w:rsid w:val="00E74DBA"/>
    <w:rsid w:val="00E74E77"/>
    <w:rsid w:val="00E758A6"/>
    <w:rsid w:val="00E75ECC"/>
    <w:rsid w:val="00E770DF"/>
    <w:rsid w:val="00E81CB4"/>
    <w:rsid w:val="00E8240B"/>
    <w:rsid w:val="00E83E4B"/>
    <w:rsid w:val="00E8585B"/>
    <w:rsid w:val="00E860E7"/>
    <w:rsid w:val="00E969E7"/>
    <w:rsid w:val="00E96EE1"/>
    <w:rsid w:val="00EA3F15"/>
    <w:rsid w:val="00EA7847"/>
    <w:rsid w:val="00EB263B"/>
    <w:rsid w:val="00EB2746"/>
    <w:rsid w:val="00EB4C2F"/>
    <w:rsid w:val="00EB4C3D"/>
    <w:rsid w:val="00EB6DF0"/>
    <w:rsid w:val="00EB74D3"/>
    <w:rsid w:val="00EC5024"/>
    <w:rsid w:val="00EC527D"/>
    <w:rsid w:val="00ED590E"/>
    <w:rsid w:val="00EE1F2B"/>
    <w:rsid w:val="00EE2E6E"/>
    <w:rsid w:val="00EE7684"/>
    <w:rsid w:val="00EF47F2"/>
    <w:rsid w:val="00EF6D78"/>
    <w:rsid w:val="00F004AF"/>
    <w:rsid w:val="00F0759E"/>
    <w:rsid w:val="00F112CE"/>
    <w:rsid w:val="00F1583A"/>
    <w:rsid w:val="00F16A43"/>
    <w:rsid w:val="00F32F56"/>
    <w:rsid w:val="00F373C5"/>
    <w:rsid w:val="00F44E5C"/>
    <w:rsid w:val="00F46780"/>
    <w:rsid w:val="00F50148"/>
    <w:rsid w:val="00F545EA"/>
    <w:rsid w:val="00F55370"/>
    <w:rsid w:val="00F62818"/>
    <w:rsid w:val="00F66D96"/>
    <w:rsid w:val="00F66EB8"/>
    <w:rsid w:val="00F67C83"/>
    <w:rsid w:val="00F7071C"/>
    <w:rsid w:val="00F72990"/>
    <w:rsid w:val="00F72A24"/>
    <w:rsid w:val="00F76B34"/>
    <w:rsid w:val="00F821A3"/>
    <w:rsid w:val="00F9314A"/>
    <w:rsid w:val="00F940B2"/>
    <w:rsid w:val="00F94F14"/>
    <w:rsid w:val="00FA20C4"/>
    <w:rsid w:val="00FA21AF"/>
    <w:rsid w:val="00FB257C"/>
    <w:rsid w:val="00FB2F1F"/>
    <w:rsid w:val="00FC58EF"/>
    <w:rsid w:val="00FD206E"/>
    <w:rsid w:val="00FD33DF"/>
    <w:rsid w:val="00FD35D1"/>
    <w:rsid w:val="00FD4EE8"/>
    <w:rsid w:val="00FE39D7"/>
    <w:rsid w:val="00FE6AFD"/>
    <w:rsid w:val="00FF0997"/>
    <w:rsid w:val="00FF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06395712">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759252962">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785544331">
      <w:bodyDiv w:val="1"/>
      <w:marLeft w:val="0"/>
      <w:marRight w:val="0"/>
      <w:marTop w:val="0"/>
      <w:marBottom w:val="0"/>
      <w:divBdr>
        <w:top w:val="none" w:sz="0" w:space="0" w:color="auto"/>
        <w:left w:val="none" w:sz="0" w:space="0" w:color="auto"/>
        <w:bottom w:val="none" w:sz="0" w:space="0" w:color="auto"/>
        <w:right w:val="none" w:sz="0" w:space="0" w:color="auto"/>
      </w:divBdr>
    </w:div>
    <w:div w:id="860046595">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63997941">
      <w:bodyDiv w:val="1"/>
      <w:marLeft w:val="0"/>
      <w:marRight w:val="0"/>
      <w:marTop w:val="0"/>
      <w:marBottom w:val="0"/>
      <w:divBdr>
        <w:top w:val="none" w:sz="0" w:space="0" w:color="auto"/>
        <w:left w:val="none" w:sz="0" w:space="0" w:color="auto"/>
        <w:bottom w:val="none" w:sz="0" w:space="0" w:color="auto"/>
        <w:right w:val="none" w:sz="0" w:space="0" w:color="auto"/>
      </w:divBdr>
    </w:div>
    <w:div w:id="1105811205">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730152227">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1196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37FC-2653-4551-A8BF-EED0D2BE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4</Pages>
  <Words>1195</Words>
  <Characters>6089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7270</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Hugo Enrique Pacheco De Leon</cp:lastModifiedBy>
  <cp:revision>7</cp:revision>
  <cp:lastPrinted>2015-01-05T17:20:00Z</cp:lastPrinted>
  <dcterms:created xsi:type="dcterms:W3CDTF">2014-12-29T14:38:00Z</dcterms:created>
  <dcterms:modified xsi:type="dcterms:W3CDTF">2015-01-05T17:22:00Z</dcterms:modified>
</cp:coreProperties>
</file>