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D9C" w:rsidRPr="00BF69C9" w:rsidRDefault="00AD1576" w:rsidP="00D57D9C">
      <w:pPr>
        <w:pStyle w:val="Encabezado"/>
        <w:tabs>
          <w:tab w:val="clear" w:pos="8504"/>
          <w:tab w:val="left" w:pos="0"/>
          <w:tab w:val="right" w:pos="9356"/>
        </w:tabs>
        <w:spacing w:before="600"/>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8240" fillcolor="#0c9">
            <v:imagedata r:id="rId8" o:title=""/>
          </v:shape>
          <o:OLEObject Type="Embed" ProgID="PBrush" ShapeID="_x0000_s1026" DrawAspect="Content" ObjectID="_1640409887" r:id="rId9"/>
        </w:object>
      </w:r>
      <w:r w:rsidR="00D57D9C" w:rsidRPr="00BF69C9">
        <w:rPr>
          <w:rFonts w:ascii="Bookman Old Style" w:hAnsi="Bookman Old Style"/>
          <w:bCs/>
          <w:szCs w:val="24"/>
        </w:rPr>
        <w:t>Ministerio de Minas y Energía</w:t>
      </w:r>
    </w:p>
    <w:p w:rsidR="00D57D9C" w:rsidRPr="00BF69C9" w:rsidRDefault="00D57D9C" w:rsidP="00D57D9C">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rsidR="00D57D9C" w:rsidRPr="00BF69C9" w:rsidRDefault="00D57D9C" w:rsidP="00D57D9C">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RESOLUCIÓN No.       DE 20</w:t>
      </w:r>
      <w:r w:rsidR="00CE6FB8">
        <w:rPr>
          <w:rFonts w:ascii="Bookman Old Style" w:hAnsi="Bookman Old Style"/>
          <w:sz w:val="24"/>
          <w:szCs w:val="24"/>
        </w:rPr>
        <w:t>20</w:t>
      </w:r>
    </w:p>
    <w:p w:rsidR="00D57D9C" w:rsidRPr="00BF69C9" w:rsidRDefault="00D57D9C" w:rsidP="00D57D9C">
      <w:pPr>
        <w:pStyle w:val="Ttulo3"/>
        <w:tabs>
          <w:tab w:val="left" w:pos="0"/>
          <w:tab w:val="right" w:pos="9356"/>
        </w:tabs>
        <w:spacing w:before="480" w:after="0"/>
        <w:rPr>
          <w:rFonts w:ascii="Bookman Old Style" w:hAnsi="Bookman Old Style"/>
          <w:b w:val="0"/>
          <w:szCs w:val="24"/>
        </w:rPr>
      </w:pPr>
      <w:r w:rsidRPr="00BF69C9">
        <w:rPr>
          <w:rFonts w:ascii="Bookman Old Style" w:hAnsi="Bookman Old Style"/>
          <w:b w:val="0"/>
          <w:szCs w:val="24"/>
        </w:rPr>
        <w:t>(                                  )</w:t>
      </w:r>
    </w:p>
    <w:p w:rsidR="00D57D9C" w:rsidRDefault="00D57D9C" w:rsidP="00D57D9C">
      <w:pPr>
        <w:spacing w:before="0" w:after="0"/>
        <w:jc w:val="center"/>
      </w:pPr>
    </w:p>
    <w:p w:rsidR="00D857A6" w:rsidRDefault="00D857A6" w:rsidP="00D57D9C">
      <w:pPr>
        <w:spacing w:before="0" w:after="360"/>
        <w:jc w:val="center"/>
      </w:pPr>
    </w:p>
    <w:p w:rsidR="00D57D9C" w:rsidRPr="00BF69C9" w:rsidRDefault="00D57D9C" w:rsidP="00D57D9C">
      <w:pPr>
        <w:spacing w:before="0" w:after="360"/>
        <w:jc w:val="center"/>
      </w:pPr>
      <w:r w:rsidRPr="00BF69C9">
        <w:t xml:space="preserve">Por la cual </w:t>
      </w:r>
      <w:r>
        <w:t xml:space="preserve">se resuelve el recurso de reposición interpuesto por </w:t>
      </w:r>
      <w:r w:rsidR="00E62B85">
        <w:t>la Compañía de Electricidad de Tuluá</w:t>
      </w:r>
      <w:r>
        <w:t xml:space="preserve"> S.A. E.S.P., contra la Resolución CREG 1</w:t>
      </w:r>
      <w:r w:rsidR="00E62B85">
        <w:t>38</w:t>
      </w:r>
      <w:r>
        <w:t xml:space="preserve"> de 2019</w:t>
      </w:r>
    </w:p>
    <w:p w:rsidR="00D57D9C" w:rsidRPr="00BF69C9" w:rsidRDefault="00D57D9C" w:rsidP="00D57D9C">
      <w:pPr>
        <w:spacing w:before="360" w:after="360"/>
        <w:ind w:right="51"/>
        <w:jc w:val="center"/>
        <w:rPr>
          <w:b/>
        </w:rPr>
      </w:pPr>
      <w:r w:rsidRPr="00BF69C9">
        <w:rPr>
          <w:b/>
        </w:rPr>
        <w:t>LA COMISIÓN DE REGULACIÓN DE ENERGÍA Y GAS</w:t>
      </w:r>
    </w:p>
    <w:p w:rsidR="00D57D9C" w:rsidRPr="00BF69C9" w:rsidRDefault="00D57D9C" w:rsidP="00D57D9C">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rsidR="00D57D9C" w:rsidRPr="00BF69C9" w:rsidRDefault="00D57D9C" w:rsidP="00D57D9C">
      <w:pPr>
        <w:suppressAutoHyphens/>
        <w:spacing w:before="480" w:after="480"/>
        <w:jc w:val="center"/>
        <w:rPr>
          <w:b/>
        </w:rPr>
      </w:pPr>
      <w:r w:rsidRPr="00BF69C9">
        <w:rPr>
          <w:b/>
        </w:rPr>
        <w:t>CONSIDERANDO QUE:</w:t>
      </w:r>
    </w:p>
    <w:p w:rsidR="00D57D9C" w:rsidRDefault="00D57D9C" w:rsidP="00D857A6">
      <w:pPr>
        <w:spacing w:before="240" w:after="240"/>
      </w:pPr>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t>, SIN, la cual fue aclarada y modificada por las resoluciones CREG 085 de 2018 y 036 de 2019.</w:t>
      </w:r>
    </w:p>
    <w:p w:rsidR="00D57D9C" w:rsidRDefault="00D57D9C" w:rsidP="00D857A6">
      <w:pPr>
        <w:spacing w:before="240" w:after="240"/>
      </w:pPr>
      <w:r w:rsidRPr="00BF69C9">
        <w:t xml:space="preserve">Mediante la Resolución CREG </w:t>
      </w:r>
      <w:r>
        <w:t>1</w:t>
      </w:r>
      <w:r w:rsidR="00E62B85">
        <w:t>38</w:t>
      </w:r>
      <w:r w:rsidRPr="00BF69C9">
        <w:t xml:space="preserve"> de 201</w:t>
      </w:r>
      <w:r>
        <w:t xml:space="preserve">9 se aprobaron las variables necesarias para calcular los ingresos y cargos asociados con la actividad de distribución de energía eléctrica para el mercado de comercialización atendido por </w:t>
      </w:r>
      <w:r w:rsidR="00E62B85">
        <w:t xml:space="preserve">la Compañía de Electricidad de Tuluá </w:t>
      </w:r>
      <w:r>
        <w:t xml:space="preserve">S.A. E.S.P. </w:t>
      </w:r>
    </w:p>
    <w:p w:rsidR="00D57D9C" w:rsidRDefault="00D57D9C" w:rsidP="00D857A6">
      <w:pPr>
        <w:spacing w:before="240" w:after="240"/>
        <w:rPr>
          <w:spacing w:val="-3"/>
        </w:rPr>
      </w:pPr>
      <w:r>
        <w:rPr>
          <w:spacing w:val="-3"/>
        </w:rPr>
        <w:t xml:space="preserve">En el </w:t>
      </w:r>
      <w:r w:rsidR="00E62B85">
        <w:rPr>
          <w:spacing w:val="-3"/>
        </w:rPr>
        <w:t>D</w:t>
      </w:r>
      <w:r>
        <w:rPr>
          <w:spacing w:val="-3"/>
        </w:rPr>
        <w:t>ocumento CREG 0</w:t>
      </w:r>
      <w:r w:rsidR="00E62B85">
        <w:rPr>
          <w:spacing w:val="-3"/>
        </w:rPr>
        <w:t>95</w:t>
      </w:r>
      <w:r>
        <w:rPr>
          <w:spacing w:val="-3"/>
        </w:rPr>
        <w:t xml:space="preserve"> de 2019 se encuentra el soporte de dicha resolución donde se incluyen los criterios de revisión de la información, las bases de datos y los cálculos empleados por la Comisión para definir las variables aprobadas en la </w:t>
      </w:r>
      <w:r w:rsidRPr="00BF69C9">
        <w:t xml:space="preserve">Resolución CREG </w:t>
      </w:r>
      <w:r>
        <w:t>1</w:t>
      </w:r>
      <w:r w:rsidR="00E62B85">
        <w:t>38</w:t>
      </w:r>
      <w:r w:rsidRPr="00BF69C9">
        <w:t xml:space="preserve"> de 201</w:t>
      </w:r>
      <w:r>
        <w:t>9.</w:t>
      </w:r>
    </w:p>
    <w:p w:rsidR="00D57D9C" w:rsidRDefault="00E62B85" w:rsidP="00D857A6">
      <w:pPr>
        <w:spacing w:before="240" w:after="240"/>
      </w:pPr>
      <w:r>
        <w:t>La Compañía de Electricidad de Tuluá</w:t>
      </w:r>
      <w:r w:rsidR="00D57D9C">
        <w:t xml:space="preserve"> S.A. E.S.P., C</w:t>
      </w:r>
      <w:r>
        <w:t>ETSA</w:t>
      </w:r>
      <w:r w:rsidR="00D57D9C">
        <w:t>, mediante comunicac</w:t>
      </w:r>
      <w:r>
        <w:t xml:space="preserve">ión con radicado CREG E-2019-012352 </w:t>
      </w:r>
      <w:r w:rsidR="00D57D9C">
        <w:t xml:space="preserve">del </w:t>
      </w:r>
      <w:r>
        <w:t>15</w:t>
      </w:r>
      <w:r w:rsidR="00D57D9C">
        <w:t xml:space="preserve"> de </w:t>
      </w:r>
      <w:r>
        <w:t xml:space="preserve">noviembre </w:t>
      </w:r>
      <w:r w:rsidR="00D57D9C">
        <w:t>de 2019, presentó recurso de reposición contra la resolución CREG 1</w:t>
      </w:r>
      <w:r>
        <w:t>38</w:t>
      </w:r>
      <w:r w:rsidR="00234CD0">
        <w:t xml:space="preserve"> de 2019. E</w:t>
      </w:r>
      <w:r w:rsidR="00D57D9C">
        <w:t xml:space="preserve">n esta comunicación se presentan los antecedentes, las razones de inconformidad y las peticiones del recurso de reposición. </w:t>
      </w:r>
    </w:p>
    <w:p w:rsidR="00D57D9C" w:rsidRDefault="00D57D9C" w:rsidP="00D857A6">
      <w:pPr>
        <w:spacing w:before="240" w:after="240"/>
      </w:pPr>
      <w:r>
        <w:t>A continuación, se transcriben cada una de las peticiones:</w:t>
      </w:r>
    </w:p>
    <w:p w:rsidR="0023042B" w:rsidRPr="0023042B" w:rsidRDefault="0023042B" w:rsidP="008F701B">
      <w:pPr>
        <w:pStyle w:val="Cita"/>
        <w:spacing w:before="200" w:after="200"/>
        <w:ind w:right="142"/>
        <w:rPr>
          <w:b/>
        </w:rPr>
      </w:pPr>
      <w:r w:rsidRPr="0023042B">
        <w:rPr>
          <w:b/>
        </w:rPr>
        <w:t xml:space="preserve">3. SOLICITUD </w:t>
      </w:r>
    </w:p>
    <w:p w:rsidR="0023042B" w:rsidRPr="0023042B" w:rsidRDefault="0023042B" w:rsidP="008F701B">
      <w:pPr>
        <w:pStyle w:val="Cita"/>
        <w:spacing w:before="200" w:after="200"/>
        <w:ind w:right="142"/>
        <w:rPr>
          <w:sz w:val="22"/>
        </w:rPr>
      </w:pPr>
      <w:r w:rsidRPr="0023042B">
        <w:rPr>
          <w:sz w:val="22"/>
        </w:rPr>
        <w:lastRenderedPageBreak/>
        <w:t xml:space="preserve">Con base en lo anterior, solicitamos sean modificados los cálculos que sirven como fundamento a los conceptos sobre los cuales discurre el presente recurso, y en consecuencia se modifique la parte resolutiva de los siguientes artículos de la Resolución CREG No. 138 de 2019 incorporando los valores debidamente ajustados:  </w:t>
      </w:r>
    </w:p>
    <w:p w:rsidR="0023042B" w:rsidRPr="0023042B" w:rsidRDefault="0023042B" w:rsidP="008F701B">
      <w:pPr>
        <w:pStyle w:val="Cita"/>
        <w:spacing w:before="200" w:after="200"/>
        <w:ind w:right="142"/>
        <w:rPr>
          <w:sz w:val="22"/>
        </w:rPr>
      </w:pPr>
      <w:r w:rsidRPr="0023042B">
        <w:rPr>
          <w:sz w:val="22"/>
        </w:rPr>
        <w:t xml:space="preserve">i) El artículo 2 “Base Regulatoria de Activos Eléctricos al Inicio del Periodo Tarifario” </w:t>
      </w:r>
    </w:p>
    <w:p w:rsidR="0023042B" w:rsidRPr="0023042B" w:rsidRDefault="0023042B" w:rsidP="008F701B">
      <w:pPr>
        <w:pStyle w:val="Cita"/>
        <w:spacing w:before="200" w:after="200"/>
        <w:ind w:right="142"/>
        <w:rPr>
          <w:sz w:val="22"/>
        </w:rPr>
      </w:pPr>
      <w:r w:rsidRPr="0023042B">
        <w:rPr>
          <w:sz w:val="22"/>
        </w:rPr>
        <w:t xml:space="preserve">ii) El artículo 4 “Recuperación de Capital de Activos de la BRA inicial”, y </w:t>
      </w:r>
    </w:p>
    <w:p w:rsidR="0023042B" w:rsidRPr="0023042B" w:rsidRDefault="0023042B" w:rsidP="008F701B">
      <w:pPr>
        <w:pStyle w:val="Cita"/>
        <w:spacing w:before="200" w:after="200"/>
        <w:ind w:right="142"/>
        <w:rPr>
          <w:sz w:val="22"/>
        </w:rPr>
      </w:pPr>
      <w:r w:rsidRPr="0023042B">
        <w:rPr>
          <w:sz w:val="22"/>
        </w:rPr>
        <w:t xml:space="preserve">iii) El artículo 14 “Índices de Referencia Pérdidas Eficientes” </w:t>
      </w:r>
    </w:p>
    <w:p w:rsidR="0023042B" w:rsidRPr="0023042B" w:rsidRDefault="0023042B" w:rsidP="008F701B">
      <w:pPr>
        <w:pStyle w:val="Cita"/>
        <w:spacing w:before="200" w:after="200"/>
        <w:ind w:right="142"/>
        <w:rPr>
          <w:sz w:val="22"/>
        </w:rPr>
      </w:pPr>
      <w:r w:rsidRPr="0023042B">
        <w:rPr>
          <w:sz w:val="22"/>
        </w:rPr>
        <w:t>Lo anterior, conforme a los reparos del presente escrito y a la afectación que implica a los ingresos y cargos asociados con la actividad de distribución de energía eléctrica en el mercado de comercialización atendido por CETSA.</w:t>
      </w:r>
    </w:p>
    <w:p w:rsidR="00D57D9C" w:rsidRPr="00F96E3B" w:rsidRDefault="00D57D9C" w:rsidP="00D857A6">
      <w:pPr>
        <w:spacing w:before="240" w:after="240"/>
        <w:rPr>
          <w:b/>
          <w:lang w:val="es-CO" w:eastAsia="en-US"/>
        </w:rPr>
      </w:pPr>
      <w:r w:rsidRPr="00F96E3B">
        <w:rPr>
          <w:b/>
          <w:lang w:val="es-CO" w:eastAsia="en-US"/>
        </w:rPr>
        <w:t>ANÁLISIS DE LA COMISIÓN</w:t>
      </w:r>
    </w:p>
    <w:p w:rsidR="00D57D9C" w:rsidRPr="00084D2F" w:rsidRDefault="00D57D9C" w:rsidP="00D857A6">
      <w:pPr>
        <w:spacing w:before="240" w:after="240"/>
        <w:rPr>
          <w:b/>
          <w:lang w:val="es-CO" w:eastAsia="en-US"/>
        </w:rPr>
      </w:pPr>
      <w:r w:rsidRPr="00084D2F">
        <w:rPr>
          <w:b/>
          <w:lang w:val="es-CO" w:eastAsia="en-US"/>
        </w:rPr>
        <w:t>Primera Petición</w:t>
      </w:r>
    </w:p>
    <w:p w:rsidR="0043300E" w:rsidRDefault="0043300E" w:rsidP="00D857A6">
      <w:pPr>
        <w:spacing w:before="240" w:after="240"/>
        <w:rPr>
          <w:lang w:val="es-CO" w:eastAsia="en-US"/>
        </w:rPr>
      </w:pPr>
      <w:r>
        <w:rPr>
          <w:lang w:val="es-CO" w:eastAsia="en-US"/>
        </w:rPr>
        <w:t xml:space="preserve">El OR fundamenta su solicitud de modificación de la Base Regulatoria de Activos Eléctricos al </w:t>
      </w:r>
      <w:r w:rsidR="00234CD0">
        <w:rPr>
          <w:lang w:val="es-CO" w:eastAsia="en-US"/>
        </w:rPr>
        <w:t>i</w:t>
      </w:r>
      <w:r>
        <w:rPr>
          <w:lang w:val="es-CO" w:eastAsia="en-US"/>
        </w:rPr>
        <w:t xml:space="preserve">nicio del </w:t>
      </w:r>
      <w:r w:rsidR="00234CD0">
        <w:rPr>
          <w:lang w:val="es-CO" w:eastAsia="en-US"/>
        </w:rPr>
        <w:t>p</w:t>
      </w:r>
      <w:r>
        <w:rPr>
          <w:lang w:val="es-CO" w:eastAsia="en-US"/>
        </w:rPr>
        <w:t xml:space="preserve">eriodo </w:t>
      </w:r>
      <w:r w:rsidR="00234CD0">
        <w:rPr>
          <w:lang w:val="es-CO" w:eastAsia="en-US"/>
        </w:rPr>
        <w:t>t</w:t>
      </w:r>
      <w:r>
        <w:rPr>
          <w:lang w:val="es-CO" w:eastAsia="en-US"/>
        </w:rPr>
        <w:t>arifario, en lo siguiente:</w:t>
      </w:r>
    </w:p>
    <w:p w:rsidR="0043300E" w:rsidRPr="00B62376" w:rsidRDefault="008845CC" w:rsidP="008F701B">
      <w:pPr>
        <w:keepLines/>
        <w:spacing w:before="200" w:after="200"/>
        <w:ind w:left="708"/>
        <w:rPr>
          <w:b/>
          <w:i/>
          <w:sz w:val="22"/>
          <w:szCs w:val="22"/>
        </w:rPr>
      </w:pPr>
      <w:r w:rsidRPr="00B62376">
        <w:rPr>
          <w:i/>
          <w:sz w:val="22"/>
          <w:szCs w:val="22"/>
        </w:rPr>
        <w:t>…</w:t>
      </w:r>
      <w:r>
        <w:rPr>
          <w:i/>
          <w:sz w:val="22"/>
          <w:szCs w:val="22"/>
        </w:rPr>
        <w:t xml:space="preserve"> </w:t>
      </w:r>
      <w:r w:rsidR="0043300E" w:rsidRPr="00B62376">
        <w:rPr>
          <w:b/>
          <w:i/>
          <w:sz w:val="22"/>
          <w:szCs w:val="22"/>
        </w:rPr>
        <w:t xml:space="preserve">2.1 Uso erróneo de la variable energía útil de los niveles de tensión 3 y 2, y de las ventas anuales del nivel de tensión 1 utilizada para determinar la base regulatoria de activos eléctricos al inicio del periodo tarifario. </w:t>
      </w:r>
    </w:p>
    <w:p w:rsidR="0043300E" w:rsidRPr="0043300E" w:rsidRDefault="0043300E" w:rsidP="008F701B">
      <w:pPr>
        <w:keepLines/>
        <w:spacing w:before="200" w:after="200"/>
        <w:ind w:left="708"/>
        <w:rPr>
          <w:i/>
          <w:sz w:val="22"/>
          <w:szCs w:val="22"/>
        </w:rPr>
      </w:pPr>
      <w:r w:rsidRPr="0043300E">
        <w:rPr>
          <w:i/>
          <w:sz w:val="22"/>
          <w:szCs w:val="22"/>
        </w:rPr>
        <w:t>El valor establecido en el artículo 2 de la Resolución CREG 138 de 2019 de la variable</w:t>
      </w:r>
      <w:r>
        <w:rPr>
          <w:i/>
          <w:sz w:val="22"/>
          <w:szCs w:val="22"/>
        </w:rPr>
        <w:t xml:space="preserve"> </w:t>
      </w:r>
      <w:proofErr w:type="gramStart"/>
      <w:r w:rsidRPr="0043300E">
        <w:rPr>
          <w:i/>
          <w:sz w:val="22"/>
          <w:szCs w:val="22"/>
        </w:rPr>
        <w:t>BRAEj,n</w:t>
      </w:r>
      <w:proofErr w:type="gramEnd"/>
      <w:r w:rsidRPr="0043300E">
        <w:rPr>
          <w:i/>
          <w:sz w:val="22"/>
          <w:szCs w:val="22"/>
        </w:rPr>
        <w:t>,0 - Base Regulatoria de Activos Eléctricos al Inicio del Periodo Tarifario –</w:t>
      </w:r>
      <w:r>
        <w:rPr>
          <w:i/>
          <w:sz w:val="22"/>
          <w:szCs w:val="22"/>
        </w:rPr>
        <w:t xml:space="preserve"> </w:t>
      </w:r>
      <w:r w:rsidRPr="0043300E">
        <w:rPr>
          <w:i/>
          <w:sz w:val="22"/>
          <w:szCs w:val="22"/>
        </w:rPr>
        <w:t>resulta subvalorado por la utilización de valores erróneos de las variables Euj3 y Euj2,</w:t>
      </w:r>
      <w:r>
        <w:rPr>
          <w:i/>
          <w:sz w:val="22"/>
          <w:szCs w:val="22"/>
        </w:rPr>
        <w:t xml:space="preserve"> </w:t>
      </w:r>
      <w:r w:rsidRPr="0043300E">
        <w:rPr>
          <w:i/>
          <w:sz w:val="22"/>
          <w:szCs w:val="22"/>
        </w:rPr>
        <w:t xml:space="preserve">VAj,1,0, y VSj,1,0. </w:t>
      </w:r>
    </w:p>
    <w:p w:rsidR="0043300E" w:rsidRPr="0043300E" w:rsidRDefault="0043300E" w:rsidP="008F701B">
      <w:pPr>
        <w:keepLines/>
        <w:spacing w:before="200" w:after="200"/>
        <w:ind w:left="708"/>
        <w:rPr>
          <w:i/>
          <w:sz w:val="22"/>
          <w:szCs w:val="22"/>
        </w:rPr>
      </w:pPr>
      <w:r w:rsidRPr="0043300E">
        <w:rPr>
          <w:i/>
          <w:sz w:val="22"/>
          <w:szCs w:val="22"/>
        </w:rPr>
        <w:t>De acuerdo con los numerales 3.1.1.1.1.2, 3.1.1.1.1.3 y 3.1.1.1.1.4. de la Resolución</w:t>
      </w:r>
      <w:r>
        <w:rPr>
          <w:i/>
          <w:sz w:val="22"/>
          <w:szCs w:val="22"/>
        </w:rPr>
        <w:t xml:space="preserve"> </w:t>
      </w:r>
      <w:r w:rsidRPr="0043300E">
        <w:rPr>
          <w:i/>
          <w:sz w:val="22"/>
          <w:szCs w:val="22"/>
        </w:rPr>
        <w:t>CREG 015 de 2018, las variables Euj3 y Euj2, VAj,1,0, y VSj,1,0 se utilizan para determinar el costo anual de la inversión de los niveles de tensión 3, 2 y 1 (CAIj,</w:t>
      </w:r>
      <w:proofErr w:type="gramStart"/>
      <w:r w:rsidRPr="0043300E">
        <w:rPr>
          <w:i/>
          <w:sz w:val="22"/>
          <w:szCs w:val="22"/>
        </w:rPr>
        <w:t>3,l</w:t>
      </w:r>
      <w:proofErr w:type="gramEnd"/>
      <w:r w:rsidRPr="0043300E">
        <w:rPr>
          <w:i/>
          <w:sz w:val="22"/>
          <w:szCs w:val="22"/>
        </w:rPr>
        <w:t xml:space="preserve"> y</w:t>
      </w:r>
      <w:r>
        <w:rPr>
          <w:i/>
          <w:sz w:val="22"/>
          <w:szCs w:val="22"/>
        </w:rPr>
        <w:t xml:space="preserve"> </w:t>
      </w:r>
      <w:r w:rsidRPr="0043300E">
        <w:rPr>
          <w:i/>
          <w:sz w:val="22"/>
          <w:szCs w:val="22"/>
        </w:rPr>
        <w:t>CAIj,2,l , CAIj,1,l) respectivamente, los cuales son base para la determinación de la Base</w:t>
      </w:r>
      <w:r>
        <w:rPr>
          <w:i/>
          <w:sz w:val="22"/>
          <w:szCs w:val="22"/>
        </w:rPr>
        <w:t xml:space="preserve"> </w:t>
      </w:r>
      <w:r w:rsidRPr="0043300E">
        <w:rPr>
          <w:i/>
          <w:sz w:val="22"/>
          <w:szCs w:val="22"/>
        </w:rPr>
        <w:t xml:space="preserve">Regulatoria de Activos BRAEj,n,0.  </w:t>
      </w:r>
    </w:p>
    <w:p w:rsidR="0043300E" w:rsidRDefault="0043300E" w:rsidP="008F701B">
      <w:pPr>
        <w:keepLines/>
        <w:spacing w:before="200" w:after="200"/>
        <w:ind w:left="708"/>
        <w:rPr>
          <w:i/>
          <w:sz w:val="22"/>
          <w:szCs w:val="22"/>
        </w:rPr>
      </w:pPr>
      <w:r w:rsidRPr="0043300E">
        <w:rPr>
          <w:i/>
          <w:sz w:val="22"/>
          <w:szCs w:val="22"/>
        </w:rPr>
        <w:t>Las variables mencionadas se encuentran definidas de la siguiente manera en los</w:t>
      </w:r>
      <w:r>
        <w:rPr>
          <w:i/>
          <w:sz w:val="22"/>
          <w:szCs w:val="22"/>
        </w:rPr>
        <w:t xml:space="preserve"> </w:t>
      </w:r>
      <w:r w:rsidRPr="0043300E">
        <w:rPr>
          <w:i/>
          <w:sz w:val="22"/>
          <w:szCs w:val="22"/>
        </w:rPr>
        <w:t>mencionados numerales de la Resolución, así:</w:t>
      </w:r>
    </w:p>
    <w:p w:rsidR="0043300E" w:rsidRPr="0043300E" w:rsidRDefault="0043300E" w:rsidP="008F701B">
      <w:pPr>
        <w:pStyle w:val="Prrafodelista"/>
        <w:keepLines/>
        <w:numPr>
          <w:ilvl w:val="0"/>
          <w:numId w:val="22"/>
        </w:numPr>
        <w:spacing w:before="200" w:after="200"/>
        <w:ind w:left="1428"/>
        <w:rPr>
          <w:i/>
          <w:sz w:val="22"/>
          <w:szCs w:val="22"/>
        </w:rPr>
      </w:pPr>
      <w:r w:rsidRPr="00B62376">
        <w:rPr>
          <w:b/>
          <w:i/>
          <w:sz w:val="22"/>
          <w:szCs w:val="22"/>
        </w:rPr>
        <w:t>Euj3:</w:t>
      </w:r>
      <w:r w:rsidRPr="0043300E">
        <w:rPr>
          <w:i/>
          <w:sz w:val="22"/>
          <w:szCs w:val="22"/>
        </w:rPr>
        <w:t xml:space="preserve"> Energía útil del nivel de tensión 3 utilizada en aplicación de la metodología de la Resolución CREG 097 de 2008 para el cálculo del cargo máximo del OR j en el nivel de tensión 3  </w:t>
      </w:r>
    </w:p>
    <w:p w:rsidR="0043300E" w:rsidRDefault="0043300E" w:rsidP="008F701B">
      <w:pPr>
        <w:pStyle w:val="Prrafodelista"/>
        <w:keepLines/>
        <w:numPr>
          <w:ilvl w:val="0"/>
          <w:numId w:val="22"/>
        </w:numPr>
        <w:spacing w:before="200" w:after="200"/>
        <w:ind w:left="1428"/>
        <w:rPr>
          <w:i/>
          <w:sz w:val="22"/>
          <w:szCs w:val="22"/>
        </w:rPr>
      </w:pPr>
      <w:r w:rsidRPr="00B62376">
        <w:rPr>
          <w:b/>
          <w:i/>
          <w:sz w:val="22"/>
          <w:szCs w:val="22"/>
        </w:rPr>
        <w:t>Euj2:</w:t>
      </w:r>
      <w:r w:rsidRPr="0043300E">
        <w:rPr>
          <w:i/>
          <w:sz w:val="22"/>
          <w:szCs w:val="22"/>
        </w:rPr>
        <w:t xml:space="preserve"> Energía útil del nivel de tensión 2 utilizada en aplicación de la metodología de la Resolución CREG 097 de 2008 para el cálculo del cargo máximo de nivel de tensión 2 del OR j </w:t>
      </w:r>
    </w:p>
    <w:p w:rsidR="0043300E" w:rsidRPr="0043300E" w:rsidRDefault="0043300E" w:rsidP="008F701B">
      <w:pPr>
        <w:pStyle w:val="Prrafodelista"/>
        <w:keepLines/>
        <w:numPr>
          <w:ilvl w:val="0"/>
          <w:numId w:val="22"/>
        </w:numPr>
        <w:spacing w:before="200" w:after="200"/>
        <w:ind w:left="1428"/>
        <w:rPr>
          <w:i/>
          <w:sz w:val="22"/>
          <w:szCs w:val="22"/>
        </w:rPr>
      </w:pPr>
      <w:r w:rsidRPr="00B62376">
        <w:rPr>
          <w:b/>
          <w:i/>
          <w:sz w:val="22"/>
          <w:szCs w:val="22"/>
        </w:rPr>
        <w:t>VAj,1,0:</w:t>
      </w:r>
      <w:r w:rsidRPr="0043300E">
        <w:rPr>
          <w:i/>
          <w:sz w:val="22"/>
          <w:szCs w:val="22"/>
        </w:rPr>
        <w:t xml:space="preserve"> Ventas anuales de energía para circuitos aéreos utilizadas para calcular el cargo máximo de inversión del nivel de tensión 1 del OR j en aplicación de la metodología de la Resolución CREG 097 de 2008 </w:t>
      </w:r>
    </w:p>
    <w:p w:rsidR="0043300E" w:rsidRPr="0043300E" w:rsidRDefault="0043300E" w:rsidP="008F701B">
      <w:pPr>
        <w:pStyle w:val="Prrafodelista"/>
        <w:keepLines/>
        <w:numPr>
          <w:ilvl w:val="0"/>
          <w:numId w:val="22"/>
        </w:numPr>
        <w:spacing w:before="200" w:after="200"/>
        <w:ind w:left="1428"/>
        <w:rPr>
          <w:i/>
          <w:sz w:val="22"/>
          <w:szCs w:val="22"/>
        </w:rPr>
      </w:pPr>
      <w:r w:rsidRPr="00B62376">
        <w:rPr>
          <w:b/>
          <w:i/>
          <w:sz w:val="22"/>
          <w:szCs w:val="22"/>
        </w:rPr>
        <w:t>VSj,1,0:</w:t>
      </w:r>
      <w:r w:rsidRPr="0043300E">
        <w:rPr>
          <w:i/>
          <w:sz w:val="22"/>
          <w:szCs w:val="22"/>
        </w:rPr>
        <w:t xml:space="preserve"> Ventas anuales de energía para circuitos subterráneos utilizadas para calcular el cargo máximo de inversión del nivel de tensión 1 del OR j en aplicación de la metodología de la Resolución CREG 097 de 2008 </w:t>
      </w:r>
    </w:p>
    <w:p w:rsidR="0043300E" w:rsidRDefault="0043300E" w:rsidP="008F701B">
      <w:pPr>
        <w:keepLines/>
        <w:spacing w:before="200" w:after="200"/>
        <w:ind w:left="708"/>
        <w:rPr>
          <w:i/>
          <w:sz w:val="22"/>
          <w:szCs w:val="22"/>
        </w:rPr>
      </w:pPr>
      <w:r w:rsidRPr="0043300E">
        <w:rPr>
          <w:i/>
          <w:sz w:val="22"/>
          <w:szCs w:val="22"/>
        </w:rPr>
        <w:lastRenderedPageBreak/>
        <w:t>Conforme con lo anterior, el valor de las variables mencionadas no puede ser diferente a las utilizadas por la CREG en la determinación de los cargos máximos de los niveles de tensión 1, 2 y 3, aprobados a CETSA mediante la Resolución CREG 115 de 2009.</w:t>
      </w:r>
    </w:p>
    <w:p w:rsidR="00B62376" w:rsidRPr="00B62376" w:rsidRDefault="00B62376" w:rsidP="008F701B">
      <w:pPr>
        <w:keepLines/>
        <w:spacing w:before="200" w:after="200"/>
        <w:ind w:left="708"/>
        <w:rPr>
          <w:b/>
          <w:i/>
          <w:sz w:val="22"/>
          <w:szCs w:val="22"/>
        </w:rPr>
      </w:pPr>
      <w:r w:rsidRPr="00B62376">
        <w:rPr>
          <w:b/>
          <w:i/>
          <w:sz w:val="22"/>
          <w:szCs w:val="22"/>
        </w:rPr>
        <w:t xml:space="preserve">2.1.1 Identificación del error </w:t>
      </w:r>
    </w:p>
    <w:p w:rsidR="00B62376" w:rsidRPr="00B62376" w:rsidRDefault="00B62376" w:rsidP="008F701B">
      <w:pPr>
        <w:keepLines/>
        <w:spacing w:before="200" w:after="200"/>
        <w:ind w:left="709"/>
        <w:rPr>
          <w:i/>
          <w:sz w:val="22"/>
          <w:szCs w:val="22"/>
        </w:rPr>
      </w:pPr>
      <w:r w:rsidRPr="00B62376">
        <w:rPr>
          <w:i/>
          <w:sz w:val="22"/>
          <w:szCs w:val="22"/>
        </w:rPr>
        <w:t>En la información soporte adjunta a la Resolución CREG 138 de 2019,</w:t>
      </w:r>
      <w:r>
        <w:rPr>
          <w:i/>
          <w:sz w:val="22"/>
          <w:szCs w:val="22"/>
        </w:rPr>
        <w:t xml:space="preserve"> </w:t>
      </w:r>
      <w:r w:rsidRPr="00B62376">
        <w:rPr>
          <w:i/>
          <w:sz w:val="22"/>
          <w:szCs w:val="22"/>
        </w:rPr>
        <w:t>específicamente en los anexos del Documento D 094-2019, el archivo “Calculo</w:t>
      </w:r>
      <w:r>
        <w:rPr>
          <w:i/>
          <w:sz w:val="22"/>
          <w:szCs w:val="22"/>
        </w:rPr>
        <w:t xml:space="preserve"> </w:t>
      </w:r>
      <w:r w:rsidRPr="00B62376">
        <w:rPr>
          <w:i/>
          <w:sz w:val="22"/>
          <w:szCs w:val="22"/>
        </w:rPr>
        <w:t>ingresos D CETSA.xlsx” se puede identificar las variables utilizadas por la CREG</w:t>
      </w:r>
      <w:r>
        <w:rPr>
          <w:i/>
          <w:sz w:val="22"/>
          <w:szCs w:val="22"/>
        </w:rPr>
        <w:t xml:space="preserve"> </w:t>
      </w:r>
      <w:r w:rsidRPr="00B62376">
        <w:rPr>
          <w:i/>
          <w:sz w:val="22"/>
          <w:szCs w:val="22"/>
        </w:rPr>
        <w:t xml:space="preserve">para determinar los valores aprobados. </w:t>
      </w:r>
    </w:p>
    <w:p w:rsidR="00B62376" w:rsidRPr="00B62376" w:rsidRDefault="00B62376" w:rsidP="008F701B">
      <w:pPr>
        <w:keepLines/>
        <w:spacing w:before="200" w:after="200"/>
        <w:ind w:left="709"/>
        <w:rPr>
          <w:i/>
          <w:sz w:val="22"/>
          <w:szCs w:val="22"/>
        </w:rPr>
      </w:pPr>
      <w:r w:rsidRPr="00B62376">
        <w:rPr>
          <w:i/>
          <w:sz w:val="22"/>
          <w:szCs w:val="22"/>
        </w:rPr>
        <w:t>La diferencia que se presenta en los valores corresponde a la siguiente:</w:t>
      </w:r>
    </w:p>
    <w:p w:rsidR="00B62376" w:rsidRDefault="00B62376" w:rsidP="008F701B">
      <w:pPr>
        <w:keepLines/>
        <w:spacing w:before="200" w:after="200"/>
        <w:ind w:left="709"/>
        <w:jc w:val="center"/>
        <w:rPr>
          <w:i/>
          <w:sz w:val="22"/>
          <w:szCs w:val="22"/>
        </w:rPr>
      </w:pPr>
      <w:r w:rsidRPr="00B62376">
        <w:rPr>
          <w:b/>
          <w:i/>
          <w:sz w:val="22"/>
          <w:szCs w:val="22"/>
        </w:rPr>
        <w:t>Tabla 1.</w:t>
      </w:r>
      <w:r w:rsidRPr="00B62376">
        <w:rPr>
          <w:i/>
          <w:sz w:val="22"/>
          <w:szCs w:val="22"/>
        </w:rPr>
        <w:t xml:space="preserve"> Diferencias entre la información de Energía Útil y ventas utilizadas para la aprobación de los cargos de la Resolución CREG 115 de 2009 y las utilizadas por la CREG en la resolución CREG 138 de 2019</w:t>
      </w:r>
    </w:p>
    <w:tbl>
      <w:tblPr>
        <w:tblStyle w:val="Tablaconcuadrcula"/>
        <w:tblW w:w="0" w:type="auto"/>
        <w:tblInd w:w="709" w:type="dxa"/>
        <w:tblLook w:val="04A0" w:firstRow="1" w:lastRow="0" w:firstColumn="1" w:lastColumn="0" w:noHBand="0" w:noVBand="1"/>
      </w:tblPr>
      <w:tblGrid>
        <w:gridCol w:w="1105"/>
        <w:gridCol w:w="2071"/>
        <w:gridCol w:w="2147"/>
        <w:gridCol w:w="1665"/>
        <w:gridCol w:w="1649"/>
      </w:tblGrid>
      <w:tr w:rsidR="00B62376" w:rsidRPr="00B62376" w:rsidTr="00B62376">
        <w:tc>
          <w:tcPr>
            <w:tcW w:w="1022" w:type="dxa"/>
            <w:vAlign w:val="center"/>
          </w:tcPr>
          <w:p w:rsidR="00B62376" w:rsidRPr="00B62376" w:rsidRDefault="00B62376" w:rsidP="00B62376">
            <w:pPr>
              <w:keepLines/>
              <w:spacing w:before="0" w:after="0"/>
              <w:jc w:val="center"/>
              <w:rPr>
                <w:b/>
                <w:i/>
                <w:sz w:val="20"/>
                <w:szCs w:val="22"/>
              </w:rPr>
            </w:pPr>
            <w:r w:rsidRPr="00B62376">
              <w:rPr>
                <w:b/>
                <w:i/>
                <w:sz w:val="20"/>
                <w:szCs w:val="22"/>
              </w:rPr>
              <w:t>Variable</w:t>
            </w:r>
          </w:p>
        </w:tc>
        <w:tc>
          <w:tcPr>
            <w:tcW w:w="2092" w:type="dxa"/>
            <w:vAlign w:val="center"/>
          </w:tcPr>
          <w:p w:rsidR="00B62376" w:rsidRPr="00B62376" w:rsidRDefault="00B62376" w:rsidP="00B62376">
            <w:pPr>
              <w:keepLines/>
              <w:spacing w:before="0" w:after="0"/>
              <w:jc w:val="center"/>
              <w:rPr>
                <w:b/>
                <w:i/>
                <w:sz w:val="20"/>
                <w:szCs w:val="22"/>
              </w:rPr>
            </w:pPr>
            <w:r w:rsidRPr="00B62376">
              <w:rPr>
                <w:b/>
                <w:i/>
                <w:sz w:val="20"/>
                <w:szCs w:val="22"/>
              </w:rPr>
              <w:t>Valor utilizado en la Resolución CREG 138 de 2018 (kWh/año)</w:t>
            </w:r>
          </w:p>
        </w:tc>
        <w:tc>
          <w:tcPr>
            <w:tcW w:w="2170" w:type="dxa"/>
            <w:vAlign w:val="center"/>
          </w:tcPr>
          <w:p w:rsidR="00B62376" w:rsidRPr="00B62376" w:rsidRDefault="00B62376" w:rsidP="00B62376">
            <w:pPr>
              <w:keepLines/>
              <w:spacing w:before="0" w:after="0"/>
              <w:jc w:val="center"/>
              <w:rPr>
                <w:b/>
                <w:i/>
                <w:sz w:val="20"/>
                <w:szCs w:val="22"/>
              </w:rPr>
            </w:pPr>
            <w:r w:rsidRPr="00B62376">
              <w:rPr>
                <w:b/>
                <w:i/>
                <w:sz w:val="20"/>
                <w:szCs w:val="22"/>
              </w:rPr>
              <w:t>Valor aprobado en la Resolución CREG 115 de 2009 (kWh/año)</w:t>
            </w:r>
          </w:p>
        </w:tc>
        <w:tc>
          <w:tcPr>
            <w:tcW w:w="1676" w:type="dxa"/>
            <w:vAlign w:val="center"/>
          </w:tcPr>
          <w:p w:rsidR="00B62376" w:rsidRPr="00B62376" w:rsidRDefault="00B62376" w:rsidP="00B62376">
            <w:pPr>
              <w:keepLines/>
              <w:spacing w:before="0" w:after="0"/>
              <w:jc w:val="center"/>
              <w:rPr>
                <w:b/>
                <w:i/>
                <w:sz w:val="20"/>
                <w:szCs w:val="22"/>
              </w:rPr>
            </w:pPr>
            <w:r w:rsidRPr="00B62376">
              <w:rPr>
                <w:b/>
                <w:i/>
                <w:sz w:val="20"/>
                <w:szCs w:val="22"/>
              </w:rPr>
              <w:t>Diferencia (kWh/año)</w:t>
            </w:r>
          </w:p>
        </w:tc>
        <w:tc>
          <w:tcPr>
            <w:tcW w:w="1677" w:type="dxa"/>
            <w:vAlign w:val="center"/>
          </w:tcPr>
          <w:p w:rsidR="00B62376" w:rsidRPr="00B62376" w:rsidRDefault="00B62376" w:rsidP="00B62376">
            <w:pPr>
              <w:keepLines/>
              <w:spacing w:before="0" w:after="0"/>
              <w:jc w:val="center"/>
              <w:rPr>
                <w:b/>
                <w:i/>
                <w:sz w:val="20"/>
                <w:szCs w:val="22"/>
              </w:rPr>
            </w:pPr>
            <w:r w:rsidRPr="00B62376">
              <w:rPr>
                <w:b/>
                <w:i/>
                <w:sz w:val="20"/>
                <w:szCs w:val="22"/>
              </w:rPr>
              <w:t>Error (%)</w:t>
            </w:r>
          </w:p>
        </w:tc>
      </w:tr>
      <w:tr w:rsidR="00B62376" w:rsidRPr="00B62376" w:rsidTr="003B2961">
        <w:trPr>
          <w:trHeight w:val="340"/>
        </w:trPr>
        <w:tc>
          <w:tcPr>
            <w:tcW w:w="1022" w:type="dxa"/>
            <w:vAlign w:val="center"/>
          </w:tcPr>
          <w:p w:rsidR="00B62376" w:rsidRPr="00B62376" w:rsidRDefault="00B62376" w:rsidP="003B2961">
            <w:pPr>
              <w:keepLines/>
              <w:spacing w:before="0" w:after="0"/>
              <w:jc w:val="center"/>
              <w:rPr>
                <w:i/>
                <w:sz w:val="20"/>
                <w:szCs w:val="22"/>
              </w:rPr>
            </w:pPr>
            <w:r>
              <w:rPr>
                <w:i/>
                <w:sz w:val="20"/>
                <w:szCs w:val="22"/>
              </w:rPr>
              <w:t>EU</w:t>
            </w:r>
            <w:r w:rsidRPr="008845CC">
              <w:rPr>
                <w:i/>
                <w:sz w:val="20"/>
                <w:szCs w:val="22"/>
                <w:vertAlign w:val="subscript"/>
              </w:rPr>
              <w:t>j,3</w:t>
            </w:r>
          </w:p>
        </w:tc>
        <w:tc>
          <w:tcPr>
            <w:tcW w:w="2092" w:type="dxa"/>
            <w:vAlign w:val="center"/>
          </w:tcPr>
          <w:p w:rsidR="00B62376" w:rsidRPr="00B62376" w:rsidRDefault="008845CC" w:rsidP="003B2961">
            <w:pPr>
              <w:keepLines/>
              <w:spacing w:before="0" w:after="0"/>
              <w:jc w:val="center"/>
              <w:rPr>
                <w:i/>
                <w:sz w:val="20"/>
                <w:szCs w:val="22"/>
              </w:rPr>
            </w:pPr>
            <w:r>
              <w:rPr>
                <w:i/>
                <w:sz w:val="20"/>
                <w:szCs w:val="22"/>
              </w:rPr>
              <w:t>149.433.718</w:t>
            </w:r>
          </w:p>
        </w:tc>
        <w:tc>
          <w:tcPr>
            <w:tcW w:w="2170" w:type="dxa"/>
            <w:vAlign w:val="center"/>
          </w:tcPr>
          <w:p w:rsidR="00B62376" w:rsidRPr="00B62376" w:rsidRDefault="008845CC" w:rsidP="003B2961">
            <w:pPr>
              <w:keepLines/>
              <w:spacing w:before="0" w:after="0"/>
              <w:jc w:val="center"/>
              <w:rPr>
                <w:i/>
                <w:sz w:val="20"/>
                <w:szCs w:val="22"/>
              </w:rPr>
            </w:pPr>
            <w:r>
              <w:rPr>
                <w:i/>
                <w:sz w:val="20"/>
                <w:szCs w:val="22"/>
              </w:rPr>
              <w:t>180.880.011</w:t>
            </w:r>
          </w:p>
        </w:tc>
        <w:tc>
          <w:tcPr>
            <w:tcW w:w="1676" w:type="dxa"/>
            <w:vAlign w:val="center"/>
          </w:tcPr>
          <w:p w:rsidR="00B62376" w:rsidRPr="00B62376" w:rsidRDefault="008845CC" w:rsidP="003B2961">
            <w:pPr>
              <w:keepLines/>
              <w:spacing w:before="0" w:after="0"/>
              <w:jc w:val="center"/>
              <w:rPr>
                <w:i/>
                <w:sz w:val="20"/>
                <w:szCs w:val="22"/>
              </w:rPr>
            </w:pPr>
            <w:r>
              <w:rPr>
                <w:i/>
                <w:sz w:val="20"/>
                <w:szCs w:val="22"/>
              </w:rPr>
              <w:t>-31.446.293</w:t>
            </w:r>
          </w:p>
        </w:tc>
        <w:tc>
          <w:tcPr>
            <w:tcW w:w="1677" w:type="dxa"/>
            <w:vAlign w:val="center"/>
          </w:tcPr>
          <w:p w:rsidR="00B62376" w:rsidRPr="00B62376" w:rsidRDefault="008845CC" w:rsidP="003B2961">
            <w:pPr>
              <w:keepLines/>
              <w:spacing w:before="0" w:after="0"/>
              <w:jc w:val="center"/>
              <w:rPr>
                <w:i/>
                <w:sz w:val="20"/>
                <w:szCs w:val="22"/>
              </w:rPr>
            </w:pPr>
            <w:r>
              <w:rPr>
                <w:i/>
                <w:sz w:val="20"/>
                <w:szCs w:val="22"/>
              </w:rPr>
              <w:t>-17.4%</w:t>
            </w:r>
          </w:p>
        </w:tc>
      </w:tr>
      <w:tr w:rsidR="00B62376" w:rsidRPr="00B62376" w:rsidTr="003B2961">
        <w:trPr>
          <w:trHeight w:val="340"/>
        </w:trPr>
        <w:tc>
          <w:tcPr>
            <w:tcW w:w="1022" w:type="dxa"/>
            <w:vAlign w:val="center"/>
          </w:tcPr>
          <w:p w:rsidR="00B62376" w:rsidRPr="00B62376" w:rsidRDefault="00B62376" w:rsidP="003B2961">
            <w:pPr>
              <w:keepLines/>
              <w:spacing w:before="0" w:after="0"/>
              <w:jc w:val="center"/>
              <w:rPr>
                <w:i/>
                <w:sz w:val="20"/>
                <w:szCs w:val="22"/>
              </w:rPr>
            </w:pPr>
            <w:r>
              <w:rPr>
                <w:i/>
                <w:sz w:val="20"/>
                <w:szCs w:val="22"/>
              </w:rPr>
              <w:t>EU</w:t>
            </w:r>
            <w:r w:rsidRPr="008845CC">
              <w:rPr>
                <w:i/>
                <w:sz w:val="20"/>
                <w:szCs w:val="22"/>
                <w:vertAlign w:val="subscript"/>
              </w:rPr>
              <w:t>j,2</w:t>
            </w:r>
          </w:p>
        </w:tc>
        <w:tc>
          <w:tcPr>
            <w:tcW w:w="2092" w:type="dxa"/>
            <w:vAlign w:val="center"/>
          </w:tcPr>
          <w:p w:rsidR="00B62376" w:rsidRPr="00B62376" w:rsidRDefault="008845CC" w:rsidP="003B2961">
            <w:pPr>
              <w:keepLines/>
              <w:spacing w:before="0" w:after="0"/>
              <w:jc w:val="center"/>
              <w:rPr>
                <w:i/>
                <w:sz w:val="20"/>
                <w:szCs w:val="22"/>
              </w:rPr>
            </w:pPr>
            <w:r>
              <w:rPr>
                <w:i/>
                <w:sz w:val="20"/>
                <w:szCs w:val="22"/>
              </w:rPr>
              <w:t>150.947.583</w:t>
            </w:r>
          </w:p>
        </w:tc>
        <w:tc>
          <w:tcPr>
            <w:tcW w:w="2170" w:type="dxa"/>
            <w:vAlign w:val="center"/>
          </w:tcPr>
          <w:p w:rsidR="00B62376" w:rsidRPr="00B62376" w:rsidRDefault="008845CC" w:rsidP="003B2961">
            <w:pPr>
              <w:keepLines/>
              <w:spacing w:before="0" w:after="0"/>
              <w:jc w:val="center"/>
              <w:rPr>
                <w:i/>
                <w:sz w:val="20"/>
                <w:szCs w:val="22"/>
              </w:rPr>
            </w:pPr>
            <w:r>
              <w:rPr>
                <w:i/>
                <w:sz w:val="20"/>
                <w:szCs w:val="22"/>
              </w:rPr>
              <w:t>182.025.065</w:t>
            </w:r>
          </w:p>
        </w:tc>
        <w:tc>
          <w:tcPr>
            <w:tcW w:w="1676" w:type="dxa"/>
            <w:vAlign w:val="center"/>
          </w:tcPr>
          <w:p w:rsidR="00B62376" w:rsidRPr="00B62376" w:rsidRDefault="008845CC" w:rsidP="003B2961">
            <w:pPr>
              <w:keepLines/>
              <w:spacing w:before="0" w:after="0"/>
              <w:jc w:val="center"/>
              <w:rPr>
                <w:i/>
                <w:sz w:val="20"/>
                <w:szCs w:val="22"/>
              </w:rPr>
            </w:pPr>
            <w:r>
              <w:rPr>
                <w:i/>
                <w:sz w:val="20"/>
                <w:szCs w:val="22"/>
              </w:rPr>
              <w:t>-31.077.482</w:t>
            </w:r>
          </w:p>
        </w:tc>
        <w:tc>
          <w:tcPr>
            <w:tcW w:w="1677" w:type="dxa"/>
            <w:vAlign w:val="center"/>
          </w:tcPr>
          <w:p w:rsidR="00B62376" w:rsidRPr="00B62376" w:rsidRDefault="008845CC" w:rsidP="003B2961">
            <w:pPr>
              <w:keepLines/>
              <w:spacing w:before="0" w:after="0"/>
              <w:jc w:val="center"/>
              <w:rPr>
                <w:i/>
                <w:sz w:val="20"/>
                <w:szCs w:val="22"/>
              </w:rPr>
            </w:pPr>
            <w:r>
              <w:rPr>
                <w:i/>
                <w:sz w:val="20"/>
                <w:szCs w:val="22"/>
              </w:rPr>
              <w:t>-17.1%</w:t>
            </w:r>
          </w:p>
        </w:tc>
      </w:tr>
      <w:tr w:rsidR="00B62376" w:rsidRPr="00B62376" w:rsidTr="003B2961">
        <w:trPr>
          <w:trHeight w:val="340"/>
        </w:trPr>
        <w:tc>
          <w:tcPr>
            <w:tcW w:w="1022" w:type="dxa"/>
            <w:vAlign w:val="center"/>
          </w:tcPr>
          <w:p w:rsidR="00B62376" w:rsidRPr="00B62376" w:rsidRDefault="00B62376" w:rsidP="003B2961">
            <w:pPr>
              <w:keepLines/>
              <w:spacing w:before="0" w:after="0"/>
              <w:jc w:val="center"/>
              <w:rPr>
                <w:i/>
                <w:sz w:val="20"/>
                <w:szCs w:val="22"/>
              </w:rPr>
            </w:pPr>
            <w:r>
              <w:rPr>
                <w:i/>
                <w:sz w:val="20"/>
                <w:szCs w:val="22"/>
              </w:rPr>
              <w:t>VA</w:t>
            </w:r>
            <w:r w:rsidRPr="008845CC">
              <w:rPr>
                <w:i/>
                <w:sz w:val="20"/>
                <w:szCs w:val="22"/>
                <w:vertAlign w:val="subscript"/>
              </w:rPr>
              <w:t>j,1,0</w:t>
            </w:r>
          </w:p>
        </w:tc>
        <w:tc>
          <w:tcPr>
            <w:tcW w:w="2092" w:type="dxa"/>
            <w:vAlign w:val="center"/>
          </w:tcPr>
          <w:p w:rsidR="00B62376" w:rsidRPr="00B62376" w:rsidRDefault="008845CC" w:rsidP="003B2961">
            <w:pPr>
              <w:keepLines/>
              <w:spacing w:before="0" w:after="0"/>
              <w:jc w:val="center"/>
              <w:rPr>
                <w:i/>
                <w:sz w:val="20"/>
                <w:szCs w:val="22"/>
              </w:rPr>
            </w:pPr>
            <w:r>
              <w:rPr>
                <w:i/>
                <w:sz w:val="20"/>
                <w:szCs w:val="22"/>
              </w:rPr>
              <w:t>120.755.115</w:t>
            </w:r>
          </w:p>
        </w:tc>
        <w:tc>
          <w:tcPr>
            <w:tcW w:w="2170" w:type="dxa"/>
            <w:vAlign w:val="center"/>
          </w:tcPr>
          <w:p w:rsidR="00B62376" w:rsidRPr="00B62376" w:rsidRDefault="008845CC" w:rsidP="003B2961">
            <w:pPr>
              <w:keepLines/>
              <w:spacing w:before="0" w:after="0"/>
              <w:jc w:val="center"/>
              <w:rPr>
                <w:i/>
                <w:sz w:val="20"/>
                <w:szCs w:val="22"/>
              </w:rPr>
            </w:pPr>
            <w:r>
              <w:rPr>
                <w:i/>
                <w:sz w:val="20"/>
                <w:szCs w:val="22"/>
              </w:rPr>
              <w:t>117.264.565</w:t>
            </w:r>
          </w:p>
        </w:tc>
        <w:tc>
          <w:tcPr>
            <w:tcW w:w="1676" w:type="dxa"/>
            <w:vAlign w:val="center"/>
          </w:tcPr>
          <w:p w:rsidR="00B62376" w:rsidRPr="00B62376" w:rsidRDefault="008845CC" w:rsidP="003B2961">
            <w:pPr>
              <w:keepLines/>
              <w:spacing w:before="0" w:after="0"/>
              <w:jc w:val="center"/>
              <w:rPr>
                <w:i/>
                <w:sz w:val="20"/>
                <w:szCs w:val="22"/>
              </w:rPr>
            </w:pPr>
            <w:r>
              <w:rPr>
                <w:i/>
                <w:sz w:val="20"/>
                <w:szCs w:val="22"/>
              </w:rPr>
              <w:t>3.490.551</w:t>
            </w:r>
          </w:p>
        </w:tc>
        <w:tc>
          <w:tcPr>
            <w:tcW w:w="1677" w:type="dxa"/>
            <w:vAlign w:val="center"/>
          </w:tcPr>
          <w:p w:rsidR="00B62376" w:rsidRPr="00B62376" w:rsidRDefault="008845CC" w:rsidP="003B2961">
            <w:pPr>
              <w:keepLines/>
              <w:spacing w:before="0" w:after="0"/>
              <w:jc w:val="center"/>
              <w:rPr>
                <w:i/>
                <w:sz w:val="20"/>
                <w:szCs w:val="22"/>
              </w:rPr>
            </w:pPr>
            <w:r>
              <w:rPr>
                <w:i/>
                <w:sz w:val="20"/>
                <w:szCs w:val="22"/>
              </w:rPr>
              <w:t>2.98%</w:t>
            </w:r>
          </w:p>
        </w:tc>
      </w:tr>
      <w:tr w:rsidR="00B62376" w:rsidRPr="00B62376" w:rsidTr="003B2961">
        <w:trPr>
          <w:trHeight w:val="340"/>
        </w:trPr>
        <w:tc>
          <w:tcPr>
            <w:tcW w:w="1022" w:type="dxa"/>
            <w:vAlign w:val="center"/>
          </w:tcPr>
          <w:p w:rsidR="00B62376" w:rsidRPr="00B62376" w:rsidRDefault="00B62376" w:rsidP="003B2961">
            <w:pPr>
              <w:keepLines/>
              <w:spacing w:before="0" w:after="0"/>
              <w:jc w:val="center"/>
              <w:rPr>
                <w:i/>
                <w:sz w:val="20"/>
                <w:szCs w:val="22"/>
              </w:rPr>
            </w:pPr>
            <w:r>
              <w:rPr>
                <w:i/>
                <w:sz w:val="20"/>
                <w:szCs w:val="22"/>
              </w:rPr>
              <w:t>VS</w:t>
            </w:r>
            <w:r w:rsidRPr="008845CC">
              <w:rPr>
                <w:i/>
                <w:sz w:val="20"/>
                <w:szCs w:val="22"/>
                <w:vertAlign w:val="subscript"/>
              </w:rPr>
              <w:t>j,1,0</w:t>
            </w:r>
          </w:p>
        </w:tc>
        <w:tc>
          <w:tcPr>
            <w:tcW w:w="2092" w:type="dxa"/>
            <w:vAlign w:val="center"/>
          </w:tcPr>
          <w:p w:rsidR="00B62376" w:rsidRPr="00B62376" w:rsidRDefault="008845CC" w:rsidP="003B2961">
            <w:pPr>
              <w:keepLines/>
              <w:spacing w:before="0" w:after="0"/>
              <w:jc w:val="center"/>
              <w:rPr>
                <w:i/>
                <w:sz w:val="20"/>
                <w:szCs w:val="22"/>
              </w:rPr>
            </w:pPr>
            <w:r>
              <w:rPr>
                <w:i/>
                <w:sz w:val="20"/>
                <w:szCs w:val="22"/>
              </w:rPr>
              <w:t>48.564</w:t>
            </w:r>
          </w:p>
        </w:tc>
        <w:tc>
          <w:tcPr>
            <w:tcW w:w="2170" w:type="dxa"/>
            <w:vAlign w:val="center"/>
          </w:tcPr>
          <w:p w:rsidR="00B62376" w:rsidRPr="00B62376" w:rsidRDefault="00B62376" w:rsidP="003B2961">
            <w:pPr>
              <w:keepLines/>
              <w:spacing w:before="0" w:after="0"/>
              <w:jc w:val="center"/>
              <w:rPr>
                <w:i/>
                <w:sz w:val="20"/>
                <w:szCs w:val="22"/>
              </w:rPr>
            </w:pPr>
          </w:p>
        </w:tc>
        <w:tc>
          <w:tcPr>
            <w:tcW w:w="1676" w:type="dxa"/>
            <w:vAlign w:val="center"/>
          </w:tcPr>
          <w:p w:rsidR="00B62376" w:rsidRPr="00B62376" w:rsidRDefault="008845CC" w:rsidP="003B2961">
            <w:pPr>
              <w:keepLines/>
              <w:spacing w:before="0" w:after="0"/>
              <w:jc w:val="center"/>
              <w:rPr>
                <w:i/>
                <w:sz w:val="20"/>
                <w:szCs w:val="22"/>
              </w:rPr>
            </w:pPr>
            <w:r>
              <w:rPr>
                <w:i/>
                <w:sz w:val="20"/>
                <w:szCs w:val="22"/>
              </w:rPr>
              <w:t>48.564</w:t>
            </w:r>
          </w:p>
        </w:tc>
        <w:tc>
          <w:tcPr>
            <w:tcW w:w="1677" w:type="dxa"/>
            <w:vAlign w:val="center"/>
          </w:tcPr>
          <w:p w:rsidR="00B62376" w:rsidRPr="00B62376" w:rsidRDefault="008845CC" w:rsidP="003B2961">
            <w:pPr>
              <w:keepLines/>
              <w:spacing w:before="0" w:after="0"/>
              <w:jc w:val="center"/>
              <w:rPr>
                <w:i/>
                <w:sz w:val="20"/>
                <w:szCs w:val="22"/>
              </w:rPr>
            </w:pPr>
            <w:r>
              <w:rPr>
                <w:i/>
                <w:sz w:val="20"/>
                <w:szCs w:val="22"/>
              </w:rPr>
              <w:t>100%</w:t>
            </w:r>
          </w:p>
        </w:tc>
      </w:tr>
    </w:tbl>
    <w:p w:rsidR="00B62376" w:rsidRDefault="00B62376" w:rsidP="008845CC">
      <w:pPr>
        <w:keepLines/>
        <w:ind w:left="709"/>
        <w:rPr>
          <w:i/>
          <w:sz w:val="22"/>
          <w:szCs w:val="22"/>
        </w:rPr>
      </w:pPr>
      <w:r>
        <w:rPr>
          <w:i/>
          <w:sz w:val="22"/>
          <w:szCs w:val="22"/>
        </w:rPr>
        <w:t>…</w:t>
      </w:r>
    </w:p>
    <w:p w:rsidR="008F701B" w:rsidRDefault="008F701B" w:rsidP="00B62376">
      <w:pPr>
        <w:keepLines/>
        <w:ind w:left="709"/>
        <w:rPr>
          <w:i/>
          <w:sz w:val="22"/>
          <w:szCs w:val="22"/>
        </w:rPr>
      </w:pPr>
    </w:p>
    <w:p w:rsidR="00B62376" w:rsidRPr="00B62376" w:rsidRDefault="008845CC" w:rsidP="008F701B">
      <w:pPr>
        <w:keepLines/>
        <w:spacing w:before="200" w:after="200"/>
        <w:ind w:left="709"/>
        <w:rPr>
          <w:b/>
          <w:i/>
          <w:sz w:val="22"/>
          <w:szCs w:val="22"/>
        </w:rPr>
      </w:pPr>
      <w:r w:rsidRPr="008845CC">
        <w:rPr>
          <w:i/>
          <w:sz w:val="22"/>
          <w:szCs w:val="22"/>
        </w:rPr>
        <w:t>…</w:t>
      </w:r>
      <w:r>
        <w:rPr>
          <w:b/>
          <w:i/>
          <w:sz w:val="22"/>
          <w:szCs w:val="22"/>
        </w:rPr>
        <w:t xml:space="preserve"> </w:t>
      </w:r>
      <w:r w:rsidR="00B62376" w:rsidRPr="00B62376">
        <w:rPr>
          <w:b/>
          <w:i/>
          <w:sz w:val="22"/>
          <w:szCs w:val="22"/>
        </w:rPr>
        <w:t xml:space="preserve">2.1.3. Evidencia del error con fundamento en la información soporte de la aprobación de los cargos por uso de la Resolución CREG 115 de 2009 </w:t>
      </w:r>
    </w:p>
    <w:p w:rsidR="00B62376" w:rsidRPr="00B62376" w:rsidRDefault="00B62376" w:rsidP="008F701B">
      <w:pPr>
        <w:keepLines/>
        <w:spacing w:before="200" w:after="200"/>
        <w:ind w:left="709"/>
        <w:rPr>
          <w:i/>
          <w:sz w:val="22"/>
          <w:szCs w:val="22"/>
        </w:rPr>
      </w:pPr>
      <w:r w:rsidRPr="00B62376">
        <w:rPr>
          <w:i/>
          <w:sz w:val="22"/>
          <w:szCs w:val="22"/>
        </w:rPr>
        <w:t>De acuerdo con la revisión realizada, existe un error en la información de las variables de energías útiles y ventas de nivel de tensión 1, entre la correspondiente a los cargos calculados con base en la Resolución CREG 082 de 2002</w:t>
      </w:r>
      <w:r>
        <w:rPr>
          <w:i/>
          <w:sz w:val="22"/>
          <w:szCs w:val="22"/>
        </w:rPr>
        <w:t xml:space="preserve"> </w:t>
      </w:r>
      <w:r w:rsidRPr="00B62376">
        <w:rPr>
          <w:i/>
          <w:sz w:val="22"/>
          <w:szCs w:val="22"/>
        </w:rPr>
        <w:t xml:space="preserve">(que equivalen a los flujos de energía del año 2002) y las correspondientes a las energías de los cargos calculados con base en la Resolución CREG 097 de 2008. </w:t>
      </w:r>
    </w:p>
    <w:p w:rsidR="00B62376" w:rsidRPr="00B62376" w:rsidRDefault="00B62376" w:rsidP="008F701B">
      <w:pPr>
        <w:keepLines/>
        <w:spacing w:before="200" w:after="200"/>
        <w:ind w:left="709"/>
        <w:rPr>
          <w:i/>
          <w:sz w:val="22"/>
          <w:szCs w:val="22"/>
        </w:rPr>
      </w:pPr>
      <w:r w:rsidRPr="00B62376">
        <w:rPr>
          <w:i/>
          <w:sz w:val="22"/>
          <w:szCs w:val="22"/>
        </w:rPr>
        <w:t>La tabla 3, presenta un comparativo de los datos empleados por la CREG en la</w:t>
      </w:r>
      <w:r>
        <w:rPr>
          <w:i/>
          <w:sz w:val="22"/>
          <w:szCs w:val="22"/>
        </w:rPr>
        <w:t xml:space="preserve"> </w:t>
      </w:r>
      <w:r w:rsidRPr="00B62376">
        <w:rPr>
          <w:i/>
          <w:sz w:val="22"/>
          <w:szCs w:val="22"/>
        </w:rPr>
        <w:t>aprobación de los cargos de distribución para CETSA conforme a las metodologías</w:t>
      </w:r>
      <w:r>
        <w:rPr>
          <w:i/>
          <w:sz w:val="22"/>
          <w:szCs w:val="22"/>
        </w:rPr>
        <w:t xml:space="preserve"> </w:t>
      </w:r>
      <w:r w:rsidRPr="00B62376">
        <w:rPr>
          <w:i/>
          <w:sz w:val="22"/>
          <w:szCs w:val="22"/>
        </w:rPr>
        <w:t xml:space="preserve">aprobadas en </w:t>
      </w:r>
      <w:proofErr w:type="gramStart"/>
      <w:r w:rsidRPr="00B62376">
        <w:rPr>
          <w:i/>
          <w:sz w:val="22"/>
          <w:szCs w:val="22"/>
        </w:rPr>
        <w:t>la</w:t>
      </w:r>
      <w:r>
        <w:rPr>
          <w:i/>
          <w:sz w:val="22"/>
          <w:szCs w:val="22"/>
        </w:rPr>
        <w:t xml:space="preserve"> </w:t>
      </w:r>
      <w:r w:rsidRPr="00B62376">
        <w:rPr>
          <w:i/>
          <w:sz w:val="22"/>
          <w:szCs w:val="22"/>
        </w:rPr>
        <w:t>resoluciones</w:t>
      </w:r>
      <w:proofErr w:type="gramEnd"/>
      <w:r w:rsidRPr="00B62376">
        <w:rPr>
          <w:i/>
          <w:sz w:val="22"/>
          <w:szCs w:val="22"/>
        </w:rPr>
        <w:t xml:space="preserve"> CREG 082 de 2002 y 097 de 2008. Los datos</w:t>
      </w:r>
      <w:r>
        <w:rPr>
          <w:i/>
          <w:sz w:val="22"/>
          <w:szCs w:val="22"/>
        </w:rPr>
        <w:t xml:space="preserve"> </w:t>
      </w:r>
      <w:r w:rsidRPr="00B62376">
        <w:rPr>
          <w:i/>
          <w:sz w:val="22"/>
          <w:szCs w:val="22"/>
        </w:rPr>
        <w:t>corresponden a la información dispuesta en la aplicación de la CREG, la cual se</w:t>
      </w:r>
      <w:r>
        <w:rPr>
          <w:i/>
          <w:sz w:val="22"/>
          <w:szCs w:val="22"/>
        </w:rPr>
        <w:t xml:space="preserve"> </w:t>
      </w:r>
      <w:r w:rsidRPr="00B62376">
        <w:rPr>
          <w:i/>
          <w:sz w:val="22"/>
          <w:szCs w:val="22"/>
        </w:rPr>
        <w:t xml:space="preserve">adjunta en el anexo 1 del presente recurso. </w:t>
      </w:r>
    </w:p>
    <w:p w:rsidR="00B62376" w:rsidRDefault="00B62376" w:rsidP="008F701B">
      <w:pPr>
        <w:keepLines/>
        <w:spacing w:before="200" w:after="200"/>
        <w:ind w:left="709"/>
        <w:rPr>
          <w:i/>
          <w:sz w:val="22"/>
          <w:szCs w:val="22"/>
        </w:rPr>
      </w:pPr>
      <w:r w:rsidRPr="00B62376">
        <w:rPr>
          <w:b/>
          <w:i/>
          <w:sz w:val="22"/>
          <w:szCs w:val="22"/>
        </w:rPr>
        <w:t>Tabla 3.</w:t>
      </w:r>
      <w:r w:rsidRPr="00B62376">
        <w:rPr>
          <w:i/>
          <w:sz w:val="22"/>
          <w:szCs w:val="22"/>
        </w:rPr>
        <w:t xml:space="preserve"> Energías útiles registradas en el aplicativo CREG, empleadas en el cálculo de los cargos de distribución aprobados en la Resolución CREG 115 de 2009</w:t>
      </w:r>
    </w:p>
    <w:tbl>
      <w:tblPr>
        <w:tblStyle w:val="Tablaconcuadrcula"/>
        <w:tblW w:w="8642" w:type="dxa"/>
        <w:tblInd w:w="709" w:type="dxa"/>
        <w:tblLook w:val="04A0" w:firstRow="1" w:lastRow="0" w:firstColumn="1" w:lastColumn="0" w:noHBand="0" w:noVBand="1"/>
      </w:tblPr>
      <w:tblGrid>
        <w:gridCol w:w="3397"/>
        <w:gridCol w:w="2552"/>
        <w:gridCol w:w="2693"/>
      </w:tblGrid>
      <w:tr w:rsidR="008845CC" w:rsidRPr="008845CC" w:rsidTr="00B57828">
        <w:tc>
          <w:tcPr>
            <w:tcW w:w="3397" w:type="dxa"/>
            <w:vAlign w:val="center"/>
          </w:tcPr>
          <w:p w:rsidR="008845CC" w:rsidRPr="008845CC" w:rsidRDefault="008845CC" w:rsidP="008845CC">
            <w:pPr>
              <w:keepLines/>
              <w:spacing w:before="0" w:after="0"/>
              <w:jc w:val="center"/>
              <w:rPr>
                <w:b/>
                <w:i/>
                <w:sz w:val="20"/>
                <w:szCs w:val="22"/>
              </w:rPr>
            </w:pPr>
            <w:r w:rsidRPr="008845CC">
              <w:rPr>
                <w:b/>
                <w:i/>
                <w:sz w:val="20"/>
                <w:szCs w:val="22"/>
              </w:rPr>
              <w:t>Energía</w:t>
            </w:r>
          </w:p>
        </w:tc>
        <w:tc>
          <w:tcPr>
            <w:tcW w:w="2552" w:type="dxa"/>
            <w:vAlign w:val="center"/>
          </w:tcPr>
          <w:p w:rsidR="008845CC" w:rsidRPr="008845CC" w:rsidRDefault="008845CC" w:rsidP="008845CC">
            <w:pPr>
              <w:keepLines/>
              <w:spacing w:before="0" w:after="0"/>
              <w:jc w:val="center"/>
              <w:rPr>
                <w:b/>
                <w:i/>
                <w:sz w:val="20"/>
                <w:szCs w:val="22"/>
              </w:rPr>
            </w:pPr>
            <w:r w:rsidRPr="008845CC">
              <w:rPr>
                <w:b/>
                <w:i/>
                <w:sz w:val="20"/>
                <w:szCs w:val="22"/>
              </w:rPr>
              <w:t>Valores CREG 082/2002 Año corte 2002 (kWh/año)</w:t>
            </w:r>
          </w:p>
        </w:tc>
        <w:tc>
          <w:tcPr>
            <w:tcW w:w="2693" w:type="dxa"/>
            <w:vAlign w:val="center"/>
          </w:tcPr>
          <w:p w:rsidR="008845CC" w:rsidRPr="008845CC" w:rsidRDefault="008845CC" w:rsidP="008845CC">
            <w:pPr>
              <w:keepLines/>
              <w:spacing w:before="0" w:after="0"/>
              <w:jc w:val="center"/>
              <w:rPr>
                <w:b/>
                <w:i/>
                <w:sz w:val="20"/>
                <w:szCs w:val="22"/>
              </w:rPr>
            </w:pPr>
            <w:r w:rsidRPr="008845CC">
              <w:rPr>
                <w:b/>
                <w:i/>
                <w:sz w:val="20"/>
                <w:szCs w:val="22"/>
              </w:rPr>
              <w:t>Valores CREG 097/2008 Año corte 2007 (kWh/año)</w:t>
            </w:r>
          </w:p>
        </w:tc>
      </w:tr>
      <w:tr w:rsidR="008845CC" w:rsidRPr="008845CC" w:rsidTr="003B2961">
        <w:trPr>
          <w:trHeight w:val="340"/>
        </w:trPr>
        <w:tc>
          <w:tcPr>
            <w:tcW w:w="3397" w:type="dxa"/>
            <w:vAlign w:val="center"/>
          </w:tcPr>
          <w:p w:rsidR="008845CC" w:rsidRPr="008845CC" w:rsidRDefault="008845CC" w:rsidP="003B2961">
            <w:pPr>
              <w:keepLines/>
              <w:spacing w:before="0" w:after="0"/>
              <w:jc w:val="left"/>
              <w:rPr>
                <w:i/>
                <w:sz w:val="20"/>
                <w:szCs w:val="22"/>
              </w:rPr>
            </w:pPr>
            <w:r>
              <w:rPr>
                <w:i/>
                <w:sz w:val="20"/>
                <w:szCs w:val="22"/>
              </w:rPr>
              <w:t>Energía Útil de nivel de tensión 3</w:t>
            </w:r>
          </w:p>
        </w:tc>
        <w:tc>
          <w:tcPr>
            <w:tcW w:w="2552" w:type="dxa"/>
            <w:vAlign w:val="center"/>
          </w:tcPr>
          <w:p w:rsidR="008845CC" w:rsidRPr="008845CC" w:rsidRDefault="00B57828" w:rsidP="003B2961">
            <w:pPr>
              <w:keepLines/>
              <w:spacing w:before="0" w:after="0"/>
              <w:jc w:val="right"/>
              <w:rPr>
                <w:i/>
                <w:sz w:val="20"/>
                <w:szCs w:val="22"/>
              </w:rPr>
            </w:pPr>
            <w:r>
              <w:rPr>
                <w:i/>
                <w:sz w:val="20"/>
                <w:szCs w:val="22"/>
              </w:rPr>
              <w:t>149.433.717,82</w:t>
            </w:r>
          </w:p>
        </w:tc>
        <w:tc>
          <w:tcPr>
            <w:tcW w:w="2693" w:type="dxa"/>
            <w:vAlign w:val="center"/>
          </w:tcPr>
          <w:p w:rsidR="008845CC" w:rsidRPr="008845CC" w:rsidRDefault="00B57828" w:rsidP="003B2961">
            <w:pPr>
              <w:keepLines/>
              <w:spacing w:before="0" w:after="0"/>
              <w:jc w:val="right"/>
              <w:rPr>
                <w:i/>
                <w:sz w:val="20"/>
                <w:szCs w:val="22"/>
              </w:rPr>
            </w:pPr>
            <w:r>
              <w:rPr>
                <w:i/>
                <w:sz w:val="20"/>
                <w:szCs w:val="22"/>
              </w:rPr>
              <w:t>180.880.010,95</w:t>
            </w:r>
          </w:p>
        </w:tc>
      </w:tr>
      <w:tr w:rsidR="008845CC" w:rsidRPr="008845CC" w:rsidTr="003B2961">
        <w:trPr>
          <w:trHeight w:val="340"/>
        </w:trPr>
        <w:tc>
          <w:tcPr>
            <w:tcW w:w="3397" w:type="dxa"/>
            <w:vAlign w:val="center"/>
          </w:tcPr>
          <w:p w:rsidR="008845CC" w:rsidRPr="008845CC" w:rsidRDefault="008845CC" w:rsidP="003B2961">
            <w:pPr>
              <w:keepLines/>
              <w:spacing w:before="0" w:after="0"/>
              <w:jc w:val="left"/>
              <w:rPr>
                <w:i/>
                <w:sz w:val="20"/>
                <w:szCs w:val="22"/>
              </w:rPr>
            </w:pPr>
            <w:r>
              <w:rPr>
                <w:i/>
                <w:sz w:val="20"/>
                <w:szCs w:val="22"/>
              </w:rPr>
              <w:t>Energía Útil de nivel de tensión 2</w:t>
            </w:r>
          </w:p>
        </w:tc>
        <w:tc>
          <w:tcPr>
            <w:tcW w:w="2552" w:type="dxa"/>
            <w:vAlign w:val="center"/>
          </w:tcPr>
          <w:p w:rsidR="008845CC" w:rsidRPr="008845CC" w:rsidRDefault="00B57828" w:rsidP="003B2961">
            <w:pPr>
              <w:keepLines/>
              <w:spacing w:before="0" w:after="0"/>
              <w:jc w:val="right"/>
              <w:rPr>
                <w:i/>
                <w:sz w:val="20"/>
                <w:szCs w:val="22"/>
              </w:rPr>
            </w:pPr>
            <w:r>
              <w:rPr>
                <w:i/>
                <w:sz w:val="20"/>
                <w:szCs w:val="22"/>
              </w:rPr>
              <w:t>150.947.583,08</w:t>
            </w:r>
          </w:p>
        </w:tc>
        <w:tc>
          <w:tcPr>
            <w:tcW w:w="2693" w:type="dxa"/>
            <w:vAlign w:val="center"/>
          </w:tcPr>
          <w:p w:rsidR="008845CC" w:rsidRPr="008845CC" w:rsidRDefault="003B2961" w:rsidP="003B2961">
            <w:pPr>
              <w:keepLines/>
              <w:spacing w:before="0" w:after="0"/>
              <w:jc w:val="right"/>
              <w:rPr>
                <w:i/>
                <w:sz w:val="20"/>
                <w:szCs w:val="22"/>
              </w:rPr>
            </w:pPr>
            <w:r>
              <w:rPr>
                <w:i/>
                <w:sz w:val="20"/>
                <w:szCs w:val="22"/>
              </w:rPr>
              <w:t>182.025.065,11</w:t>
            </w:r>
          </w:p>
        </w:tc>
      </w:tr>
      <w:tr w:rsidR="008845CC" w:rsidRPr="008845CC" w:rsidTr="003B2961">
        <w:trPr>
          <w:trHeight w:val="340"/>
        </w:trPr>
        <w:tc>
          <w:tcPr>
            <w:tcW w:w="3397" w:type="dxa"/>
            <w:vAlign w:val="center"/>
          </w:tcPr>
          <w:p w:rsidR="008845CC" w:rsidRPr="008845CC" w:rsidRDefault="008845CC" w:rsidP="003B2961">
            <w:pPr>
              <w:keepLines/>
              <w:spacing w:before="0" w:after="0"/>
              <w:jc w:val="left"/>
              <w:rPr>
                <w:i/>
                <w:sz w:val="20"/>
                <w:szCs w:val="22"/>
              </w:rPr>
            </w:pPr>
            <w:r>
              <w:rPr>
                <w:i/>
                <w:sz w:val="20"/>
                <w:szCs w:val="22"/>
              </w:rPr>
              <w:t>Ventas Nivel 1</w:t>
            </w:r>
          </w:p>
        </w:tc>
        <w:tc>
          <w:tcPr>
            <w:tcW w:w="2552" w:type="dxa"/>
            <w:vAlign w:val="center"/>
          </w:tcPr>
          <w:p w:rsidR="008845CC" w:rsidRPr="008845CC" w:rsidRDefault="008845CC" w:rsidP="003B2961">
            <w:pPr>
              <w:keepLines/>
              <w:spacing w:before="0" w:after="0"/>
              <w:jc w:val="right"/>
              <w:rPr>
                <w:i/>
                <w:sz w:val="20"/>
                <w:szCs w:val="22"/>
              </w:rPr>
            </w:pPr>
          </w:p>
        </w:tc>
        <w:tc>
          <w:tcPr>
            <w:tcW w:w="2693" w:type="dxa"/>
            <w:vAlign w:val="center"/>
          </w:tcPr>
          <w:p w:rsidR="008845CC" w:rsidRPr="008845CC" w:rsidRDefault="003B2961" w:rsidP="003B2961">
            <w:pPr>
              <w:keepLines/>
              <w:spacing w:before="0" w:after="0"/>
              <w:jc w:val="right"/>
              <w:rPr>
                <w:i/>
                <w:sz w:val="20"/>
                <w:szCs w:val="22"/>
              </w:rPr>
            </w:pPr>
            <w:r>
              <w:rPr>
                <w:i/>
                <w:sz w:val="20"/>
                <w:szCs w:val="22"/>
              </w:rPr>
              <w:t>117.264.564,5</w:t>
            </w:r>
          </w:p>
        </w:tc>
      </w:tr>
      <w:tr w:rsidR="008845CC" w:rsidRPr="008845CC" w:rsidTr="003B2961">
        <w:trPr>
          <w:trHeight w:val="340"/>
        </w:trPr>
        <w:tc>
          <w:tcPr>
            <w:tcW w:w="3397" w:type="dxa"/>
            <w:vAlign w:val="center"/>
          </w:tcPr>
          <w:p w:rsidR="008845CC" w:rsidRPr="008845CC" w:rsidRDefault="008845CC" w:rsidP="003B2961">
            <w:pPr>
              <w:keepLines/>
              <w:spacing w:before="0" w:after="0"/>
              <w:jc w:val="left"/>
              <w:rPr>
                <w:i/>
                <w:sz w:val="20"/>
                <w:szCs w:val="22"/>
              </w:rPr>
            </w:pPr>
            <w:r>
              <w:rPr>
                <w:i/>
                <w:sz w:val="20"/>
                <w:szCs w:val="22"/>
              </w:rPr>
              <w:t>Perdidas No Técnicas No Reconocidas</w:t>
            </w:r>
          </w:p>
        </w:tc>
        <w:tc>
          <w:tcPr>
            <w:tcW w:w="2552" w:type="dxa"/>
            <w:vAlign w:val="center"/>
          </w:tcPr>
          <w:p w:rsidR="008845CC" w:rsidRPr="008845CC" w:rsidRDefault="008845CC" w:rsidP="003B2961">
            <w:pPr>
              <w:keepLines/>
              <w:spacing w:before="0" w:after="0"/>
              <w:jc w:val="right"/>
              <w:rPr>
                <w:i/>
                <w:sz w:val="20"/>
                <w:szCs w:val="22"/>
              </w:rPr>
            </w:pPr>
          </w:p>
        </w:tc>
        <w:tc>
          <w:tcPr>
            <w:tcW w:w="2693" w:type="dxa"/>
            <w:vAlign w:val="center"/>
          </w:tcPr>
          <w:p w:rsidR="008845CC" w:rsidRPr="008845CC" w:rsidRDefault="003B2961" w:rsidP="003B2961">
            <w:pPr>
              <w:keepLines/>
              <w:spacing w:before="0" w:after="0"/>
              <w:jc w:val="right"/>
              <w:rPr>
                <w:i/>
                <w:sz w:val="20"/>
                <w:szCs w:val="22"/>
              </w:rPr>
            </w:pPr>
            <w:r>
              <w:rPr>
                <w:i/>
                <w:sz w:val="20"/>
                <w:szCs w:val="22"/>
              </w:rPr>
              <w:t>4.744.741,98</w:t>
            </w:r>
          </w:p>
        </w:tc>
      </w:tr>
    </w:tbl>
    <w:p w:rsidR="005E5F89" w:rsidRPr="005E5F89" w:rsidRDefault="005E5F89" w:rsidP="008F701B">
      <w:pPr>
        <w:keepLines/>
        <w:spacing w:before="200" w:after="200"/>
        <w:ind w:left="709"/>
        <w:rPr>
          <w:i/>
          <w:sz w:val="22"/>
          <w:szCs w:val="22"/>
        </w:rPr>
      </w:pPr>
      <w:r w:rsidRPr="005E5F89">
        <w:rPr>
          <w:i/>
          <w:sz w:val="22"/>
          <w:szCs w:val="22"/>
        </w:rPr>
        <w:lastRenderedPageBreak/>
        <w:t xml:space="preserve">En la tabla 3 se identifica claramente que las energías útiles usadas en la aplicación de los numerales 3.1.1.1.1.2, 3.1.1.1.1.3 y 3.1.1.1.1.4 fueron las correspondientes a las energías del año 2002 para los cargos aprobados con base en la Resolución CREG 082 de 2002, y no las correspondientes a las de la Resolución CREG 097 de 2008 como lo establece la metodología de la Resolución CREG 015 de 2018. </w:t>
      </w:r>
    </w:p>
    <w:p w:rsidR="005E5F89" w:rsidRPr="005E5F89" w:rsidRDefault="005E5F89" w:rsidP="008F701B">
      <w:pPr>
        <w:keepLines/>
        <w:spacing w:before="200" w:after="200"/>
        <w:ind w:left="709"/>
        <w:rPr>
          <w:i/>
          <w:sz w:val="22"/>
          <w:szCs w:val="22"/>
        </w:rPr>
      </w:pPr>
      <w:r w:rsidRPr="005E5F89">
        <w:rPr>
          <w:i/>
          <w:sz w:val="22"/>
          <w:szCs w:val="22"/>
        </w:rPr>
        <w:t>Para efectos de soportar estos argumentos, en el anexo 2 de este escrito de recurso</w:t>
      </w:r>
      <w:r>
        <w:rPr>
          <w:i/>
          <w:sz w:val="22"/>
          <w:szCs w:val="22"/>
        </w:rPr>
        <w:t xml:space="preserve"> </w:t>
      </w:r>
      <w:r w:rsidRPr="005E5F89">
        <w:rPr>
          <w:i/>
          <w:sz w:val="22"/>
          <w:szCs w:val="22"/>
        </w:rPr>
        <w:t>se presenta una simulación de los cargos de distribución aprobados con la metodología de la Resolución 097 de 2008, y en donde se evidencia que los valores</w:t>
      </w:r>
      <w:r>
        <w:rPr>
          <w:i/>
          <w:sz w:val="22"/>
          <w:szCs w:val="22"/>
        </w:rPr>
        <w:t xml:space="preserve"> </w:t>
      </w:r>
      <w:r w:rsidRPr="005E5F89">
        <w:rPr>
          <w:i/>
          <w:sz w:val="22"/>
          <w:szCs w:val="22"/>
        </w:rPr>
        <w:t>coinciden con lo</w:t>
      </w:r>
      <w:r w:rsidR="00490D67">
        <w:rPr>
          <w:i/>
          <w:sz w:val="22"/>
          <w:szCs w:val="22"/>
        </w:rPr>
        <w:t>s de la Resolución 115 de 2009…</w:t>
      </w:r>
    </w:p>
    <w:p w:rsidR="00DC4FE2" w:rsidRDefault="00490D67" w:rsidP="00D857A6">
      <w:pPr>
        <w:spacing w:before="240" w:after="240"/>
        <w:rPr>
          <w:lang w:val="es-CO" w:eastAsia="en-US"/>
        </w:rPr>
      </w:pPr>
      <w:r>
        <w:rPr>
          <w:lang w:val="es-CO" w:eastAsia="en-US"/>
        </w:rPr>
        <w:t>Analizados los argumentos presentados por el OR, la información que reposa en la Comisión respecto a los valores empleados</w:t>
      </w:r>
      <w:r w:rsidR="00F52D78">
        <w:rPr>
          <w:lang w:val="es-CO" w:eastAsia="en-US"/>
        </w:rPr>
        <w:t>,</w:t>
      </w:r>
      <w:r w:rsidR="00DC4FE2" w:rsidRPr="00DC4FE2">
        <w:rPr>
          <w:lang w:val="es-CO" w:eastAsia="en-US"/>
        </w:rPr>
        <w:t xml:space="preserve"> </w:t>
      </w:r>
      <w:r w:rsidR="00DC4FE2">
        <w:rPr>
          <w:lang w:val="es-CO" w:eastAsia="en-US"/>
        </w:rPr>
        <w:t>en el aplicación de la Resolución CREG 097 de 2008</w:t>
      </w:r>
      <w:r w:rsidR="00F52D78">
        <w:rPr>
          <w:lang w:val="es-CO" w:eastAsia="en-US"/>
        </w:rPr>
        <w:t>,</w:t>
      </w:r>
      <w:r>
        <w:rPr>
          <w:lang w:val="es-CO" w:eastAsia="en-US"/>
        </w:rPr>
        <w:t xml:space="preserve"> de las variables </w:t>
      </w:r>
      <w:r w:rsidRPr="00490D67">
        <w:rPr>
          <w:lang w:val="es-CO" w:eastAsia="en-US"/>
        </w:rPr>
        <w:t>Eu</w:t>
      </w:r>
      <w:r w:rsidRPr="00490D67">
        <w:rPr>
          <w:vertAlign w:val="subscript"/>
          <w:lang w:val="es-CO" w:eastAsia="en-US"/>
        </w:rPr>
        <w:t>j,3</w:t>
      </w:r>
      <w:r>
        <w:rPr>
          <w:lang w:val="es-CO" w:eastAsia="en-US"/>
        </w:rPr>
        <w:t>, Eu</w:t>
      </w:r>
      <w:r w:rsidRPr="00490D67">
        <w:rPr>
          <w:vertAlign w:val="subscript"/>
          <w:lang w:val="es-CO" w:eastAsia="en-US"/>
        </w:rPr>
        <w:t>j,2</w:t>
      </w:r>
      <w:r>
        <w:rPr>
          <w:lang w:val="es-CO" w:eastAsia="en-US"/>
        </w:rPr>
        <w:t xml:space="preserve">, </w:t>
      </w:r>
      <w:r w:rsidRPr="00490D67">
        <w:rPr>
          <w:lang w:val="es-CO" w:eastAsia="en-US"/>
        </w:rPr>
        <w:t>VA</w:t>
      </w:r>
      <w:r w:rsidRPr="00490D67">
        <w:rPr>
          <w:vertAlign w:val="subscript"/>
          <w:lang w:val="es-CO" w:eastAsia="en-US"/>
        </w:rPr>
        <w:t>j,1,0</w:t>
      </w:r>
      <w:r>
        <w:rPr>
          <w:lang w:val="es-CO" w:eastAsia="en-US"/>
        </w:rPr>
        <w:t xml:space="preserve"> y VS</w:t>
      </w:r>
      <w:r w:rsidRPr="00490D67">
        <w:rPr>
          <w:vertAlign w:val="subscript"/>
          <w:lang w:val="es-CO" w:eastAsia="en-US"/>
        </w:rPr>
        <w:t>j,1,0</w:t>
      </w:r>
      <w:r>
        <w:rPr>
          <w:lang w:val="es-CO" w:eastAsia="en-US"/>
        </w:rPr>
        <w:t xml:space="preserve"> y las bases de cálculo de que soportan la Resolución CREG 138 de 2019 se identifica que los valores utilizados para las variables antes mencionadas no corresponden a los requeridos por la Resolución CREG 015 de 2018, por lo que se considera procedente la solicitud del OR y se procede </w:t>
      </w:r>
      <w:r w:rsidR="00DC4FE2">
        <w:rPr>
          <w:lang w:val="es-CO" w:eastAsia="en-US"/>
        </w:rPr>
        <w:t>a emplear</w:t>
      </w:r>
      <w:r>
        <w:rPr>
          <w:lang w:val="es-CO" w:eastAsia="en-US"/>
        </w:rPr>
        <w:t xml:space="preserve"> </w:t>
      </w:r>
      <w:r w:rsidR="00DC4FE2">
        <w:rPr>
          <w:lang w:val="es-CO" w:eastAsia="en-US"/>
        </w:rPr>
        <w:t xml:space="preserve">en los cálculos </w:t>
      </w:r>
      <w:r>
        <w:rPr>
          <w:lang w:val="es-CO" w:eastAsia="en-US"/>
        </w:rPr>
        <w:t>los</w:t>
      </w:r>
      <w:r w:rsidR="00DC4FE2">
        <w:rPr>
          <w:lang w:val="es-CO" w:eastAsia="en-US"/>
        </w:rPr>
        <w:t xml:space="preserve"> siguientes valores:</w:t>
      </w:r>
    </w:p>
    <w:tbl>
      <w:tblPr>
        <w:tblStyle w:val="Tablaconcuadrcula"/>
        <w:tblW w:w="0" w:type="auto"/>
        <w:jc w:val="center"/>
        <w:tblLook w:val="04A0" w:firstRow="1" w:lastRow="0" w:firstColumn="1" w:lastColumn="0" w:noHBand="0" w:noVBand="1"/>
      </w:tblPr>
      <w:tblGrid>
        <w:gridCol w:w="1145"/>
        <w:gridCol w:w="1827"/>
      </w:tblGrid>
      <w:tr w:rsidR="00DC4FE2" w:rsidRPr="00DC4FE2" w:rsidTr="00DC4FE2">
        <w:trPr>
          <w:trHeight w:val="527"/>
          <w:jc w:val="center"/>
        </w:trPr>
        <w:tc>
          <w:tcPr>
            <w:tcW w:w="1145" w:type="dxa"/>
            <w:vAlign w:val="center"/>
          </w:tcPr>
          <w:p w:rsidR="00DC4FE2" w:rsidRPr="00DC4FE2" w:rsidRDefault="00DC4FE2" w:rsidP="008C2570">
            <w:pPr>
              <w:keepLines/>
              <w:spacing w:before="0" w:after="0"/>
              <w:jc w:val="center"/>
              <w:rPr>
                <w:b/>
                <w:sz w:val="22"/>
                <w:szCs w:val="22"/>
              </w:rPr>
            </w:pPr>
            <w:r w:rsidRPr="00DC4FE2">
              <w:rPr>
                <w:b/>
                <w:sz w:val="22"/>
                <w:szCs w:val="22"/>
              </w:rPr>
              <w:t>Variable</w:t>
            </w:r>
          </w:p>
        </w:tc>
        <w:tc>
          <w:tcPr>
            <w:tcW w:w="1827" w:type="dxa"/>
            <w:vAlign w:val="center"/>
          </w:tcPr>
          <w:p w:rsidR="00DC4FE2" w:rsidRPr="00DC4FE2" w:rsidRDefault="00DC4FE2" w:rsidP="00DC4FE2">
            <w:pPr>
              <w:keepLines/>
              <w:spacing w:before="0" w:after="0"/>
              <w:jc w:val="center"/>
              <w:rPr>
                <w:b/>
                <w:sz w:val="22"/>
                <w:szCs w:val="22"/>
              </w:rPr>
            </w:pPr>
            <w:r w:rsidRPr="00DC4FE2">
              <w:rPr>
                <w:b/>
                <w:sz w:val="22"/>
                <w:szCs w:val="22"/>
              </w:rPr>
              <w:t>Valor (kWh)</w:t>
            </w:r>
          </w:p>
        </w:tc>
      </w:tr>
      <w:tr w:rsidR="00DC4FE2" w:rsidRPr="00DC4FE2" w:rsidTr="00DC4FE2">
        <w:trPr>
          <w:trHeight w:val="397"/>
          <w:jc w:val="center"/>
        </w:trPr>
        <w:tc>
          <w:tcPr>
            <w:tcW w:w="1145" w:type="dxa"/>
            <w:vAlign w:val="center"/>
          </w:tcPr>
          <w:p w:rsidR="00DC4FE2" w:rsidRPr="00DC4FE2" w:rsidRDefault="00DC4FE2" w:rsidP="00DC4FE2">
            <w:pPr>
              <w:keepLines/>
              <w:spacing w:before="0" w:after="0"/>
              <w:jc w:val="center"/>
              <w:rPr>
                <w:sz w:val="22"/>
                <w:szCs w:val="22"/>
              </w:rPr>
            </w:pPr>
            <w:r w:rsidRPr="00DC4FE2">
              <w:rPr>
                <w:sz w:val="22"/>
                <w:szCs w:val="22"/>
              </w:rPr>
              <w:t>EU</w:t>
            </w:r>
            <w:r w:rsidRPr="00DC4FE2">
              <w:rPr>
                <w:sz w:val="22"/>
                <w:szCs w:val="22"/>
                <w:vertAlign w:val="subscript"/>
              </w:rPr>
              <w:t>j,3</w:t>
            </w:r>
          </w:p>
        </w:tc>
        <w:tc>
          <w:tcPr>
            <w:tcW w:w="1827" w:type="dxa"/>
            <w:vAlign w:val="center"/>
          </w:tcPr>
          <w:p w:rsidR="00DC4FE2" w:rsidRPr="00DC4FE2" w:rsidRDefault="00DC4FE2" w:rsidP="00DC4FE2">
            <w:pPr>
              <w:keepLines/>
              <w:spacing w:before="0" w:after="0"/>
              <w:jc w:val="center"/>
              <w:rPr>
                <w:sz w:val="22"/>
                <w:szCs w:val="22"/>
              </w:rPr>
            </w:pPr>
            <w:r w:rsidRPr="00DC4FE2">
              <w:rPr>
                <w:sz w:val="22"/>
                <w:szCs w:val="22"/>
              </w:rPr>
              <w:t>180.880.011</w:t>
            </w:r>
          </w:p>
        </w:tc>
      </w:tr>
      <w:tr w:rsidR="00DC4FE2" w:rsidRPr="00DC4FE2" w:rsidTr="00DC4FE2">
        <w:trPr>
          <w:trHeight w:val="397"/>
          <w:jc w:val="center"/>
        </w:trPr>
        <w:tc>
          <w:tcPr>
            <w:tcW w:w="1145" w:type="dxa"/>
            <w:vAlign w:val="center"/>
          </w:tcPr>
          <w:p w:rsidR="00DC4FE2" w:rsidRPr="00DC4FE2" w:rsidRDefault="00DC4FE2" w:rsidP="00DC4FE2">
            <w:pPr>
              <w:keepLines/>
              <w:spacing w:before="0" w:after="0"/>
              <w:jc w:val="center"/>
              <w:rPr>
                <w:sz w:val="22"/>
                <w:szCs w:val="22"/>
              </w:rPr>
            </w:pPr>
            <w:r w:rsidRPr="00DC4FE2">
              <w:rPr>
                <w:sz w:val="22"/>
                <w:szCs w:val="22"/>
              </w:rPr>
              <w:t>EU</w:t>
            </w:r>
            <w:r w:rsidRPr="00DC4FE2">
              <w:rPr>
                <w:sz w:val="22"/>
                <w:szCs w:val="22"/>
                <w:vertAlign w:val="subscript"/>
              </w:rPr>
              <w:t>j,2</w:t>
            </w:r>
          </w:p>
        </w:tc>
        <w:tc>
          <w:tcPr>
            <w:tcW w:w="1827" w:type="dxa"/>
            <w:vAlign w:val="center"/>
          </w:tcPr>
          <w:p w:rsidR="00DC4FE2" w:rsidRPr="00DC4FE2" w:rsidRDefault="00DC4FE2" w:rsidP="00DC4FE2">
            <w:pPr>
              <w:keepLines/>
              <w:spacing w:before="0" w:after="0"/>
              <w:jc w:val="center"/>
              <w:rPr>
                <w:sz w:val="22"/>
                <w:szCs w:val="22"/>
              </w:rPr>
            </w:pPr>
            <w:r w:rsidRPr="00DC4FE2">
              <w:rPr>
                <w:sz w:val="22"/>
                <w:szCs w:val="22"/>
              </w:rPr>
              <w:t>182.025.065</w:t>
            </w:r>
          </w:p>
        </w:tc>
      </w:tr>
      <w:tr w:rsidR="00DC4FE2" w:rsidRPr="00DC4FE2" w:rsidTr="00DC4FE2">
        <w:trPr>
          <w:trHeight w:val="397"/>
          <w:jc w:val="center"/>
        </w:trPr>
        <w:tc>
          <w:tcPr>
            <w:tcW w:w="1145" w:type="dxa"/>
            <w:vAlign w:val="center"/>
          </w:tcPr>
          <w:p w:rsidR="00DC4FE2" w:rsidRPr="00DC4FE2" w:rsidRDefault="00DC4FE2" w:rsidP="00DC4FE2">
            <w:pPr>
              <w:keepLines/>
              <w:spacing w:before="0" w:after="0"/>
              <w:jc w:val="center"/>
              <w:rPr>
                <w:sz w:val="22"/>
                <w:szCs w:val="22"/>
              </w:rPr>
            </w:pPr>
            <w:r w:rsidRPr="00DC4FE2">
              <w:rPr>
                <w:sz w:val="22"/>
                <w:szCs w:val="22"/>
              </w:rPr>
              <w:t>VA</w:t>
            </w:r>
            <w:r w:rsidRPr="00DC4FE2">
              <w:rPr>
                <w:sz w:val="22"/>
                <w:szCs w:val="22"/>
                <w:vertAlign w:val="subscript"/>
              </w:rPr>
              <w:t>j,1,0</w:t>
            </w:r>
          </w:p>
        </w:tc>
        <w:tc>
          <w:tcPr>
            <w:tcW w:w="1827" w:type="dxa"/>
            <w:vAlign w:val="center"/>
          </w:tcPr>
          <w:p w:rsidR="00DC4FE2" w:rsidRPr="00DC4FE2" w:rsidRDefault="00DC4FE2" w:rsidP="00DC4FE2">
            <w:pPr>
              <w:keepLines/>
              <w:spacing w:before="0" w:after="0"/>
              <w:jc w:val="center"/>
              <w:rPr>
                <w:sz w:val="22"/>
                <w:szCs w:val="22"/>
              </w:rPr>
            </w:pPr>
            <w:r w:rsidRPr="00DC4FE2">
              <w:rPr>
                <w:sz w:val="22"/>
                <w:szCs w:val="22"/>
              </w:rPr>
              <w:t>117.264.565</w:t>
            </w:r>
          </w:p>
        </w:tc>
      </w:tr>
      <w:tr w:rsidR="00DC4FE2" w:rsidRPr="00DC4FE2" w:rsidTr="00DC4FE2">
        <w:trPr>
          <w:trHeight w:val="397"/>
          <w:jc w:val="center"/>
        </w:trPr>
        <w:tc>
          <w:tcPr>
            <w:tcW w:w="1145" w:type="dxa"/>
            <w:vAlign w:val="center"/>
          </w:tcPr>
          <w:p w:rsidR="00DC4FE2" w:rsidRPr="00DC4FE2" w:rsidRDefault="00DC4FE2" w:rsidP="008C2570">
            <w:pPr>
              <w:keepLines/>
              <w:spacing w:before="0" w:after="0"/>
              <w:jc w:val="center"/>
              <w:rPr>
                <w:sz w:val="22"/>
                <w:szCs w:val="22"/>
              </w:rPr>
            </w:pPr>
            <w:r w:rsidRPr="00DC4FE2">
              <w:rPr>
                <w:sz w:val="22"/>
                <w:szCs w:val="22"/>
              </w:rPr>
              <w:t>VS</w:t>
            </w:r>
            <w:r w:rsidRPr="00DC4FE2">
              <w:rPr>
                <w:sz w:val="22"/>
                <w:szCs w:val="22"/>
                <w:vertAlign w:val="subscript"/>
              </w:rPr>
              <w:t>j,1,0</w:t>
            </w:r>
          </w:p>
        </w:tc>
        <w:tc>
          <w:tcPr>
            <w:tcW w:w="1827" w:type="dxa"/>
            <w:vAlign w:val="center"/>
          </w:tcPr>
          <w:p w:rsidR="00DC4FE2" w:rsidRPr="00DC4FE2" w:rsidRDefault="00DC4FE2" w:rsidP="008C2570">
            <w:pPr>
              <w:keepLines/>
              <w:spacing w:before="0" w:after="0"/>
              <w:jc w:val="center"/>
              <w:rPr>
                <w:sz w:val="22"/>
                <w:szCs w:val="22"/>
              </w:rPr>
            </w:pPr>
            <w:r>
              <w:rPr>
                <w:sz w:val="22"/>
                <w:szCs w:val="22"/>
              </w:rPr>
              <w:t>0</w:t>
            </w:r>
          </w:p>
        </w:tc>
      </w:tr>
    </w:tbl>
    <w:p w:rsidR="00D57D9C" w:rsidRDefault="00F679F1" w:rsidP="008F701B">
      <w:pPr>
        <w:keepNext/>
        <w:spacing w:before="240" w:after="240"/>
        <w:rPr>
          <w:b/>
          <w:lang w:val="es-CO" w:eastAsia="en-US"/>
        </w:rPr>
      </w:pPr>
      <w:r>
        <w:rPr>
          <w:b/>
          <w:lang w:val="es-CO" w:eastAsia="en-US"/>
        </w:rPr>
        <w:t>Segunda Petición</w:t>
      </w:r>
    </w:p>
    <w:p w:rsidR="00F679F1" w:rsidRDefault="00F679F1" w:rsidP="008F701B">
      <w:pPr>
        <w:spacing w:before="240" w:after="240"/>
        <w:rPr>
          <w:lang w:val="es-CO" w:eastAsia="en-US"/>
        </w:rPr>
      </w:pPr>
      <w:r>
        <w:rPr>
          <w:lang w:val="es-CO" w:eastAsia="en-US"/>
        </w:rPr>
        <w:t xml:space="preserve">El OR fundamenta su solicitud de modificación de la </w:t>
      </w:r>
      <w:r w:rsidRPr="00F679F1">
        <w:rPr>
          <w:lang w:val="es-CO" w:eastAsia="en-US"/>
        </w:rPr>
        <w:t>Recuperación de Capital de Activos de la BRA inicial</w:t>
      </w:r>
      <w:r>
        <w:rPr>
          <w:lang w:val="es-CO" w:eastAsia="en-US"/>
        </w:rPr>
        <w:t xml:space="preserve"> en lo siguiente:</w:t>
      </w:r>
    </w:p>
    <w:p w:rsidR="00F679F1" w:rsidRDefault="00F679F1" w:rsidP="008F701B">
      <w:pPr>
        <w:keepLines/>
        <w:spacing w:before="200" w:after="200"/>
        <w:ind w:left="709"/>
        <w:rPr>
          <w:i/>
          <w:sz w:val="22"/>
          <w:szCs w:val="22"/>
        </w:rPr>
      </w:pPr>
      <w:r>
        <w:rPr>
          <w:i/>
          <w:sz w:val="22"/>
          <w:szCs w:val="22"/>
        </w:rPr>
        <w:t>…</w:t>
      </w:r>
    </w:p>
    <w:p w:rsidR="00F679F1" w:rsidRPr="00F679F1" w:rsidRDefault="00F679F1" w:rsidP="008F701B">
      <w:pPr>
        <w:keepLines/>
        <w:spacing w:before="200" w:after="200"/>
        <w:ind w:left="709"/>
        <w:rPr>
          <w:b/>
          <w:i/>
          <w:sz w:val="22"/>
          <w:szCs w:val="22"/>
        </w:rPr>
      </w:pPr>
      <w:r w:rsidRPr="00F679F1">
        <w:rPr>
          <w:b/>
          <w:i/>
          <w:sz w:val="22"/>
          <w:szCs w:val="22"/>
        </w:rPr>
        <w:t xml:space="preserve">2.2 Error en el cálculo de la Recuperación de Capital de Activos de la BRA Inicial - </w:t>
      </w:r>
      <w:proofErr w:type="spellStart"/>
      <w:proofErr w:type="gramStart"/>
      <w:r w:rsidRPr="00F679F1">
        <w:rPr>
          <w:b/>
          <w:i/>
          <w:sz w:val="22"/>
          <w:szCs w:val="22"/>
        </w:rPr>
        <w:t>RCBIAj,n</w:t>
      </w:r>
      <w:proofErr w:type="gramEnd"/>
      <w:r w:rsidRPr="00F679F1">
        <w:rPr>
          <w:b/>
          <w:i/>
          <w:sz w:val="22"/>
          <w:szCs w:val="22"/>
        </w:rPr>
        <w:t>,l</w:t>
      </w:r>
      <w:proofErr w:type="spellEnd"/>
      <w:r w:rsidRPr="00F679F1">
        <w:rPr>
          <w:b/>
          <w:i/>
          <w:sz w:val="22"/>
          <w:szCs w:val="22"/>
        </w:rPr>
        <w:t xml:space="preserve"> - debido al error presentado en la BRAEj,n,0 indicada en el numeral 2.1 </w:t>
      </w:r>
    </w:p>
    <w:p w:rsidR="00F679F1" w:rsidRDefault="00F679F1" w:rsidP="008F701B">
      <w:pPr>
        <w:keepLines/>
        <w:spacing w:before="200" w:after="200"/>
        <w:ind w:left="709"/>
        <w:rPr>
          <w:i/>
          <w:sz w:val="22"/>
          <w:szCs w:val="22"/>
        </w:rPr>
      </w:pPr>
      <w:r w:rsidRPr="00F679F1">
        <w:rPr>
          <w:i/>
          <w:sz w:val="22"/>
          <w:szCs w:val="22"/>
        </w:rPr>
        <w:t>Como lo establece el numeral 3.2.1 de la Resolución CREG 015 de 2018, la variable</w:t>
      </w:r>
      <w:r>
        <w:rPr>
          <w:i/>
          <w:sz w:val="22"/>
          <w:szCs w:val="22"/>
        </w:rPr>
        <w:t xml:space="preserve"> </w:t>
      </w:r>
      <w:proofErr w:type="spellStart"/>
      <w:proofErr w:type="gramStart"/>
      <w:r w:rsidRPr="00F679F1">
        <w:rPr>
          <w:b/>
          <w:i/>
          <w:sz w:val="22"/>
          <w:szCs w:val="22"/>
        </w:rPr>
        <w:t>RCBIA</w:t>
      </w:r>
      <w:r w:rsidRPr="00F679F1">
        <w:rPr>
          <w:b/>
          <w:i/>
          <w:sz w:val="22"/>
          <w:szCs w:val="22"/>
          <w:vertAlign w:val="subscript"/>
        </w:rPr>
        <w:t>j,n</w:t>
      </w:r>
      <w:proofErr w:type="gramEnd"/>
      <w:r w:rsidRPr="00F679F1">
        <w:rPr>
          <w:b/>
          <w:i/>
          <w:sz w:val="22"/>
          <w:szCs w:val="22"/>
          <w:vertAlign w:val="subscript"/>
        </w:rPr>
        <w:t>,l</w:t>
      </w:r>
      <w:proofErr w:type="spellEnd"/>
      <w:r w:rsidRPr="00F679F1">
        <w:rPr>
          <w:i/>
          <w:sz w:val="22"/>
          <w:szCs w:val="22"/>
        </w:rPr>
        <w:t xml:space="preserve"> que se aprueba en el Artículo 4 de la Resolución 138 de 2019 para CETSA,</w:t>
      </w:r>
      <w:r>
        <w:rPr>
          <w:i/>
          <w:sz w:val="22"/>
          <w:szCs w:val="22"/>
        </w:rPr>
        <w:t xml:space="preserve"> </w:t>
      </w:r>
      <w:r w:rsidRPr="00F679F1">
        <w:rPr>
          <w:i/>
          <w:sz w:val="22"/>
          <w:szCs w:val="22"/>
        </w:rPr>
        <w:t xml:space="preserve">está definida en función, entre otras, de la variable Valor Implícito de los activos del OR j en el nivel de tensión n y la categoría de activos l,- </w:t>
      </w:r>
      <w:proofErr w:type="spellStart"/>
      <w:r w:rsidRPr="00F679F1">
        <w:rPr>
          <w:b/>
          <w:i/>
          <w:sz w:val="22"/>
          <w:szCs w:val="22"/>
        </w:rPr>
        <w:t>CRII</w:t>
      </w:r>
      <w:r w:rsidRPr="00F679F1">
        <w:rPr>
          <w:b/>
          <w:i/>
          <w:sz w:val="22"/>
          <w:szCs w:val="22"/>
          <w:vertAlign w:val="subscript"/>
        </w:rPr>
        <w:t>j,n,l</w:t>
      </w:r>
      <w:proofErr w:type="spellEnd"/>
      <w:r w:rsidRPr="00F679F1">
        <w:rPr>
          <w:i/>
          <w:sz w:val="22"/>
          <w:szCs w:val="22"/>
        </w:rPr>
        <w:t xml:space="preserve"> -  calculado con base en lo establecido en el numeral 3.1.1.1.1, como se muestra en la siguiente ecuación:</w:t>
      </w:r>
    </w:p>
    <w:p w:rsidR="00F679F1" w:rsidRDefault="00F679F1" w:rsidP="008F701B">
      <w:pPr>
        <w:keepLines/>
        <w:ind w:left="709"/>
        <w:jc w:val="center"/>
        <w:rPr>
          <w:i/>
          <w:sz w:val="22"/>
          <w:szCs w:val="22"/>
        </w:rPr>
      </w:pPr>
      <w:r>
        <w:rPr>
          <w:noProof/>
          <w:lang w:val="es-CO" w:eastAsia="es-CO"/>
        </w:rPr>
        <w:drawing>
          <wp:inline distT="0" distB="0" distL="0" distR="0" wp14:anchorId="458B47C2" wp14:editId="2714E51B">
            <wp:extent cx="5564221" cy="6000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54760" cy="609839"/>
                    </a:xfrm>
                    <a:prstGeom prst="rect">
                      <a:avLst/>
                    </a:prstGeom>
                  </pic:spPr>
                </pic:pic>
              </a:graphicData>
            </a:graphic>
          </wp:inline>
        </w:drawing>
      </w:r>
    </w:p>
    <w:p w:rsidR="00F679F1" w:rsidRPr="00F679F1" w:rsidRDefault="00F679F1" w:rsidP="008F701B">
      <w:pPr>
        <w:keepLines/>
        <w:spacing w:before="200" w:after="200"/>
        <w:ind w:left="709"/>
        <w:rPr>
          <w:i/>
          <w:sz w:val="22"/>
          <w:szCs w:val="22"/>
        </w:rPr>
      </w:pPr>
      <w:r w:rsidRPr="00F679F1">
        <w:rPr>
          <w:i/>
          <w:sz w:val="22"/>
          <w:szCs w:val="22"/>
        </w:rPr>
        <w:t xml:space="preserve">Considerando que el valor implícito de los activos - </w:t>
      </w:r>
      <w:proofErr w:type="spellStart"/>
      <w:proofErr w:type="gramStart"/>
      <w:r w:rsidRPr="00F679F1">
        <w:rPr>
          <w:b/>
          <w:i/>
          <w:sz w:val="22"/>
          <w:szCs w:val="22"/>
        </w:rPr>
        <w:t>CRII</w:t>
      </w:r>
      <w:r w:rsidRPr="00F679F1">
        <w:rPr>
          <w:b/>
          <w:i/>
          <w:sz w:val="22"/>
          <w:szCs w:val="22"/>
          <w:vertAlign w:val="subscript"/>
        </w:rPr>
        <w:t>j,n</w:t>
      </w:r>
      <w:proofErr w:type="gramEnd"/>
      <w:r w:rsidRPr="00F679F1">
        <w:rPr>
          <w:b/>
          <w:i/>
          <w:sz w:val="22"/>
          <w:szCs w:val="22"/>
          <w:vertAlign w:val="subscript"/>
        </w:rPr>
        <w:t>,l</w:t>
      </w:r>
      <w:proofErr w:type="spellEnd"/>
      <w:r w:rsidRPr="00F679F1">
        <w:rPr>
          <w:i/>
          <w:sz w:val="22"/>
          <w:szCs w:val="22"/>
        </w:rPr>
        <w:t xml:space="preserve"> – se ve afectado por el</w:t>
      </w:r>
      <w:r>
        <w:rPr>
          <w:i/>
          <w:sz w:val="22"/>
          <w:szCs w:val="22"/>
        </w:rPr>
        <w:t xml:space="preserve"> </w:t>
      </w:r>
      <w:r w:rsidRPr="00F679F1">
        <w:rPr>
          <w:i/>
          <w:sz w:val="22"/>
          <w:szCs w:val="22"/>
        </w:rPr>
        <w:t xml:space="preserve">error enunciado en el numeral 2.1., el cálculo de la recuperación de capital de activos de la BRA inicial se ve igualmente afectado. </w:t>
      </w:r>
    </w:p>
    <w:p w:rsidR="007874F6" w:rsidRPr="007874F6" w:rsidRDefault="007874F6" w:rsidP="008F701B">
      <w:pPr>
        <w:keepLines/>
        <w:spacing w:before="200" w:after="200"/>
        <w:ind w:left="709"/>
        <w:rPr>
          <w:i/>
          <w:sz w:val="22"/>
          <w:szCs w:val="22"/>
        </w:rPr>
      </w:pPr>
      <w:r w:rsidRPr="007874F6">
        <w:rPr>
          <w:i/>
          <w:sz w:val="22"/>
          <w:szCs w:val="22"/>
        </w:rPr>
        <w:lastRenderedPageBreak/>
        <w:t>Por lo anterior, es necesario ajustar las variables RCBIAj,</w:t>
      </w:r>
      <w:proofErr w:type="gramStart"/>
      <w:r w:rsidRPr="007874F6">
        <w:rPr>
          <w:i/>
          <w:sz w:val="22"/>
          <w:szCs w:val="22"/>
        </w:rPr>
        <w:t>3,l</w:t>
      </w:r>
      <w:proofErr w:type="gramEnd"/>
      <w:r w:rsidRPr="007874F6">
        <w:rPr>
          <w:i/>
          <w:sz w:val="22"/>
          <w:szCs w:val="22"/>
        </w:rPr>
        <w:t xml:space="preserve">, RCBIAj,2,l y RCBIAj,1,l. </w:t>
      </w:r>
      <w:r>
        <w:rPr>
          <w:i/>
          <w:sz w:val="22"/>
          <w:szCs w:val="22"/>
        </w:rPr>
        <w:t>…</w:t>
      </w:r>
    </w:p>
    <w:p w:rsidR="007874F6" w:rsidRDefault="007874F6" w:rsidP="00D857A6">
      <w:pPr>
        <w:spacing w:before="240" w:after="240"/>
        <w:rPr>
          <w:lang w:val="es-CO" w:eastAsia="en-US"/>
        </w:rPr>
      </w:pPr>
      <w:r>
        <w:rPr>
          <w:lang w:val="es-CO" w:eastAsia="en-US"/>
        </w:rPr>
        <w:t xml:space="preserve">De acuerdo con lo indicado en el análisis de la primera solicitud y considerando que la modificación de los valores de las variables </w:t>
      </w:r>
      <w:r w:rsidRPr="00490D67">
        <w:rPr>
          <w:lang w:val="es-CO" w:eastAsia="en-US"/>
        </w:rPr>
        <w:t>Eu</w:t>
      </w:r>
      <w:r w:rsidRPr="00490D67">
        <w:rPr>
          <w:vertAlign w:val="subscript"/>
          <w:lang w:val="es-CO" w:eastAsia="en-US"/>
        </w:rPr>
        <w:t>j,3</w:t>
      </w:r>
      <w:r>
        <w:rPr>
          <w:lang w:val="es-CO" w:eastAsia="en-US"/>
        </w:rPr>
        <w:t>, Eu</w:t>
      </w:r>
      <w:r w:rsidRPr="00490D67">
        <w:rPr>
          <w:vertAlign w:val="subscript"/>
          <w:lang w:val="es-CO" w:eastAsia="en-US"/>
        </w:rPr>
        <w:t>j,2</w:t>
      </w:r>
      <w:r>
        <w:rPr>
          <w:lang w:val="es-CO" w:eastAsia="en-US"/>
        </w:rPr>
        <w:t xml:space="preserve">, </w:t>
      </w:r>
      <w:r w:rsidRPr="00490D67">
        <w:rPr>
          <w:lang w:val="es-CO" w:eastAsia="en-US"/>
        </w:rPr>
        <w:t>VA</w:t>
      </w:r>
      <w:r w:rsidRPr="00490D67">
        <w:rPr>
          <w:vertAlign w:val="subscript"/>
          <w:lang w:val="es-CO" w:eastAsia="en-US"/>
        </w:rPr>
        <w:t>j,1,0</w:t>
      </w:r>
      <w:r>
        <w:rPr>
          <w:lang w:val="es-CO" w:eastAsia="en-US"/>
        </w:rPr>
        <w:t xml:space="preserve"> y VS</w:t>
      </w:r>
      <w:r w:rsidRPr="00490D67">
        <w:rPr>
          <w:vertAlign w:val="subscript"/>
          <w:lang w:val="es-CO" w:eastAsia="en-US"/>
        </w:rPr>
        <w:t>j,1,0</w:t>
      </w:r>
      <w:r>
        <w:rPr>
          <w:lang w:val="es-CO" w:eastAsia="en-US"/>
        </w:rPr>
        <w:t xml:space="preserve"> afecta el cálculo de la variable </w:t>
      </w:r>
      <w:proofErr w:type="spellStart"/>
      <w:proofErr w:type="gramStart"/>
      <w:r>
        <w:rPr>
          <w:lang w:val="es-CO" w:eastAsia="en-US"/>
        </w:rPr>
        <w:t>CRII</w:t>
      </w:r>
      <w:r w:rsidRPr="007874F6">
        <w:rPr>
          <w:vertAlign w:val="subscript"/>
          <w:lang w:val="es-CO" w:eastAsia="en-US"/>
        </w:rPr>
        <w:t>j,n</w:t>
      </w:r>
      <w:proofErr w:type="gramEnd"/>
      <w:r w:rsidRPr="007874F6">
        <w:rPr>
          <w:vertAlign w:val="subscript"/>
          <w:lang w:val="es-CO" w:eastAsia="en-US"/>
        </w:rPr>
        <w:t>,l</w:t>
      </w:r>
      <w:proofErr w:type="spellEnd"/>
      <w:r>
        <w:rPr>
          <w:lang w:val="es-CO" w:eastAsia="en-US"/>
        </w:rPr>
        <w:t xml:space="preserve"> se considera procedente la solicitud del OR.</w:t>
      </w:r>
    </w:p>
    <w:p w:rsidR="00D57D9C" w:rsidRPr="00386A4D" w:rsidRDefault="00D57D9C" w:rsidP="00D857A6">
      <w:pPr>
        <w:spacing w:before="240" w:after="240"/>
        <w:rPr>
          <w:b/>
          <w:lang w:val="es-CO" w:eastAsia="en-US"/>
        </w:rPr>
      </w:pPr>
      <w:r w:rsidRPr="00386A4D">
        <w:rPr>
          <w:b/>
          <w:lang w:val="es-CO" w:eastAsia="en-US"/>
        </w:rPr>
        <w:t>Tercera Petición</w:t>
      </w:r>
    </w:p>
    <w:p w:rsidR="007874F6" w:rsidRDefault="007874F6" w:rsidP="00D857A6">
      <w:pPr>
        <w:spacing w:before="240" w:after="240"/>
        <w:rPr>
          <w:lang w:val="es-CO" w:eastAsia="en-US"/>
        </w:rPr>
      </w:pPr>
      <w:r>
        <w:rPr>
          <w:lang w:val="es-CO" w:eastAsia="en-US"/>
        </w:rPr>
        <w:t>El OR fundamenta su solicitud de modificación del índice de pérdidas eficientes en el nivel de tensión 1 en lo siguiente:</w:t>
      </w:r>
    </w:p>
    <w:p w:rsidR="007874F6" w:rsidRPr="007874F6" w:rsidRDefault="007874F6" w:rsidP="001F1ADD">
      <w:pPr>
        <w:keepLines/>
        <w:spacing w:before="200" w:after="200"/>
        <w:ind w:left="709"/>
        <w:rPr>
          <w:b/>
          <w:i/>
          <w:sz w:val="22"/>
          <w:szCs w:val="22"/>
        </w:rPr>
      </w:pPr>
      <w:r w:rsidRPr="007874F6">
        <w:rPr>
          <w:b/>
          <w:i/>
          <w:sz w:val="22"/>
          <w:szCs w:val="22"/>
        </w:rPr>
        <w:t xml:space="preserve">2.3 Error en el valor del índice de referencia de pérdidas eficientes del nivel de tensión 1 </w:t>
      </w:r>
    </w:p>
    <w:p w:rsidR="007874F6" w:rsidRPr="007874F6" w:rsidRDefault="007874F6" w:rsidP="001F1ADD">
      <w:pPr>
        <w:keepLines/>
        <w:spacing w:before="200" w:after="200"/>
        <w:ind w:left="709"/>
        <w:rPr>
          <w:i/>
          <w:sz w:val="22"/>
          <w:szCs w:val="22"/>
        </w:rPr>
      </w:pPr>
      <w:r w:rsidRPr="007874F6">
        <w:rPr>
          <w:i/>
          <w:sz w:val="22"/>
          <w:szCs w:val="22"/>
        </w:rPr>
        <w:t xml:space="preserve">En el artículo 14 de la Resolución 138 de 2019 se determinaron los índices de referencia de pérdidas eficientes en los niveles de tensión 3, 2 y 1, así: </w:t>
      </w:r>
    </w:p>
    <w:p w:rsidR="007874F6" w:rsidRDefault="007874F6" w:rsidP="001F1ADD">
      <w:pPr>
        <w:keepLines/>
        <w:spacing w:before="200" w:after="200"/>
        <w:ind w:left="709"/>
        <w:jc w:val="center"/>
        <w:rPr>
          <w:i/>
          <w:sz w:val="22"/>
          <w:szCs w:val="22"/>
        </w:rPr>
      </w:pPr>
      <w:r w:rsidRPr="007874F6">
        <w:rPr>
          <w:b/>
          <w:i/>
          <w:sz w:val="22"/>
          <w:szCs w:val="22"/>
        </w:rPr>
        <w:t>Tabla 6.</w:t>
      </w:r>
      <w:r w:rsidRPr="007874F6">
        <w:rPr>
          <w:i/>
          <w:sz w:val="22"/>
          <w:szCs w:val="22"/>
        </w:rPr>
        <w:t xml:space="preserve"> Índices de pérdidas eficientes Resolución CREG 138 de 2019</w:t>
      </w:r>
    </w:p>
    <w:tbl>
      <w:tblPr>
        <w:tblStyle w:val="Tablaconcuadrcula"/>
        <w:tblW w:w="0" w:type="auto"/>
        <w:jc w:val="center"/>
        <w:tblLook w:val="04A0" w:firstRow="1" w:lastRow="0" w:firstColumn="1" w:lastColumn="0" w:noHBand="0" w:noVBand="1"/>
      </w:tblPr>
      <w:tblGrid>
        <w:gridCol w:w="1838"/>
        <w:gridCol w:w="1985"/>
      </w:tblGrid>
      <w:tr w:rsidR="00F52D78" w:rsidRPr="00F52D78" w:rsidTr="00F52D78">
        <w:trPr>
          <w:trHeight w:val="340"/>
          <w:jc w:val="center"/>
        </w:trPr>
        <w:tc>
          <w:tcPr>
            <w:tcW w:w="1838" w:type="dxa"/>
            <w:vAlign w:val="center"/>
          </w:tcPr>
          <w:p w:rsidR="00F52D78" w:rsidRPr="00F52D78" w:rsidRDefault="00F52D78" w:rsidP="00F52D78">
            <w:pPr>
              <w:keepLines/>
              <w:spacing w:before="0" w:after="0"/>
              <w:jc w:val="center"/>
              <w:rPr>
                <w:b/>
                <w:i/>
                <w:sz w:val="20"/>
                <w:szCs w:val="22"/>
              </w:rPr>
            </w:pPr>
            <w:r w:rsidRPr="00F52D78">
              <w:rPr>
                <w:b/>
                <w:i/>
                <w:sz w:val="20"/>
                <w:szCs w:val="22"/>
              </w:rPr>
              <w:t>Variable</w:t>
            </w:r>
          </w:p>
        </w:tc>
        <w:tc>
          <w:tcPr>
            <w:tcW w:w="1985" w:type="dxa"/>
            <w:vAlign w:val="center"/>
          </w:tcPr>
          <w:p w:rsidR="00F52D78" w:rsidRPr="00F52D78" w:rsidRDefault="00F52D78" w:rsidP="00F52D78">
            <w:pPr>
              <w:keepLines/>
              <w:spacing w:before="0" w:after="0"/>
              <w:jc w:val="center"/>
              <w:rPr>
                <w:b/>
                <w:i/>
                <w:sz w:val="20"/>
                <w:szCs w:val="22"/>
              </w:rPr>
            </w:pPr>
            <w:r w:rsidRPr="00F52D78">
              <w:rPr>
                <w:b/>
                <w:i/>
                <w:sz w:val="20"/>
                <w:szCs w:val="22"/>
              </w:rPr>
              <w:t>Resolución</w:t>
            </w:r>
          </w:p>
        </w:tc>
      </w:tr>
      <w:tr w:rsidR="00F52D78" w:rsidRPr="00F52D78" w:rsidTr="00F52D78">
        <w:trPr>
          <w:trHeight w:val="340"/>
          <w:jc w:val="center"/>
        </w:trPr>
        <w:tc>
          <w:tcPr>
            <w:tcW w:w="1838" w:type="dxa"/>
            <w:vAlign w:val="center"/>
          </w:tcPr>
          <w:p w:rsidR="00F52D78" w:rsidRPr="00F52D78" w:rsidRDefault="00F52D78" w:rsidP="00F52D78">
            <w:pPr>
              <w:keepLines/>
              <w:spacing w:before="0" w:after="0"/>
              <w:jc w:val="left"/>
              <w:rPr>
                <w:i/>
                <w:sz w:val="20"/>
                <w:szCs w:val="22"/>
              </w:rPr>
            </w:pPr>
            <w:r>
              <w:rPr>
                <w:i/>
                <w:sz w:val="20"/>
                <w:szCs w:val="22"/>
              </w:rPr>
              <w:t>Pe</w:t>
            </w:r>
            <w:r w:rsidRPr="00F52D78">
              <w:rPr>
                <w:i/>
                <w:sz w:val="20"/>
                <w:szCs w:val="22"/>
                <w:vertAlign w:val="subscript"/>
              </w:rPr>
              <w:t>j,3</w:t>
            </w:r>
          </w:p>
        </w:tc>
        <w:tc>
          <w:tcPr>
            <w:tcW w:w="1985" w:type="dxa"/>
            <w:vAlign w:val="center"/>
          </w:tcPr>
          <w:p w:rsidR="00F52D78" w:rsidRPr="00F52D78" w:rsidRDefault="00F52D78" w:rsidP="00F52D78">
            <w:pPr>
              <w:keepLines/>
              <w:spacing w:before="0" w:after="0"/>
              <w:jc w:val="center"/>
              <w:rPr>
                <w:i/>
                <w:sz w:val="20"/>
                <w:szCs w:val="22"/>
              </w:rPr>
            </w:pPr>
            <w:r>
              <w:rPr>
                <w:i/>
                <w:sz w:val="20"/>
                <w:szCs w:val="22"/>
              </w:rPr>
              <w:t>1,82%</w:t>
            </w:r>
          </w:p>
        </w:tc>
      </w:tr>
      <w:tr w:rsidR="00F52D78" w:rsidRPr="00F52D78" w:rsidTr="00F52D78">
        <w:trPr>
          <w:trHeight w:val="340"/>
          <w:jc w:val="center"/>
        </w:trPr>
        <w:tc>
          <w:tcPr>
            <w:tcW w:w="1838" w:type="dxa"/>
            <w:vAlign w:val="center"/>
          </w:tcPr>
          <w:p w:rsidR="00F52D78" w:rsidRPr="00F52D78" w:rsidRDefault="00F52D78" w:rsidP="00F52D78">
            <w:pPr>
              <w:keepLines/>
              <w:spacing w:before="0" w:after="0"/>
              <w:jc w:val="left"/>
              <w:rPr>
                <w:i/>
                <w:sz w:val="20"/>
                <w:szCs w:val="22"/>
              </w:rPr>
            </w:pPr>
            <w:r>
              <w:rPr>
                <w:i/>
                <w:sz w:val="20"/>
                <w:szCs w:val="22"/>
              </w:rPr>
              <w:t>Pe</w:t>
            </w:r>
            <w:r>
              <w:rPr>
                <w:i/>
                <w:sz w:val="20"/>
                <w:szCs w:val="22"/>
                <w:vertAlign w:val="subscript"/>
              </w:rPr>
              <w:t>j,2</w:t>
            </w:r>
          </w:p>
        </w:tc>
        <w:tc>
          <w:tcPr>
            <w:tcW w:w="1985" w:type="dxa"/>
            <w:vAlign w:val="center"/>
          </w:tcPr>
          <w:p w:rsidR="00F52D78" w:rsidRPr="00F52D78" w:rsidRDefault="00F52D78" w:rsidP="00F52D78">
            <w:pPr>
              <w:keepLines/>
              <w:spacing w:before="0" w:after="0"/>
              <w:jc w:val="center"/>
              <w:rPr>
                <w:i/>
                <w:sz w:val="20"/>
                <w:szCs w:val="22"/>
              </w:rPr>
            </w:pPr>
            <w:r>
              <w:rPr>
                <w:i/>
                <w:sz w:val="20"/>
                <w:szCs w:val="22"/>
              </w:rPr>
              <w:t>1,43%</w:t>
            </w:r>
          </w:p>
        </w:tc>
      </w:tr>
      <w:tr w:rsidR="00F52D78" w:rsidRPr="00F52D78" w:rsidTr="00F52D78">
        <w:trPr>
          <w:trHeight w:val="340"/>
          <w:jc w:val="center"/>
        </w:trPr>
        <w:tc>
          <w:tcPr>
            <w:tcW w:w="1838" w:type="dxa"/>
            <w:vAlign w:val="center"/>
          </w:tcPr>
          <w:p w:rsidR="00F52D78" w:rsidRPr="00F52D78" w:rsidRDefault="00F52D78" w:rsidP="00F52D78">
            <w:pPr>
              <w:keepLines/>
              <w:spacing w:before="0" w:after="0"/>
              <w:jc w:val="left"/>
              <w:rPr>
                <w:i/>
                <w:sz w:val="20"/>
                <w:szCs w:val="22"/>
              </w:rPr>
            </w:pPr>
            <w:r>
              <w:rPr>
                <w:i/>
                <w:sz w:val="20"/>
                <w:szCs w:val="22"/>
              </w:rPr>
              <w:t>Pe</w:t>
            </w:r>
            <w:r>
              <w:rPr>
                <w:i/>
                <w:sz w:val="20"/>
                <w:szCs w:val="22"/>
                <w:vertAlign w:val="subscript"/>
              </w:rPr>
              <w:t>j,1</w:t>
            </w:r>
          </w:p>
        </w:tc>
        <w:tc>
          <w:tcPr>
            <w:tcW w:w="1985" w:type="dxa"/>
            <w:vAlign w:val="center"/>
          </w:tcPr>
          <w:p w:rsidR="00F52D78" w:rsidRPr="00F52D78" w:rsidRDefault="00F52D78" w:rsidP="00F52D78">
            <w:pPr>
              <w:keepLines/>
              <w:spacing w:before="0" w:after="0"/>
              <w:jc w:val="center"/>
              <w:rPr>
                <w:i/>
                <w:sz w:val="20"/>
                <w:szCs w:val="22"/>
              </w:rPr>
            </w:pPr>
            <w:r>
              <w:rPr>
                <w:i/>
                <w:sz w:val="20"/>
                <w:szCs w:val="22"/>
              </w:rPr>
              <w:t>7,57%</w:t>
            </w:r>
          </w:p>
        </w:tc>
      </w:tr>
    </w:tbl>
    <w:p w:rsidR="007874F6" w:rsidRPr="00C448AD" w:rsidRDefault="007874F6" w:rsidP="001F1ADD">
      <w:pPr>
        <w:keepLines/>
        <w:spacing w:before="200" w:after="200"/>
        <w:ind w:left="709"/>
        <w:rPr>
          <w:i/>
          <w:sz w:val="22"/>
          <w:szCs w:val="22"/>
        </w:rPr>
      </w:pPr>
      <w:r w:rsidRPr="00C448AD">
        <w:rPr>
          <w:i/>
          <w:sz w:val="22"/>
          <w:szCs w:val="22"/>
        </w:rPr>
        <w:t xml:space="preserve">Sin embargo, el porcentaje establecido para el nivel de tensión 1 es erróneo, toda vez que la Resolución CREG 172 de 2011 modificó las pérdidas reconocidas en el nivel de tensión 1, clasificando a CETSA como “OR con pérdidas de Nivel de Tensión 1 inferiores o iguales a las reconocidas”, lo que implicó que se aplicara una senda de disminución del indicador de pérdidas hasta llegar a las nuevas pérdidas aprobadas, senda que para CETSA se determinó en la Resolución CREG 061 de 2012, así: </w:t>
      </w:r>
    </w:p>
    <w:p w:rsidR="007874F6" w:rsidRPr="00C448AD" w:rsidRDefault="007874F6" w:rsidP="001F1ADD">
      <w:pPr>
        <w:keepLines/>
        <w:ind w:left="709"/>
        <w:rPr>
          <w:i/>
          <w:sz w:val="22"/>
          <w:szCs w:val="22"/>
        </w:rPr>
      </w:pPr>
      <w:r w:rsidRPr="00C448AD">
        <w:rPr>
          <w:i/>
          <w:sz w:val="22"/>
          <w:szCs w:val="22"/>
        </w:rPr>
        <w:t xml:space="preserve">“(…) </w:t>
      </w:r>
    </w:p>
    <w:p w:rsidR="007874F6" w:rsidRPr="00C448AD" w:rsidRDefault="007874F6" w:rsidP="001F1ADD">
      <w:pPr>
        <w:keepLines/>
        <w:ind w:left="1416"/>
        <w:rPr>
          <w:i/>
          <w:sz w:val="22"/>
          <w:szCs w:val="22"/>
        </w:rPr>
      </w:pPr>
      <w:r w:rsidRPr="00C448AD">
        <w:rPr>
          <w:i/>
          <w:sz w:val="22"/>
          <w:szCs w:val="22"/>
        </w:rPr>
        <w:t xml:space="preserve">Índice de Pérdidas de Nivel de Tensión 1. El Índice de Pérdidas de Nivel de Tensión 1 reconocido para el sistema operado por el OR Compañía de Electricidad de Tuluá S.A. E.S.P., calculado en la forma establecida en la Resolución CREG 172 de 2011, es: </w:t>
      </w:r>
    </w:p>
    <w:p w:rsidR="007874F6" w:rsidRPr="00C448AD" w:rsidRDefault="007874F6" w:rsidP="001F1ADD">
      <w:pPr>
        <w:keepLines/>
        <w:ind w:left="1416"/>
        <w:rPr>
          <w:i/>
          <w:sz w:val="22"/>
          <w:szCs w:val="22"/>
        </w:rPr>
      </w:pPr>
      <w:r w:rsidRPr="00C448AD">
        <w:rPr>
          <w:i/>
          <w:sz w:val="22"/>
          <w:szCs w:val="22"/>
        </w:rPr>
        <w:t>Pj,1,0 = 7,74%</w:t>
      </w:r>
    </w:p>
    <w:p w:rsidR="00C448AD" w:rsidRPr="00C448AD" w:rsidRDefault="007874F6" w:rsidP="001F1ADD">
      <w:pPr>
        <w:keepLines/>
        <w:ind w:left="1416"/>
        <w:rPr>
          <w:i/>
          <w:sz w:val="22"/>
          <w:szCs w:val="22"/>
        </w:rPr>
      </w:pPr>
      <w:r w:rsidRPr="00C448AD">
        <w:rPr>
          <w:i/>
          <w:sz w:val="22"/>
          <w:szCs w:val="22"/>
        </w:rPr>
        <w:t>Parágrafo: De conformidad con el numeral 5.1 del Anexo 5 de la Resolución CREG 172 de 2011, a partir de la aprobación de la presente resolución y hasta el 31 de diciembre del año 2013, el valor de Pj,1 será igual a 9,02 %.  Para el período comprendido entre el 1 de enero de 2014 al 31 de diciembre de 2014 el valor de Pj,1 será igual a 8,38 % y a partir</w:t>
      </w:r>
      <w:r w:rsidR="00C448AD" w:rsidRPr="00C448AD">
        <w:rPr>
          <w:i/>
          <w:sz w:val="22"/>
          <w:szCs w:val="22"/>
        </w:rPr>
        <w:t xml:space="preserve"> del 1 de enero de 2015 corresponderá al valor señalado en este artículo para Pj,1,0. </w:t>
      </w:r>
    </w:p>
    <w:p w:rsidR="00C448AD" w:rsidRPr="00C448AD" w:rsidRDefault="00C448AD" w:rsidP="001F1ADD">
      <w:pPr>
        <w:ind w:firstLine="708"/>
        <w:rPr>
          <w:spacing w:val="-3"/>
        </w:rPr>
      </w:pPr>
      <w:r w:rsidRPr="00C448AD">
        <w:rPr>
          <w:spacing w:val="-3"/>
        </w:rPr>
        <w:t xml:space="preserve">(…)”. </w:t>
      </w:r>
    </w:p>
    <w:p w:rsidR="00C448AD" w:rsidRDefault="00C448AD" w:rsidP="001F1ADD">
      <w:pPr>
        <w:keepLines/>
        <w:spacing w:before="200" w:after="200"/>
        <w:ind w:left="709"/>
        <w:rPr>
          <w:i/>
          <w:sz w:val="22"/>
          <w:szCs w:val="22"/>
        </w:rPr>
      </w:pPr>
      <w:r w:rsidRPr="00C448AD">
        <w:rPr>
          <w:i/>
          <w:sz w:val="22"/>
          <w:szCs w:val="22"/>
        </w:rPr>
        <w:t xml:space="preserve">Y de conformidad con lo estipulado en la Resolución CREG 015 de 2018 en la que expresamente se determina que los OR que tengan resolución particular de aprobación del índice de pérdidas de nivel de tensión 1 se les continuará aplicando el factor allí aprobado: </w:t>
      </w:r>
    </w:p>
    <w:p w:rsidR="00C448AD" w:rsidRPr="00C448AD" w:rsidRDefault="00C448AD" w:rsidP="001F1ADD">
      <w:pPr>
        <w:keepLines/>
        <w:spacing w:before="200" w:after="200"/>
        <w:ind w:left="1416"/>
        <w:rPr>
          <w:i/>
          <w:sz w:val="22"/>
          <w:szCs w:val="22"/>
        </w:rPr>
      </w:pPr>
      <w:proofErr w:type="gramStart"/>
      <w:r w:rsidRPr="00C448AD">
        <w:rPr>
          <w:i/>
          <w:sz w:val="22"/>
          <w:szCs w:val="22"/>
        </w:rPr>
        <w:t>“ 7.1.2.2</w:t>
      </w:r>
      <w:proofErr w:type="gramEnd"/>
      <w:r w:rsidRPr="00C448AD">
        <w:rPr>
          <w:i/>
          <w:sz w:val="22"/>
          <w:szCs w:val="22"/>
        </w:rPr>
        <w:t xml:space="preserve"> NIVEL DE TENSIÓN 1 </w:t>
      </w:r>
    </w:p>
    <w:p w:rsidR="00C448AD" w:rsidRPr="00C448AD" w:rsidRDefault="00C448AD" w:rsidP="001F1ADD">
      <w:pPr>
        <w:keepLines/>
        <w:spacing w:before="200" w:after="200"/>
        <w:ind w:left="1416"/>
        <w:rPr>
          <w:i/>
          <w:sz w:val="22"/>
          <w:szCs w:val="22"/>
        </w:rPr>
      </w:pPr>
      <w:r w:rsidRPr="00C448AD">
        <w:rPr>
          <w:i/>
          <w:sz w:val="22"/>
          <w:szCs w:val="22"/>
        </w:rPr>
        <w:lastRenderedPageBreak/>
        <w:t xml:space="preserve">Para los OR que cuenten con resolución particular de aprobación del índice de pérdidas del nivel de tensión 1 conforme a lo establecido en el artículo 5 de la Resolución CREG 172 de 2011, </w:t>
      </w:r>
      <w:r w:rsidRPr="00C448AD">
        <w:rPr>
          <w:b/>
          <w:i/>
          <w:sz w:val="22"/>
          <w:szCs w:val="22"/>
          <w:u w:val="single"/>
        </w:rPr>
        <w:t>se continuará aplicando el factor allí aprobado</w:t>
      </w:r>
      <w:r w:rsidRPr="00C448AD">
        <w:rPr>
          <w:i/>
          <w:sz w:val="22"/>
          <w:szCs w:val="22"/>
        </w:rPr>
        <w:t xml:space="preserve">. </w:t>
      </w:r>
    </w:p>
    <w:p w:rsidR="00C448AD" w:rsidRPr="00C448AD" w:rsidRDefault="00C448AD" w:rsidP="001F1ADD">
      <w:pPr>
        <w:keepLines/>
        <w:spacing w:before="200" w:after="200"/>
        <w:ind w:left="1416"/>
        <w:rPr>
          <w:i/>
          <w:sz w:val="22"/>
          <w:szCs w:val="22"/>
        </w:rPr>
      </w:pPr>
      <w:r w:rsidRPr="00C448AD">
        <w:rPr>
          <w:i/>
          <w:sz w:val="22"/>
          <w:szCs w:val="22"/>
        </w:rPr>
        <w:t xml:space="preserve">(…)” (Subrayado, cursiva y negrilla fuera de texto). </w:t>
      </w:r>
    </w:p>
    <w:p w:rsidR="00C448AD" w:rsidRPr="00C448AD" w:rsidRDefault="00C448AD" w:rsidP="001F1ADD">
      <w:pPr>
        <w:keepLines/>
        <w:spacing w:before="200" w:after="200"/>
        <w:ind w:left="709"/>
        <w:rPr>
          <w:i/>
          <w:sz w:val="22"/>
          <w:szCs w:val="22"/>
        </w:rPr>
      </w:pPr>
      <w:r w:rsidRPr="00C448AD">
        <w:rPr>
          <w:i/>
          <w:sz w:val="22"/>
          <w:szCs w:val="22"/>
        </w:rPr>
        <w:t xml:space="preserve">Por lo tanto, y de </w:t>
      </w:r>
      <w:r>
        <w:rPr>
          <w:i/>
          <w:sz w:val="22"/>
          <w:szCs w:val="22"/>
        </w:rPr>
        <w:t>a</w:t>
      </w:r>
      <w:r w:rsidRPr="00C448AD">
        <w:rPr>
          <w:i/>
          <w:sz w:val="22"/>
          <w:szCs w:val="22"/>
        </w:rPr>
        <w:t>cuerdo con la determinación expresa de la Resolución 015 de 2018,</w:t>
      </w:r>
      <w:r>
        <w:rPr>
          <w:i/>
          <w:sz w:val="22"/>
          <w:szCs w:val="22"/>
        </w:rPr>
        <w:t xml:space="preserve"> </w:t>
      </w:r>
      <w:r w:rsidRPr="00C448AD">
        <w:rPr>
          <w:i/>
          <w:sz w:val="22"/>
          <w:szCs w:val="22"/>
        </w:rPr>
        <w:t>a CETSA se le debe continuar aplicando el índice de pérdidas de energía de nivel de tensión 1 estipulado en la Resolución CREG 061 de 2012, correspondiente a 7,74%,</w:t>
      </w:r>
      <w:r>
        <w:rPr>
          <w:i/>
          <w:sz w:val="22"/>
          <w:szCs w:val="22"/>
        </w:rPr>
        <w:t xml:space="preserve"> </w:t>
      </w:r>
      <w:r w:rsidRPr="00C448AD">
        <w:rPr>
          <w:i/>
          <w:sz w:val="22"/>
          <w:szCs w:val="22"/>
        </w:rPr>
        <w:t xml:space="preserve">y no el establecido en la Resolución CREG 138 de 2019 de 7,57%. </w:t>
      </w:r>
    </w:p>
    <w:p w:rsidR="008D304F" w:rsidRDefault="008D304F" w:rsidP="00D857A6">
      <w:pPr>
        <w:spacing w:before="240" w:after="240"/>
        <w:rPr>
          <w:lang w:val="es-CO" w:eastAsia="en-US"/>
        </w:rPr>
      </w:pPr>
      <w:r>
        <w:rPr>
          <w:lang w:val="es-CO" w:eastAsia="en-US"/>
        </w:rPr>
        <w:t>Analizados los argumentos presentados por el OR y considerando lo dispuesto en el artículo 1 de la Resolución CREG 061 de 2012 y el numeral 7.1.2.2 del Capítulo 7 de la Resolución CREG 015 de 2018 se considera procedente la solicitud del OR.</w:t>
      </w:r>
    </w:p>
    <w:p w:rsidR="00D857A6" w:rsidRDefault="00D857A6" w:rsidP="00D857A6">
      <w:pPr>
        <w:keepNext/>
        <w:spacing w:before="240" w:after="240"/>
        <w:rPr>
          <w:spacing w:val="-3"/>
        </w:rPr>
      </w:pPr>
      <w:r>
        <w:rPr>
          <w:spacing w:val="-3"/>
        </w:rPr>
        <w:t>En los temas en los que del análisis realizado se deduce que debe modificarse la Resolución CREG 138 de 2019, se realizan los ajustes pertinentes.</w:t>
      </w:r>
    </w:p>
    <w:p w:rsidR="00D57D9C" w:rsidRDefault="00D57D9C" w:rsidP="00D857A6">
      <w:pPr>
        <w:spacing w:before="240" w:after="240"/>
        <w:rPr>
          <w:spacing w:val="-3"/>
        </w:rPr>
      </w:pPr>
      <w:r w:rsidRPr="00B43252">
        <w:rPr>
          <w:spacing w:val="-3"/>
        </w:rPr>
        <w:t xml:space="preserve">Con base en lo anterior, la Comisión de Regulación de Energía y Gas, en su sesión </w:t>
      </w:r>
      <w:r w:rsidR="00B43252" w:rsidRPr="00B43252">
        <w:rPr>
          <w:spacing w:val="-3"/>
        </w:rPr>
        <w:t>97</w:t>
      </w:r>
      <w:r w:rsidR="00CE6FB8">
        <w:rPr>
          <w:spacing w:val="-3"/>
        </w:rPr>
        <w:t>2</w:t>
      </w:r>
      <w:r w:rsidRPr="00B43252">
        <w:rPr>
          <w:spacing w:val="-3"/>
        </w:rPr>
        <w:t xml:space="preserve"> del </w:t>
      </w:r>
      <w:r w:rsidR="00CE6FB8">
        <w:rPr>
          <w:spacing w:val="-3"/>
        </w:rPr>
        <w:t>10</w:t>
      </w:r>
      <w:r w:rsidRPr="00B43252">
        <w:rPr>
          <w:spacing w:val="-3"/>
        </w:rPr>
        <w:t xml:space="preserve"> de </w:t>
      </w:r>
      <w:r w:rsidR="00CE6FB8">
        <w:rPr>
          <w:spacing w:val="-3"/>
        </w:rPr>
        <w:t>enero</w:t>
      </w:r>
      <w:r w:rsidR="00234CD0" w:rsidRPr="00B43252">
        <w:rPr>
          <w:spacing w:val="-3"/>
        </w:rPr>
        <w:t xml:space="preserve"> </w:t>
      </w:r>
      <w:r w:rsidRPr="00B43252">
        <w:rPr>
          <w:spacing w:val="-3"/>
        </w:rPr>
        <w:t>de 20</w:t>
      </w:r>
      <w:r w:rsidR="00CE6FB8">
        <w:rPr>
          <w:spacing w:val="-3"/>
        </w:rPr>
        <w:t>20</w:t>
      </w:r>
      <w:r w:rsidRPr="00B43252">
        <w:rPr>
          <w:spacing w:val="-3"/>
        </w:rPr>
        <w:t>, acordó</w:t>
      </w:r>
      <w:r w:rsidRPr="00BF69C9">
        <w:rPr>
          <w:spacing w:val="-3"/>
        </w:rPr>
        <w:t xml:space="preserve"> expedir esta resolución. </w:t>
      </w:r>
    </w:p>
    <w:p w:rsidR="00D57D9C" w:rsidRPr="00BF69C9" w:rsidRDefault="00D57D9C" w:rsidP="00D57D9C">
      <w:pPr>
        <w:rPr>
          <w:spacing w:val="-3"/>
        </w:rPr>
      </w:pPr>
    </w:p>
    <w:p w:rsidR="00D57D9C" w:rsidRDefault="00D57D9C" w:rsidP="00D57D9C">
      <w:pPr>
        <w:spacing w:before="0" w:after="0"/>
        <w:ind w:right="51"/>
        <w:jc w:val="center"/>
        <w:rPr>
          <w:b/>
        </w:rPr>
      </w:pPr>
      <w:r w:rsidRPr="00BF69C9">
        <w:rPr>
          <w:b/>
        </w:rPr>
        <w:t>RESUELVE:</w:t>
      </w:r>
    </w:p>
    <w:p w:rsidR="00D57D9C" w:rsidRPr="00983FB3" w:rsidRDefault="00D57D9C" w:rsidP="00D57D9C">
      <w:pPr>
        <w:spacing w:before="0" w:after="0"/>
        <w:ind w:right="51"/>
        <w:jc w:val="center"/>
        <w:rPr>
          <w:b/>
        </w:rPr>
      </w:pPr>
    </w:p>
    <w:p w:rsidR="00D57D9C" w:rsidRDefault="00D57D9C" w:rsidP="001F1ADD">
      <w:pPr>
        <w:pStyle w:val="Artculo"/>
        <w:ind w:left="0"/>
        <w:outlineLvl w:val="2"/>
        <w:rPr>
          <w:b w:val="0"/>
        </w:rPr>
      </w:pPr>
      <w:r>
        <w:t xml:space="preserve">Modificar el artículo 2 de la Resolución CREG </w:t>
      </w:r>
      <w:r w:rsidR="00D857A6">
        <w:t>138</w:t>
      </w:r>
      <w:r>
        <w:t xml:space="preserve"> de 2019. </w:t>
      </w:r>
      <w:r w:rsidRPr="00A71EA8">
        <w:rPr>
          <w:b w:val="0"/>
        </w:rPr>
        <w:t xml:space="preserve">El artículo 2 de la Resolución CREG </w:t>
      </w:r>
      <w:r w:rsidR="00D857A6">
        <w:rPr>
          <w:b w:val="0"/>
        </w:rPr>
        <w:t>138</w:t>
      </w:r>
      <w:r w:rsidRPr="00A71EA8">
        <w:rPr>
          <w:b w:val="0"/>
        </w:rPr>
        <w:t xml:space="preserve"> de 2019 quedará así:</w:t>
      </w:r>
    </w:p>
    <w:p w:rsidR="00D57D9C" w:rsidRPr="00016274" w:rsidRDefault="00D57D9C" w:rsidP="00016274">
      <w:pPr>
        <w:ind w:left="708"/>
        <w:rPr>
          <w:b/>
          <w:sz w:val="22"/>
          <w:szCs w:val="22"/>
        </w:rPr>
      </w:pPr>
      <w:r w:rsidRPr="00016274">
        <w:rPr>
          <w:sz w:val="22"/>
          <w:szCs w:val="22"/>
        </w:rPr>
        <w:t>“</w:t>
      </w:r>
      <w:r w:rsidRPr="00016274">
        <w:rPr>
          <w:b/>
          <w:sz w:val="22"/>
          <w:szCs w:val="22"/>
        </w:rPr>
        <w:t>Artículo 2. Base regulatoria de activos eléctricos al inicio del periodo tarifario.</w:t>
      </w:r>
      <w:r w:rsidRPr="00016274">
        <w:rPr>
          <w:sz w:val="22"/>
          <w:szCs w:val="22"/>
        </w:rPr>
        <w:t xml:space="preserve"> La base regulatoria de activos eléctricos al inicio del periodo tarifario, </w:t>
      </w:r>
      <w:proofErr w:type="gramStart"/>
      <w:r w:rsidRPr="00016274">
        <w:rPr>
          <w:i/>
          <w:sz w:val="22"/>
          <w:szCs w:val="22"/>
        </w:rPr>
        <w:t>BRAE</w:t>
      </w:r>
      <w:r w:rsidRPr="00016274">
        <w:rPr>
          <w:i/>
          <w:sz w:val="22"/>
          <w:szCs w:val="22"/>
          <w:vertAlign w:val="subscript"/>
        </w:rPr>
        <w:t>j,n</w:t>
      </w:r>
      <w:proofErr w:type="gramEnd"/>
      <w:r w:rsidRPr="00016274">
        <w:rPr>
          <w:i/>
          <w:sz w:val="22"/>
          <w:szCs w:val="22"/>
          <w:vertAlign w:val="subscript"/>
        </w:rPr>
        <w:t>,0,</w:t>
      </w:r>
      <w:r w:rsidRPr="00016274">
        <w:rPr>
          <w:sz w:val="22"/>
          <w:szCs w:val="22"/>
        </w:rPr>
        <w:t xml:space="preserve"> es el siguiente:</w:t>
      </w:r>
    </w:p>
    <w:p w:rsidR="00D57D9C" w:rsidRPr="00016274" w:rsidRDefault="00D57D9C" w:rsidP="001F1ADD">
      <w:pPr>
        <w:pStyle w:val="Descripcin"/>
        <w:spacing w:before="240" w:after="240" w:line="240" w:lineRule="auto"/>
        <w:ind w:left="709"/>
        <w:rPr>
          <w:szCs w:val="22"/>
        </w:rPr>
      </w:pPr>
      <w:r w:rsidRPr="00016274">
        <w:rPr>
          <w:szCs w:val="22"/>
        </w:rPr>
        <w:t>Tabla 1 Base regulatoria de activos eléctricos al inicio del periodo tarifario.</w:t>
      </w:r>
    </w:p>
    <w:tbl>
      <w:tblPr>
        <w:tblW w:w="3256" w:type="dxa"/>
        <w:jc w:val="center"/>
        <w:tblCellMar>
          <w:left w:w="70" w:type="dxa"/>
          <w:right w:w="70" w:type="dxa"/>
        </w:tblCellMar>
        <w:tblLook w:val="04A0" w:firstRow="1" w:lastRow="0" w:firstColumn="1" w:lastColumn="0" w:noHBand="0" w:noVBand="1"/>
      </w:tblPr>
      <w:tblGrid>
        <w:gridCol w:w="1281"/>
        <w:gridCol w:w="1975"/>
      </w:tblGrid>
      <w:tr w:rsidR="00D57D9C" w:rsidRPr="00D857A6" w:rsidTr="00437E9E">
        <w:trPr>
          <w:trHeight w:val="520"/>
          <w:jc w:val="center"/>
        </w:trPr>
        <w:tc>
          <w:tcPr>
            <w:tcW w:w="1281" w:type="dxa"/>
            <w:tcBorders>
              <w:top w:val="single" w:sz="4" w:space="0" w:color="auto"/>
              <w:left w:val="single" w:sz="4" w:space="0" w:color="auto"/>
              <w:bottom w:val="single" w:sz="4" w:space="0" w:color="auto"/>
              <w:right w:val="single" w:sz="4" w:space="0" w:color="auto"/>
            </w:tcBorders>
            <w:shd w:val="clear" w:color="000000" w:fill="FFFFFF"/>
            <w:vAlign w:val="center"/>
          </w:tcPr>
          <w:p w:rsidR="00D57D9C" w:rsidRPr="00D857A6" w:rsidRDefault="00D57D9C" w:rsidP="00437E9E">
            <w:pPr>
              <w:spacing w:before="0" w:after="0"/>
              <w:jc w:val="left"/>
              <w:rPr>
                <w:rFonts w:cs="Arial"/>
                <w:b/>
                <w:bCs/>
                <w:sz w:val="18"/>
                <w:szCs w:val="18"/>
                <w:lang w:val="es-CO" w:eastAsia="es-CO"/>
              </w:rPr>
            </w:pPr>
            <w:r w:rsidRPr="00D857A6">
              <w:rPr>
                <w:rFonts w:cs="Arial"/>
                <w:b/>
                <w:bCs/>
                <w:sz w:val="18"/>
                <w:szCs w:val="18"/>
                <w:lang w:val="es-CO" w:eastAsia="es-CO"/>
              </w:rPr>
              <w:t> Variable</w:t>
            </w:r>
          </w:p>
        </w:tc>
        <w:tc>
          <w:tcPr>
            <w:tcW w:w="1975" w:type="dxa"/>
            <w:tcBorders>
              <w:top w:val="single" w:sz="4" w:space="0" w:color="auto"/>
              <w:left w:val="nil"/>
              <w:bottom w:val="single" w:sz="4" w:space="0" w:color="auto"/>
              <w:right w:val="single" w:sz="4" w:space="0" w:color="auto"/>
            </w:tcBorders>
            <w:shd w:val="clear" w:color="000000" w:fill="FFFFFF"/>
            <w:vAlign w:val="bottom"/>
          </w:tcPr>
          <w:p w:rsidR="00D57D9C" w:rsidRPr="00D857A6" w:rsidRDefault="00D57D9C" w:rsidP="00437E9E">
            <w:pPr>
              <w:spacing w:before="0" w:after="0"/>
              <w:jc w:val="center"/>
              <w:rPr>
                <w:rFonts w:cs="Arial"/>
                <w:b/>
                <w:bCs/>
                <w:sz w:val="18"/>
                <w:szCs w:val="18"/>
                <w:lang w:val="es-CO" w:eastAsia="es-CO"/>
              </w:rPr>
            </w:pPr>
            <w:r w:rsidRPr="00D857A6">
              <w:rPr>
                <w:rFonts w:cs="Arial"/>
                <w:b/>
                <w:bCs/>
                <w:sz w:val="18"/>
                <w:szCs w:val="18"/>
                <w:lang w:val="es-CO" w:eastAsia="es-CO"/>
              </w:rPr>
              <w:t>Pesos de diciembre de 2017</w:t>
            </w:r>
          </w:p>
        </w:tc>
      </w:tr>
      <w:tr w:rsidR="00D857A6" w:rsidRPr="00D857A6" w:rsidTr="008F701B">
        <w:trPr>
          <w:trHeight w:val="34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D857A6" w:rsidRPr="00D857A6" w:rsidRDefault="00D857A6" w:rsidP="00D857A6">
            <w:pPr>
              <w:spacing w:before="0" w:after="0"/>
              <w:jc w:val="center"/>
              <w:rPr>
                <w:rFonts w:cs="Arial"/>
                <w:i/>
                <w:iCs/>
                <w:sz w:val="18"/>
                <w:szCs w:val="18"/>
                <w:lang w:val="es-CO" w:eastAsia="es-CO"/>
              </w:rPr>
            </w:pPr>
            <w:r w:rsidRPr="00D857A6">
              <w:rPr>
                <w:rFonts w:cs="Arial"/>
                <w:i/>
                <w:iCs/>
                <w:sz w:val="18"/>
                <w:szCs w:val="18"/>
                <w:lang w:val="es-CO" w:eastAsia="es-CO"/>
              </w:rPr>
              <w:t>BRAE</w:t>
            </w:r>
            <w:r w:rsidRPr="00D857A6">
              <w:rPr>
                <w:rFonts w:cs="Arial"/>
                <w:i/>
                <w:iCs/>
                <w:sz w:val="18"/>
                <w:szCs w:val="18"/>
                <w:vertAlign w:val="subscript"/>
                <w:lang w:val="es-CO" w:eastAsia="es-CO"/>
              </w:rPr>
              <w:t>j,4,0</w:t>
            </w:r>
          </w:p>
        </w:tc>
        <w:tc>
          <w:tcPr>
            <w:tcW w:w="1975" w:type="dxa"/>
            <w:tcBorders>
              <w:top w:val="nil"/>
              <w:left w:val="nil"/>
              <w:bottom w:val="single" w:sz="4" w:space="0" w:color="auto"/>
              <w:right w:val="single" w:sz="4" w:space="0" w:color="auto"/>
            </w:tcBorders>
            <w:shd w:val="clear" w:color="auto" w:fill="auto"/>
            <w:noWrap/>
            <w:vAlign w:val="center"/>
          </w:tcPr>
          <w:p w:rsidR="00D857A6" w:rsidRPr="00D857A6" w:rsidRDefault="00D857A6" w:rsidP="00D857A6">
            <w:pPr>
              <w:spacing w:before="0" w:after="0"/>
              <w:jc w:val="right"/>
              <w:rPr>
                <w:sz w:val="18"/>
                <w:szCs w:val="18"/>
              </w:rPr>
            </w:pPr>
            <w:r w:rsidRPr="00D857A6">
              <w:rPr>
                <w:sz w:val="18"/>
                <w:szCs w:val="18"/>
              </w:rPr>
              <w:t>0</w:t>
            </w:r>
          </w:p>
        </w:tc>
      </w:tr>
      <w:tr w:rsidR="00D857A6" w:rsidRPr="00D857A6" w:rsidTr="008F701B">
        <w:trPr>
          <w:trHeight w:val="34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D857A6" w:rsidRPr="00D857A6" w:rsidRDefault="00D857A6" w:rsidP="00D857A6">
            <w:pPr>
              <w:spacing w:before="0" w:after="0"/>
              <w:jc w:val="center"/>
              <w:rPr>
                <w:rFonts w:cs="Arial"/>
                <w:i/>
                <w:iCs/>
                <w:sz w:val="18"/>
                <w:szCs w:val="18"/>
                <w:lang w:val="es-CO" w:eastAsia="es-CO"/>
              </w:rPr>
            </w:pPr>
            <w:r w:rsidRPr="00D857A6">
              <w:rPr>
                <w:rFonts w:cs="Arial"/>
                <w:i/>
                <w:iCs/>
                <w:sz w:val="18"/>
                <w:szCs w:val="18"/>
                <w:lang w:val="es-CO" w:eastAsia="es-CO"/>
              </w:rPr>
              <w:t>BRAE</w:t>
            </w:r>
            <w:r w:rsidRPr="00D857A6">
              <w:rPr>
                <w:rFonts w:cs="Arial"/>
                <w:i/>
                <w:iCs/>
                <w:sz w:val="18"/>
                <w:szCs w:val="18"/>
                <w:vertAlign w:val="subscript"/>
                <w:lang w:val="es-CO" w:eastAsia="es-CO"/>
              </w:rPr>
              <w:t>j,3,0</w:t>
            </w:r>
          </w:p>
        </w:tc>
        <w:tc>
          <w:tcPr>
            <w:tcW w:w="1975" w:type="dxa"/>
            <w:tcBorders>
              <w:top w:val="nil"/>
              <w:left w:val="nil"/>
              <w:bottom w:val="single" w:sz="4" w:space="0" w:color="auto"/>
              <w:right w:val="single" w:sz="4" w:space="0" w:color="auto"/>
            </w:tcBorders>
            <w:shd w:val="clear" w:color="auto" w:fill="auto"/>
            <w:noWrap/>
            <w:vAlign w:val="center"/>
          </w:tcPr>
          <w:p w:rsidR="00D857A6" w:rsidRPr="00D857A6" w:rsidRDefault="00D857A6" w:rsidP="00D857A6">
            <w:pPr>
              <w:spacing w:before="0" w:after="0"/>
              <w:jc w:val="right"/>
              <w:rPr>
                <w:sz w:val="18"/>
                <w:szCs w:val="18"/>
              </w:rPr>
            </w:pPr>
            <w:r w:rsidRPr="00D857A6">
              <w:rPr>
                <w:sz w:val="18"/>
                <w:szCs w:val="18"/>
              </w:rPr>
              <w:t>46.361.689.461</w:t>
            </w:r>
          </w:p>
        </w:tc>
      </w:tr>
      <w:tr w:rsidR="00D857A6" w:rsidRPr="00D857A6" w:rsidTr="008F701B">
        <w:trPr>
          <w:trHeight w:val="34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D857A6" w:rsidRPr="00D857A6" w:rsidRDefault="00D857A6" w:rsidP="00D857A6">
            <w:pPr>
              <w:spacing w:before="0" w:after="0"/>
              <w:jc w:val="center"/>
              <w:rPr>
                <w:rFonts w:cs="Arial"/>
                <w:i/>
                <w:iCs/>
                <w:sz w:val="18"/>
                <w:szCs w:val="18"/>
                <w:lang w:val="es-CO" w:eastAsia="es-CO"/>
              </w:rPr>
            </w:pPr>
            <w:r w:rsidRPr="00D857A6">
              <w:rPr>
                <w:rFonts w:cs="Arial"/>
                <w:i/>
                <w:iCs/>
                <w:sz w:val="18"/>
                <w:szCs w:val="18"/>
                <w:lang w:val="es-CO" w:eastAsia="es-CO"/>
              </w:rPr>
              <w:t>BRAE</w:t>
            </w:r>
            <w:r w:rsidRPr="00D857A6">
              <w:rPr>
                <w:rFonts w:cs="Arial"/>
                <w:i/>
                <w:iCs/>
                <w:sz w:val="18"/>
                <w:szCs w:val="18"/>
                <w:vertAlign w:val="subscript"/>
                <w:lang w:val="es-CO" w:eastAsia="es-CO"/>
              </w:rPr>
              <w:t>j,2,0</w:t>
            </w:r>
          </w:p>
        </w:tc>
        <w:tc>
          <w:tcPr>
            <w:tcW w:w="1975" w:type="dxa"/>
            <w:tcBorders>
              <w:top w:val="nil"/>
              <w:left w:val="nil"/>
              <w:bottom w:val="single" w:sz="4" w:space="0" w:color="auto"/>
              <w:right w:val="single" w:sz="4" w:space="0" w:color="auto"/>
            </w:tcBorders>
            <w:shd w:val="clear" w:color="auto" w:fill="auto"/>
            <w:noWrap/>
            <w:vAlign w:val="center"/>
          </w:tcPr>
          <w:p w:rsidR="00D857A6" w:rsidRPr="00D857A6" w:rsidRDefault="00D857A6" w:rsidP="00D857A6">
            <w:pPr>
              <w:spacing w:before="0" w:after="0"/>
              <w:jc w:val="right"/>
              <w:rPr>
                <w:sz w:val="18"/>
                <w:szCs w:val="18"/>
              </w:rPr>
            </w:pPr>
            <w:r w:rsidRPr="00D857A6">
              <w:rPr>
                <w:sz w:val="18"/>
                <w:szCs w:val="18"/>
              </w:rPr>
              <w:t>53.134.677.286</w:t>
            </w:r>
          </w:p>
        </w:tc>
      </w:tr>
      <w:tr w:rsidR="00D857A6" w:rsidRPr="00D857A6" w:rsidTr="008F701B">
        <w:trPr>
          <w:trHeight w:val="340"/>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rsidR="00D857A6" w:rsidRPr="00D857A6" w:rsidRDefault="00D857A6" w:rsidP="00D857A6">
            <w:pPr>
              <w:spacing w:before="0" w:after="0"/>
              <w:jc w:val="center"/>
              <w:rPr>
                <w:rFonts w:cs="Arial"/>
                <w:i/>
                <w:iCs/>
                <w:sz w:val="18"/>
                <w:szCs w:val="18"/>
                <w:lang w:val="es-CO" w:eastAsia="es-CO"/>
              </w:rPr>
            </w:pPr>
            <w:r w:rsidRPr="00D857A6">
              <w:rPr>
                <w:rFonts w:cs="Arial"/>
                <w:i/>
                <w:iCs/>
                <w:sz w:val="18"/>
                <w:szCs w:val="18"/>
                <w:lang w:val="es-CO" w:eastAsia="es-CO"/>
              </w:rPr>
              <w:t>BRAE</w:t>
            </w:r>
            <w:r w:rsidRPr="00D857A6">
              <w:rPr>
                <w:rFonts w:cs="Arial"/>
                <w:i/>
                <w:iCs/>
                <w:sz w:val="18"/>
                <w:szCs w:val="18"/>
                <w:vertAlign w:val="subscript"/>
                <w:lang w:val="es-CO" w:eastAsia="es-CO"/>
              </w:rPr>
              <w:t>j,1,0</w:t>
            </w:r>
          </w:p>
        </w:tc>
        <w:tc>
          <w:tcPr>
            <w:tcW w:w="1975" w:type="dxa"/>
            <w:tcBorders>
              <w:top w:val="nil"/>
              <w:left w:val="nil"/>
              <w:bottom w:val="single" w:sz="4" w:space="0" w:color="auto"/>
              <w:right w:val="single" w:sz="4" w:space="0" w:color="auto"/>
            </w:tcBorders>
            <w:shd w:val="clear" w:color="auto" w:fill="auto"/>
            <w:noWrap/>
            <w:vAlign w:val="center"/>
          </w:tcPr>
          <w:p w:rsidR="00D857A6" w:rsidRPr="00D857A6" w:rsidRDefault="00D857A6" w:rsidP="00D857A6">
            <w:pPr>
              <w:spacing w:before="0" w:after="0"/>
              <w:jc w:val="right"/>
              <w:rPr>
                <w:sz w:val="18"/>
                <w:szCs w:val="18"/>
              </w:rPr>
            </w:pPr>
            <w:r w:rsidRPr="00D857A6">
              <w:rPr>
                <w:sz w:val="18"/>
                <w:szCs w:val="18"/>
              </w:rPr>
              <w:t>40.439.595.659</w:t>
            </w:r>
          </w:p>
        </w:tc>
      </w:tr>
    </w:tbl>
    <w:p w:rsidR="00D57D9C" w:rsidRPr="009B0E38" w:rsidRDefault="00D57D9C" w:rsidP="001F1ADD">
      <w:pPr>
        <w:pStyle w:val="Artculo"/>
        <w:ind w:left="0"/>
        <w:outlineLvl w:val="2"/>
        <w:rPr>
          <w:b w:val="0"/>
        </w:rPr>
      </w:pPr>
      <w:r w:rsidRPr="009B0E38">
        <w:t xml:space="preserve">Modificar el artículo </w:t>
      </w:r>
      <w:r w:rsidR="00D857A6">
        <w:t>4</w:t>
      </w:r>
      <w:r w:rsidRPr="009B0E38">
        <w:t xml:space="preserve"> de</w:t>
      </w:r>
      <w:r>
        <w:rPr>
          <w:b w:val="0"/>
        </w:rPr>
        <w:t xml:space="preserve"> </w:t>
      </w:r>
      <w:r w:rsidR="00D857A6">
        <w:t>la Resolución CREG 138</w:t>
      </w:r>
      <w:r>
        <w:t xml:space="preserve"> de 2019. </w:t>
      </w:r>
      <w:r w:rsidR="00D857A6">
        <w:rPr>
          <w:b w:val="0"/>
        </w:rPr>
        <w:t>El artículo 4</w:t>
      </w:r>
      <w:r>
        <w:rPr>
          <w:b w:val="0"/>
        </w:rPr>
        <w:t xml:space="preserve"> de la </w:t>
      </w:r>
      <w:r w:rsidR="00D857A6">
        <w:rPr>
          <w:b w:val="0"/>
        </w:rPr>
        <w:t>Resolución CREG 138</w:t>
      </w:r>
      <w:r w:rsidRPr="00A71EA8">
        <w:rPr>
          <w:b w:val="0"/>
        </w:rPr>
        <w:t xml:space="preserve"> de 2019 quedará así:</w:t>
      </w:r>
    </w:p>
    <w:p w:rsidR="00D57D9C" w:rsidRPr="00016274" w:rsidRDefault="00D57D9C" w:rsidP="00016274">
      <w:pPr>
        <w:ind w:left="708"/>
        <w:rPr>
          <w:b/>
          <w:sz w:val="22"/>
        </w:rPr>
      </w:pPr>
      <w:r w:rsidRPr="00016274">
        <w:rPr>
          <w:sz w:val="22"/>
        </w:rPr>
        <w:t>“</w:t>
      </w:r>
      <w:r w:rsidRPr="00016274">
        <w:rPr>
          <w:b/>
          <w:sz w:val="22"/>
        </w:rPr>
        <w:t>Artículo 4. Recuperación de capital de activos de la BRA inicial.</w:t>
      </w:r>
      <w:r w:rsidRPr="00016274">
        <w:rPr>
          <w:sz w:val="22"/>
        </w:rPr>
        <w:t xml:space="preserve"> El valor de la recuperación de capital reconocida para los activos incluidos en la base regulatoria inicial de activos, </w:t>
      </w:r>
      <w:proofErr w:type="gramStart"/>
      <w:r w:rsidRPr="00016274">
        <w:rPr>
          <w:i/>
          <w:sz w:val="22"/>
        </w:rPr>
        <w:t>RCBIA</w:t>
      </w:r>
      <w:r w:rsidRPr="00016274">
        <w:rPr>
          <w:i/>
          <w:sz w:val="22"/>
          <w:vertAlign w:val="subscript"/>
        </w:rPr>
        <w:t>j,n</w:t>
      </w:r>
      <w:proofErr w:type="gramEnd"/>
      <w:r w:rsidRPr="00016274">
        <w:rPr>
          <w:i/>
          <w:sz w:val="22"/>
          <w:vertAlign w:val="subscript"/>
        </w:rPr>
        <w:t>,1</w:t>
      </w:r>
      <w:r w:rsidRPr="00016274">
        <w:rPr>
          <w:sz w:val="22"/>
        </w:rPr>
        <w:t>, del año 1, para cada nivel de tensión, es el siguiente:</w:t>
      </w:r>
      <w:bookmarkStart w:id="1" w:name="_Ref195412735"/>
      <w:bookmarkStart w:id="2" w:name="_Ref209833384"/>
      <w:bookmarkStart w:id="3" w:name="_Ref476757639"/>
    </w:p>
    <w:p w:rsidR="00D57D9C" w:rsidRDefault="00D57D9C" w:rsidP="001F1ADD">
      <w:pPr>
        <w:pStyle w:val="Descripcin"/>
        <w:spacing w:before="240" w:after="240" w:line="240" w:lineRule="auto"/>
      </w:pPr>
      <w:r>
        <w:lastRenderedPageBreak/>
        <w:t xml:space="preserve">Tabla </w:t>
      </w:r>
      <w:r w:rsidR="00BE5274">
        <w:t>8</w:t>
      </w:r>
      <w:r>
        <w:t xml:space="preserve">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D57D9C" w:rsidRPr="006747D5" w:rsidTr="00437E9E">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7D9C" w:rsidRPr="006747D5" w:rsidRDefault="00D57D9C" w:rsidP="00437E9E">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D57D9C" w:rsidRPr="006747D5" w:rsidRDefault="00D57D9C" w:rsidP="00437E9E">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D857A6" w:rsidRPr="0043040A" w:rsidTr="008F701B">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857A6" w:rsidRPr="006747D5" w:rsidRDefault="00D857A6" w:rsidP="00D857A6">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j,4,1</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57A6" w:rsidRDefault="00D857A6" w:rsidP="00D857A6">
            <w:pPr>
              <w:spacing w:before="0" w:after="0"/>
              <w:jc w:val="right"/>
              <w:rPr>
                <w:rFonts w:cs="Arial"/>
                <w:sz w:val="18"/>
                <w:szCs w:val="18"/>
                <w:lang w:val="es-CO" w:eastAsia="es-CO"/>
              </w:rPr>
            </w:pPr>
            <w:r>
              <w:rPr>
                <w:rFonts w:cs="Arial"/>
                <w:sz w:val="18"/>
                <w:szCs w:val="18"/>
              </w:rPr>
              <w:t>0</w:t>
            </w:r>
          </w:p>
        </w:tc>
      </w:tr>
      <w:tr w:rsidR="00D857A6" w:rsidRPr="0043040A" w:rsidTr="008F701B">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857A6" w:rsidRPr="006747D5" w:rsidRDefault="00D857A6" w:rsidP="00D857A6">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j,3,1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D857A6" w:rsidRDefault="00D857A6" w:rsidP="00D857A6">
            <w:pPr>
              <w:spacing w:before="0" w:after="0"/>
              <w:jc w:val="right"/>
              <w:rPr>
                <w:rFonts w:cs="Arial"/>
                <w:sz w:val="18"/>
                <w:szCs w:val="18"/>
              </w:rPr>
            </w:pPr>
            <w:r>
              <w:rPr>
                <w:rFonts w:cs="Arial"/>
                <w:sz w:val="18"/>
                <w:szCs w:val="18"/>
              </w:rPr>
              <w:t>1.495.830.215</w:t>
            </w:r>
          </w:p>
        </w:tc>
      </w:tr>
      <w:tr w:rsidR="00D857A6" w:rsidRPr="0043040A" w:rsidTr="008F701B">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857A6" w:rsidRPr="006747D5" w:rsidRDefault="00D857A6" w:rsidP="00D857A6">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j,2,1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D857A6" w:rsidRDefault="00D857A6" w:rsidP="00D857A6">
            <w:pPr>
              <w:spacing w:before="0" w:after="0"/>
              <w:jc w:val="right"/>
              <w:rPr>
                <w:rFonts w:cs="Arial"/>
                <w:sz w:val="18"/>
                <w:szCs w:val="18"/>
              </w:rPr>
            </w:pPr>
            <w:r>
              <w:rPr>
                <w:rFonts w:cs="Arial"/>
                <w:sz w:val="18"/>
                <w:szCs w:val="18"/>
              </w:rPr>
              <w:t>1.755.562.127</w:t>
            </w:r>
          </w:p>
        </w:tc>
      </w:tr>
      <w:tr w:rsidR="00D857A6" w:rsidRPr="0043040A" w:rsidTr="008F701B">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857A6" w:rsidRPr="006747D5" w:rsidRDefault="00D857A6" w:rsidP="00D857A6">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j,1,1</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D857A6" w:rsidRDefault="00D857A6" w:rsidP="00D857A6">
            <w:pPr>
              <w:spacing w:before="0" w:after="0"/>
              <w:jc w:val="right"/>
              <w:rPr>
                <w:rFonts w:cs="Arial"/>
                <w:sz w:val="18"/>
                <w:szCs w:val="18"/>
              </w:rPr>
            </w:pPr>
            <w:r>
              <w:rPr>
                <w:rFonts w:cs="Arial"/>
                <w:sz w:val="18"/>
                <w:szCs w:val="18"/>
              </w:rPr>
              <w:t>1.775.031.277</w:t>
            </w:r>
          </w:p>
        </w:tc>
      </w:tr>
    </w:tbl>
    <w:p w:rsidR="00D57D9C" w:rsidRPr="00E47066" w:rsidRDefault="00D57D9C" w:rsidP="001F1ADD">
      <w:pPr>
        <w:pStyle w:val="Artculo"/>
        <w:ind w:left="0"/>
        <w:outlineLvl w:val="2"/>
        <w:rPr>
          <w:b w:val="0"/>
        </w:rPr>
      </w:pPr>
      <w:r>
        <w:t xml:space="preserve">Modificar el artículo 7 de la </w:t>
      </w:r>
      <w:r w:rsidRPr="00A24EB4">
        <w:t>Resolución CREG 1</w:t>
      </w:r>
      <w:r w:rsidR="00BE5274">
        <w:t>38</w:t>
      </w:r>
      <w:r w:rsidRPr="00A24EB4">
        <w:t xml:space="preserve"> de 2019. </w:t>
      </w:r>
      <w:r>
        <w:rPr>
          <w:b w:val="0"/>
        </w:rPr>
        <w:t xml:space="preserve">El Artículo 7 de la </w:t>
      </w:r>
      <w:r w:rsidRPr="00A71EA8">
        <w:rPr>
          <w:b w:val="0"/>
        </w:rPr>
        <w:t xml:space="preserve">Resolución CREG </w:t>
      </w:r>
      <w:r>
        <w:rPr>
          <w:b w:val="0"/>
        </w:rPr>
        <w:t>1</w:t>
      </w:r>
      <w:r w:rsidR="00BE5274">
        <w:rPr>
          <w:b w:val="0"/>
        </w:rPr>
        <w:t>38</w:t>
      </w:r>
      <w:r w:rsidRPr="00A71EA8">
        <w:rPr>
          <w:b w:val="0"/>
        </w:rPr>
        <w:t xml:space="preserve"> de 2019</w:t>
      </w:r>
      <w:r>
        <w:rPr>
          <w:b w:val="0"/>
        </w:rPr>
        <w:t xml:space="preserve"> quedará así:</w:t>
      </w:r>
    </w:p>
    <w:p w:rsidR="00D57D9C" w:rsidRPr="00016274" w:rsidRDefault="00D57D9C" w:rsidP="00016274">
      <w:pPr>
        <w:ind w:left="708"/>
        <w:rPr>
          <w:b/>
          <w:sz w:val="22"/>
        </w:rPr>
      </w:pPr>
      <w:r w:rsidRPr="00016274">
        <w:rPr>
          <w:sz w:val="22"/>
        </w:rPr>
        <w:t>“</w:t>
      </w:r>
      <w:r w:rsidRPr="00016274">
        <w:rPr>
          <w:b/>
          <w:sz w:val="22"/>
        </w:rPr>
        <w:t>Artículo 7. AOM base por nivel de tensión.</w:t>
      </w:r>
      <w:r w:rsidRPr="00016274">
        <w:rPr>
          <w:sz w:val="22"/>
        </w:rPr>
        <w:t xml:space="preserve"> El valor del AOM base para cada nivel de tensión, </w:t>
      </w:r>
      <w:proofErr w:type="spellStart"/>
      <w:proofErr w:type="gramStart"/>
      <w:r w:rsidRPr="00016274">
        <w:rPr>
          <w:i/>
          <w:sz w:val="22"/>
        </w:rPr>
        <w:t>AOMbase</w:t>
      </w:r>
      <w:r w:rsidRPr="00016274">
        <w:rPr>
          <w:i/>
          <w:sz w:val="22"/>
          <w:vertAlign w:val="subscript"/>
        </w:rPr>
        <w:t>j,n</w:t>
      </w:r>
      <w:proofErr w:type="spellEnd"/>
      <w:proofErr w:type="gramEnd"/>
      <w:r w:rsidRPr="00016274">
        <w:rPr>
          <w:sz w:val="22"/>
        </w:rPr>
        <w:t>, es el siguiente:</w:t>
      </w:r>
    </w:p>
    <w:p w:rsidR="00D57D9C" w:rsidRDefault="00D57D9C" w:rsidP="001F1ADD">
      <w:pPr>
        <w:pStyle w:val="Descripcin"/>
        <w:spacing w:before="240" w:after="240" w:line="240" w:lineRule="auto"/>
      </w:pPr>
      <w:r>
        <w:t xml:space="preserve">Tabla </w:t>
      </w:r>
      <w:r w:rsidR="00BE5274">
        <w:t>11</w:t>
      </w:r>
      <w:r>
        <w:t xml:space="preserve"> AOM base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D57D9C" w:rsidRPr="00D443BE" w:rsidTr="00437E9E">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7D9C" w:rsidRPr="00D443BE" w:rsidRDefault="00D57D9C" w:rsidP="00437E9E">
            <w:pPr>
              <w:spacing w:before="0" w:after="0"/>
              <w:jc w:val="center"/>
              <w:rPr>
                <w:rFonts w:cs="Arial"/>
                <w:b/>
                <w:bCs/>
                <w:sz w:val="18"/>
                <w:szCs w:val="18"/>
                <w:lang w:val="es-CO" w:eastAsia="es-CO"/>
              </w:rPr>
            </w:pPr>
            <w:r w:rsidRPr="00D443BE">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D57D9C" w:rsidRPr="00D443BE" w:rsidRDefault="00D57D9C" w:rsidP="00437E9E">
            <w:pPr>
              <w:spacing w:before="0" w:after="0"/>
              <w:jc w:val="center"/>
              <w:rPr>
                <w:rFonts w:cs="Arial"/>
                <w:b/>
                <w:bCs/>
                <w:sz w:val="18"/>
                <w:szCs w:val="18"/>
                <w:lang w:val="es-CO" w:eastAsia="es-CO"/>
              </w:rPr>
            </w:pPr>
            <w:r w:rsidRPr="00D443BE">
              <w:rPr>
                <w:rFonts w:cs="Arial"/>
                <w:b/>
                <w:bCs/>
                <w:sz w:val="18"/>
                <w:szCs w:val="18"/>
                <w:lang w:val="es-CO" w:eastAsia="es-CO"/>
              </w:rPr>
              <w:t>Pesos de diciembre de 2017</w:t>
            </w:r>
          </w:p>
        </w:tc>
      </w:tr>
      <w:tr w:rsidR="00D57D9C" w:rsidRPr="00D443BE" w:rsidTr="00205E1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57D9C" w:rsidRPr="00D443BE" w:rsidRDefault="00D57D9C" w:rsidP="00437E9E">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j,4</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D9C" w:rsidRDefault="00205E17" w:rsidP="00437E9E">
            <w:pPr>
              <w:spacing w:before="0" w:after="0"/>
              <w:jc w:val="right"/>
              <w:rPr>
                <w:rFonts w:cs="Arial"/>
                <w:sz w:val="18"/>
                <w:szCs w:val="18"/>
                <w:lang w:val="es-CO" w:eastAsia="es-CO"/>
              </w:rPr>
            </w:pPr>
            <w:r>
              <w:rPr>
                <w:rFonts w:cs="Arial"/>
                <w:sz w:val="18"/>
                <w:szCs w:val="18"/>
                <w:lang w:val="es-CO" w:eastAsia="es-CO"/>
              </w:rPr>
              <w:t>0</w:t>
            </w:r>
          </w:p>
        </w:tc>
      </w:tr>
      <w:tr w:rsidR="00D57D9C" w:rsidRPr="00D443BE" w:rsidTr="00205E1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57D9C" w:rsidRPr="00D443BE" w:rsidRDefault="00D57D9C" w:rsidP="00437E9E">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j,3</w:t>
            </w:r>
          </w:p>
        </w:tc>
        <w:tc>
          <w:tcPr>
            <w:tcW w:w="1960" w:type="dxa"/>
            <w:tcBorders>
              <w:top w:val="nil"/>
              <w:left w:val="single" w:sz="4" w:space="0" w:color="auto"/>
              <w:bottom w:val="single" w:sz="4" w:space="0" w:color="auto"/>
              <w:right w:val="single" w:sz="4" w:space="0" w:color="auto"/>
            </w:tcBorders>
            <w:shd w:val="clear" w:color="auto" w:fill="auto"/>
            <w:noWrap/>
            <w:vAlign w:val="center"/>
          </w:tcPr>
          <w:p w:rsidR="00D57D9C" w:rsidRDefault="00205E17" w:rsidP="00437E9E">
            <w:pPr>
              <w:spacing w:before="0" w:after="0"/>
              <w:jc w:val="right"/>
              <w:rPr>
                <w:rFonts w:cs="Arial"/>
                <w:sz w:val="18"/>
                <w:szCs w:val="18"/>
              </w:rPr>
            </w:pPr>
            <w:r>
              <w:rPr>
                <w:rFonts w:cs="Arial"/>
                <w:sz w:val="18"/>
                <w:szCs w:val="18"/>
              </w:rPr>
              <w:t>1.383.716.592</w:t>
            </w:r>
          </w:p>
        </w:tc>
      </w:tr>
      <w:tr w:rsidR="00D57D9C" w:rsidRPr="00D443BE" w:rsidTr="00205E1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57D9C" w:rsidRPr="00D443BE" w:rsidRDefault="00D57D9C" w:rsidP="00437E9E">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j,2</w:t>
            </w:r>
          </w:p>
        </w:tc>
        <w:tc>
          <w:tcPr>
            <w:tcW w:w="1960" w:type="dxa"/>
            <w:tcBorders>
              <w:top w:val="nil"/>
              <w:left w:val="single" w:sz="4" w:space="0" w:color="auto"/>
              <w:bottom w:val="single" w:sz="4" w:space="0" w:color="auto"/>
              <w:right w:val="single" w:sz="4" w:space="0" w:color="auto"/>
            </w:tcBorders>
            <w:shd w:val="clear" w:color="auto" w:fill="auto"/>
            <w:noWrap/>
            <w:vAlign w:val="center"/>
          </w:tcPr>
          <w:p w:rsidR="00D57D9C" w:rsidRDefault="00205E17" w:rsidP="00437E9E">
            <w:pPr>
              <w:spacing w:before="0" w:after="0"/>
              <w:jc w:val="right"/>
              <w:rPr>
                <w:rFonts w:cs="Arial"/>
                <w:sz w:val="18"/>
                <w:szCs w:val="18"/>
              </w:rPr>
            </w:pPr>
            <w:r>
              <w:rPr>
                <w:rFonts w:cs="Arial"/>
                <w:sz w:val="18"/>
                <w:szCs w:val="18"/>
              </w:rPr>
              <w:t>1.585.864.006</w:t>
            </w:r>
          </w:p>
        </w:tc>
      </w:tr>
      <w:tr w:rsidR="00D57D9C" w:rsidRPr="00D443BE" w:rsidTr="00205E17">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57D9C" w:rsidRPr="00D443BE" w:rsidRDefault="00D57D9C" w:rsidP="00437E9E">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j,1</w:t>
            </w:r>
          </w:p>
        </w:tc>
        <w:tc>
          <w:tcPr>
            <w:tcW w:w="1960" w:type="dxa"/>
            <w:tcBorders>
              <w:top w:val="nil"/>
              <w:left w:val="single" w:sz="4" w:space="0" w:color="auto"/>
              <w:bottom w:val="single" w:sz="4" w:space="0" w:color="auto"/>
              <w:right w:val="single" w:sz="4" w:space="0" w:color="auto"/>
            </w:tcBorders>
            <w:shd w:val="clear" w:color="auto" w:fill="auto"/>
            <w:noWrap/>
            <w:vAlign w:val="center"/>
          </w:tcPr>
          <w:p w:rsidR="00D57D9C" w:rsidRDefault="00205E17" w:rsidP="00437E9E">
            <w:pPr>
              <w:spacing w:before="0" w:after="0"/>
              <w:jc w:val="right"/>
              <w:rPr>
                <w:rFonts w:cs="Arial"/>
                <w:sz w:val="18"/>
                <w:szCs w:val="18"/>
              </w:rPr>
            </w:pPr>
            <w:r>
              <w:rPr>
                <w:rFonts w:cs="Arial"/>
                <w:sz w:val="18"/>
                <w:szCs w:val="18"/>
              </w:rPr>
              <w:t>1.206.965.064</w:t>
            </w:r>
          </w:p>
        </w:tc>
      </w:tr>
    </w:tbl>
    <w:p w:rsidR="00D57D9C" w:rsidRDefault="00D57D9C" w:rsidP="00D57D9C">
      <w:pPr>
        <w:pStyle w:val="Artculo"/>
        <w:ind w:left="0"/>
        <w:outlineLvl w:val="2"/>
      </w:pPr>
      <w:bookmarkStart w:id="4" w:name="_Ref194754334"/>
      <w:bookmarkEnd w:id="1"/>
      <w:bookmarkEnd w:id="2"/>
      <w:bookmarkEnd w:id="3"/>
      <w:r>
        <w:t>Modificar el artículo 1</w:t>
      </w:r>
      <w:r w:rsidR="00BE5274">
        <w:t>4</w:t>
      </w:r>
      <w:r>
        <w:t xml:space="preserve"> de la </w:t>
      </w:r>
      <w:r w:rsidRPr="00A24EB4">
        <w:t>Resolución CREG 1</w:t>
      </w:r>
      <w:r w:rsidR="00BE5274">
        <w:t>38</w:t>
      </w:r>
      <w:r w:rsidRPr="00A24EB4">
        <w:t xml:space="preserve"> de 2019</w:t>
      </w:r>
      <w:r>
        <w:t xml:space="preserve">. </w:t>
      </w:r>
      <w:r>
        <w:rPr>
          <w:b w:val="0"/>
        </w:rPr>
        <w:t>El artículo 1</w:t>
      </w:r>
      <w:r w:rsidR="00BE5274">
        <w:rPr>
          <w:b w:val="0"/>
        </w:rPr>
        <w:t>4</w:t>
      </w:r>
      <w:r>
        <w:rPr>
          <w:b w:val="0"/>
        </w:rPr>
        <w:t xml:space="preserve"> de la </w:t>
      </w:r>
      <w:r w:rsidRPr="00A71EA8">
        <w:rPr>
          <w:b w:val="0"/>
        </w:rPr>
        <w:t xml:space="preserve">Resolución CREG </w:t>
      </w:r>
      <w:r>
        <w:rPr>
          <w:b w:val="0"/>
        </w:rPr>
        <w:t>1</w:t>
      </w:r>
      <w:r w:rsidR="00BE5274">
        <w:rPr>
          <w:b w:val="0"/>
        </w:rPr>
        <w:t>38</w:t>
      </w:r>
      <w:r w:rsidRPr="00A71EA8">
        <w:rPr>
          <w:b w:val="0"/>
        </w:rPr>
        <w:t xml:space="preserve"> de 2019</w:t>
      </w:r>
      <w:r>
        <w:rPr>
          <w:b w:val="0"/>
        </w:rPr>
        <w:t xml:space="preserve"> quedará así:</w:t>
      </w:r>
    </w:p>
    <w:p w:rsidR="00D57D9C" w:rsidRPr="00016274" w:rsidRDefault="00D57D9C" w:rsidP="00016274">
      <w:pPr>
        <w:ind w:left="708"/>
      </w:pPr>
      <w:r w:rsidRPr="00016274">
        <w:t>“</w:t>
      </w:r>
      <w:r w:rsidRPr="00016274">
        <w:rPr>
          <w:b/>
        </w:rPr>
        <w:t>Artículo 1</w:t>
      </w:r>
      <w:r w:rsidR="00BE5274" w:rsidRPr="00016274">
        <w:rPr>
          <w:b/>
        </w:rPr>
        <w:t>4</w:t>
      </w:r>
      <w:r w:rsidRPr="00016274">
        <w:rPr>
          <w:b/>
        </w:rPr>
        <w:t xml:space="preserve">. </w:t>
      </w:r>
      <w:r w:rsidR="00BE5274" w:rsidRPr="00016274">
        <w:rPr>
          <w:b/>
        </w:rPr>
        <w:t>Índices de referencia pérdidas eficientes</w:t>
      </w:r>
      <w:r w:rsidRPr="00016274">
        <w:rPr>
          <w:b/>
        </w:rPr>
        <w:t>.</w:t>
      </w:r>
      <w:r w:rsidRPr="00016274">
        <w:t xml:space="preserve"> </w:t>
      </w:r>
      <w:r w:rsidR="00BE5274" w:rsidRPr="00016274">
        <w:t xml:space="preserve">Los índices de perdidas eficientes, </w:t>
      </w:r>
      <w:proofErr w:type="spellStart"/>
      <w:proofErr w:type="gramStart"/>
      <w:r w:rsidR="00BE5274" w:rsidRPr="00016274">
        <w:rPr>
          <w:i/>
        </w:rPr>
        <w:t>Pe</w:t>
      </w:r>
      <w:r w:rsidR="00BE5274" w:rsidRPr="00016274">
        <w:rPr>
          <w:i/>
          <w:vertAlign w:val="subscript"/>
        </w:rPr>
        <w:t>j,n</w:t>
      </w:r>
      <w:proofErr w:type="spellEnd"/>
      <w:proofErr w:type="gramEnd"/>
      <w:r w:rsidR="00BE5274" w:rsidRPr="00016274">
        <w:t>, en los niveles de tensión 3, 2 y 1, son los siguientes:</w:t>
      </w:r>
    </w:p>
    <w:p w:rsidR="008F701B" w:rsidRDefault="008F701B" w:rsidP="00016274">
      <w:pPr>
        <w:pStyle w:val="Descripcin"/>
        <w:spacing w:before="240" w:after="240" w:line="240" w:lineRule="auto"/>
      </w:pPr>
      <w:r w:rsidRPr="008F701B">
        <w:t>Tabla 20 Índices de pérdidas eficientes</w:t>
      </w:r>
    </w:p>
    <w:tbl>
      <w:tblPr>
        <w:tblStyle w:val="Tablaconcuadrcula"/>
        <w:tblW w:w="0" w:type="auto"/>
        <w:jc w:val="center"/>
        <w:tblLook w:val="04A0" w:firstRow="1" w:lastRow="0" w:firstColumn="1" w:lastColumn="0" w:noHBand="0" w:noVBand="1"/>
      </w:tblPr>
      <w:tblGrid>
        <w:gridCol w:w="1271"/>
        <w:gridCol w:w="1418"/>
      </w:tblGrid>
      <w:tr w:rsidR="00016274" w:rsidRPr="00016274" w:rsidTr="00016274">
        <w:trPr>
          <w:trHeight w:val="340"/>
          <w:jc w:val="center"/>
        </w:trPr>
        <w:tc>
          <w:tcPr>
            <w:tcW w:w="1271" w:type="dxa"/>
            <w:vAlign w:val="center"/>
          </w:tcPr>
          <w:p w:rsidR="00016274" w:rsidRPr="00016274" w:rsidRDefault="00016274" w:rsidP="00016274">
            <w:pPr>
              <w:spacing w:before="0" w:after="0"/>
              <w:jc w:val="center"/>
              <w:rPr>
                <w:b/>
                <w:sz w:val="18"/>
                <w:szCs w:val="18"/>
              </w:rPr>
            </w:pPr>
            <w:r w:rsidRPr="00016274">
              <w:rPr>
                <w:b/>
                <w:sz w:val="18"/>
                <w:szCs w:val="18"/>
              </w:rPr>
              <w:t>Variable</w:t>
            </w:r>
          </w:p>
        </w:tc>
        <w:tc>
          <w:tcPr>
            <w:tcW w:w="1418" w:type="dxa"/>
            <w:vAlign w:val="center"/>
          </w:tcPr>
          <w:p w:rsidR="00016274" w:rsidRPr="00016274" w:rsidRDefault="00016274" w:rsidP="00016274">
            <w:pPr>
              <w:spacing w:before="0" w:after="0"/>
              <w:jc w:val="center"/>
              <w:rPr>
                <w:b/>
                <w:sz w:val="18"/>
                <w:szCs w:val="18"/>
              </w:rPr>
            </w:pPr>
            <w:r w:rsidRPr="00016274">
              <w:rPr>
                <w:b/>
                <w:sz w:val="18"/>
                <w:szCs w:val="18"/>
              </w:rPr>
              <w:t>Valor</w:t>
            </w:r>
          </w:p>
        </w:tc>
      </w:tr>
      <w:tr w:rsidR="00016274" w:rsidRPr="00016274" w:rsidTr="00016274">
        <w:trPr>
          <w:trHeight w:val="340"/>
          <w:jc w:val="center"/>
        </w:trPr>
        <w:tc>
          <w:tcPr>
            <w:tcW w:w="1271" w:type="dxa"/>
            <w:vAlign w:val="center"/>
          </w:tcPr>
          <w:p w:rsidR="00016274" w:rsidRPr="00016274" w:rsidRDefault="00016274" w:rsidP="00016274">
            <w:pPr>
              <w:spacing w:before="0" w:after="0"/>
              <w:jc w:val="left"/>
              <w:rPr>
                <w:i/>
                <w:sz w:val="18"/>
                <w:szCs w:val="18"/>
                <w:vertAlign w:val="subscript"/>
              </w:rPr>
            </w:pPr>
            <w:r w:rsidRPr="00016274">
              <w:rPr>
                <w:i/>
                <w:sz w:val="18"/>
                <w:szCs w:val="18"/>
              </w:rPr>
              <w:t>Pe</w:t>
            </w:r>
            <w:r w:rsidRPr="00016274">
              <w:rPr>
                <w:i/>
                <w:sz w:val="18"/>
                <w:szCs w:val="18"/>
                <w:vertAlign w:val="subscript"/>
              </w:rPr>
              <w:t>j,3</w:t>
            </w:r>
          </w:p>
        </w:tc>
        <w:tc>
          <w:tcPr>
            <w:tcW w:w="1418" w:type="dxa"/>
            <w:vAlign w:val="center"/>
          </w:tcPr>
          <w:p w:rsidR="00016274" w:rsidRPr="00016274" w:rsidRDefault="00205E17" w:rsidP="00205E17">
            <w:pPr>
              <w:spacing w:before="0" w:after="0"/>
              <w:jc w:val="right"/>
              <w:rPr>
                <w:sz w:val="18"/>
                <w:szCs w:val="18"/>
              </w:rPr>
            </w:pPr>
            <w:r>
              <w:rPr>
                <w:sz w:val="18"/>
                <w:szCs w:val="18"/>
              </w:rPr>
              <w:t>1,82%</w:t>
            </w:r>
          </w:p>
        </w:tc>
      </w:tr>
      <w:tr w:rsidR="00016274" w:rsidRPr="00016274" w:rsidTr="00016274">
        <w:trPr>
          <w:trHeight w:val="340"/>
          <w:jc w:val="center"/>
        </w:trPr>
        <w:tc>
          <w:tcPr>
            <w:tcW w:w="1271" w:type="dxa"/>
            <w:vAlign w:val="center"/>
          </w:tcPr>
          <w:p w:rsidR="00016274" w:rsidRPr="00016274" w:rsidRDefault="00016274" w:rsidP="00016274">
            <w:pPr>
              <w:spacing w:before="0" w:after="0"/>
              <w:jc w:val="left"/>
              <w:rPr>
                <w:sz w:val="18"/>
                <w:szCs w:val="18"/>
              </w:rPr>
            </w:pPr>
            <w:r w:rsidRPr="00016274">
              <w:rPr>
                <w:i/>
                <w:sz w:val="18"/>
                <w:szCs w:val="18"/>
              </w:rPr>
              <w:t>Pe</w:t>
            </w:r>
            <w:r w:rsidRPr="00016274">
              <w:rPr>
                <w:i/>
                <w:sz w:val="18"/>
                <w:szCs w:val="18"/>
                <w:vertAlign w:val="subscript"/>
              </w:rPr>
              <w:t>j,2</w:t>
            </w:r>
          </w:p>
        </w:tc>
        <w:tc>
          <w:tcPr>
            <w:tcW w:w="1418" w:type="dxa"/>
            <w:vAlign w:val="center"/>
          </w:tcPr>
          <w:p w:rsidR="00016274" w:rsidRPr="00016274" w:rsidRDefault="00205E17" w:rsidP="00205E17">
            <w:pPr>
              <w:spacing w:before="0" w:after="0"/>
              <w:jc w:val="right"/>
              <w:rPr>
                <w:sz w:val="18"/>
                <w:szCs w:val="18"/>
              </w:rPr>
            </w:pPr>
            <w:r>
              <w:rPr>
                <w:sz w:val="18"/>
                <w:szCs w:val="18"/>
              </w:rPr>
              <w:t>1,43%</w:t>
            </w:r>
          </w:p>
        </w:tc>
      </w:tr>
      <w:tr w:rsidR="00016274" w:rsidRPr="00016274" w:rsidTr="00016274">
        <w:trPr>
          <w:trHeight w:val="340"/>
          <w:jc w:val="center"/>
        </w:trPr>
        <w:tc>
          <w:tcPr>
            <w:tcW w:w="1271" w:type="dxa"/>
            <w:vAlign w:val="center"/>
          </w:tcPr>
          <w:p w:rsidR="00016274" w:rsidRPr="00016274" w:rsidRDefault="00016274" w:rsidP="00016274">
            <w:pPr>
              <w:spacing w:before="0" w:after="0"/>
              <w:jc w:val="left"/>
              <w:rPr>
                <w:sz w:val="18"/>
                <w:szCs w:val="18"/>
              </w:rPr>
            </w:pPr>
            <w:r w:rsidRPr="00016274">
              <w:rPr>
                <w:i/>
                <w:sz w:val="18"/>
                <w:szCs w:val="18"/>
              </w:rPr>
              <w:t>Pe</w:t>
            </w:r>
            <w:r w:rsidRPr="00016274">
              <w:rPr>
                <w:i/>
                <w:sz w:val="18"/>
                <w:szCs w:val="18"/>
                <w:vertAlign w:val="subscript"/>
              </w:rPr>
              <w:t>j,1</w:t>
            </w:r>
          </w:p>
        </w:tc>
        <w:tc>
          <w:tcPr>
            <w:tcW w:w="1418" w:type="dxa"/>
            <w:vAlign w:val="center"/>
          </w:tcPr>
          <w:p w:rsidR="00016274" w:rsidRPr="00016274" w:rsidRDefault="00205E17" w:rsidP="00016274">
            <w:pPr>
              <w:spacing w:before="0" w:after="0"/>
              <w:jc w:val="right"/>
              <w:rPr>
                <w:sz w:val="18"/>
                <w:szCs w:val="18"/>
              </w:rPr>
            </w:pPr>
            <w:r>
              <w:rPr>
                <w:sz w:val="18"/>
                <w:szCs w:val="18"/>
              </w:rPr>
              <w:t>7,74%</w:t>
            </w:r>
          </w:p>
        </w:tc>
      </w:tr>
    </w:tbl>
    <w:p w:rsidR="00D57D9C" w:rsidRPr="00E47066" w:rsidRDefault="00D57D9C" w:rsidP="001F1ADD">
      <w:pPr>
        <w:pStyle w:val="Artculo"/>
        <w:ind w:left="0"/>
      </w:pPr>
      <w:r w:rsidRPr="00E47066">
        <w:t>Modificar el artículo 1</w:t>
      </w:r>
      <w:r w:rsidR="008F701B">
        <w:t>5</w:t>
      </w:r>
      <w:r w:rsidRPr="00E47066">
        <w:t xml:space="preserve"> de la Resolución CREG 1</w:t>
      </w:r>
      <w:r w:rsidR="008F701B">
        <w:t>38</w:t>
      </w:r>
      <w:r w:rsidRPr="00E47066">
        <w:t xml:space="preserve"> de 2019</w:t>
      </w:r>
      <w:r>
        <w:t xml:space="preserve">. </w:t>
      </w:r>
      <w:r w:rsidRPr="006834A5">
        <w:rPr>
          <w:b w:val="0"/>
        </w:rPr>
        <w:t>El artículo</w:t>
      </w:r>
      <w:r>
        <w:t xml:space="preserve"> </w:t>
      </w:r>
      <w:r w:rsidRPr="006834A5">
        <w:rPr>
          <w:b w:val="0"/>
        </w:rPr>
        <w:t>1</w:t>
      </w:r>
      <w:r w:rsidR="008F701B">
        <w:rPr>
          <w:b w:val="0"/>
        </w:rPr>
        <w:t>5</w:t>
      </w:r>
      <w:r w:rsidRPr="006834A5">
        <w:rPr>
          <w:b w:val="0"/>
        </w:rPr>
        <w:t xml:space="preserve"> de la Resolución CREG 1</w:t>
      </w:r>
      <w:r w:rsidR="008F701B">
        <w:rPr>
          <w:b w:val="0"/>
        </w:rPr>
        <w:t>38</w:t>
      </w:r>
      <w:r w:rsidRPr="006834A5">
        <w:rPr>
          <w:b w:val="0"/>
        </w:rPr>
        <w:t xml:space="preserve"> de 2019</w:t>
      </w:r>
      <w:r>
        <w:rPr>
          <w:b w:val="0"/>
        </w:rPr>
        <w:t xml:space="preserve"> quedará así:</w:t>
      </w:r>
    </w:p>
    <w:p w:rsidR="00D57D9C" w:rsidRDefault="00D57D9C" w:rsidP="001F1ADD">
      <w:pPr>
        <w:pStyle w:val="Artculo"/>
        <w:numPr>
          <w:ilvl w:val="0"/>
          <w:numId w:val="0"/>
        </w:numPr>
        <w:ind w:left="708"/>
        <w:outlineLvl w:val="2"/>
        <w:rPr>
          <w:b w:val="0"/>
        </w:rPr>
      </w:pPr>
      <w:r>
        <w:t>“Artículo 1</w:t>
      </w:r>
      <w:r w:rsidR="00234CD0">
        <w:t>5</w:t>
      </w:r>
      <w:r>
        <w:t xml:space="preserve">. </w:t>
      </w:r>
      <w:r w:rsidRPr="00823CA6">
        <w:t>Costos de reposición de referencia.</w:t>
      </w:r>
      <w:r>
        <w:rPr>
          <w:b w:val="0"/>
        </w:rPr>
        <w:t xml:space="preserve"> El costo de reposición de referencia, </w:t>
      </w:r>
      <w:proofErr w:type="spellStart"/>
      <w:r w:rsidRPr="00734187">
        <w:rPr>
          <w:b w:val="0"/>
          <w:i/>
        </w:rPr>
        <w:t>CRR</w:t>
      </w:r>
      <w:r w:rsidRPr="00734187">
        <w:rPr>
          <w:b w:val="0"/>
          <w:i/>
          <w:vertAlign w:val="subscript"/>
        </w:rPr>
        <w:t>j</w:t>
      </w:r>
      <w:proofErr w:type="spellEnd"/>
      <w:r>
        <w:rPr>
          <w:b w:val="0"/>
        </w:rPr>
        <w:t xml:space="preserve">, y los costos de reposición de referencia por nivel de tensión, </w:t>
      </w:r>
      <w:proofErr w:type="spellStart"/>
      <w:proofErr w:type="gramStart"/>
      <w:r w:rsidRPr="00734187">
        <w:rPr>
          <w:b w:val="0"/>
          <w:i/>
        </w:rPr>
        <w:t>C</w:t>
      </w:r>
      <w:r>
        <w:rPr>
          <w:b w:val="0"/>
          <w:i/>
        </w:rPr>
        <w:t>rr</w:t>
      </w:r>
      <w:r w:rsidRPr="00734187">
        <w:rPr>
          <w:b w:val="0"/>
          <w:i/>
          <w:vertAlign w:val="subscript"/>
        </w:rPr>
        <w:t>j</w:t>
      </w:r>
      <w:r>
        <w:rPr>
          <w:b w:val="0"/>
          <w:i/>
          <w:vertAlign w:val="subscript"/>
        </w:rPr>
        <w:t>,n</w:t>
      </w:r>
      <w:proofErr w:type="spellEnd"/>
      <w:proofErr w:type="gramEnd"/>
      <w:r>
        <w:rPr>
          <w:b w:val="0"/>
        </w:rPr>
        <w:t xml:space="preserve">, son los </w:t>
      </w:r>
      <w:r w:rsidRPr="00690CEF">
        <w:rPr>
          <w:b w:val="0"/>
        </w:rPr>
        <w:t>siguiente</w:t>
      </w:r>
      <w:r>
        <w:rPr>
          <w:b w:val="0"/>
        </w:rPr>
        <w:t>s</w:t>
      </w:r>
      <w:r w:rsidRPr="00690CEF">
        <w:rPr>
          <w:b w:val="0"/>
        </w:rPr>
        <w:t>:</w:t>
      </w:r>
    </w:p>
    <w:p w:rsidR="00D57D9C" w:rsidRDefault="00D57D9C" w:rsidP="001F1ADD">
      <w:pPr>
        <w:pStyle w:val="Descripcin"/>
        <w:widowControl/>
        <w:spacing w:before="240" w:after="240" w:line="240" w:lineRule="auto"/>
      </w:pPr>
      <w:r>
        <w:t xml:space="preserve">Tabla </w:t>
      </w:r>
      <w:r w:rsidR="00016274">
        <w:t>21</w:t>
      </w:r>
      <w:r>
        <w:t xml:space="preserve"> Costo de reposición de referencia</w:t>
      </w:r>
    </w:p>
    <w:tbl>
      <w:tblPr>
        <w:tblW w:w="3320" w:type="dxa"/>
        <w:jc w:val="center"/>
        <w:tblCellMar>
          <w:left w:w="70" w:type="dxa"/>
          <w:right w:w="70" w:type="dxa"/>
        </w:tblCellMar>
        <w:tblLook w:val="04A0" w:firstRow="1" w:lastRow="0" w:firstColumn="1" w:lastColumn="0" w:noHBand="0" w:noVBand="1"/>
      </w:tblPr>
      <w:tblGrid>
        <w:gridCol w:w="1360"/>
        <w:gridCol w:w="1960"/>
      </w:tblGrid>
      <w:tr w:rsidR="00D57D9C" w:rsidRPr="000E022D" w:rsidTr="00016274">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7D9C" w:rsidRPr="000E022D" w:rsidRDefault="00D57D9C" w:rsidP="00437E9E">
            <w:pPr>
              <w:keepNext/>
              <w:spacing w:before="0" w:after="0"/>
              <w:jc w:val="center"/>
              <w:rPr>
                <w:rFonts w:cs="Arial"/>
                <w:b/>
                <w:bCs/>
                <w:sz w:val="18"/>
                <w:szCs w:val="18"/>
                <w:lang w:val="es-CO" w:eastAsia="es-CO"/>
              </w:rPr>
            </w:pPr>
            <w:r w:rsidRPr="000E022D">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D57D9C" w:rsidRPr="000E022D" w:rsidRDefault="00D57D9C" w:rsidP="00437E9E">
            <w:pPr>
              <w:keepNext/>
              <w:spacing w:before="0" w:after="0"/>
              <w:jc w:val="center"/>
              <w:rPr>
                <w:rFonts w:cs="Arial"/>
                <w:b/>
                <w:bCs/>
                <w:sz w:val="18"/>
                <w:szCs w:val="18"/>
                <w:lang w:val="es-CO" w:eastAsia="es-CO"/>
              </w:rPr>
            </w:pPr>
            <w:r w:rsidRPr="000E022D">
              <w:rPr>
                <w:rFonts w:cs="Arial"/>
                <w:b/>
                <w:bCs/>
                <w:sz w:val="18"/>
                <w:szCs w:val="18"/>
                <w:lang w:val="es-CO" w:eastAsia="es-CO"/>
              </w:rPr>
              <w:t>Pesos de diciembre de 2017</w:t>
            </w:r>
          </w:p>
        </w:tc>
      </w:tr>
      <w:tr w:rsidR="00D57D9C" w:rsidRPr="000E022D" w:rsidTr="008F701B">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57D9C" w:rsidRPr="000E022D" w:rsidRDefault="00D57D9C" w:rsidP="00437E9E">
            <w:pPr>
              <w:keepNext/>
              <w:spacing w:before="0" w:after="0"/>
              <w:jc w:val="center"/>
              <w:rPr>
                <w:rFonts w:cs="Arial"/>
                <w:i/>
                <w:iCs/>
                <w:sz w:val="18"/>
                <w:szCs w:val="18"/>
                <w:lang w:val="es-CO" w:eastAsia="es-CO"/>
              </w:rPr>
            </w:pPr>
            <w:proofErr w:type="spellStart"/>
            <w:r w:rsidRPr="000E022D">
              <w:rPr>
                <w:rFonts w:cs="Arial"/>
                <w:i/>
                <w:iCs/>
                <w:sz w:val="18"/>
                <w:szCs w:val="18"/>
                <w:lang w:val="es-CO" w:eastAsia="es-CO"/>
              </w:rPr>
              <w:t>CRR</w:t>
            </w:r>
            <w:r w:rsidRPr="000E022D">
              <w:rPr>
                <w:rFonts w:cs="Arial"/>
                <w:i/>
                <w:iCs/>
                <w:color w:val="000000"/>
                <w:sz w:val="18"/>
                <w:szCs w:val="18"/>
                <w:vertAlign w:val="subscript"/>
                <w:lang w:val="es-CO" w:eastAsia="es-CO"/>
              </w:rPr>
              <w:t>j</w:t>
            </w:r>
            <w:proofErr w:type="spellEnd"/>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D9C" w:rsidRDefault="00205E17" w:rsidP="00437E9E">
            <w:pPr>
              <w:keepNext/>
              <w:spacing w:before="0" w:after="0"/>
              <w:jc w:val="right"/>
              <w:rPr>
                <w:rFonts w:cs="Arial"/>
                <w:sz w:val="18"/>
                <w:szCs w:val="18"/>
                <w:lang w:val="es-CO" w:eastAsia="es-CO"/>
              </w:rPr>
            </w:pPr>
            <w:r>
              <w:rPr>
                <w:rFonts w:cs="Arial"/>
                <w:sz w:val="18"/>
                <w:szCs w:val="18"/>
                <w:lang w:val="es-CO" w:eastAsia="es-CO"/>
              </w:rPr>
              <w:t>149.906.281.944</w:t>
            </w:r>
          </w:p>
        </w:tc>
      </w:tr>
      <w:tr w:rsidR="00D57D9C" w:rsidRPr="000E022D" w:rsidTr="008F701B">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57D9C" w:rsidRPr="000E022D" w:rsidRDefault="00D57D9C" w:rsidP="00437E9E">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j,4</w:t>
            </w:r>
          </w:p>
        </w:tc>
        <w:tc>
          <w:tcPr>
            <w:tcW w:w="1960" w:type="dxa"/>
            <w:tcBorders>
              <w:top w:val="nil"/>
              <w:left w:val="single" w:sz="4" w:space="0" w:color="auto"/>
              <w:bottom w:val="single" w:sz="4" w:space="0" w:color="auto"/>
              <w:right w:val="single" w:sz="4" w:space="0" w:color="auto"/>
            </w:tcBorders>
            <w:shd w:val="clear" w:color="auto" w:fill="auto"/>
            <w:noWrap/>
            <w:vAlign w:val="center"/>
          </w:tcPr>
          <w:p w:rsidR="00D57D9C" w:rsidRDefault="00205E17" w:rsidP="00437E9E">
            <w:pPr>
              <w:spacing w:before="0" w:after="0"/>
              <w:jc w:val="right"/>
              <w:rPr>
                <w:rFonts w:cs="Arial"/>
                <w:sz w:val="18"/>
                <w:szCs w:val="18"/>
              </w:rPr>
            </w:pPr>
            <w:r>
              <w:rPr>
                <w:rFonts w:cs="Arial"/>
                <w:sz w:val="18"/>
                <w:szCs w:val="18"/>
              </w:rPr>
              <w:t>0</w:t>
            </w:r>
          </w:p>
        </w:tc>
      </w:tr>
      <w:tr w:rsidR="00D57D9C" w:rsidRPr="000E022D" w:rsidTr="008F701B">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57D9C" w:rsidRPr="000E022D" w:rsidRDefault="00D57D9C" w:rsidP="00437E9E">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j,3</w:t>
            </w:r>
          </w:p>
        </w:tc>
        <w:tc>
          <w:tcPr>
            <w:tcW w:w="1960" w:type="dxa"/>
            <w:tcBorders>
              <w:top w:val="nil"/>
              <w:left w:val="single" w:sz="4" w:space="0" w:color="auto"/>
              <w:bottom w:val="single" w:sz="4" w:space="0" w:color="auto"/>
              <w:right w:val="single" w:sz="4" w:space="0" w:color="auto"/>
            </w:tcBorders>
            <w:shd w:val="clear" w:color="auto" w:fill="auto"/>
            <w:noWrap/>
            <w:vAlign w:val="center"/>
          </w:tcPr>
          <w:p w:rsidR="00D57D9C" w:rsidRDefault="00205E17" w:rsidP="00437E9E">
            <w:pPr>
              <w:spacing w:before="0" w:after="0"/>
              <w:jc w:val="right"/>
              <w:rPr>
                <w:rFonts w:cs="Arial"/>
                <w:sz w:val="18"/>
                <w:szCs w:val="18"/>
              </w:rPr>
            </w:pPr>
            <w:r>
              <w:rPr>
                <w:rFonts w:cs="Arial"/>
                <w:sz w:val="18"/>
                <w:szCs w:val="18"/>
              </w:rPr>
              <w:t>49.406.026.540</w:t>
            </w:r>
          </w:p>
        </w:tc>
      </w:tr>
      <w:tr w:rsidR="00D57D9C" w:rsidRPr="000E022D" w:rsidTr="008F701B">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57D9C" w:rsidRPr="000E022D" w:rsidRDefault="00D57D9C" w:rsidP="00437E9E">
            <w:pPr>
              <w:spacing w:before="0" w:after="0"/>
              <w:jc w:val="center"/>
              <w:rPr>
                <w:rFonts w:cs="Arial"/>
                <w:i/>
                <w:iCs/>
                <w:sz w:val="18"/>
                <w:szCs w:val="18"/>
                <w:lang w:val="es-CO" w:eastAsia="es-CO"/>
              </w:rPr>
            </w:pPr>
            <w:r w:rsidRPr="000E022D">
              <w:rPr>
                <w:rFonts w:cs="Arial"/>
                <w:i/>
                <w:iCs/>
                <w:sz w:val="18"/>
                <w:szCs w:val="18"/>
                <w:lang w:val="es-CO" w:eastAsia="es-CO"/>
              </w:rPr>
              <w:lastRenderedPageBreak/>
              <w:t>Crr</w:t>
            </w:r>
            <w:r w:rsidRPr="000E022D">
              <w:rPr>
                <w:rFonts w:cs="Arial"/>
                <w:i/>
                <w:iCs/>
                <w:color w:val="000000"/>
                <w:sz w:val="18"/>
                <w:szCs w:val="18"/>
                <w:vertAlign w:val="subscript"/>
                <w:lang w:val="es-CO" w:eastAsia="es-CO"/>
              </w:rPr>
              <w:t>j,2</w:t>
            </w:r>
          </w:p>
        </w:tc>
        <w:tc>
          <w:tcPr>
            <w:tcW w:w="1960" w:type="dxa"/>
            <w:tcBorders>
              <w:top w:val="nil"/>
              <w:left w:val="single" w:sz="4" w:space="0" w:color="auto"/>
              <w:bottom w:val="single" w:sz="4" w:space="0" w:color="auto"/>
              <w:right w:val="single" w:sz="4" w:space="0" w:color="auto"/>
            </w:tcBorders>
            <w:shd w:val="clear" w:color="auto" w:fill="auto"/>
            <w:noWrap/>
            <w:vAlign w:val="center"/>
          </w:tcPr>
          <w:p w:rsidR="00D57D9C" w:rsidRDefault="00A43EC5" w:rsidP="00437E9E">
            <w:pPr>
              <w:spacing w:before="0" w:after="0"/>
              <w:jc w:val="right"/>
              <w:rPr>
                <w:rFonts w:cs="Arial"/>
                <w:sz w:val="18"/>
                <w:szCs w:val="18"/>
              </w:rPr>
            </w:pPr>
            <w:r>
              <w:rPr>
                <w:rFonts w:cs="Arial"/>
                <w:sz w:val="18"/>
                <w:szCs w:val="18"/>
              </w:rPr>
              <w:t>56.648.826.113</w:t>
            </w:r>
          </w:p>
        </w:tc>
      </w:tr>
      <w:tr w:rsidR="00D57D9C" w:rsidRPr="000E022D" w:rsidTr="008F701B">
        <w:trPr>
          <w:trHeight w:val="340"/>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D57D9C" w:rsidRPr="000E022D" w:rsidRDefault="00D57D9C" w:rsidP="00437E9E">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j,1</w:t>
            </w:r>
          </w:p>
        </w:tc>
        <w:tc>
          <w:tcPr>
            <w:tcW w:w="1960" w:type="dxa"/>
            <w:tcBorders>
              <w:top w:val="nil"/>
              <w:left w:val="single" w:sz="4" w:space="0" w:color="auto"/>
              <w:bottom w:val="single" w:sz="4" w:space="0" w:color="auto"/>
              <w:right w:val="single" w:sz="4" w:space="0" w:color="auto"/>
            </w:tcBorders>
            <w:shd w:val="clear" w:color="auto" w:fill="auto"/>
            <w:noWrap/>
            <w:vAlign w:val="center"/>
          </w:tcPr>
          <w:p w:rsidR="00D57D9C" w:rsidRDefault="00A43EC5" w:rsidP="00437E9E">
            <w:pPr>
              <w:spacing w:before="0" w:after="0"/>
              <w:jc w:val="right"/>
              <w:rPr>
                <w:rFonts w:cs="Arial"/>
                <w:sz w:val="18"/>
                <w:szCs w:val="18"/>
              </w:rPr>
            </w:pPr>
            <w:r>
              <w:rPr>
                <w:rFonts w:cs="Arial"/>
                <w:sz w:val="18"/>
                <w:szCs w:val="18"/>
              </w:rPr>
              <w:t>43.851.429.291</w:t>
            </w:r>
          </w:p>
        </w:tc>
      </w:tr>
      <w:bookmarkEnd w:id="4"/>
    </w:tbl>
    <w:p w:rsidR="003928B8" w:rsidRDefault="003928B8" w:rsidP="003928B8">
      <w:pPr>
        <w:pStyle w:val="Artculo"/>
        <w:numPr>
          <w:ilvl w:val="0"/>
          <w:numId w:val="0"/>
        </w:numPr>
        <w:spacing w:before="0" w:after="0"/>
        <w:rPr>
          <w:b w:val="0"/>
        </w:rPr>
      </w:pPr>
    </w:p>
    <w:p w:rsidR="00D57D9C" w:rsidRDefault="00D57D9C" w:rsidP="003928B8">
      <w:pPr>
        <w:pStyle w:val="Artculo"/>
        <w:spacing w:before="0" w:after="0"/>
        <w:ind w:left="0"/>
        <w:rPr>
          <w:b w:val="0"/>
        </w:rPr>
      </w:pPr>
      <w:r w:rsidRPr="00A4007A">
        <w:rPr>
          <w:b w:val="0"/>
        </w:rPr>
        <w:t>La presente resolución deberá notificarse a</w:t>
      </w:r>
      <w:r w:rsidR="00234CD0">
        <w:rPr>
          <w:b w:val="0"/>
        </w:rPr>
        <w:t>l representante legal de</w:t>
      </w:r>
      <w:r w:rsidRPr="00A4007A">
        <w:rPr>
          <w:b w:val="0"/>
        </w:rPr>
        <w:t xml:space="preserve"> </w:t>
      </w:r>
      <w:r w:rsidR="008F701B">
        <w:rPr>
          <w:b w:val="0"/>
        </w:rPr>
        <w:t>la Compañía de Electricidad de Tuluá</w:t>
      </w:r>
      <w:r>
        <w:rPr>
          <w:b w:val="0"/>
        </w:rPr>
        <w:t xml:space="preserve"> S.A. E.S.P.</w:t>
      </w:r>
      <w:r w:rsidRPr="00F91043">
        <w:rPr>
          <w:b w:val="0"/>
        </w:rPr>
        <w:t xml:space="preserve"> </w:t>
      </w:r>
      <w:r w:rsidR="00234CD0">
        <w:rPr>
          <w:b w:val="0"/>
        </w:rPr>
        <w:t>C</w:t>
      </w:r>
      <w:r w:rsidRPr="00A4007A">
        <w:rPr>
          <w:b w:val="0"/>
        </w:rPr>
        <w:t>ontra lo aquí dispuesto no procede recurso alguno por haber finalizado la actuación administrativa correspondiente a la presentación de recursos previsto en la Ley.</w:t>
      </w:r>
    </w:p>
    <w:p w:rsidR="00D57D9C" w:rsidRPr="00BF69C9" w:rsidRDefault="00D57D9C" w:rsidP="00D57D9C">
      <w:pPr>
        <w:spacing w:before="0" w:after="0"/>
        <w:jc w:val="center"/>
        <w:rPr>
          <w:b/>
        </w:rPr>
      </w:pPr>
    </w:p>
    <w:p w:rsidR="00D57D9C" w:rsidRPr="00BF69C9" w:rsidRDefault="00D57D9C" w:rsidP="00D57D9C">
      <w:pPr>
        <w:spacing w:before="0" w:after="0"/>
        <w:jc w:val="center"/>
        <w:rPr>
          <w:b/>
        </w:rPr>
      </w:pPr>
      <w:r>
        <w:rPr>
          <w:b/>
        </w:rPr>
        <w:t>NOTIFÍQUESE</w:t>
      </w:r>
      <w:r w:rsidRPr="00BF69C9">
        <w:rPr>
          <w:b/>
        </w:rPr>
        <w:t xml:space="preserve"> Y CÚMPLASE</w:t>
      </w:r>
    </w:p>
    <w:p w:rsidR="00D57D9C" w:rsidRPr="00BF69C9" w:rsidRDefault="00D57D9C" w:rsidP="00D57D9C">
      <w:pPr>
        <w:ind w:right="425"/>
        <w:jc w:val="left"/>
      </w:pPr>
    </w:p>
    <w:p w:rsidR="00D57D9C" w:rsidRPr="00BF69C9" w:rsidRDefault="00D57D9C" w:rsidP="00D57D9C">
      <w:r w:rsidRPr="00BF69C9">
        <w:t xml:space="preserve">Dado en Bogotá D.C., </w:t>
      </w:r>
    </w:p>
    <w:p w:rsidR="00D57D9C" w:rsidRPr="00BF69C9" w:rsidRDefault="00D57D9C" w:rsidP="00D57D9C"/>
    <w:p w:rsidR="00D57D9C" w:rsidRPr="00BF69C9" w:rsidRDefault="00D57D9C" w:rsidP="00D57D9C"/>
    <w:p w:rsidR="00D57D9C" w:rsidRPr="00BF69C9" w:rsidRDefault="00D57D9C" w:rsidP="00D57D9C"/>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D57D9C" w:rsidRPr="00BF69C9" w:rsidTr="00437E9E">
        <w:trPr>
          <w:tblCellSpacing w:w="0" w:type="dxa"/>
          <w:jc w:val="center"/>
        </w:trPr>
        <w:tc>
          <w:tcPr>
            <w:tcW w:w="5033" w:type="dxa"/>
          </w:tcPr>
          <w:p w:rsidR="00D57D9C" w:rsidRPr="00BF69C9" w:rsidRDefault="00716E3A" w:rsidP="00716E3A">
            <w:pPr>
              <w:spacing w:before="0" w:after="0"/>
              <w:ind w:left="66"/>
              <w:jc w:val="center"/>
              <w:rPr>
                <w:rFonts w:cs="Arial"/>
                <w:b/>
              </w:rPr>
            </w:pPr>
            <w:r>
              <w:rPr>
                <w:rFonts w:cs="Arial"/>
                <w:b/>
              </w:rPr>
              <w:t>DIEGO MESA PUYO</w:t>
            </w:r>
          </w:p>
        </w:tc>
        <w:tc>
          <w:tcPr>
            <w:tcW w:w="4465" w:type="dxa"/>
          </w:tcPr>
          <w:p w:rsidR="00D57D9C" w:rsidRPr="00BF69C9" w:rsidRDefault="00D57D9C" w:rsidP="00437E9E">
            <w:pPr>
              <w:spacing w:before="0" w:after="0"/>
              <w:ind w:left="69"/>
              <w:jc w:val="center"/>
              <w:rPr>
                <w:rFonts w:cs="Arial"/>
                <w:b/>
              </w:rPr>
            </w:pPr>
            <w:r w:rsidRPr="00BF69C9">
              <w:rPr>
                <w:rFonts w:cs="Arial"/>
                <w:b/>
              </w:rPr>
              <w:t xml:space="preserve">CHRISTIAN JARAMILLO HERRERA </w:t>
            </w:r>
          </w:p>
        </w:tc>
      </w:tr>
      <w:tr w:rsidR="00D57D9C" w:rsidRPr="00BF69C9" w:rsidTr="00437E9E">
        <w:trPr>
          <w:tblCellSpacing w:w="0" w:type="dxa"/>
          <w:jc w:val="center"/>
        </w:trPr>
        <w:tc>
          <w:tcPr>
            <w:tcW w:w="5033" w:type="dxa"/>
            <w:hideMark/>
          </w:tcPr>
          <w:p w:rsidR="00D57D9C" w:rsidRPr="00BF69C9" w:rsidRDefault="00716E3A" w:rsidP="00437E9E">
            <w:pPr>
              <w:spacing w:before="0" w:after="0"/>
              <w:ind w:left="66"/>
              <w:jc w:val="center"/>
              <w:rPr>
                <w:rFonts w:eastAsia="Arial Unicode MS" w:cs="Arial"/>
                <w:color w:val="000000"/>
              </w:rPr>
            </w:pPr>
            <w:r>
              <w:rPr>
                <w:rFonts w:cs="Arial"/>
              </w:rPr>
              <w:t xml:space="preserve">Viceministro de Energía, delegado de la </w:t>
            </w:r>
            <w:r w:rsidR="00B43252">
              <w:rPr>
                <w:rFonts w:cs="Arial"/>
              </w:rPr>
              <w:t>M</w:t>
            </w:r>
            <w:r w:rsidR="00D57D9C" w:rsidRPr="00BF69C9">
              <w:rPr>
                <w:rFonts w:cs="Arial"/>
              </w:rPr>
              <w:t>inistra de Minas y Energía</w:t>
            </w:r>
          </w:p>
        </w:tc>
        <w:tc>
          <w:tcPr>
            <w:tcW w:w="4465" w:type="dxa"/>
            <w:hideMark/>
          </w:tcPr>
          <w:p w:rsidR="00D57D9C" w:rsidRPr="00BF69C9" w:rsidRDefault="00D57D9C" w:rsidP="00437E9E">
            <w:pPr>
              <w:spacing w:before="0" w:after="0"/>
              <w:jc w:val="center"/>
              <w:rPr>
                <w:rFonts w:eastAsia="Arial Unicode MS" w:cs="Arial"/>
                <w:color w:val="000000"/>
              </w:rPr>
            </w:pPr>
            <w:r w:rsidRPr="00BF69C9">
              <w:rPr>
                <w:rFonts w:cs="Arial"/>
              </w:rPr>
              <w:t xml:space="preserve">Director Ejecutivo </w:t>
            </w:r>
          </w:p>
        </w:tc>
      </w:tr>
      <w:tr w:rsidR="00D57D9C" w:rsidRPr="00CF2A2D" w:rsidTr="00437E9E">
        <w:trPr>
          <w:tblCellSpacing w:w="0" w:type="dxa"/>
          <w:jc w:val="center"/>
        </w:trPr>
        <w:tc>
          <w:tcPr>
            <w:tcW w:w="5033" w:type="dxa"/>
            <w:hideMark/>
          </w:tcPr>
          <w:p w:rsidR="00D57D9C" w:rsidRPr="00CF2A2D" w:rsidRDefault="00D57D9C" w:rsidP="00437E9E">
            <w:pPr>
              <w:spacing w:before="0" w:after="0"/>
              <w:ind w:left="66"/>
              <w:jc w:val="center"/>
              <w:rPr>
                <w:rFonts w:eastAsia="Arial Unicode MS" w:cs="Arial"/>
                <w:color w:val="000000"/>
              </w:rPr>
            </w:pPr>
            <w:r w:rsidRPr="00BF69C9">
              <w:rPr>
                <w:rFonts w:cs="Arial"/>
              </w:rPr>
              <w:t>Presidente</w:t>
            </w:r>
          </w:p>
        </w:tc>
        <w:tc>
          <w:tcPr>
            <w:tcW w:w="4465" w:type="dxa"/>
          </w:tcPr>
          <w:p w:rsidR="00D57D9C" w:rsidRPr="00CF2A2D" w:rsidRDefault="00D57D9C" w:rsidP="00437E9E">
            <w:pPr>
              <w:spacing w:before="0" w:after="0"/>
              <w:jc w:val="center"/>
              <w:rPr>
                <w:rFonts w:eastAsia="Arial Unicode MS" w:cs="Arial"/>
                <w:color w:val="000000"/>
              </w:rPr>
            </w:pPr>
          </w:p>
        </w:tc>
      </w:tr>
    </w:tbl>
    <w:p w:rsidR="00D57D9C" w:rsidRPr="00CF2A2D" w:rsidRDefault="00D57D9C" w:rsidP="00D57D9C">
      <w:pPr>
        <w:spacing w:before="0" w:after="0"/>
        <w:jc w:val="center"/>
        <w:rPr>
          <w:b/>
        </w:rPr>
      </w:pPr>
    </w:p>
    <w:p w:rsidR="00D57D9C" w:rsidRPr="00B6354E" w:rsidRDefault="00D57D9C" w:rsidP="00D57D9C"/>
    <w:p w:rsidR="00950BFC" w:rsidRPr="00D57D9C" w:rsidRDefault="00950BFC" w:rsidP="00D57D9C"/>
    <w:sectPr w:rsidR="00950BFC" w:rsidRPr="00D57D9C" w:rsidSect="00D57D9C">
      <w:headerReference w:type="default" r:id="rId11"/>
      <w:headerReference w:type="first" r:id="rId12"/>
      <w:type w:val="continuous"/>
      <w:pgSz w:w="12242" w:h="18722" w:code="123"/>
      <w:pgMar w:top="2268"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56F" w:rsidRDefault="00E4056F">
      <w:r>
        <w:separator/>
      </w:r>
    </w:p>
    <w:p w:rsidR="00E4056F" w:rsidRDefault="00E4056F"/>
    <w:p w:rsidR="00E4056F" w:rsidRDefault="00E4056F" w:rsidP="00C851C0"/>
  </w:endnote>
  <w:endnote w:type="continuationSeparator" w:id="0">
    <w:p w:rsidR="00E4056F" w:rsidRDefault="00E4056F">
      <w:r>
        <w:continuationSeparator/>
      </w:r>
    </w:p>
    <w:p w:rsidR="00E4056F" w:rsidRDefault="00E4056F"/>
    <w:p w:rsidR="00E4056F" w:rsidRDefault="00E4056F"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56F" w:rsidRDefault="00E4056F">
      <w:r>
        <w:separator/>
      </w:r>
    </w:p>
    <w:p w:rsidR="00E4056F" w:rsidRDefault="00E4056F"/>
    <w:p w:rsidR="00E4056F" w:rsidRDefault="00E4056F" w:rsidP="00C851C0"/>
  </w:footnote>
  <w:footnote w:type="continuationSeparator" w:id="0">
    <w:p w:rsidR="00E4056F" w:rsidRDefault="00E4056F">
      <w:r>
        <w:continuationSeparator/>
      </w:r>
    </w:p>
    <w:p w:rsidR="00E4056F" w:rsidRDefault="00E4056F"/>
    <w:p w:rsidR="00E4056F" w:rsidRDefault="00E4056F" w:rsidP="00C851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F89" w:rsidRPr="002560C5" w:rsidRDefault="005E5F89"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AD1576">
      <w:rPr>
        <w:rFonts w:cs="Arial"/>
        <w:b w:val="0"/>
        <w:noProof/>
        <w:sz w:val="22"/>
        <w:szCs w:val="22"/>
      </w:rPr>
      <w:t>8</w:t>
    </w:r>
    <w:r w:rsidRPr="002560C5">
      <w:rPr>
        <w:rFonts w:cs="Arial"/>
        <w:b w:val="0"/>
        <w:sz w:val="22"/>
        <w:szCs w:val="22"/>
      </w:rPr>
      <w:fldChar w:fldCharType="end"/>
    </w:r>
    <w:r w:rsidRPr="002560C5">
      <w:rPr>
        <w:rFonts w:cs="Arial"/>
        <w:b w:val="0"/>
        <w:sz w:val="22"/>
        <w:szCs w:val="22"/>
      </w:rPr>
      <w:t>/</w:t>
    </w:r>
    <w:r w:rsidR="00AD1576">
      <w:fldChar w:fldCharType="begin"/>
    </w:r>
    <w:r w:rsidR="00AD1576">
      <w:instrText xml:space="preserve"> NUMPAGES  \* MERGEFORMAT </w:instrText>
    </w:r>
    <w:r w:rsidR="00AD1576">
      <w:fldChar w:fldCharType="separate"/>
    </w:r>
    <w:r w:rsidR="00AD1576" w:rsidRPr="00AD1576">
      <w:rPr>
        <w:rFonts w:cs="Arial"/>
        <w:b w:val="0"/>
        <w:noProof/>
        <w:sz w:val="22"/>
        <w:szCs w:val="22"/>
      </w:rPr>
      <w:t>8</w:t>
    </w:r>
    <w:r w:rsidR="00AD1576">
      <w:rPr>
        <w:rFonts w:cs="Arial"/>
        <w:b w:val="0"/>
        <w:noProof/>
        <w:sz w:val="22"/>
        <w:szCs w:val="22"/>
      </w:rPr>
      <w:fldChar w:fldCharType="end"/>
    </w:r>
  </w:p>
  <w:p w:rsidR="005E5F89" w:rsidRDefault="005E5F89"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5F66551E" wp14:editId="73DC419A">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891CF"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rsidR="005E5F89" w:rsidRPr="00F30572" w:rsidRDefault="005E5F89" w:rsidP="00C202E9">
    <w:pPr>
      <w:pBdr>
        <w:bottom w:val="single" w:sz="4" w:space="1" w:color="auto"/>
      </w:pBdr>
      <w:rPr>
        <w:sz w:val="22"/>
        <w:szCs w:val="22"/>
      </w:rPr>
    </w:pPr>
    <w:r w:rsidRPr="00A444D5">
      <w:rPr>
        <w:sz w:val="22"/>
        <w:szCs w:val="22"/>
      </w:rPr>
      <w:t xml:space="preserve">Por la cual se resuelve el recurso de reposición interpuesto por </w:t>
    </w:r>
    <w:r>
      <w:rPr>
        <w:sz w:val="22"/>
        <w:szCs w:val="22"/>
      </w:rPr>
      <w:t>la Compañía de Electricidad de Tuluá</w:t>
    </w:r>
    <w:r w:rsidRPr="00A444D5">
      <w:rPr>
        <w:sz w:val="22"/>
        <w:szCs w:val="22"/>
      </w:rPr>
      <w:t xml:space="preserve"> S.A. E.S.P., contra la Resolución CREG 1</w:t>
    </w:r>
    <w:r>
      <w:rPr>
        <w:sz w:val="22"/>
        <w:szCs w:val="22"/>
      </w:rPr>
      <w:t>38</w:t>
    </w:r>
    <w:r w:rsidRPr="00A444D5">
      <w:rPr>
        <w:sz w:val="22"/>
        <w:szCs w:val="22"/>
      </w:rPr>
      <w:t xml:space="preserve"> de 2019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F89" w:rsidRDefault="005E5F89" w:rsidP="000B7990">
    <w:pPr>
      <w:pStyle w:val="Encabezado"/>
      <w:jc w:val="center"/>
      <w:rPr>
        <w:rFonts w:ascii="Arial" w:hAnsi="Arial" w:cs="Arial"/>
        <w:spacing w:val="20"/>
        <w:sz w:val="20"/>
      </w:rPr>
    </w:pPr>
    <w:r>
      <w:rPr>
        <w:rFonts w:ascii="Arial" w:hAnsi="Arial" w:cs="Arial"/>
        <w:spacing w:val="20"/>
        <w:sz w:val="20"/>
      </w:rPr>
      <w:t>República de Colombia</w:t>
    </w:r>
  </w:p>
  <w:p w:rsidR="005E5F89" w:rsidRDefault="005E5F89">
    <w:pPr>
      <w:pStyle w:val="Encabezado"/>
      <w:jc w:val="center"/>
      <w:rPr>
        <w:rFonts w:ascii="Arial" w:hAnsi="Arial" w:cs="Arial"/>
        <w:spacing w:val="20"/>
        <w:sz w:val="20"/>
      </w:rPr>
    </w:pPr>
  </w:p>
  <w:p w:rsidR="005E5F89" w:rsidRDefault="005E5F89"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46998"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B02367"/>
    <w:multiLevelType w:val="hybridMultilevel"/>
    <w:tmpl w:val="1ACEC9BC"/>
    <w:lvl w:ilvl="0" w:tplc="3FE0D530">
      <w:start w:val="2"/>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373D9B"/>
    <w:multiLevelType w:val="hybridMultilevel"/>
    <w:tmpl w:val="46F234C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C2158F5"/>
    <w:multiLevelType w:val="hybridMultilevel"/>
    <w:tmpl w:val="F8DE04F0"/>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F3C0A20"/>
    <w:multiLevelType w:val="hybridMultilevel"/>
    <w:tmpl w:val="6A8253AE"/>
    <w:lvl w:ilvl="0" w:tplc="6636A7A8">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613D6D"/>
    <w:multiLevelType w:val="hybridMultilevel"/>
    <w:tmpl w:val="6A8253AE"/>
    <w:lvl w:ilvl="0" w:tplc="6636A7A8">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0"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CD069B"/>
    <w:multiLevelType w:val="hybridMultilevel"/>
    <w:tmpl w:val="07545C7A"/>
    <w:lvl w:ilvl="0" w:tplc="2000E314">
      <w:start w:val="2"/>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9F49CD"/>
    <w:multiLevelType w:val="hybridMultilevel"/>
    <w:tmpl w:val="545A8290"/>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37904200"/>
    <w:multiLevelType w:val="hybridMultilevel"/>
    <w:tmpl w:val="77FA4082"/>
    <w:lvl w:ilvl="0" w:tplc="11B6CD2A">
      <w:start w:val="1"/>
      <w:numFmt w:val="decimal"/>
      <w:lvlText w:val="%1."/>
      <w:lvlJc w:val="left"/>
      <w:pPr>
        <w:ind w:left="927" w:hanging="360"/>
      </w:pPr>
      <w:rPr>
        <w:rFonts w:hint="default"/>
      </w:rPr>
    </w:lvl>
    <w:lvl w:ilvl="1" w:tplc="11B6CD2A">
      <w:start w:val="1"/>
      <w:numFmt w:val="decimal"/>
      <w:lvlText w:val="%2."/>
      <w:lvlJc w:val="left"/>
      <w:pPr>
        <w:ind w:left="1647" w:hanging="360"/>
      </w:pPr>
      <w:rPr>
        <w:rFonts w:hint="default"/>
      </w:r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5" w15:restartNumberingAfterBreak="0">
    <w:nsid w:val="45EB0C0C"/>
    <w:multiLevelType w:val="hybridMultilevel"/>
    <w:tmpl w:val="77FA4082"/>
    <w:lvl w:ilvl="0" w:tplc="11B6CD2A">
      <w:start w:val="1"/>
      <w:numFmt w:val="decimal"/>
      <w:lvlText w:val="%1."/>
      <w:lvlJc w:val="left"/>
      <w:pPr>
        <w:ind w:left="927" w:hanging="360"/>
      </w:pPr>
      <w:rPr>
        <w:rFonts w:hint="default"/>
      </w:rPr>
    </w:lvl>
    <w:lvl w:ilvl="1" w:tplc="11B6CD2A">
      <w:start w:val="1"/>
      <w:numFmt w:val="decimal"/>
      <w:lvlText w:val="%2."/>
      <w:lvlJc w:val="left"/>
      <w:pPr>
        <w:ind w:left="1647" w:hanging="360"/>
      </w:pPr>
      <w:rPr>
        <w:rFonts w:hint="default"/>
      </w:r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49AF101B"/>
    <w:multiLevelType w:val="hybridMultilevel"/>
    <w:tmpl w:val="6A8253AE"/>
    <w:lvl w:ilvl="0" w:tplc="6636A7A8">
      <w:start w:val="1"/>
      <w:numFmt w:val="decimal"/>
      <w:lvlText w:val="%1."/>
      <w:lvlJc w:val="left"/>
      <w:pPr>
        <w:ind w:left="928" w:hanging="360"/>
      </w:pPr>
      <w:rPr>
        <w:rFonts w:hint="default"/>
      </w:rPr>
    </w:lvl>
    <w:lvl w:ilvl="1" w:tplc="240A0019" w:tentative="1">
      <w:start w:val="1"/>
      <w:numFmt w:val="lowerLetter"/>
      <w:lvlText w:val="%2."/>
      <w:lvlJc w:val="left"/>
      <w:pPr>
        <w:ind w:left="1441" w:hanging="360"/>
      </w:pPr>
    </w:lvl>
    <w:lvl w:ilvl="2" w:tplc="240A001B" w:tentative="1">
      <w:start w:val="1"/>
      <w:numFmt w:val="lowerRoman"/>
      <w:lvlText w:val="%3."/>
      <w:lvlJc w:val="right"/>
      <w:pPr>
        <w:ind w:left="2161" w:hanging="180"/>
      </w:pPr>
    </w:lvl>
    <w:lvl w:ilvl="3" w:tplc="240A000F" w:tentative="1">
      <w:start w:val="1"/>
      <w:numFmt w:val="decimal"/>
      <w:lvlText w:val="%4."/>
      <w:lvlJc w:val="left"/>
      <w:pPr>
        <w:ind w:left="2881" w:hanging="360"/>
      </w:pPr>
    </w:lvl>
    <w:lvl w:ilvl="4" w:tplc="240A0019" w:tentative="1">
      <w:start w:val="1"/>
      <w:numFmt w:val="lowerLetter"/>
      <w:lvlText w:val="%5."/>
      <w:lvlJc w:val="left"/>
      <w:pPr>
        <w:ind w:left="3601" w:hanging="360"/>
      </w:pPr>
    </w:lvl>
    <w:lvl w:ilvl="5" w:tplc="240A001B" w:tentative="1">
      <w:start w:val="1"/>
      <w:numFmt w:val="lowerRoman"/>
      <w:lvlText w:val="%6."/>
      <w:lvlJc w:val="right"/>
      <w:pPr>
        <w:ind w:left="4321" w:hanging="180"/>
      </w:pPr>
    </w:lvl>
    <w:lvl w:ilvl="6" w:tplc="240A000F" w:tentative="1">
      <w:start w:val="1"/>
      <w:numFmt w:val="decimal"/>
      <w:lvlText w:val="%7."/>
      <w:lvlJc w:val="left"/>
      <w:pPr>
        <w:ind w:left="5041" w:hanging="360"/>
      </w:pPr>
    </w:lvl>
    <w:lvl w:ilvl="7" w:tplc="240A0019" w:tentative="1">
      <w:start w:val="1"/>
      <w:numFmt w:val="lowerLetter"/>
      <w:lvlText w:val="%8."/>
      <w:lvlJc w:val="left"/>
      <w:pPr>
        <w:ind w:left="5761" w:hanging="360"/>
      </w:pPr>
    </w:lvl>
    <w:lvl w:ilvl="8" w:tplc="240A001B" w:tentative="1">
      <w:start w:val="1"/>
      <w:numFmt w:val="lowerRoman"/>
      <w:lvlText w:val="%9."/>
      <w:lvlJc w:val="right"/>
      <w:pPr>
        <w:ind w:left="6481" w:hanging="180"/>
      </w:pPr>
    </w:lvl>
  </w:abstractNum>
  <w:abstractNum w:abstractNumId="17" w15:restartNumberingAfterBreak="0">
    <w:nsid w:val="4F471EEB"/>
    <w:multiLevelType w:val="multilevel"/>
    <w:tmpl w:val="7F48610C"/>
    <w:name w:val="Nueva lista 3"/>
    <w:lvl w:ilvl="0">
      <w:start w:val="1"/>
      <w:numFmt w:val="decimal"/>
      <w:pStyle w:val="Artculo"/>
      <w:suff w:val="space"/>
      <w:lvlText w:val="Artículo %1."/>
      <w:lvlJc w:val="left"/>
      <w:pPr>
        <w:ind w:left="1135"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04B73E9"/>
    <w:multiLevelType w:val="hybridMultilevel"/>
    <w:tmpl w:val="C6DC644E"/>
    <w:lvl w:ilvl="0" w:tplc="F3E2EFFC">
      <w:start w:val="1"/>
      <w:numFmt w:val="bullet"/>
      <w:lvlText w:val=""/>
      <w:lvlJc w:val="left"/>
      <w:pPr>
        <w:ind w:left="927" w:hanging="360"/>
      </w:pPr>
      <w:rPr>
        <w:rFonts w:ascii="Symbol" w:hAnsi="Symbol" w:hint="default"/>
        <w:sz w:val="16"/>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0" w15:restartNumberingAfterBreak="0">
    <w:nsid w:val="668D7CCC"/>
    <w:multiLevelType w:val="hybridMultilevel"/>
    <w:tmpl w:val="981CDEFC"/>
    <w:lvl w:ilvl="0" w:tplc="E4CAC46A">
      <w:start w:val="2"/>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1" w15:restartNumberingAfterBreak="0">
    <w:nsid w:val="68572B07"/>
    <w:multiLevelType w:val="hybridMultilevel"/>
    <w:tmpl w:val="E93EA13A"/>
    <w:lvl w:ilvl="0" w:tplc="240A0013">
      <w:start w:val="1"/>
      <w:numFmt w:val="upperRoman"/>
      <w:lvlText w:val="%1."/>
      <w:lvlJc w:val="right"/>
      <w:pPr>
        <w:ind w:left="1068" w:hanging="360"/>
      </w:pPr>
    </w:lvl>
    <w:lvl w:ilvl="1" w:tplc="AF468F8A">
      <w:start w:val="1"/>
      <w:numFmt w:val="decimal"/>
      <w:lvlText w:val="%2."/>
      <w:lvlJc w:val="left"/>
      <w:pPr>
        <w:ind w:left="1788" w:hanging="36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F000A0B"/>
    <w:multiLevelType w:val="hybridMultilevel"/>
    <w:tmpl w:val="77FA4082"/>
    <w:lvl w:ilvl="0" w:tplc="11B6CD2A">
      <w:start w:val="1"/>
      <w:numFmt w:val="decimal"/>
      <w:lvlText w:val="%1."/>
      <w:lvlJc w:val="left"/>
      <w:pPr>
        <w:ind w:left="928" w:hanging="360"/>
      </w:pPr>
      <w:rPr>
        <w:rFonts w:hint="default"/>
      </w:rPr>
    </w:lvl>
    <w:lvl w:ilvl="1" w:tplc="11B6CD2A">
      <w:start w:val="1"/>
      <w:numFmt w:val="decimal"/>
      <w:lvlText w:val="%2."/>
      <w:lvlJc w:val="left"/>
      <w:pPr>
        <w:ind w:left="1648" w:hanging="360"/>
      </w:pPr>
      <w:rPr>
        <w:rFonts w:hint="default"/>
      </w:r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num w:numId="1">
    <w:abstractNumId w:val="1"/>
  </w:num>
  <w:num w:numId="2">
    <w:abstractNumId w:val="9"/>
  </w:num>
  <w:num w:numId="3">
    <w:abstractNumId w:val="18"/>
  </w:num>
  <w:num w:numId="4">
    <w:abstractNumId w:val="17"/>
  </w:num>
  <w:num w:numId="5">
    <w:abstractNumId w:val="23"/>
  </w:num>
  <w:num w:numId="6">
    <w:abstractNumId w:val="10"/>
  </w:num>
  <w:num w:numId="7">
    <w:abstractNumId w:val="24"/>
  </w:num>
  <w:num w:numId="8">
    <w:abstractNumId w:val="19"/>
  </w:num>
  <w:num w:numId="9">
    <w:abstractNumId w:val="12"/>
  </w:num>
  <w:num w:numId="10">
    <w:abstractNumId w:val="21"/>
  </w:num>
  <w:num w:numId="11">
    <w:abstractNumId w:val="5"/>
  </w:num>
  <w:num w:numId="12">
    <w:abstractNumId w:val="13"/>
  </w:num>
  <w:num w:numId="13">
    <w:abstractNumId w:val="8"/>
  </w:num>
  <w:num w:numId="14">
    <w:abstractNumId w:val="3"/>
  </w:num>
  <w:num w:numId="15">
    <w:abstractNumId w:val="25"/>
  </w:num>
  <w:num w:numId="16">
    <w:abstractNumId w:val="20"/>
  </w:num>
  <w:num w:numId="17">
    <w:abstractNumId w:val="15"/>
  </w:num>
  <w:num w:numId="18">
    <w:abstractNumId w:val="4"/>
  </w:num>
  <w:num w:numId="19">
    <w:abstractNumId w:val="7"/>
  </w:num>
  <w:num w:numId="20">
    <w:abstractNumId w:val="16"/>
  </w:num>
  <w:num w:numId="21">
    <w:abstractNumId w:val="2"/>
  </w:num>
  <w:num w:numId="22">
    <w:abstractNumId w:val="11"/>
  </w:num>
  <w:num w:numId="23">
    <w:abstractNumId w:val="23"/>
  </w:num>
  <w:num w:numId="2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C5"/>
    <w:rsid w:val="000002D3"/>
    <w:rsid w:val="000014A8"/>
    <w:rsid w:val="0000191D"/>
    <w:rsid w:val="0000215F"/>
    <w:rsid w:val="00003049"/>
    <w:rsid w:val="00005326"/>
    <w:rsid w:val="000056FB"/>
    <w:rsid w:val="00006585"/>
    <w:rsid w:val="00006AE2"/>
    <w:rsid w:val="00006EF5"/>
    <w:rsid w:val="000076A1"/>
    <w:rsid w:val="00011754"/>
    <w:rsid w:val="0001209B"/>
    <w:rsid w:val="00012259"/>
    <w:rsid w:val="0001368F"/>
    <w:rsid w:val="00015F4C"/>
    <w:rsid w:val="00016274"/>
    <w:rsid w:val="00016B85"/>
    <w:rsid w:val="00017396"/>
    <w:rsid w:val="000203BE"/>
    <w:rsid w:val="0002117B"/>
    <w:rsid w:val="00022832"/>
    <w:rsid w:val="00023841"/>
    <w:rsid w:val="00024EEB"/>
    <w:rsid w:val="00025383"/>
    <w:rsid w:val="00025D05"/>
    <w:rsid w:val="000268D6"/>
    <w:rsid w:val="00027C0A"/>
    <w:rsid w:val="00027C0E"/>
    <w:rsid w:val="00030018"/>
    <w:rsid w:val="00032C8E"/>
    <w:rsid w:val="00034669"/>
    <w:rsid w:val="00034F65"/>
    <w:rsid w:val="0003547A"/>
    <w:rsid w:val="0003568E"/>
    <w:rsid w:val="000356FD"/>
    <w:rsid w:val="0003695A"/>
    <w:rsid w:val="00040250"/>
    <w:rsid w:val="00042A98"/>
    <w:rsid w:val="000432E2"/>
    <w:rsid w:val="000446EC"/>
    <w:rsid w:val="00045094"/>
    <w:rsid w:val="00045D3D"/>
    <w:rsid w:val="0005171B"/>
    <w:rsid w:val="00051D1F"/>
    <w:rsid w:val="00053BE6"/>
    <w:rsid w:val="00055984"/>
    <w:rsid w:val="00056ECE"/>
    <w:rsid w:val="0005705F"/>
    <w:rsid w:val="0005740C"/>
    <w:rsid w:val="00063454"/>
    <w:rsid w:val="00063657"/>
    <w:rsid w:val="0007409E"/>
    <w:rsid w:val="00076680"/>
    <w:rsid w:val="00076A1D"/>
    <w:rsid w:val="000771FB"/>
    <w:rsid w:val="00077A23"/>
    <w:rsid w:val="0008073E"/>
    <w:rsid w:val="0008115D"/>
    <w:rsid w:val="000821D9"/>
    <w:rsid w:val="00082B34"/>
    <w:rsid w:val="00082FE9"/>
    <w:rsid w:val="000831AC"/>
    <w:rsid w:val="000837A5"/>
    <w:rsid w:val="00083AA8"/>
    <w:rsid w:val="00084D2F"/>
    <w:rsid w:val="00084F74"/>
    <w:rsid w:val="000857D1"/>
    <w:rsid w:val="0008751B"/>
    <w:rsid w:val="0008776A"/>
    <w:rsid w:val="0009104E"/>
    <w:rsid w:val="0009196C"/>
    <w:rsid w:val="00091CDB"/>
    <w:rsid w:val="00095EA2"/>
    <w:rsid w:val="000A1319"/>
    <w:rsid w:val="000A19AC"/>
    <w:rsid w:val="000A38CC"/>
    <w:rsid w:val="000A48F8"/>
    <w:rsid w:val="000B2EC9"/>
    <w:rsid w:val="000B3688"/>
    <w:rsid w:val="000B65BD"/>
    <w:rsid w:val="000B7990"/>
    <w:rsid w:val="000C06AF"/>
    <w:rsid w:val="000C1951"/>
    <w:rsid w:val="000C1DE0"/>
    <w:rsid w:val="000C266A"/>
    <w:rsid w:val="000C5DF4"/>
    <w:rsid w:val="000C64D6"/>
    <w:rsid w:val="000C6881"/>
    <w:rsid w:val="000C743D"/>
    <w:rsid w:val="000C784A"/>
    <w:rsid w:val="000D1E36"/>
    <w:rsid w:val="000D26F8"/>
    <w:rsid w:val="000D2A00"/>
    <w:rsid w:val="000D36AF"/>
    <w:rsid w:val="000D3884"/>
    <w:rsid w:val="000D3FC2"/>
    <w:rsid w:val="000D5201"/>
    <w:rsid w:val="000D5C79"/>
    <w:rsid w:val="000E022D"/>
    <w:rsid w:val="000E2A42"/>
    <w:rsid w:val="000E3D26"/>
    <w:rsid w:val="000E4908"/>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106AF"/>
    <w:rsid w:val="001129C7"/>
    <w:rsid w:val="00112F16"/>
    <w:rsid w:val="001147FF"/>
    <w:rsid w:val="001177E6"/>
    <w:rsid w:val="00126B7F"/>
    <w:rsid w:val="0012783F"/>
    <w:rsid w:val="00130CF9"/>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5CCF"/>
    <w:rsid w:val="001560A7"/>
    <w:rsid w:val="00156A07"/>
    <w:rsid w:val="00157B49"/>
    <w:rsid w:val="00160BCF"/>
    <w:rsid w:val="00161084"/>
    <w:rsid w:val="00164E00"/>
    <w:rsid w:val="00166AA9"/>
    <w:rsid w:val="00166B53"/>
    <w:rsid w:val="001710F9"/>
    <w:rsid w:val="00171B59"/>
    <w:rsid w:val="00175EE4"/>
    <w:rsid w:val="001762DD"/>
    <w:rsid w:val="00177652"/>
    <w:rsid w:val="001778BC"/>
    <w:rsid w:val="00177D48"/>
    <w:rsid w:val="001802E9"/>
    <w:rsid w:val="0018241F"/>
    <w:rsid w:val="001827DF"/>
    <w:rsid w:val="00184170"/>
    <w:rsid w:val="00185F79"/>
    <w:rsid w:val="001876F9"/>
    <w:rsid w:val="00190C2D"/>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5F1B"/>
    <w:rsid w:val="001A6488"/>
    <w:rsid w:val="001A7613"/>
    <w:rsid w:val="001B03F7"/>
    <w:rsid w:val="001B05A4"/>
    <w:rsid w:val="001B17F4"/>
    <w:rsid w:val="001B1C22"/>
    <w:rsid w:val="001B34C6"/>
    <w:rsid w:val="001C0C42"/>
    <w:rsid w:val="001C2018"/>
    <w:rsid w:val="001C32F7"/>
    <w:rsid w:val="001C36F4"/>
    <w:rsid w:val="001C3877"/>
    <w:rsid w:val="001C4A3C"/>
    <w:rsid w:val="001C601E"/>
    <w:rsid w:val="001D010F"/>
    <w:rsid w:val="001D0772"/>
    <w:rsid w:val="001D2E82"/>
    <w:rsid w:val="001D31E0"/>
    <w:rsid w:val="001D3333"/>
    <w:rsid w:val="001D516B"/>
    <w:rsid w:val="001D633A"/>
    <w:rsid w:val="001D68E3"/>
    <w:rsid w:val="001D7832"/>
    <w:rsid w:val="001E26B9"/>
    <w:rsid w:val="001E3911"/>
    <w:rsid w:val="001E485E"/>
    <w:rsid w:val="001E692F"/>
    <w:rsid w:val="001F1ADD"/>
    <w:rsid w:val="001F2C5B"/>
    <w:rsid w:val="001F2FD8"/>
    <w:rsid w:val="001F4256"/>
    <w:rsid w:val="001F5AFE"/>
    <w:rsid w:val="001F780F"/>
    <w:rsid w:val="002001AC"/>
    <w:rsid w:val="002012D8"/>
    <w:rsid w:val="002015A0"/>
    <w:rsid w:val="002038CE"/>
    <w:rsid w:val="002039D6"/>
    <w:rsid w:val="00204D82"/>
    <w:rsid w:val="0020533E"/>
    <w:rsid w:val="00205E17"/>
    <w:rsid w:val="00206407"/>
    <w:rsid w:val="00207D99"/>
    <w:rsid w:val="00210DC1"/>
    <w:rsid w:val="0021157A"/>
    <w:rsid w:val="00211D34"/>
    <w:rsid w:val="0021297B"/>
    <w:rsid w:val="002133FA"/>
    <w:rsid w:val="0021367D"/>
    <w:rsid w:val="00214328"/>
    <w:rsid w:val="00214F04"/>
    <w:rsid w:val="00216E8C"/>
    <w:rsid w:val="00217D47"/>
    <w:rsid w:val="00221054"/>
    <w:rsid w:val="00221277"/>
    <w:rsid w:val="00223E50"/>
    <w:rsid w:val="0022483E"/>
    <w:rsid w:val="00224FC9"/>
    <w:rsid w:val="00227061"/>
    <w:rsid w:val="00227870"/>
    <w:rsid w:val="00227E1E"/>
    <w:rsid w:val="0023042B"/>
    <w:rsid w:val="0023338E"/>
    <w:rsid w:val="00234CD0"/>
    <w:rsid w:val="002352B9"/>
    <w:rsid w:val="0023598E"/>
    <w:rsid w:val="0023621E"/>
    <w:rsid w:val="002367F5"/>
    <w:rsid w:val="002368FC"/>
    <w:rsid w:val="00237EDC"/>
    <w:rsid w:val="00240640"/>
    <w:rsid w:val="00242A95"/>
    <w:rsid w:val="00242F2B"/>
    <w:rsid w:val="002436B9"/>
    <w:rsid w:val="00243A0A"/>
    <w:rsid w:val="002444FF"/>
    <w:rsid w:val="00245E5D"/>
    <w:rsid w:val="00253D8F"/>
    <w:rsid w:val="002542CD"/>
    <w:rsid w:val="0025525F"/>
    <w:rsid w:val="00255960"/>
    <w:rsid w:val="00255FEF"/>
    <w:rsid w:val="002560C5"/>
    <w:rsid w:val="00256DBC"/>
    <w:rsid w:val="00256EA4"/>
    <w:rsid w:val="002571C8"/>
    <w:rsid w:val="002578B3"/>
    <w:rsid w:val="002579DC"/>
    <w:rsid w:val="00257A41"/>
    <w:rsid w:val="00257AA4"/>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719"/>
    <w:rsid w:val="00275DAB"/>
    <w:rsid w:val="00276059"/>
    <w:rsid w:val="00280F65"/>
    <w:rsid w:val="002821BE"/>
    <w:rsid w:val="002836E2"/>
    <w:rsid w:val="0028662C"/>
    <w:rsid w:val="002903C0"/>
    <w:rsid w:val="002903D1"/>
    <w:rsid w:val="00291726"/>
    <w:rsid w:val="002922A7"/>
    <w:rsid w:val="00292FE9"/>
    <w:rsid w:val="00295857"/>
    <w:rsid w:val="00295ACD"/>
    <w:rsid w:val="0029698E"/>
    <w:rsid w:val="002A51EF"/>
    <w:rsid w:val="002A782A"/>
    <w:rsid w:val="002A7D62"/>
    <w:rsid w:val="002B11E2"/>
    <w:rsid w:val="002B24B8"/>
    <w:rsid w:val="002B5E3C"/>
    <w:rsid w:val="002B71B1"/>
    <w:rsid w:val="002C01FA"/>
    <w:rsid w:val="002C3488"/>
    <w:rsid w:val="002C5612"/>
    <w:rsid w:val="002C7252"/>
    <w:rsid w:val="002D3AE9"/>
    <w:rsid w:val="002D3CE7"/>
    <w:rsid w:val="002D4510"/>
    <w:rsid w:val="002D7D6C"/>
    <w:rsid w:val="002E09F5"/>
    <w:rsid w:val="002E0BE1"/>
    <w:rsid w:val="002E1770"/>
    <w:rsid w:val="002E1AF2"/>
    <w:rsid w:val="002E1F65"/>
    <w:rsid w:val="002E635C"/>
    <w:rsid w:val="002E7997"/>
    <w:rsid w:val="002F026E"/>
    <w:rsid w:val="002F0734"/>
    <w:rsid w:val="002F22EB"/>
    <w:rsid w:val="002F3712"/>
    <w:rsid w:val="002F46E7"/>
    <w:rsid w:val="002F72DB"/>
    <w:rsid w:val="002F75C0"/>
    <w:rsid w:val="002F7B19"/>
    <w:rsid w:val="003008A1"/>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43C8"/>
    <w:rsid w:val="003343FE"/>
    <w:rsid w:val="003344C3"/>
    <w:rsid w:val="0033564E"/>
    <w:rsid w:val="00335EAC"/>
    <w:rsid w:val="0033715F"/>
    <w:rsid w:val="003373A2"/>
    <w:rsid w:val="00337C84"/>
    <w:rsid w:val="003473A2"/>
    <w:rsid w:val="00350A8C"/>
    <w:rsid w:val="00350DE4"/>
    <w:rsid w:val="00351E6B"/>
    <w:rsid w:val="00352C2F"/>
    <w:rsid w:val="0035403A"/>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FCD"/>
    <w:rsid w:val="00380066"/>
    <w:rsid w:val="00380F32"/>
    <w:rsid w:val="00381AAD"/>
    <w:rsid w:val="00383AB4"/>
    <w:rsid w:val="00385A73"/>
    <w:rsid w:val="00386A4D"/>
    <w:rsid w:val="00386A9A"/>
    <w:rsid w:val="00387C27"/>
    <w:rsid w:val="0039127D"/>
    <w:rsid w:val="0039155D"/>
    <w:rsid w:val="0039158A"/>
    <w:rsid w:val="0039172F"/>
    <w:rsid w:val="003923CF"/>
    <w:rsid w:val="0039240B"/>
    <w:rsid w:val="003928B8"/>
    <w:rsid w:val="00393F9F"/>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961"/>
    <w:rsid w:val="003B2C98"/>
    <w:rsid w:val="003B3EF0"/>
    <w:rsid w:val="003B4485"/>
    <w:rsid w:val="003B534A"/>
    <w:rsid w:val="003B79D4"/>
    <w:rsid w:val="003B7AE8"/>
    <w:rsid w:val="003C0474"/>
    <w:rsid w:val="003C156A"/>
    <w:rsid w:val="003C242C"/>
    <w:rsid w:val="003C3447"/>
    <w:rsid w:val="003C4072"/>
    <w:rsid w:val="003C7029"/>
    <w:rsid w:val="003D0607"/>
    <w:rsid w:val="003D076C"/>
    <w:rsid w:val="003D1367"/>
    <w:rsid w:val="003D160E"/>
    <w:rsid w:val="003D1FD8"/>
    <w:rsid w:val="003D2CCA"/>
    <w:rsid w:val="003D34F9"/>
    <w:rsid w:val="003D38E3"/>
    <w:rsid w:val="003D4D4F"/>
    <w:rsid w:val="003D6335"/>
    <w:rsid w:val="003D7344"/>
    <w:rsid w:val="003E01CE"/>
    <w:rsid w:val="003E0745"/>
    <w:rsid w:val="003E3442"/>
    <w:rsid w:val="003E5374"/>
    <w:rsid w:val="003E5626"/>
    <w:rsid w:val="003E5647"/>
    <w:rsid w:val="003E7112"/>
    <w:rsid w:val="003E7817"/>
    <w:rsid w:val="003E78B5"/>
    <w:rsid w:val="003F1778"/>
    <w:rsid w:val="003F54A4"/>
    <w:rsid w:val="003F70F2"/>
    <w:rsid w:val="003F77E3"/>
    <w:rsid w:val="003F7F77"/>
    <w:rsid w:val="00400A3D"/>
    <w:rsid w:val="0040199C"/>
    <w:rsid w:val="00402C03"/>
    <w:rsid w:val="00405029"/>
    <w:rsid w:val="0040781C"/>
    <w:rsid w:val="00407A25"/>
    <w:rsid w:val="00410552"/>
    <w:rsid w:val="004135D1"/>
    <w:rsid w:val="004151D9"/>
    <w:rsid w:val="0041597A"/>
    <w:rsid w:val="00415BAB"/>
    <w:rsid w:val="00415ED2"/>
    <w:rsid w:val="0042068C"/>
    <w:rsid w:val="00423679"/>
    <w:rsid w:val="004237FF"/>
    <w:rsid w:val="004255DF"/>
    <w:rsid w:val="00425A70"/>
    <w:rsid w:val="00425E93"/>
    <w:rsid w:val="00425F7D"/>
    <w:rsid w:val="00426B5B"/>
    <w:rsid w:val="004272FF"/>
    <w:rsid w:val="0043040A"/>
    <w:rsid w:val="00432822"/>
    <w:rsid w:val="0043300E"/>
    <w:rsid w:val="00434EA8"/>
    <w:rsid w:val="00435B1A"/>
    <w:rsid w:val="00437E9E"/>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3A7C"/>
    <w:rsid w:val="0045463B"/>
    <w:rsid w:val="00455DAE"/>
    <w:rsid w:val="00455E26"/>
    <w:rsid w:val="00456622"/>
    <w:rsid w:val="00461628"/>
    <w:rsid w:val="00461D9A"/>
    <w:rsid w:val="00466988"/>
    <w:rsid w:val="0047092D"/>
    <w:rsid w:val="0047122B"/>
    <w:rsid w:val="00472125"/>
    <w:rsid w:val="00473B7A"/>
    <w:rsid w:val="00474922"/>
    <w:rsid w:val="004771D9"/>
    <w:rsid w:val="00481F5D"/>
    <w:rsid w:val="0048216C"/>
    <w:rsid w:val="00482D44"/>
    <w:rsid w:val="004836D4"/>
    <w:rsid w:val="00483D96"/>
    <w:rsid w:val="00485135"/>
    <w:rsid w:val="00485CA3"/>
    <w:rsid w:val="00490CC9"/>
    <w:rsid w:val="00490D67"/>
    <w:rsid w:val="00492C4A"/>
    <w:rsid w:val="00495EFD"/>
    <w:rsid w:val="004960E9"/>
    <w:rsid w:val="00497384"/>
    <w:rsid w:val="00497DC9"/>
    <w:rsid w:val="004A03A3"/>
    <w:rsid w:val="004A2E88"/>
    <w:rsid w:val="004A5305"/>
    <w:rsid w:val="004A6144"/>
    <w:rsid w:val="004A6D92"/>
    <w:rsid w:val="004B132B"/>
    <w:rsid w:val="004B13C6"/>
    <w:rsid w:val="004B41C9"/>
    <w:rsid w:val="004B7FAF"/>
    <w:rsid w:val="004C0257"/>
    <w:rsid w:val="004C0564"/>
    <w:rsid w:val="004C05BC"/>
    <w:rsid w:val="004C687E"/>
    <w:rsid w:val="004D040D"/>
    <w:rsid w:val="004D182B"/>
    <w:rsid w:val="004D3F54"/>
    <w:rsid w:val="004D4B8C"/>
    <w:rsid w:val="004D5A3A"/>
    <w:rsid w:val="004D6BC4"/>
    <w:rsid w:val="004D72B2"/>
    <w:rsid w:val="004D7634"/>
    <w:rsid w:val="004D7EF7"/>
    <w:rsid w:val="004E1214"/>
    <w:rsid w:val="004E196A"/>
    <w:rsid w:val="004E410F"/>
    <w:rsid w:val="004E55D4"/>
    <w:rsid w:val="004E5EAA"/>
    <w:rsid w:val="004E611A"/>
    <w:rsid w:val="004E650C"/>
    <w:rsid w:val="004F0852"/>
    <w:rsid w:val="004F165C"/>
    <w:rsid w:val="004F177E"/>
    <w:rsid w:val="004F17CA"/>
    <w:rsid w:val="004F3DF8"/>
    <w:rsid w:val="004F5F72"/>
    <w:rsid w:val="004F6360"/>
    <w:rsid w:val="004F6460"/>
    <w:rsid w:val="00500953"/>
    <w:rsid w:val="005010CF"/>
    <w:rsid w:val="005044C6"/>
    <w:rsid w:val="0050645A"/>
    <w:rsid w:val="00506AFF"/>
    <w:rsid w:val="00506E54"/>
    <w:rsid w:val="00507DC6"/>
    <w:rsid w:val="0051288E"/>
    <w:rsid w:val="0051308E"/>
    <w:rsid w:val="00513D79"/>
    <w:rsid w:val="00515D56"/>
    <w:rsid w:val="0051635B"/>
    <w:rsid w:val="00517400"/>
    <w:rsid w:val="00520C93"/>
    <w:rsid w:val="00521271"/>
    <w:rsid w:val="0052144F"/>
    <w:rsid w:val="00523A96"/>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B0C"/>
    <w:rsid w:val="00544F82"/>
    <w:rsid w:val="00545DA9"/>
    <w:rsid w:val="005460E7"/>
    <w:rsid w:val="00546568"/>
    <w:rsid w:val="00546CD5"/>
    <w:rsid w:val="005509D2"/>
    <w:rsid w:val="00551C12"/>
    <w:rsid w:val="00554752"/>
    <w:rsid w:val="00554C96"/>
    <w:rsid w:val="00555BA6"/>
    <w:rsid w:val="00555F0E"/>
    <w:rsid w:val="00557262"/>
    <w:rsid w:val="0055791F"/>
    <w:rsid w:val="00560A68"/>
    <w:rsid w:val="00561D32"/>
    <w:rsid w:val="005624BA"/>
    <w:rsid w:val="005628C1"/>
    <w:rsid w:val="00563E79"/>
    <w:rsid w:val="0056428B"/>
    <w:rsid w:val="00564B67"/>
    <w:rsid w:val="00564B8B"/>
    <w:rsid w:val="00564EDF"/>
    <w:rsid w:val="0056570C"/>
    <w:rsid w:val="00566685"/>
    <w:rsid w:val="005673AC"/>
    <w:rsid w:val="00570CC7"/>
    <w:rsid w:val="005711EC"/>
    <w:rsid w:val="005714A3"/>
    <w:rsid w:val="00571C46"/>
    <w:rsid w:val="00571D26"/>
    <w:rsid w:val="00573248"/>
    <w:rsid w:val="00574008"/>
    <w:rsid w:val="005750F5"/>
    <w:rsid w:val="005843A4"/>
    <w:rsid w:val="00585CF8"/>
    <w:rsid w:val="00585EEC"/>
    <w:rsid w:val="00586CF2"/>
    <w:rsid w:val="00590FA3"/>
    <w:rsid w:val="005912D1"/>
    <w:rsid w:val="0059145D"/>
    <w:rsid w:val="00592A56"/>
    <w:rsid w:val="00593C4F"/>
    <w:rsid w:val="005943AA"/>
    <w:rsid w:val="005946A8"/>
    <w:rsid w:val="00595129"/>
    <w:rsid w:val="0059537B"/>
    <w:rsid w:val="005953C5"/>
    <w:rsid w:val="005A01FB"/>
    <w:rsid w:val="005A0E0C"/>
    <w:rsid w:val="005A35ED"/>
    <w:rsid w:val="005A3E1C"/>
    <w:rsid w:val="005A4407"/>
    <w:rsid w:val="005A59EF"/>
    <w:rsid w:val="005A5B8B"/>
    <w:rsid w:val="005A648D"/>
    <w:rsid w:val="005B1C7E"/>
    <w:rsid w:val="005B2098"/>
    <w:rsid w:val="005B4299"/>
    <w:rsid w:val="005B5C88"/>
    <w:rsid w:val="005B6CB3"/>
    <w:rsid w:val="005B6E70"/>
    <w:rsid w:val="005C00E9"/>
    <w:rsid w:val="005C1C67"/>
    <w:rsid w:val="005C2146"/>
    <w:rsid w:val="005C3BAA"/>
    <w:rsid w:val="005C51B8"/>
    <w:rsid w:val="005C6976"/>
    <w:rsid w:val="005C7781"/>
    <w:rsid w:val="005D0A73"/>
    <w:rsid w:val="005D1C05"/>
    <w:rsid w:val="005D1DE8"/>
    <w:rsid w:val="005D352F"/>
    <w:rsid w:val="005D533D"/>
    <w:rsid w:val="005D5BC6"/>
    <w:rsid w:val="005E2B7C"/>
    <w:rsid w:val="005E4914"/>
    <w:rsid w:val="005E5F89"/>
    <w:rsid w:val="005F3416"/>
    <w:rsid w:val="005F39CA"/>
    <w:rsid w:val="005F526D"/>
    <w:rsid w:val="005F6F41"/>
    <w:rsid w:val="005F7013"/>
    <w:rsid w:val="00601DDF"/>
    <w:rsid w:val="00605DA0"/>
    <w:rsid w:val="00610A14"/>
    <w:rsid w:val="0061112B"/>
    <w:rsid w:val="00611B5C"/>
    <w:rsid w:val="00614138"/>
    <w:rsid w:val="00614509"/>
    <w:rsid w:val="0061581B"/>
    <w:rsid w:val="006166B9"/>
    <w:rsid w:val="00616B17"/>
    <w:rsid w:val="00620164"/>
    <w:rsid w:val="006203E4"/>
    <w:rsid w:val="00623032"/>
    <w:rsid w:val="006236DF"/>
    <w:rsid w:val="00625D9F"/>
    <w:rsid w:val="00625DC6"/>
    <w:rsid w:val="006263B4"/>
    <w:rsid w:val="0062729D"/>
    <w:rsid w:val="00627335"/>
    <w:rsid w:val="006327E7"/>
    <w:rsid w:val="00632871"/>
    <w:rsid w:val="00635B22"/>
    <w:rsid w:val="00636835"/>
    <w:rsid w:val="00637F1B"/>
    <w:rsid w:val="00641554"/>
    <w:rsid w:val="006421B1"/>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622B2"/>
    <w:rsid w:val="00666A1D"/>
    <w:rsid w:val="006675CD"/>
    <w:rsid w:val="00667AD5"/>
    <w:rsid w:val="0067238D"/>
    <w:rsid w:val="00672B29"/>
    <w:rsid w:val="006740B2"/>
    <w:rsid w:val="00674313"/>
    <w:rsid w:val="006747D5"/>
    <w:rsid w:val="00675985"/>
    <w:rsid w:val="00677E6A"/>
    <w:rsid w:val="00680BFA"/>
    <w:rsid w:val="006834A5"/>
    <w:rsid w:val="00683EB3"/>
    <w:rsid w:val="00684D9B"/>
    <w:rsid w:val="0068510A"/>
    <w:rsid w:val="00685BCB"/>
    <w:rsid w:val="00690CEF"/>
    <w:rsid w:val="0069245B"/>
    <w:rsid w:val="00694E6C"/>
    <w:rsid w:val="00697556"/>
    <w:rsid w:val="006A1CA8"/>
    <w:rsid w:val="006A1EB6"/>
    <w:rsid w:val="006A2EDF"/>
    <w:rsid w:val="006A616B"/>
    <w:rsid w:val="006A72C7"/>
    <w:rsid w:val="006B1FDF"/>
    <w:rsid w:val="006B4081"/>
    <w:rsid w:val="006B4647"/>
    <w:rsid w:val="006B4A7F"/>
    <w:rsid w:val="006B4C2B"/>
    <w:rsid w:val="006B5DFE"/>
    <w:rsid w:val="006B6139"/>
    <w:rsid w:val="006B6194"/>
    <w:rsid w:val="006B661E"/>
    <w:rsid w:val="006B6D47"/>
    <w:rsid w:val="006B7078"/>
    <w:rsid w:val="006B719A"/>
    <w:rsid w:val="006B7D1E"/>
    <w:rsid w:val="006C1FD7"/>
    <w:rsid w:val="006C3E16"/>
    <w:rsid w:val="006C4912"/>
    <w:rsid w:val="006C5AFE"/>
    <w:rsid w:val="006C7715"/>
    <w:rsid w:val="006C7AF6"/>
    <w:rsid w:val="006D21D6"/>
    <w:rsid w:val="006D2747"/>
    <w:rsid w:val="006D30B1"/>
    <w:rsid w:val="006D5E04"/>
    <w:rsid w:val="006E0A54"/>
    <w:rsid w:val="006E155D"/>
    <w:rsid w:val="006E160E"/>
    <w:rsid w:val="006E1EEA"/>
    <w:rsid w:val="006E4298"/>
    <w:rsid w:val="006E4C15"/>
    <w:rsid w:val="006E5FC3"/>
    <w:rsid w:val="006F20BB"/>
    <w:rsid w:val="006F268E"/>
    <w:rsid w:val="006F2EC8"/>
    <w:rsid w:val="006F33A3"/>
    <w:rsid w:val="006F3970"/>
    <w:rsid w:val="006F4824"/>
    <w:rsid w:val="006F56D0"/>
    <w:rsid w:val="006F5E13"/>
    <w:rsid w:val="006F6D95"/>
    <w:rsid w:val="006F7CFE"/>
    <w:rsid w:val="00702937"/>
    <w:rsid w:val="00705F85"/>
    <w:rsid w:val="00706F13"/>
    <w:rsid w:val="007072E8"/>
    <w:rsid w:val="007076FB"/>
    <w:rsid w:val="00710FF1"/>
    <w:rsid w:val="00711878"/>
    <w:rsid w:val="007127EF"/>
    <w:rsid w:val="007134B4"/>
    <w:rsid w:val="00713F03"/>
    <w:rsid w:val="00714A31"/>
    <w:rsid w:val="0071618D"/>
    <w:rsid w:val="00716E3A"/>
    <w:rsid w:val="0072116F"/>
    <w:rsid w:val="00721534"/>
    <w:rsid w:val="00721A52"/>
    <w:rsid w:val="00721D5B"/>
    <w:rsid w:val="00722B3D"/>
    <w:rsid w:val="00723CF0"/>
    <w:rsid w:val="0072463D"/>
    <w:rsid w:val="00724792"/>
    <w:rsid w:val="00724A10"/>
    <w:rsid w:val="00724C58"/>
    <w:rsid w:val="00725E0C"/>
    <w:rsid w:val="00725FA4"/>
    <w:rsid w:val="00726548"/>
    <w:rsid w:val="00727B2C"/>
    <w:rsid w:val="00732E0B"/>
    <w:rsid w:val="00732FDC"/>
    <w:rsid w:val="00733492"/>
    <w:rsid w:val="007337B8"/>
    <w:rsid w:val="00733DD7"/>
    <w:rsid w:val="007340CC"/>
    <w:rsid w:val="00734187"/>
    <w:rsid w:val="00734C73"/>
    <w:rsid w:val="0073688B"/>
    <w:rsid w:val="00740446"/>
    <w:rsid w:val="007438A9"/>
    <w:rsid w:val="00743E7F"/>
    <w:rsid w:val="0074491E"/>
    <w:rsid w:val="00745C85"/>
    <w:rsid w:val="007511E4"/>
    <w:rsid w:val="0075578E"/>
    <w:rsid w:val="007601EE"/>
    <w:rsid w:val="007602F3"/>
    <w:rsid w:val="0076163F"/>
    <w:rsid w:val="007618FE"/>
    <w:rsid w:val="0076247A"/>
    <w:rsid w:val="00762C63"/>
    <w:rsid w:val="00762FB0"/>
    <w:rsid w:val="00763175"/>
    <w:rsid w:val="00763381"/>
    <w:rsid w:val="00767391"/>
    <w:rsid w:val="007705CD"/>
    <w:rsid w:val="00774ABE"/>
    <w:rsid w:val="00775964"/>
    <w:rsid w:val="0077639F"/>
    <w:rsid w:val="007765FE"/>
    <w:rsid w:val="007766B3"/>
    <w:rsid w:val="00777163"/>
    <w:rsid w:val="00781E1A"/>
    <w:rsid w:val="007824C8"/>
    <w:rsid w:val="0078357E"/>
    <w:rsid w:val="00783FEE"/>
    <w:rsid w:val="00785678"/>
    <w:rsid w:val="007874F6"/>
    <w:rsid w:val="00787E5A"/>
    <w:rsid w:val="00790375"/>
    <w:rsid w:val="007910F2"/>
    <w:rsid w:val="00791E7E"/>
    <w:rsid w:val="007928B7"/>
    <w:rsid w:val="00793C5D"/>
    <w:rsid w:val="00794E2E"/>
    <w:rsid w:val="00795373"/>
    <w:rsid w:val="00795BFB"/>
    <w:rsid w:val="007A060C"/>
    <w:rsid w:val="007A5E57"/>
    <w:rsid w:val="007A7CE2"/>
    <w:rsid w:val="007B0FAC"/>
    <w:rsid w:val="007B100F"/>
    <w:rsid w:val="007B1CF5"/>
    <w:rsid w:val="007B2760"/>
    <w:rsid w:val="007B53E9"/>
    <w:rsid w:val="007B564B"/>
    <w:rsid w:val="007B5CF2"/>
    <w:rsid w:val="007B71EE"/>
    <w:rsid w:val="007B77CE"/>
    <w:rsid w:val="007C127E"/>
    <w:rsid w:val="007C1B10"/>
    <w:rsid w:val="007C2407"/>
    <w:rsid w:val="007C585E"/>
    <w:rsid w:val="007C5B24"/>
    <w:rsid w:val="007C79E3"/>
    <w:rsid w:val="007D49D7"/>
    <w:rsid w:val="007D69D2"/>
    <w:rsid w:val="007D6B92"/>
    <w:rsid w:val="007E09A4"/>
    <w:rsid w:val="007E1112"/>
    <w:rsid w:val="007E1812"/>
    <w:rsid w:val="007E3D47"/>
    <w:rsid w:val="007E4A8E"/>
    <w:rsid w:val="007E5792"/>
    <w:rsid w:val="007E5B81"/>
    <w:rsid w:val="007E661B"/>
    <w:rsid w:val="007E66B1"/>
    <w:rsid w:val="007E71A4"/>
    <w:rsid w:val="007E7A97"/>
    <w:rsid w:val="007F0ED1"/>
    <w:rsid w:val="007F1280"/>
    <w:rsid w:val="007F433E"/>
    <w:rsid w:val="007F4F12"/>
    <w:rsid w:val="007F6527"/>
    <w:rsid w:val="007F6C99"/>
    <w:rsid w:val="007F7C1B"/>
    <w:rsid w:val="00800D21"/>
    <w:rsid w:val="00801F33"/>
    <w:rsid w:val="00802E44"/>
    <w:rsid w:val="00803071"/>
    <w:rsid w:val="0080401E"/>
    <w:rsid w:val="008043BB"/>
    <w:rsid w:val="00804D2E"/>
    <w:rsid w:val="00806C01"/>
    <w:rsid w:val="00810A93"/>
    <w:rsid w:val="00811D3E"/>
    <w:rsid w:val="00812BAE"/>
    <w:rsid w:val="008148CC"/>
    <w:rsid w:val="00815950"/>
    <w:rsid w:val="008167FC"/>
    <w:rsid w:val="00817731"/>
    <w:rsid w:val="008211A4"/>
    <w:rsid w:val="008211BA"/>
    <w:rsid w:val="00821986"/>
    <w:rsid w:val="00822961"/>
    <w:rsid w:val="0082311D"/>
    <w:rsid w:val="008237CA"/>
    <w:rsid w:val="00823CA6"/>
    <w:rsid w:val="008251BC"/>
    <w:rsid w:val="00826E96"/>
    <w:rsid w:val="008276D9"/>
    <w:rsid w:val="00830FF0"/>
    <w:rsid w:val="0083140E"/>
    <w:rsid w:val="008318F6"/>
    <w:rsid w:val="00831A7D"/>
    <w:rsid w:val="00833F8A"/>
    <w:rsid w:val="00834EFB"/>
    <w:rsid w:val="00837AD4"/>
    <w:rsid w:val="00841D80"/>
    <w:rsid w:val="00842049"/>
    <w:rsid w:val="00842644"/>
    <w:rsid w:val="00843DAD"/>
    <w:rsid w:val="00845BAD"/>
    <w:rsid w:val="0084693A"/>
    <w:rsid w:val="008504BF"/>
    <w:rsid w:val="008511DC"/>
    <w:rsid w:val="00852491"/>
    <w:rsid w:val="008529BA"/>
    <w:rsid w:val="00854203"/>
    <w:rsid w:val="0085640E"/>
    <w:rsid w:val="008567D4"/>
    <w:rsid w:val="00857300"/>
    <w:rsid w:val="00861829"/>
    <w:rsid w:val="008625B3"/>
    <w:rsid w:val="00862E48"/>
    <w:rsid w:val="00863A37"/>
    <w:rsid w:val="00863AB8"/>
    <w:rsid w:val="00864C35"/>
    <w:rsid w:val="00864F48"/>
    <w:rsid w:val="00870417"/>
    <w:rsid w:val="0087143B"/>
    <w:rsid w:val="00873150"/>
    <w:rsid w:val="00873FF9"/>
    <w:rsid w:val="00874329"/>
    <w:rsid w:val="00874613"/>
    <w:rsid w:val="00875B5E"/>
    <w:rsid w:val="00876557"/>
    <w:rsid w:val="0087657D"/>
    <w:rsid w:val="008807D5"/>
    <w:rsid w:val="00880832"/>
    <w:rsid w:val="00881A25"/>
    <w:rsid w:val="0088369F"/>
    <w:rsid w:val="008836A4"/>
    <w:rsid w:val="008845CC"/>
    <w:rsid w:val="00884D80"/>
    <w:rsid w:val="00886D19"/>
    <w:rsid w:val="00886EE1"/>
    <w:rsid w:val="0088727D"/>
    <w:rsid w:val="00887F31"/>
    <w:rsid w:val="008902C7"/>
    <w:rsid w:val="00892F2C"/>
    <w:rsid w:val="0089340F"/>
    <w:rsid w:val="008944D2"/>
    <w:rsid w:val="00894B89"/>
    <w:rsid w:val="008951CD"/>
    <w:rsid w:val="00895326"/>
    <w:rsid w:val="00896F62"/>
    <w:rsid w:val="00897C27"/>
    <w:rsid w:val="00897C75"/>
    <w:rsid w:val="008A0F70"/>
    <w:rsid w:val="008A1221"/>
    <w:rsid w:val="008A1461"/>
    <w:rsid w:val="008A1EDB"/>
    <w:rsid w:val="008A2565"/>
    <w:rsid w:val="008A4148"/>
    <w:rsid w:val="008A4BD9"/>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54CC"/>
    <w:rsid w:val="008C6406"/>
    <w:rsid w:val="008C6D97"/>
    <w:rsid w:val="008C7A64"/>
    <w:rsid w:val="008D0647"/>
    <w:rsid w:val="008D13D1"/>
    <w:rsid w:val="008D18E6"/>
    <w:rsid w:val="008D1DC5"/>
    <w:rsid w:val="008D2C6D"/>
    <w:rsid w:val="008D304F"/>
    <w:rsid w:val="008D3144"/>
    <w:rsid w:val="008D5094"/>
    <w:rsid w:val="008D694A"/>
    <w:rsid w:val="008D6D03"/>
    <w:rsid w:val="008D7A9B"/>
    <w:rsid w:val="008E0060"/>
    <w:rsid w:val="008E0F2A"/>
    <w:rsid w:val="008E121C"/>
    <w:rsid w:val="008E1E53"/>
    <w:rsid w:val="008E4655"/>
    <w:rsid w:val="008E4F4C"/>
    <w:rsid w:val="008E57B9"/>
    <w:rsid w:val="008E6687"/>
    <w:rsid w:val="008E6D31"/>
    <w:rsid w:val="008E7091"/>
    <w:rsid w:val="008E76AC"/>
    <w:rsid w:val="008E76D4"/>
    <w:rsid w:val="008F03AC"/>
    <w:rsid w:val="008F0D84"/>
    <w:rsid w:val="008F1EB1"/>
    <w:rsid w:val="008F1FDC"/>
    <w:rsid w:val="008F21F6"/>
    <w:rsid w:val="008F2EB0"/>
    <w:rsid w:val="008F44D5"/>
    <w:rsid w:val="008F6FA2"/>
    <w:rsid w:val="008F701B"/>
    <w:rsid w:val="008F72E0"/>
    <w:rsid w:val="00900D5E"/>
    <w:rsid w:val="00900E75"/>
    <w:rsid w:val="00901457"/>
    <w:rsid w:val="00901DFC"/>
    <w:rsid w:val="00902F64"/>
    <w:rsid w:val="009031F2"/>
    <w:rsid w:val="00903386"/>
    <w:rsid w:val="009049C5"/>
    <w:rsid w:val="00904A12"/>
    <w:rsid w:val="00906A2D"/>
    <w:rsid w:val="009113F1"/>
    <w:rsid w:val="00911F4D"/>
    <w:rsid w:val="0091359D"/>
    <w:rsid w:val="00914F06"/>
    <w:rsid w:val="009150A8"/>
    <w:rsid w:val="00917201"/>
    <w:rsid w:val="00917367"/>
    <w:rsid w:val="00920663"/>
    <w:rsid w:val="00923B14"/>
    <w:rsid w:val="00925993"/>
    <w:rsid w:val="00926475"/>
    <w:rsid w:val="00930543"/>
    <w:rsid w:val="00931ADD"/>
    <w:rsid w:val="00931E01"/>
    <w:rsid w:val="0093297A"/>
    <w:rsid w:val="00932B77"/>
    <w:rsid w:val="00935218"/>
    <w:rsid w:val="00935985"/>
    <w:rsid w:val="00935EA3"/>
    <w:rsid w:val="00936488"/>
    <w:rsid w:val="009364F2"/>
    <w:rsid w:val="00940344"/>
    <w:rsid w:val="0094147E"/>
    <w:rsid w:val="00942327"/>
    <w:rsid w:val="009427D5"/>
    <w:rsid w:val="0094299F"/>
    <w:rsid w:val="00942C56"/>
    <w:rsid w:val="00943CA7"/>
    <w:rsid w:val="00944E53"/>
    <w:rsid w:val="0094513B"/>
    <w:rsid w:val="00950BFC"/>
    <w:rsid w:val="0095183F"/>
    <w:rsid w:val="00951925"/>
    <w:rsid w:val="00951F79"/>
    <w:rsid w:val="009529A6"/>
    <w:rsid w:val="00954404"/>
    <w:rsid w:val="009545F9"/>
    <w:rsid w:val="00954C36"/>
    <w:rsid w:val="00954EB1"/>
    <w:rsid w:val="00955866"/>
    <w:rsid w:val="00955F64"/>
    <w:rsid w:val="00957503"/>
    <w:rsid w:val="00961EAC"/>
    <w:rsid w:val="0096279C"/>
    <w:rsid w:val="0096342A"/>
    <w:rsid w:val="00964BE8"/>
    <w:rsid w:val="00967498"/>
    <w:rsid w:val="009703FA"/>
    <w:rsid w:val="00971CC1"/>
    <w:rsid w:val="009733BB"/>
    <w:rsid w:val="0097499D"/>
    <w:rsid w:val="00974AB5"/>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87F88"/>
    <w:rsid w:val="00991B54"/>
    <w:rsid w:val="009935FB"/>
    <w:rsid w:val="00996173"/>
    <w:rsid w:val="00996E66"/>
    <w:rsid w:val="009971F5"/>
    <w:rsid w:val="00997985"/>
    <w:rsid w:val="00997E69"/>
    <w:rsid w:val="009A0187"/>
    <w:rsid w:val="009A0748"/>
    <w:rsid w:val="009A235E"/>
    <w:rsid w:val="009A3DAA"/>
    <w:rsid w:val="009A4D1C"/>
    <w:rsid w:val="009A4F41"/>
    <w:rsid w:val="009B079A"/>
    <w:rsid w:val="009B0E38"/>
    <w:rsid w:val="009B1328"/>
    <w:rsid w:val="009B2E69"/>
    <w:rsid w:val="009B303D"/>
    <w:rsid w:val="009B45B2"/>
    <w:rsid w:val="009B4F8D"/>
    <w:rsid w:val="009B50EB"/>
    <w:rsid w:val="009B5752"/>
    <w:rsid w:val="009B57F5"/>
    <w:rsid w:val="009B7686"/>
    <w:rsid w:val="009C15AD"/>
    <w:rsid w:val="009C167B"/>
    <w:rsid w:val="009C17D3"/>
    <w:rsid w:val="009C1933"/>
    <w:rsid w:val="009C1A3A"/>
    <w:rsid w:val="009C22D3"/>
    <w:rsid w:val="009C2AF0"/>
    <w:rsid w:val="009C3DB8"/>
    <w:rsid w:val="009C422B"/>
    <w:rsid w:val="009C5ED5"/>
    <w:rsid w:val="009C6FF8"/>
    <w:rsid w:val="009C71DA"/>
    <w:rsid w:val="009C7500"/>
    <w:rsid w:val="009C7987"/>
    <w:rsid w:val="009C7F29"/>
    <w:rsid w:val="009D191F"/>
    <w:rsid w:val="009D2A09"/>
    <w:rsid w:val="009D37EC"/>
    <w:rsid w:val="009D4626"/>
    <w:rsid w:val="009D5565"/>
    <w:rsid w:val="009D58C5"/>
    <w:rsid w:val="009D75F9"/>
    <w:rsid w:val="009E06C2"/>
    <w:rsid w:val="009E1320"/>
    <w:rsid w:val="009E1EB8"/>
    <w:rsid w:val="009E3023"/>
    <w:rsid w:val="009E3D1C"/>
    <w:rsid w:val="009E5113"/>
    <w:rsid w:val="009E5521"/>
    <w:rsid w:val="009E5968"/>
    <w:rsid w:val="009E5BC5"/>
    <w:rsid w:val="009E7922"/>
    <w:rsid w:val="009F0489"/>
    <w:rsid w:val="009F15BD"/>
    <w:rsid w:val="009F252B"/>
    <w:rsid w:val="009F418A"/>
    <w:rsid w:val="009F457C"/>
    <w:rsid w:val="009F47F4"/>
    <w:rsid w:val="009F4A54"/>
    <w:rsid w:val="009F4BEC"/>
    <w:rsid w:val="009F4F37"/>
    <w:rsid w:val="009F553B"/>
    <w:rsid w:val="009F5874"/>
    <w:rsid w:val="009F59FE"/>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2261B"/>
    <w:rsid w:val="00A23DA6"/>
    <w:rsid w:val="00A240CB"/>
    <w:rsid w:val="00A242DE"/>
    <w:rsid w:val="00A24CB4"/>
    <w:rsid w:val="00A24EB4"/>
    <w:rsid w:val="00A25FD7"/>
    <w:rsid w:val="00A26DEA"/>
    <w:rsid w:val="00A27D8B"/>
    <w:rsid w:val="00A366F9"/>
    <w:rsid w:val="00A3773C"/>
    <w:rsid w:val="00A4007A"/>
    <w:rsid w:val="00A40669"/>
    <w:rsid w:val="00A40880"/>
    <w:rsid w:val="00A43041"/>
    <w:rsid w:val="00A43AFF"/>
    <w:rsid w:val="00A43EC5"/>
    <w:rsid w:val="00A444D5"/>
    <w:rsid w:val="00A454E3"/>
    <w:rsid w:val="00A46303"/>
    <w:rsid w:val="00A473CD"/>
    <w:rsid w:val="00A50DBD"/>
    <w:rsid w:val="00A50F78"/>
    <w:rsid w:val="00A51DA4"/>
    <w:rsid w:val="00A52D39"/>
    <w:rsid w:val="00A532D3"/>
    <w:rsid w:val="00A537A1"/>
    <w:rsid w:val="00A571BF"/>
    <w:rsid w:val="00A60C76"/>
    <w:rsid w:val="00A60F91"/>
    <w:rsid w:val="00A619C0"/>
    <w:rsid w:val="00A62302"/>
    <w:rsid w:val="00A62CF6"/>
    <w:rsid w:val="00A6411B"/>
    <w:rsid w:val="00A645DF"/>
    <w:rsid w:val="00A6492A"/>
    <w:rsid w:val="00A66313"/>
    <w:rsid w:val="00A731C3"/>
    <w:rsid w:val="00A74AD1"/>
    <w:rsid w:val="00A7793A"/>
    <w:rsid w:val="00A80C05"/>
    <w:rsid w:val="00A80C7B"/>
    <w:rsid w:val="00A82091"/>
    <w:rsid w:val="00A827B5"/>
    <w:rsid w:val="00A83B99"/>
    <w:rsid w:val="00A83EE1"/>
    <w:rsid w:val="00A8497A"/>
    <w:rsid w:val="00A85C52"/>
    <w:rsid w:val="00A90A5A"/>
    <w:rsid w:val="00A95099"/>
    <w:rsid w:val="00A956C0"/>
    <w:rsid w:val="00AA0FA8"/>
    <w:rsid w:val="00AA2290"/>
    <w:rsid w:val="00AA2722"/>
    <w:rsid w:val="00AA4CC7"/>
    <w:rsid w:val="00AA535A"/>
    <w:rsid w:val="00AA583A"/>
    <w:rsid w:val="00AA5E8E"/>
    <w:rsid w:val="00AA7048"/>
    <w:rsid w:val="00AB0281"/>
    <w:rsid w:val="00AB0EB1"/>
    <w:rsid w:val="00AB163A"/>
    <w:rsid w:val="00AB1AB2"/>
    <w:rsid w:val="00AB1AF2"/>
    <w:rsid w:val="00AB225B"/>
    <w:rsid w:val="00AB2BAD"/>
    <w:rsid w:val="00AB46ED"/>
    <w:rsid w:val="00AB566F"/>
    <w:rsid w:val="00AB604C"/>
    <w:rsid w:val="00AB6904"/>
    <w:rsid w:val="00AB6CA7"/>
    <w:rsid w:val="00AB6D57"/>
    <w:rsid w:val="00AB6DD5"/>
    <w:rsid w:val="00AC0BD4"/>
    <w:rsid w:val="00AC258A"/>
    <w:rsid w:val="00AC3B82"/>
    <w:rsid w:val="00AC3EF0"/>
    <w:rsid w:val="00AC422F"/>
    <w:rsid w:val="00AC45AE"/>
    <w:rsid w:val="00AC4DC2"/>
    <w:rsid w:val="00AC5002"/>
    <w:rsid w:val="00AD01E4"/>
    <w:rsid w:val="00AD0858"/>
    <w:rsid w:val="00AD1576"/>
    <w:rsid w:val="00AD17E6"/>
    <w:rsid w:val="00AD4D6E"/>
    <w:rsid w:val="00AD7D7C"/>
    <w:rsid w:val="00AE02E3"/>
    <w:rsid w:val="00AE1231"/>
    <w:rsid w:val="00AE168C"/>
    <w:rsid w:val="00AE2B11"/>
    <w:rsid w:val="00AE5145"/>
    <w:rsid w:val="00AE7340"/>
    <w:rsid w:val="00AF0BB5"/>
    <w:rsid w:val="00AF0C52"/>
    <w:rsid w:val="00AF1BBD"/>
    <w:rsid w:val="00AF246E"/>
    <w:rsid w:val="00AF29D5"/>
    <w:rsid w:val="00AF53F4"/>
    <w:rsid w:val="00AF794B"/>
    <w:rsid w:val="00B03620"/>
    <w:rsid w:val="00B038E7"/>
    <w:rsid w:val="00B04251"/>
    <w:rsid w:val="00B04767"/>
    <w:rsid w:val="00B04948"/>
    <w:rsid w:val="00B052C2"/>
    <w:rsid w:val="00B06FFE"/>
    <w:rsid w:val="00B077F9"/>
    <w:rsid w:val="00B10207"/>
    <w:rsid w:val="00B11EAF"/>
    <w:rsid w:val="00B141E7"/>
    <w:rsid w:val="00B1479E"/>
    <w:rsid w:val="00B15349"/>
    <w:rsid w:val="00B16417"/>
    <w:rsid w:val="00B16B69"/>
    <w:rsid w:val="00B2435A"/>
    <w:rsid w:val="00B25B86"/>
    <w:rsid w:val="00B26197"/>
    <w:rsid w:val="00B26280"/>
    <w:rsid w:val="00B265A1"/>
    <w:rsid w:val="00B3001F"/>
    <w:rsid w:val="00B3194B"/>
    <w:rsid w:val="00B31D3C"/>
    <w:rsid w:val="00B3344F"/>
    <w:rsid w:val="00B3466A"/>
    <w:rsid w:val="00B351B4"/>
    <w:rsid w:val="00B351FA"/>
    <w:rsid w:val="00B35960"/>
    <w:rsid w:val="00B36D02"/>
    <w:rsid w:val="00B40D0D"/>
    <w:rsid w:val="00B41DF4"/>
    <w:rsid w:val="00B4232B"/>
    <w:rsid w:val="00B42917"/>
    <w:rsid w:val="00B42993"/>
    <w:rsid w:val="00B43252"/>
    <w:rsid w:val="00B43325"/>
    <w:rsid w:val="00B43898"/>
    <w:rsid w:val="00B46BCA"/>
    <w:rsid w:val="00B47528"/>
    <w:rsid w:val="00B478AA"/>
    <w:rsid w:val="00B52415"/>
    <w:rsid w:val="00B54CA5"/>
    <w:rsid w:val="00B554FE"/>
    <w:rsid w:val="00B55692"/>
    <w:rsid w:val="00B55A2C"/>
    <w:rsid w:val="00B56028"/>
    <w:rsid w:val="00B565C7"/>
    <w:rsid w:val="00B5711A"/>
    <w:rsid w:val="00B57828"/>
    <w:rsid w:val="00B57D8C"/>
    <w:rsid w:val="00B600A4"/>
    <w:rsid w:val="00B600FD"/>
    <w:rsid w:val="00B61D64"/>
    <w:rsid w:val="00B62376"/>
    <w:rsid w:val="00B64F3D"/>
    <w:rsid w:val="00B65F61"/>
    <w:rsid w:val="00B665CD"/>
    <w:rsid w:val="00B710D7"/>
    <w:rsid w:val="00B72E5C"/>
    <w:rsid w:val="00B744B8"/>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F5D"/>
    <w:rsid w:val="00B93640"/>
    <w:rsid w:val="00B93FF5"/>
    <w:rsid w:val="00B94C9E"/>
    <w:rsid w:val="00B94D33"/>
    <w:rsid w:val="00BA070B"/>
    <w:rsid w:val="00BA13ED"/>
    <w:rsid w:val="00BA2E21"/>
    <w:rsid w:val="00BA3864"/>
    <w:rsid w:val="00BA4149"/>
    <w:rsid w:val="00BA4427"/>
    <w:rsid w:val="00BA5137"/>
    <w:rsid w:val="00BB6133"/>
    <w:rsid w:val="00BB6691"/>
    <w:rsid w:val="00BB751A"/>
    <w:rsid w:val="00BC030D"/>
    <w:rsid w:val="00BC1B33"/>
    <w:rsid w:val="00BC24A1"/>
    <w:rsid w:val="00BC38FD"/>
    <w:rsid w:val="00BC3C53"/>
    <w:rsid w:val="00BC4C9E"/>
    <w:rsid w:val="00BC5BEC"/>
    <w:rsid w:val="00BD28F0"/>
    <w:rsid w:val="00BD30D2"/>
    <w:rsid w:val="00BD3EB5"/>
    <w:rsid w:val="00BD6191"/>
    <w:rsid w:val="00BD7269"/>
    <w:rsid w:val="00BD72C1"/>
    <w:rsid w:val="00BE064B"/>
    <w:rsid w:val="00BE2586"/>
    <w:rsid w:val="00BE479B"/>
    <w:rsid w:val="00BE4A70"/>
    <w:rsid w:val="00BE511F"/>
    <w:rsid w:val="00BE5274"/>
    <w:rsid w:val="00BE52B5"/>
    <w:rsid w:val="00BE6240"/>
    <w:rsid w:val="00BE6451"/>
    <w:rsid w:val="00BE6D1B"/>
    <w:rsid w:val="00BE6FCB"/>
    <w:rsid w:val="00BF2C07"/>
    <w:rsid w:val="00BF4779"/>
    <w:rsid w:val="00BF4A8F"/>
    <w:rsid w:val="00BF5A0E"/>
    <w:rsid w:val="00BF69C9"/>
    <w:rsid w:val="00BF6CC6"/>
    <w:rsid w:val="00BF737C"/>
    <w:rsid w:val="00BF7391"/>
    <w:rsid w:val="00BF7F5D"/>
    <w:rsid w:val="00C01DF8"/>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5B11"/>
    <w:rsid w:val="00C170C2"/>
    <w:rsid w:val="00C17547"/>
    <w:rsid w:val="00C17897"/>
    <w:rsid w:val="00C202E9"/>
    <w:rsid w:val="00C2199B"/>
    <w:rsid w:val="00C21A7C"/>
    <w:rsid w:val="00C22ACF"/>
    <w:rsid w:val="00C23B5B"/>
    <w:rsid w:val="00C23D5E"/>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FAE"/>
    <w:rsid w:val="00C4460E"/>
    <w:rsid w:val="00C448AD"/>
    <w:rsid w:val="00C44B9B"/>
    <w:rsid w:val="00C44CC9"/>
    <w:rsid w:val="00C44E5F"/>
    <w:rsid w:val="00C46B05"/>
    <w:rsid w:val="00C4722C"/>
    <w:rsid w:val="00C50334"/>
    <w:rsid w:val="00C51595"/>
    <w:rsid w:val="00C51B7C"/>
    <w:rsid w:val="00C52727"/>
    <w:rsid w:val="00C60C51"/>
    <w:rsid w:val="00C61B63"/>
    <w:rsid w:val="00C6234B"/>
    <w:rsid w:val="00C63095"/>
    <w:rsid w:val="00C63C92"/>
    <w:rsid w:val="00C63EAE"/>
    <w:rsid w:val="00C656EE"/>
    <w:rsid w:val="00C70E01"/>
    <w:rsid w:val="00C71203"/>
    <w:rsid w:val="00C73260"/>
    <w:rsid w:val="00C74B5F"/>
    <w:rsid w:val="00C7540C"/>
    <w:rsid w:val="00C7629F"/>
    <w:rsid w:val="00C766F0"/>
    <w:rsid w:val="00C771BE"/>
    <w:rsid w:val="00C823AC"/>
    <w:rsid w:val="00C83796"/>
    <w:rsid w:val="00C851C0"/>
    <w:rsid w:val="00C856E8"/>
    <w:rsid w:val="00C85990"/>
    <w:rsid w:val="00C8661B"/>
    <w:rsid w:val="00C8683E"/>
    <w:rsid w:val="00C87F56"/>
    <w:rsid w:val="00C9262B"/>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4AD9"/>
    <w:rsid w:val="00CC51D4"/>
    <w:rsid w:val="00CC564F"/>
    <w:rsid w:val="00CC65DA"/>
    <w:rsid w:val="00CC6C62"/>
    <w:rsid w:val="00CD000D"/>
    <w:rsid w:val="00CD0185"/>
    <w:rsid w:val="00CD1043"/>
    <w:rsid w:val="00CD13F3"/>
    <w:rsid w:val="00CD14B9"/>
    <w:rsid w:val="00CD1962"/>
    <w:rsid w:val="00CD46B3"/>
    <w:rsid w:val="00CD692C"/>
    <w:rsid w:val="00CD6C8C"/>
    <w:rsid w:val="00CE11CC"/>
    <w:rsid w:val="00CE18A4"/>
    <w:rsid w:val="00CE2AA7"/>
    <w:rsid w:val="00CE31D4"/>
    <w:rsid w:val="00CE4916"/>
    <w:rsid w:val="00CE5AA0"/>
    <w:rsid w:val="00CE6FB8"/>
    <w:rsid w:val="00CE7B36"/>
    <w:rsid w:val="00CE7CE8"/>
    <w:rsid w:val="00CF0103"/>
    <w:rsid w:val="00CF174F"/>
    <w:rsid w:val="00CF18FA"/>
    <w:rsid w:val="00CF21B9"/>
    <w:rsid w:val="00CF2A2D"/>
    <w:rsid w:val="00CF6BF9"/>
    <w:rsid w:val="00D00748"/>
    <w:rsid w:val="00D02A5C"/>
    <w:rsid w:val="00D03800"/>
    <w:rsid w:val="00D042BC"/>
    <w:rsid w:val="00D065D3"/>
    <w:rsid w:val="00D10DD2"/>
    <w:rsid w:val="00D11C4B"/>
    <w:rsid w:val="00D12AEC"/>
    <w:rsid w:val="00D13799"/>
    <w:rsid w:val="00D14142"/>
    <w:rsid w:val="00D14C94"/>
    <w:rsid w:val="00D20C48"/>
    <w:rsid w:val="00D215E1"/>
    <w:rsid w:val="00D21DF3"/>
    <w:rsid w:val="00D231C8"/>
    <w:rsid w:val="00D256FA"/>
    <w:rsid w:val="00D26D63"/>
    <w:rsid w:val="00D27672"/>
    <w:rsid w:val="00D27F49"/>
    <w:rsid w:val="00D311DF"/>
    <w:rsid w:val="00D31C4A"/>
    <w:rsid w:val="00D32A8E"/>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BF"/>
    <w:rsid w:val="00D46635"/>
    <w:rsid w:val="00D52BDB"/>
    <w:rsid w:val="00D5356B"/>
    <w:rsid w:val="00D53E26"/>
    <w:rsid w:val="00D53E5F"/>
    <w:rsid w:val="00D553D3"/>
    <w:rsid w:val="00D557EE"/>
    <w:rsid w:val="00D57074"/>
    <w:rsid w:val="00D57D9C"/>
    <w:rsid w:val="00D60EE3"/>
    <w:rsid w:val="00D60EE7"/>
    <w:rsid w:val="00D6230D"/>
    <w:rsid w:val="00D62F75"/>
    <w:rsid w:val="00D630BE"/>
    <w:rsid w:val="00D6322D"/>
    <w:rsid w:val="00D64DB4"/>
    <w:rsid w:val="00D65EBE"/>
    <w:rsid w:val="00D67BFF"/>
    <w:rsid w:val="00D70E31"/>
    <w:rsid w:val="00D711B2"/>
    <w:rsid w:val="00D72DA3"/>
    <w:rsid w:val="00D755F8"/>
    <w:rsid w:val="00D76752"/>
    <w:rsid w:val="00D77688"/>
    <w:rsid w:val="00D829B1"/>
    <w:rsid w:val="00D8377A"/>
    <w:rsid w:val="00D84D15"/>
    <w:rsid w:val="00D85297"/>
    <w:rsid w:val="00D857A6"/>
    <w:rsid w:val="00D85B77"/>
    <w:rsid w:val="00D87054"/>
    <w:rsid w:val="00D87308"/>
    <w:rsid w:val="00D9080F"/>
    <w:rsid w:val="00D94CCE"/>
    <w:rsid w:val="00D95055"/>
    <w:rsid w:val="00D95AA4"/>
    <w:rsid w:val="00D979E4"/>
    <w:rsid w:val="00DA0339"/>
    <w:rsid w:val="00DA61BD"/>
    <w:rsid w:val="00DA653F"/>
    <w:rsid w:val="00DA6B14"/>
    <w:rsid w:val="00DA6EF0"/>
    <w:rsid w:val="00DA78EC"/>
    <w:rsid w:val="00DB020A"/>
    <w:rsid w:val="00DB182C"/>
    <w:rsid w:val="00DB2582"/>
    <w:rsid w:val="00DB390F"/>
    <w:rsid w:val="00DB5402"/>
    <w:rsid w:val="00DB5B17"/>
    <w:rsid w:val="00DB62A2"/>
    <w:rsid w:val="00DC02C0"/>
    <w:rsid w:val="00DC0F46"/>
    <w:rsid w:val="00DC1AB9"/>
    <w:rsid w:val="00DC22D8"/>
    <w:rsid w:val="00DC2DB9"/>
    <w:rsid w:val="00DC30E6"/>
    <w:rsid w:val="00DC32A9"/>
    <w:rsid w:val="00DC3445"/>
    <w:rsid w:val="00DC3BD1"/>
    <w:rsid w:val="00DC4047"/>
    <w:rsid w:val="00DC4BB6"/>
    <w:rsid w:val="00DC4FE2"/>
    <w:rsid w:val="00DC61DA"/>
    <w:rsid w:val="00DC756E"/>
    <w:rsid w:val="00DC7B09"/>
    <w:rsid w:val="00DD096C"/>
    <w:rsid w:val="00DD0CCF"/>
    <w:rsid w:val="00DD236B"/>
    <w:rsid w:val="00DD3302"/>
    <w:rsid w:val="00DD3943"/>
    <w:rsid w:val="00DD4F0E"/>
    <w:rsid w:val="00DD54ED"/>
    <w:rsid w:val="00DD5F22"/>
    <w:rsid w:val="00DD763B"/>
    <w:rsid w:val="00DE0C49"/>
    <w:rsid w:val="00DE1D45"/>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F2F"/>
    <w:rsid w:val="00E052C8"/>
    <w:rsid w:val="00E05E0A"/>
    <w:rsid w:val="00E060BE"/>
    <w:rsid w:val="00E062E2"/>
    <w:rsid w:val="00E10452"/>
    <w:rsid w:val="00E10E29"/>
    <w:rsid w:val="00E16AAC"/>
    <w:rsid w:val="00E24463"/>
    <w:rsid w:val="00E24857"/>
    <w:rsid w:val="00E25479"/>
    <w:rsid w:val="00E26F95"/>
    <w:rsid w:val="00E27608"/>
    <w:rsid w:val="00E3092E"/>
    <w:rsid w:val="00E3419F"/>
    <w:rsid w:val="00E348B6"/>
    <w:rsid w:val="00E36456"/>
    <w:rsid w:val="00E3651B"/>
    <w:rsid w:val="00E4056F"/>
    <w:rsid w:val="00E40697"/>
    <w:rsid w:val="00E40B05"/>
    <w:rsid w:val="00E4302C"/>
    <w:rsid w:val="00E442C8"/>
    <w:rsid w:val="00E44594"/>
    <w:rsid w:val="00E44D6B"/>
    <w:rsid w:val="00E45320"/>
    <w:rsid w:val="00E47066"/>
    <w:rsid w:val="00E474A8"/>
    <w:rsid w:val="00E47A98"/>
    <w:rsid w:val="00E512DA"/>
    <w:rsid w:val="00E521C9"/>
    <w:rsid w:val="00E534CF"/>
    <w:rsid w:val="00E538D3"/>
    <w:rsid w:val="00E553F7"/>
    <w:rsid w:val="00E56D4F"/>
    <w:rsid w:val="00E57794"/>
    <w:rsid w:val="00E609EA"/>
    <w:rsid w:val="00E61918"/>
    <w:rsid w:val="00E62B85"/>
    <w:rsid w:val="00E65533"/>
    <w:rsid w:val="00E658DB"/>
    <w:rsid w:val="00E66700"/>
    <w:rsid w:val="00E66A24"/>
    <w:rsid w:val="00E66EF8"/>
    <w:rsid w:val="00E6757C"/>
    <w:rsid w:val="00E70525"/>
    <w:rsid w:val="00E7099A"/>
    <w:rsid w:val="00E71517"/>
    <w:rsid w:val="00E72226"/>
    <w:rsid w:val="00E73CF4"/>
    <w:rsid w:val="00E76552"/>
    <w:rsid w:val="00E77C52"/>
    <w:rsid w:val="00E80AA0"/>
    <w:rsid w:val="00E81AA5"/>
    <w:rsid w:val="00E81CB4"/>
    <w:rsid w:val="00E82A33"/>
    <w:rsid w:val="00E8393E"/>
    <w:rsid w:val="00E83DD8"/>
    <w:rsid w:val="00E83F58"/>
    <w:rsid w:val="00E84F6C"/>
    <w:rsid w:val="00E8585B"/>
    <w:rsid w:val="00E86C55"/>
    <w:rsid w:val="00E87CCE"/>
    <w:rsid w:val="00E87F41"/>
    <w:rsid w:val="00E90E21"/>
    <w:rsid w:val="00E92880"/>
    <w:rsid w:val="00E9330F"/>
    <w:rsid w:val="00E97083"/>
    <w:rsid w:val="00E973B0"/>
    <w:rsid w:val="00EA20BE"/>
    <w:rsid w:val="00EA396E"/>
    <w:rsid w:val="00EA3F15"/>
    <w:rsid w:val="00EA61C9"/>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49F6"/>
    <w:rsid w:val="00EC5748"/>
    <w:rsid w:val="00EC5A4B"/>
    <w:rsid w:val="00EC688C"/>
    <w:rsid w:val="00ED0150"/>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7DD"/>
    <w:rsid w:val="00F04810"/>
    <w:rsid w:val="00F04C88"/>
    <w:rsid w:val="00F04F0D"/>
    <w:rsid w:val="00F0759E"/>
    <w:rsid w:val="00F11188"/>
    <w:rsid w:val="00F13E43"/>
    <w:rsid w:val="00F16A43"/>
    <w:rsid w:val="00F178D8"/>
    <w:rsid w:val="00F17914"/>
    <w:rsid w:val="00F17B18"/>
    <w:rsid w:val="00F224BD"/>
    <w:rsid w:val="00F231C2"/>
    <w:rsid w:val="00F2375C"/>
    <w:rsid w:val="00F246AE"/>
    <w:rsid w:val="00F270E9"/>
    <w:rsid w:val="00F2718C"/>
    <w:rsid w:val="00F304FE"/>
    <w:rsid w:val="00F30572"/>
    <w:rsid w:val="00F3147E"/>
    <w:rsid w:val="00F31863"/>
    <w:rsid w:val="00F3199B"/>
    <w:rsid w:val="00F35F07"/>
    <w:rsid w:val="00F37A1B"/>
    <w:rsid w:val="00F40882"/>
    <w:rsid w:val="00F46780"/>
    <w:rsid w:val="00F50305"/>
    <w:rsid w:val="00F50AC4"/>
    <w:rsid w:val="00F51218"/>
    <w:rsid w:val="00F51A86"/>
    <w:rsid w:val="00F51C53"/>
    <w:rsid w:val="00F52701"/>
    <w:rsid w:val="00F52D78"/>
    <w:rsid w:val="00F532BA"/>
    <w:rsid w:val="00F54493"/>
    <w:rsid w:val="00F5566F"/>
    <w:rsid w:val="00F559EF"/>
    <w:rsid w:val="00F55A19"/>
    <w:rsid w:val="00F56125"/>
    <w:rsid w:val="00F56D8F"/>
    <w:rsid w:val="00F57709"/>
    <w:rsid w:val="00F57CCB"/>
    <w:rsid w:val="00F61C2C"/>
    <w:rsid w:val="00F6205E"/>
    <w:rsid w:val="00F62A1B"/>
    <w:rsid w:val="00F64373"/>
    <w:rsid w:val="00F678DC"/>
    <w:rsid w:val="00F679F1"/>
    <w:rsid w:val="00F70043"/>
    <w:rsid w:val="00F72B25"/>
    <w:rsid w:val="00F73E95"/>
    <w:rsid w:val="00F74C38"/>
    <w:rsid w:val="00F7693A"/>
    <w:rsid w:val="00F76BB6"/>
    <w:rsid w:val="00F76C1D"/>
    <w:rsid w:val="00F7760D"/>
    <w:rsid w:val="00F77B04"/>
    <w:rsid w:val="00F77D2D"/>
    <w:rsid w:val="00F800C1"/>
    <w:rsid w:val="00F80317"/>
    <w:rsid w:val="00F821A3"/>
    <w:rsid w:val="00F84552"/>
    <w:rsid w:val="00F86162"/>
    <w:rsid w:val="00F91043"/>
    <w:rsid w:val="00F9198E"/>
    <w:rsid w:val="00F91C11"/>
    <w:rsid w:val="00F9246F"/>
    <w:rsid w:val="00F9309A"/>
    <w:rsid w:val="00F9314A"/>
    <w:rsid w:val="00F940B2"/>
    <w:rsid w:val="00F95AF6"/>
    <w:rsid w:val="00F95D08"/>
    <w:rsid w:val="00F96E3B"/>
    <w:rsid w:val="00F9742E"/>
    <w:rsid w:val="00FA1462"/>
    <w:rsid w:val="00FA5BD7"/>
    <w:rsid w:val="00FA75EC"/>
    <w:rsid w:val="00FB19E8"/>
    <w:rsid w:val="00FB1DA9"/>
    <w:rsid w:val="00FB24A5"/>
    <w:rsid w:val="00FB2A38"/>
    <w:rsid w:val="00FB397E"/>
    <w:rsid w:val="00FB41DE"/>
    <w:rsid w:val="00FB5CA9"/>
    <w:rsid w:val="00FB5EC8"/>
    <w:rsid w:val="00FB61D1"/>
    <w:rsid w:val="00FB6C27"/>
    <w:rsid w:val="00FB7A02"/>
    <w:rsid w:val="00FC342E"/>
    <w:rsid w:val="00FC4B39"/>
    <w:rsid w:val="00FC4BFD"/>
    <w:rsid w:val="00FC524D"/>
    <w:rsid w:val="00FC5798"/>
    <w:rsid w:val="00FC58EF"/>
    <w:rsid w:val="00FC5ADC"/>
    <w:rsid w:val="00FC64D4"/>
    <w:rsid w:val="00FC783B"/>
    <w:rsid w:val="00FD1049"/>
    <w:rsid w:val="00FD1785"/>
    <w:rsid w:val="00FD2F46"/>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3010"/>
    <w:rsid w:val="00FF4689"/>
    <w:rsid w:val="00FF70D1"/>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E8127AD-84E4-4AC6-BEDE-4BA7E830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AC5002"/>
    <w:pPr>
      <w:spacing w:before="240"/>
      <w:ind w:left="567" w:right="567"/>
    </w:pPr>
    <w:rPr>
      <w:rFonts w:eastAsia="Calibri" w:cs="Arial"/>
      <w:i/>
      <w:iCs/>
      <w:color w:val="000000"/>
      <w:sz w:val="20"/>
      <w:szCs w:val="22"/>
      <w:lang w:val="es-CO" w:eastAsia="en-US"/>
    </w:rPr>
  </w:style>
  <w:style w:type="character" w:customStyle="1" w:styleId="CitaCar">
    <w:name w:val="Cita Car"/>
    <w:basedOn w:val="Fuentedeprrafopredeter"/>
    <w:link w:val="Cita"/>
    <w:uiPriority w:val="29"/>
    <w:rsid w:val="00AC5002"/>
    <w:rPr>
      <w:rFonts w:ascii="Bookman Old Style" w:eastAsia="Calibri" w:hAnsi="Bookman Old Style"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character" w:customStyle="1" w:styleId="CharStyle44">
    <w:name w:val="Char Style 44"/>
    <w:basedOn w:val="Fuentedeprrafopredeter"/>
    <w:link w:val="Style43"/>
    <w:uiPriority w:val="99"/>
    <w:rsid w:val="00AC5002"/>
    <w:rPr>
      <w:rFonts w:ascii="Courier New" w:hAnsi="Courier New" w:cs="Courier New"/>
      <w:b/>
      <w:bCs/>
      <w:spacing w:val="20"/>
      <w:sz w:val="15"/>
      <w:szCs w:val="15"/>
      <w:shd w:val="clear" w:color="auto" w:fill="FFFFFF"/>
    </w:rPr>
  </w:style>
  <w:style w:type="character" w:customStyle="1" w:styleId="CharStyle45">
    <w:name w:val="Char Style 45"/>
    <w:basedOn w:val="CharStyle44"/>
    <w:uiPriority w:val="99"/>
    <w:rsid w:val="00AC5002"/>
    <w:rPr>
      <w:rFonts w:ascii="Arial" w:hAnsi="Arial" w:cs="Arial"/>
      <w:b w:val="0"/>
      <w:bCs w:val="0"/>
      <w:spacing w:val="-10"/>
      <w:sz w:val="16"/>
      <w:szCs w:val="16"/>
      <w:shd w:val="clear" w:color="auto" w:fill="FFFFFF"/>
      <w:lang w:val="en-US" w:eastAsia="en-US"/>
    </w:rPr>
  </w:style>
  <w:style w:type="character" w:customStyle="1" w:styleId="CharStyle46">
    <w:name w:val="Char Style 46"/>
    <w:basedOn w:val="CharStyle44"/>
    <w:uiPriority w:val="99"/>
    <w:rsid w:val="00AC5002"/>
    <w:rPr>
      <w:rFonts w:ascii="Arial" w:hAnsi="Arial" w:cs="Arial"/>
      <w:b/>
      <w:bCs/>
      <w:i/>
      <w:iCs/>
      <w:smallCaps/>
      <w:spacing w:val="-10"/>
      <w:sz w:val="15"/>
      <w:szCs w:val="15"/>
      <w:shd w:val="clear" w:color="auto" w:fill="FFFFFF"/>
      <w:lang w:val="en-US" w:eastAsia="en-US"/>
    </w:rPr>
  </w:style>
  <w:style w:type="character" w:customStyle="1" w:styleId="CharStyle47">
    <w:name w:val="Char Style 47"/>
    <w:basedOn w:val="CharStyle44"/>
    <w:uiPriority w:val="99"/>
    <w:rsid w:val="00AC5002"/>
    <w:rPr>
      <w:rFonts w:ascii="Courier New" w:hAnsi="Courier New" w:cs="Courier New"/>
      <w:b/>
      <w:bCs/>
      <w:spacing w:val="0"/>
      <w:sz w:val="17"/>
      <w:szCs w:val="17"/>
      <w:shd w:val="clear" w:color="auto" w:fill="FFFFFF"/>
    </w:rPr>
  </w:style>
  <w:style w:type="character" w:customStyle="1" w:styleId="CharStyle48">
    <w:name w:val="Char Style 48"/>
    <w:basedOn w:val="CharStyle44"/>
    <w:uiPriority w:val="99"/>
    <w:rsid w:val="00AC5002"/>
    <w:rPr>
      <w:rFonts w:ascii="Arial" w:hAnsi="Arial" w:cs="Arial"/>
      <w:b/>
      <w:bCs/>
      <w:i/>
      <w:iCs/>
      <w:spacing w:val="-10"/>
      <w:sz w:val="15"/>
      <w:szCs w:val="15"/>
      <w:shd w:val="clear" w:color="auto" w:fill="FFFFFF"/>
      <w:lang w:val="en-US" w:eastAsia="en-US"/>
    </w:rPr>
  </w:style>
  <w:style w:type="character" w:customStyle="1" w:styleId="CharStyle49">
    <w:name w:val="Char Style 49"/>
    <w:basedOn w:val="CharStyle44"/>
    <w:uiPriority w:val="99"/>
    <w:rsid w:val="00AC5002"/>
    <w:rPr>
      <w:rFonts w:ascii="Arial" w:hAnsi="Arial" w:cs="Arial"/>
      <w:b w:val="0"/>
      <w:bCs w:val="0"/>
      <w:i/>
      <w:iCs/>
      <w:spacing w:val="0"/>
      <w:sz w:val="11"/>
      <w:szCs w:val="11"/>
      <w:shd w:val="clear" w:color="auto" w:fill="FFFFFF"/>
      <w:lang w:val="en-US" w:eastAsia="en-US"/>
    </w:rPr>
  </w:style>
  <w:style w:type="paragraph" w:customStyle="1" w:styleId="Style43">
    <w:name w:val="Style 43"/>
    <w:basedOn w:val="Normal"/>
    <w:link w:val="CharStyle44"/>
    <w:uiPriority w:val="99"/>
    <w:rsid w:val="00AC5002"/>
    <w:pPr>
      <w:widowControl w:val="0"/>
      <w:shd w:val="clear" w:color="auto" w:fill="FFFFFF"/>
      <w:spacing w:before="0" w:after="0" w:line="125" w:lineRule="exact"/>
    </w:pPr>
    <w:rPr>
      <w:rFonts w:ascii="Courier New" w:hAnsi="Courier New" w:cs="Courier New"/>
      <w:b/>
      <w:bCs/>
      <w:spacing w:val="20"/>
      <w:sz w:val="15"/>
      <w:szCs w:val="15"/>
      <w:lang w:val="es-CO" w:eastAsia="es-CO"/>
    </w:rPr>
  </w:style>
  <w:style w:type="character" w:customStyle="1" w:styleId="CharStyle73">
    <w:name w:val="Char Style 73"/>
    <w:basedOn w:val="CharStyle44"/>
    <w:uiPriority w:val="99"/>
    <w:rsid w:val="00987F88"/>
    <w:rPr>
      <w:rFonts w:ascii="Arial" w:hAnsi="Arial" w:cs="Arial"/>
      <w:b w:val="0"/>
      <w:bCs w:val="0"/>
      <w:spacing w:val="0"/>
      <w:sz w:val="19"/>
      <w:szCs w:val="19"/>
      <w:u w:val="none"/>
      <w:shd w:val="clear" w:color="auto" w:fill="FFFFFF"/>
    </w:rPr>
  </w:style>
  <w:style w:type="character" w:customStyle="1" w:styleId="CharStyle74">
    <w:name w:val="Char Style 74"/>
    <w:basedOn w:val="CharStyle44"/>
    <w:uiPriority w:val="99"/>
    <w:rsid w:val="00987F88"/>
    <w:rPr>
      <w:rFonts w:ascii="Arial" w:hAnsi="Arial" w:cs="Arial"/>
      <w:b w:val="0"/>
      <w:bCs w:val="0"/>
      <w:spacing w:val="-10"/>
      <w:sz w:val="21"/>
      <w:szCs w:val="21"/>
      <w:u w:val="none"/>
      <w:shd w:val="clear" w:color="auto" w:fill="FFFFFF"/>
    </w:rPr>
  </w:style>
  <w:style w:type="character" w:customStyle="1" w:styleId="CharStyle75">
    <w:name w:val="Char Style 75"/>
    <w:basedOn w:val="CharStyle44"/>
    <w:uiPriority w:val="99"/>
    <w:rsid w:val="00987F88"/>
    <w:rPr>
      <w:rFonts w:ascii="Arial" w:hAnsi="Arial" w:cs="Arial"/>
      <w:b/>
      <w:bCs/>
      <w:spacing w:val="-10"/>
      <w:sz w:val="21"/>
      <w:szCs w:val="21"/>
      <w:u w:val="none"/>
      <w:shd w:val="clear" w:color="auto" w:fill="FFFFFF"/>
    </w:rPr>
  </w:style>
  <w:style w:type="character" w:customStyle="1" w:styleId="CharStyle101">
    <w:name w:val="Char Style 101"/>
    <w:basedOn w:val="CharStyle44"/>
    <w:uiPriority w:val="99"/>
    <w:rsid w:val="00D042BC"/>
    <w:rPr>
      <w:rFonts w:ascii="Arial" w:hAnsi="Arial" w:cs="Arial"/>
      <w:b/>
      <w:bCs/>
      <w:spacing w:val="20"/>
      <w:sz w:val="21"/>
      <w:szCs w:val="21"/>
      <w:u w:val="none"/>
      <w:shd w:val="clear" w:color="auto" w:fill="FFFFFF"/>
    </w:rPr>
  </w:style>
  <w:style w:type="character" w:customStyle="1" w:styleId="CharStyle109">
    <w:name w:val="Char Style 109"/>
    <w:basedOn w:val="CharStyle44"/>
    <w:uiPriority w:val="99"/>
    <w:rsid w:val="00AC258A"/>
    <w:rPr>
      <w:rFonts w:ascii="Arial" w:hAnsi="Arial" w:cs="Arial"/>
      <w:b/>
      <w:bCs/>
      <w:spacing w:val="0"/>
      <w:sz w:val="22"/>
      <w:szCs w:val="22"/>
      <w:shd w:val="clear" w:color="auto" w:fill="FFFFFF"/>
      <w:lang w:val="en-US" w:eastAsia="en-US"/>
    </w:rPr>
  </w:style>
  <w:style w:type="character" w:customStyle="1" w:styleId="CharStyle131">
    <w:name w:val="Char Style 131"/>
    <w:basedOn w:val="CharStyle44"/>
    <w:uiPriority w:val="99"/>
    <w:rsid w:val="008211BA"/>
    <w:rPr>
      <w:rFonts w:ascii="Arial" w:hAnsi="Arial" w:cs="Arial"/>
      <w:b w:val="0"/>
      <w:bCs w:val="0"/>
      <w:i/>
      <w:iCs/>
      <w:spacing w:val="0"/>
      <w:sz w:val="21"/>
      <w:szCs w:val="21"/>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29336887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15553347">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67855381">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CD062-48EE-4E60-AF65-E43C4509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8</Pages>
  <Words>2644</Words>
  <Characters>13181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15794</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2019-07-10T21:28:00Z</cp:lastPrinted>
  <dcterms:created xsi:type="dcterms:W3CDTF">2020-01-13T13:38:00Z</dcterms:created>
  <dcterms:modified xsi:type="dcterms:W3CDTF">2020-01-13T13:38:00Z</dcterms:modified>
</cp:coreProperties>
</file>