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A93243"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24711475" r:id="rId9"/>
        </w:object>
      </w: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Default="0092593B" w:rsidP="00341E8F">
      <w:pPr>
        <w:widowControl w:val="0"/>
        <w:adjustRightInd w:val="0"/>
        <w:ind w:left="0" w:right="20"/>
        <w:jc w:val="both"/>
        <w:rPr>
          <w:rFonts w:ascii="Bookman Old Style" w:hAnsi="Bookman Old Style" w:cs="Arial"/>
          <w:lang w:val="es-ES_tradnl"/>
        </w:rPr>
      </w:pPr>
    </w:p>
    <w:p w:rsidR="00F90300" w:rsidRPr="001954E9" w:rsidRDefault="00F90300" w:rsidP="00341E8F">
      <w:pPr>
        <w:widowControl w:val="0"/>
        <w:adjustRightInd w:val="0"/>
        <w:ind w:left="0" w:right="20"/>
        <w:jc w:val="both"/>
        <w:rPr>
          <w:rFonts w:ascii="Bookman Old Style" w:hAnsi="Bookman Old Style" w:cs="Arial"/>
          <w:lang w:val="es-ES_tradnl"/>
        </w:rPr>
      </w:pPr>
    </w:p>
    <w:p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364983">
        <w:rPr>
          <w:rFonts w:ascii="Bookman Old Style" w:hAnsi="Bookman Old Style" w:cs="Arial"/>
          <w:lang w:val="es-ES_tradnl"/>
        </w:rPr>
        <w:t>los corregimientos</w:t>
      </w:r>
      <w:r w:rsidR="009353D2">
        <w:rPr>
          <w:rFonts w:ascii="Bookman Old Style" w:hAnsi="Bookman Old Style" w:cs="Arial"/>
          <w:lang w:val="es-ES_tradnl"/>
        </w:rPr>
        <w:t xml:space="preserve"> de </w:t>
      </w:r>
      <w:r w:rsidR="003E4288">
        <w:rPr>
          <w:rFonts w:ascii="Bookman Old Style" w:hAnsi="Bookman Old Style" w:cs="Arial"/>
          <w:lang w:val="es-ES_tradnl"/>
        </w:rPr>
        <w:t>Casablanca, El Toro, Pueblo Nuevo y La Represa</w:t>
      </w:r>
      <w:r w:rsidR="00C62CA2" w:rsidRPr="00C62CA2">
        <w:rPr>
          <w:rFonts w:ascii="Bookman Old Style" w:hAnsi="Bookman Old Style" w:cs="Arial"/>
          <w:lang w:val="es-ES_tradnl"/>
        </w:rPr>
        <w:t xml:space="preserve"> del municipio </w:t>
      </w:r>
      <w:r w:rsidR="003E4288">
        <w:rPr>
          <w:rFonts w:ascii="Bookman Old Style" w:hAnsi="Bookman Old Style" w:cs="Arial"/>
          <w:lang w:val="es-ES_tradnl"/>
        </w:rPr>
        <w:t>de Castilla La Nueva</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w:t>
      </w:r>
      <w:r w:rsidR="003E4288">
        <w:rPr>
          <w:rFonts w:ascii="Bookman Old Style" w:hAnsi="Bookman Old Style" w:cs="Arial"/>
          <w:lang w:val="es-ES_tradnl"/>
        </w:rPr>
        <w:t>del Meta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3E4288">
        <w:rPr>
          <w:rFonts w:ascii="Bookman Old Style" w:hAnsi="Bookman Old Style" w:cs="Arial"/>
          <w:lang w:val="es-ES_tradnl"/>
        </w:rPr>
        <w:t>LOGIGAS</w:t>
      </w:r>
      <w:r w:rsidR="003551EA">
        <w:rPr>
          <w:rFonts w:ascii="Bookman Old Style" w:hAnsi="Bookman Old Style" w:cs="Arial"/>
          <w:lang w:val="es-ES_tradnl"/>
        </w:rPr>
        <w:t xml:space="preserve"> S.A.S.</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rsidR="00656686" w:rsidRPr="00341E8F" w:rsidRDefault="00656686" w:rsidP="00656686">
      <w:pPr>
        <w:widowControl w:val="0"/>
        <w:adjustRightInd w:val="0"/>
        <w:ind w:left="0" w:right="20"/>
        <w:jc w:val="both"/>
        <w:rPr>
          <w:rFonts w:ascii="Bookman Old Style" w:hAnsi="Bookman Old Style" w:cs="Arial"/>
          <w:lang w:val="es-ES_tradnl"/>
        </w:rPr>
      </w:pPr>
    </w:p>
    <w:p w:rsidR="00273C2C" w:rsidRPr="001954E9" w:rsidRDefault="00273C2C" w:rsidP="00341E8F">
      <w:pPr>
        <w:widowControl w:val="0"/>
        <w:adjustRightInd w:val="0"/>
        <w:ind w:left="0" w:right="20"/>
        <w:jc w:val="both"/>
        <w:rPr>
          <w:rFonts w:ascii="Bookman Old Style" w:hAnsi="Bookman Old Style" w:cs="Arial"/>
          <w:lang w:val="es-CO"/>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273C2C" w:rsidRPr="001954E9" w:rsidRDefault="00273C2C" w:rsidP="00341E8F">
      <w:pPr>
        <w:ind w:left="0"/>
        <w:jc w:val="both"/>
        <w:rPr>
          <w:rFonts w:ascii="Bookman Old Style" w:hAnsi="Bookman Old Style" w:cs="Arial"/>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F90300" w:rsidRDefault="00F90300" w:rsidP="00F90300">
      <w:pPr>
        <w:adjustRightInd w:val="0"/>
        <w:ind w:left="0"/>
        <w:jc w:val="both"/>
        <w:rPr>
          <w:rFonts w:ascii="Bookman Old Style" w:hAnsi="Bookman Old Style" w:cs="Arial"/>
        </w:rPr>
      </w:pPr>
    </w:p>
    <w:p w:rsidR="00A44502" w:rsidRPr="001954E9" w:rsidRDefault="007467F1"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rsidR="001C24F8" w:rsidRPr="001954E9" w:rsidRDefault="001C24F8" w:rsidP="009353D2">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rsidR="00657DE1" w:rsidRDefault="001C24F8" w:rsidP="009353D2">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sidR="008335C9">
        <w:rPr>
          <w:rFonts w:ascii="Bookman Old Style" w:eastAsia="Calibri" w:hAnsi="Bookman Old Style"/>
          <w:lang w:val="es-CO" w:eastAsia="en-US"/>
        </w:rPr>
        <w:t>re</w:t>
      </w:r>
      <w:r w:rsidR="008335C9" w:rsidRPr="00F92B41">
        <w:rPr>
          <w:rFonts w:ascii="Bookman Old Style" w:eastAsia="Calibri" w:hAnsi="Bookman Old Style"/>
          <w:lang w:val="es-CO" w:eastAsia="en-US"/>
        </w:rPr>
        <w:t>c</w:t>
      </w:r>
      <w:r w:rsidR="008335C9">
        <w:rPr>
          <w:rFonts w:ascii="Bookman Old Style" w:eastAsia="Calibri" w:hAnsi="Bookman Old Style"/>
          <w:lang w:val="es-CO" w:eastAsia="en-US"/>
        </w:rPr>
        <w:t>a</w:t>
      </w:r>
      <w:r w:rsidR="008335C9" w:rsidRPr="00F92B41">
        <w:rPr>
          <w:rFonts w:ascii="Bookman Old Style" w:eastAsia="Calibri" w:hAnsi="Bookman Old Style"/>
          <w:lang w:val="es-CO" w:eastAsia="en-US"/>
        </w:rPr>
        <w:t>lculo</w:t>
      </w:r>
      <w:r w:rsidRPr="00F92B41">
        <w:rPr>
          <w:rFonts w:ascii="Bookman Old Style" w:eastAsia="Calibri" w:hAnsi="Bookman Old Style"/>
          <w:lang w:val="es-CO" w:eastAsia="en-US"/>
        </w:rPr>
        <w:t xml:space="preserve">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rsidR="00657DE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Según lo previsto en la Resolución CREG 096 de 2015, la Comisión procede a hacer el ajuste de la respectiva tasa de descuento</w:t>
      </w:r>
      <w:r>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rsidTr="009353D2">
        <w:trPr>
          <w:trHeight w:val="422"/>
          <w:jc w:val="center"/>
        </w:trPr>
        <w:tc>
          <w:tcPr>
            <w:tcW w:w="270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rsidTr="009353D2">
        <w:trPr>
          <w:trHeight w:val="228"/>
          <w:jc w:val="center"/>
        </w:trPr>
        <w:tc>
          <w:tcPr>
            <w:tcW w:w="2709" w:type="dxa"/>
            <w:shd w:val="clear" w:color="auto" w:fill="auto"/>
            <w:vAlign w:val="center"/>
          </w:tcPr>
          <w:p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rsidR="00034210" w:rsidRPr="00034210" w:rsidRDefault="00034210" w:rsidP="009353D2">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F90300" w:rsidRDefault="00F90300" w:rsidP="009353D2">
      <w:pPr>
        <w:adjustRightInd w:val="0"/>
        <w:spacing w:before="240" w:after="240"/>
        <w:ind w:left="0"/>
        <w:jc w:val="both"/>
        <w:rPr>
          <w:rFonts w:ascii="Bookman Old Style" w:hAnsi="Bookman Old Style" w:cs="Arial"/>
        </w:rPr>
      </w:pPr>
    </w:p>
    <w:p w:rsidR="00F90300" w:rsidRDefault="00F90300" w:rsidP="00F90300">
      <w:pPr>
        <w:adjustRightInd w:val="0"/>
        <w:ind w:left="0"/>
        <w:jc w:val="both"/>
        <w:rPr>
          <w:rFonts w:ascii="Bookman Old Style" w:hAnsi="Bookman Old Style" w:cs="Arial"/>
        </w:rPr>
      </w:pPr>
    </w:p>
    <w:p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rsidR="001877F2" w:rsidRDefault="001877F2" w:rsidP="009353D2">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rsidR="00F43112" w:rsidRPr="005003B8" w:rsidRDefault="00F43112" w:rsidP="005003B8">
      <w:pPr>
        <w:adjustRightInd w:val="0"/>
        <w:spacing w:before="240" w:after="240"/>
        <w:ind w:left="0"/>
        <w:jc w:val="both"/>
        <w:rPr>
          <w:rFonts w:ascii="Bookman Old Style" w:hAnsi="Bookman Old Style" w:cs="Arial"/>
        </w:rPr>
      </w:pPr>
      <w:r w:rsidRPr="005003B8">
        <w:rPr>
          <w:rFonts w:ascii="Bookman Old Style" w:hAnsi="Bookman Old Style" w:cs="Arial"/>
        </w:rPr>
        <w:t>Así las cosas, las Resoluciones CREG 202 de 2013, 090 de 2018 y 13</w:t>
      </w:r>
      <w:r w:rsidR="005003B8">
        <w:rPr>
          <w:rFonts w:ascii="Bookman Old Style" w:hAnsi="Bookman Old Style" w:cs="Arial"/>
        </w:rPr>
        <w:t>2</w:t>
      </w:r>
      <w:r w:rsidRPr="005003B8">
        <w:rPr>
          <w:rFonts w:ascii="Bookman Old Style" w:hAnsi="Bookman Old Style" w:cs="Arial"/>
        </w:rPr>
        <w:t xml:space="preserve"> de 2018 establecen los criterios generales para remunerar la actividad de distribución de gas combustible por redes de tubería</w:t>
      </w:r>
      <w:r w:rsidR="00E04DDE" w:rsidRPr="005003B8">
        <w:rPr>
          <w:rFonts w:ascii="Bookman Old Style" w:hAnsi="Bookman Old Style" w:cs="Arial"/>
        </w:rPr>
        <w:t>.</w:t>
      </w:r>
    </w:p>
    <w:p w:rsidR="00F43112" w:rsidRDefault="00F43112" w:rsidP="005003B8">
      <w:pPr>
        <w:adjustRightInd w:val="0"/>
        <w:spacing w:before="240" w:after="240"/>
        <w:ind w:left="0"/>
        <w:jc w:val="both"/>
        <w:rPr>
          <w:rFonts w:ascii="Bookman Old Style" w:hAnsi="Bookman Old Style" w:cs="Aria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261A4E">
        <w:rPr>
          <w:rFonts w:ascii="Bookman Old Style" w:hAnsi="Bookman Old Style" w:cs="Arial"/>
        </w:rPr>
        <w:t xml:space="preserve">empresa </w:t>
      </w:r>
      <w:r w:rsidR="003E4288" w:rsidRPr="00F90300">
        <w:rPr>
          <w:rFonts w:ascii="Bookman Old Style" w:hAnsi="Bookman Old Style" w:cs="Arial"/>
        </w:rPr>
        <w:t>LOGIGAS</w:t>
      </w:r>
      <w:r w:rsidR="003551EA" w:rsidRPr="00F90300">
        <w:rPr>
          <w:rFonts w:ascii="Bookman Old Style" w:hAnsi="Bookman Old Style" w:cs="Arial"/>
        </w:rPr>
        <w:t xml:space="preserve"> S.A.S.</w:t>
      </w:r>
      <w:r w:rsidR="00AD3F3B" w:rsidRPr="00F90300">
        <w:rPr>
          <w:rFonts w:ascii="Bookman Old Style" w:hAnsi="Bookman Old Style" w:cs="Arial"/>
        </w:rPr>
        <w:t xml:space="preserve"> E.S.P</w:t>
      </w:r>
      <w:r w:rsidR="00566054" w:rsidRPr="00F90300">
        <w:rPr>
          <w:rFonts w:ascii="Bookman Old Style" w:hAnsi="Bookman Old Style" w:cs="Arial"/>
        </w:rPr>
        <w:t>.</w:t>
      </w:r>
      <w:r w:rsidR="00566054" w:rsidRPr="00261A4E">
        <w:rPr>
          <w:rFonts w:ascii="Bookman Old Style" w:hAnsi="Bookman Old Style" w:cs="Arial"/>
        </w:rPr>
        <w:t xml:space="preserve">, a través de la comunicación radicada en la CREG bajo el número </w:t>
      </w:r>
      <w:r w:rsidR="00566054" w:rsidRPr="00F90300">
        <w:rPr>
          <w:rFonts w:ascii="Bookman Old Style" w:hAnsi="Bookman Old Style" w:cs="Arial"/>
        </w:rPr>
        <w:t>E-2018-0</w:t>
      </w:r>
      <w:r w:rsidR="0085358C" w:rsidRPr="00F90300">
        <w:rPr>
          <w:rFonts w:ascii="Bookman Old Style" w:hAnsi="Bookman Old Style" w:cs="Arial"/>
        </w:rPr>
        <w:t>02014</w:t>
      </w:r>
      <w:r w:rsidR="00566054" w:rsidRPr="00261A4E">
        <w:rPr>
          <w:rFonts w:ascii="Bookman Old Style" w:hAnsi="Bookman Old Style" w:cs="Arial"/>
        </w:rPr>
        <w:t xml:space="preserve"> </w:t>
      </w:r>
      <w:r w:rsidR="00566054" w:rsidRPr="00F90300">
        <w:rPr>
          <w:rFonts w:ascii="Bookman Old Style" w:hAnsi="Bookman Old Style" w:cs="Arial"/>
        </w:rPr>
        <w:t>de</w:t>
      </w:r>
      <w:r w:rsidR="00B1609B" w:rsidRPr="00F90300">
        <w:rPr>
          <w:rFonts w:ascii="Bookman Old Style" w:hAnsi="Bookman Old Style" w:cs="Arial"/>
        </w:rPr>
        <w:t xml:space="preserve">l </w:t>
      </w:r>
      <w:r w:rsidR="008335C9" w:rsidRPr="00F90300">
        <w:rPr>
          <w:rFonts w:ascii="Bookman Old Style" w:hAnsi="Bookman Old Style" w:cs="Arial"/>
        </w:rPr>
        <w:t>05</w:t>
      </w:r>
      <w:r w:rsidR="00B1609B" w:rsidRPr="00F90300">
        <w:rPr>
          <w:rFonts w:ascii="Bookman Old Style" w:hAnsi="Bookman Old Style" w:cs="Arial"/>
        </w:rPr>
        <w:t xml:space="preserve"> de</w:t>
      </w:r>
      <w:r w:rsidR="00566054" w:rsidRPr="00F90300">
        <w:rPr>
          <w:rFonts w:ascii="Bookman Old Style" w:hAnsi="Bookman Old Style" w:cs="Arial"/>
        </w:rPr>
        <w:t xml:space="preserve"> </w:t>
      </w:r>
      <w:r w:rsidR="008335C9" w:rsidRPr="00F90300">
        <w:rPr>
          <w:rFonts w:ascii="Bookman Old Style" w:hAnsi="Bookman Old Style" w:cs="Arial"/>
        </w:rPr>
        <w:t>marzo</w:t>
      </w:r>
      <w:r w:rsidR="00072A62" w:rsidRPr="00F90300">
        <w:rPr>
          <w:rFonts w:ascii="Bookman Old Style" w:hAnsi="Bookman Old Style" w:cs="Arial"/>
        </w:rPr>
        <w:t xml:space="preserve"> </w:t>
      </w:r>
      <w:r w:rsidR="00566054" w:rsidRPr="00F90300">
        <w:rPr>
          <w:rFonts w:ascii="Bookman Old Style" w:hAnsi="Bookman Old Style" w:cs="Arial"/>
        </w:rPr>
        <w:t>de 2018</w:t>
      </w:r>
      <w:r w:rsidRPr="00261A4E">
        <w:rPr>
          <w:rFonts w:ascii="Bookman Old Style" w:hAnsi="Bookman Old Style" w:cs="Arial"/>
        </w:rPr>
        <w:t>,</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072A62">
        <w:rPr>
          <w:rFonts w:ascii="Bookman Old Style" w:hAnsi="Bookman Old Style" w:cs="Arial"/>
        </w:rPr>
        <w:t>gas natural</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w:t>
      </w:r>
      <w:r w:rsidR="00096F18">
        <w:rPr>
          <w:rFonts w:ascii="Bookman Old Style" w:hAnsi="Bookman Old Style" w:cs="Arial"/>
        </w:rPr>
        <w:t>los</w:t>
      </w:r>
      <w:r w:rsidR="00075F96" w:rsidRPr="00075F96">
        <w:rPr>
          <w:rFonts w:ascii="Bookman Old Style" w:hAnsi="Bookman Old Style" w:cs="Arial"/>
        </w:rPr>
        <w:t xml:space="preserve"> siguiente</w:t>
      </w:r>
      <w:r w:rsidR="00096F18">
        <w:rPr>
          <w:rFonts w:ascii="Bookman Old Style" w:hAnsi="Bookman Old Style" w:cs="Arial"/>
        </w:rPr>
        <w:t>s</w:t>
      </w:r>
      <w:r w:rsidR="00075F96" w:rsidRPr="00075F96">
        <w:rPr>
          <w:rFonts w:ascii="Bookman Old Style" w:hAnsi="Bookman Old Style" w:cs="Arial"/>
        </w:rPr>
        <w:t xml:space="preserve"> </w:t>
      </w:r>
      <w:r w:rsidR="00AD3F3B">
        <w:rPr>
          <w:rFonts w:ascii="Bookman Old Style" w:hAnsi="Bookman Old Style" w:cs="Arial"/>
        </w:rPr>
        <w:t>c</w:t>
      </w:r>
      <w:r w:rsidR="003A7E3C">
        <w:rPr>
          <w:rFonts w:ascii="Bookman Old Style" w:hAnsi="Bookman Old Style" w:cs="Arial"/>
        </w:rPr>
        <w:t>orregimiento</w:t>
      </w:r>
      <w:r w:rsidR="00096F18">
        <w:rPr>
          <w:rFonts w:ascii="Bookman Old Style" w:hAnsi="Bookman Old Style" w:cs="Arial"/>
        </w:rPr>
        <w:t>s</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475"/>
        <w:gridCol w:w="1792"/>
        <w:gridCol w:w="2244"/>
      </w:tblGrid>
      <w:tr w:rsidR="00736BE3" w:rsidRPr="00010337" w:rsidTr="00777497">
        <w:trPr>
          <w:tblHeader/>
          <w:jc w:val="center"/>
        </w:trPr>
        <w:tc>
          <w:tcPr>
            <w:tcW w:w="2100" w:type="dxa"/>
            <w:shd w:val="clear" w:color="auto" w:fill="D9D9D9" w:themeFill="background1" w:themeFillShade="D9"/>
            <w:vAlign w:val="center"/>
          </w:tcPr>
          <w:p w:rsidR="00736BE3" w:rsidRPr="00010337" w:rsidRDefault="00736BE3" w:rsidP="00736BE3">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475" w:type="dxa"/>
            <w:shd w:val="clear" w:color="auto" w:fill="D9D9D9" w:themeFill="background1" w:themeFillShade="D9"/>
            <w:vAlign w:val="center"/>
          </w:tcPr>
          <w:p w:rsidR="00736BE3" w:rsidRPr="00010337" w:rsidRDefault="00736BE3" w:rsidP="00736BE3">
            <w:pPr>
              <w:keepNext/>
              <w:ind w:left="-104"/>
              <w:jc w:val="center"/>
              <w:rPr>
                <w:rFonts w:ascii="Bookman Old Style" w:hAnsi="Bookman Old Style" w:cs="Arial"/>
                <w:b/>
                <w:sz w:val="22"/>
                <w:szCs w:val="22"/>
              </w:rPr>
            </w:pPr>
            <w:r w:rsidRPr="00010337">
              <w:rPr>
                <w:rFonts w:ascii="Bookman Old Style" w:hAnsi="Bookman Old Style" w:cs="Arial"/>
                <w:b/>
                <w:sz w:val="22"/>
                <w:szCs w:val="22"/>
              </w:rPr>
              <w:t xml:space="preserve">CODIGO DANE DEL </w:t>
            </w:r>
            <w:r>
              <w:rPr>
                <w:rFonts w:ascii="Bookman Old Style" w:hAnsi="Bookman Old Style" w:cs="Arial"/>
                <w:b/>
                <w:sz w:val="22"/>
                <w:szCs w:val="22"/>
              </w:rPr>
              <w:t>MUNICIPIO</w:t>
            </w:r>
          </w:p>
        </w:tc>
        <w:tc>
          <w:tcPr>
            <w:tcW w:w="1792" w:type="dxa"/>
            <w:shd w:val="clear" w:color="auto" w:fill="D9D9D9" w:themeFill="background1" w:themeFillShade="D9"/>
            <w:vAlign w:val="center"/>
          </w:tcPr>
          <w:p w:rsidR="00736BE3" w:rsidRPr="00010337" w:rsidRDefault="00736BE3" w:rsidP="00736BE3">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244" w:type="dxa"/>
            <w:shd w:val="clear" w:color="auto" w:fill="D9D9D9" w:themeFill="background1" w:themeFillShade="D9"/>
            <w:vAlign w:val="center"/>
          </w:tcPr>
          <w:p w:rsidR="00736BE3" w:rsidRPr="00010337" w:rsidRDefault="00736BE3" w:rsidP="00736BE3">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736BE3" w:rsidRPr="00010337" w:rsidTr="00777497">
        <w:trPr>
          <w:jc w:val="center"/>
        </w:trPr>
        <w:tc>
          <w:tcPr>
            <w:tcW w:w="2100" w:type="dxa"/>
            <w:shd w:val="clear" w:color="auto" w:fill="auto"/>
            <w:vAlign w:val="center"/>
          </w:tcPr>
          <w:p w:rsidR="00736BE3" w:rsidRPr="00010337" w:rsidRDefault="00736BE3" w:rsidP="003778EF">
            <w:pPr>
              <w:ind w:left="164" w:right="-1"/>
              <w:rPr>
                <w:rFonts w:ascii="Bookman Old Style" w:hAnsi="Bookman Old Style" w:cs="Arial"/>
                <w:sz w:val="22"/>
                <w:szCs w:val="22"/>
              </w:rPr>
            </w:pPr>
            <w:r>
              <w:rPr>
                <w:rFonts w:ascii="Bookman Old Style" w:hAnsi="Bookman Old Style" w:cs="Arial"/>
                <w:sz w:val="22"/>
                <w:szCs w:val="22"/>
              </w:rPr>
              <w:t xml:space="preserve">Casablanca </w:t>
            </w:r>
          </w:p>
        </w:tc>
        <w:tc>
          <w:tcPr>
            <w:tcW w:w="1475" w:type="dxa"/>
            <w:vMerge w:val="restart"/>
            <w:vAlign w:val="center"/>
          </w:tcPr>
          <w:p w:rsidR="00736BE3" w:rsidRPr="00010337" w:rsidRDefault="00736BE3" w:rsidP="00736BE3">
            <w:pPr>
              <w:ind w:left="-104" w:right="-1"/>
              <w:jc w:val="center"/>
              <w:rPr>
                <w:rFonts w:ascii="Bookman Old Style" w:hAnsi="Bookman Old Style" w:cs="Arial"/>
                <w:sz w:val="22"/>
                <w:szCs w:val="22"/>
              </w:rPr>
            </w:pPr>
            <w:r>
              <w:rPr>
                <w:rFonts w:ascii="Bookman Old Style" w:hAnsi="Bookman Old Style" w:cs="Arial"/>
                <w:sz w:val="22"/>
                <w:szCs w:val="22"/>
              </w:rPr>
              <w:t>50150</w:t>
            </w:r>
          </w:p>
        </w:tc>
        <w:tc>
          <w:tcPr>
            <w:tcW w:w="1792" w:type="dxa"/>
            <w:vMerge w:val="restart"/>
            <w:shd w:val="clear" w:color="auto" w:fill="auto"/>
            <w:vAlign w:val="center"/>
          </w:tcPr>
          <w:p w:rsidR="00736BE3" w:rsidRPr="00010337" w:rsidRDefault="00736BE3" w:rsidP="00736BE3">
            <w:pPr>
              <w:ind w:left="-104" w:right="-1"/>
              <w:jc w:val="center"/>
              <w:rPr>
                <w:rFonts w:ascii="Bookman Old Style" w:hAnsi="Bookman Old Style" w:cs="Arial"/>
                <w:sz w:val="22"/>
                <w:szCs w:val="22"/>
              </w:rPr>
            </w:pPr>
            <w:r>
              <w:rPr>
                <w:rFonts w:ascii="Bookman Old Style" w:hAnsi="Bookman Old Style" w:cs="Arial"/>
                <w:sz w:val="22"/>
                <w:szCs w:val="22"/>
              </w:rPr>
              <w:t>Castilla La Nueva</w:t>
            </w:r>
          </w:p>
        </w:tc>
        <w:tc>
          <w:tcPr>
            <w:tcW w:w="2244" w:type="dxa"/>
            <w:vMerge w:val="restart"/>
            <w:shd w:val="clear" w:color="auto" w:fill="auto"/>
            <w:vAlign w:val="center"/>
          </w:tcPr>
          <w:p w:rsidR="00736BE3" w:rsidRPr="00010337" w:rsidRDefault="00736BE3" w:rsidP="00736BE3">
            <w:pPr>
              <w:ind w:left="-111" w:right="-1"/>
              <w:jc w:val="center"/>
              <w:rPr>
                <w:rFonts w:ascii="Bookman Old Style" w:hAnsi="Bookman Old Style" w:cs="Arial"/>
                <w:sz w:val="22"/>
                <w:szCs w:val="22"/>
              </w:rPr>
            </w:pPr>
            <w:r>
              <w:rPr>
                <w:rFonts w:ascii="Bookman Old Style" w:hAnsi="Bookman Old Style" w:cs="Arial"/>
                <w:sz w:val="22"/>
                <w:szCs w:val="22"/>
              </w:rPr>
              <w:t>Meta</w:t>
            </w:r>
          </w:p>
        </w:tc>
      </w:tr>
      <w:tr w:rsidR="00736BE3" w:rsidRPr="00010337" w:rsidTr="00777497">
        <w:trPr>
          <w:jc w:val="center"/>
        </w:trPr>
        <w:tc>
          <w:tcPr>
            <w:tcW w:w="2100" w:type="dxa"/>
            <w:shd w:val="clear" w:color="auto" w:fill="auto"/>
            <w:vAlign w:val="center"/>
          </w:tcPr>
          <w:p w:rsidR="00736BE3" w:rsidRDefault="00736BE3" w:rsidP="003778EF">
            <w:pPr>
              <w:ind w:left="164" w:right="-1"/>
              <w:rPr>
                <w:rFonts w:ascii="Bookman Old Style" w:hAnsi="Bookman Old Style" w:cs="Arial"/>
                <w:sz w:val="22"/>
                <w:szCs w:val="22"/>
              </w:rPr>
            </w:pPr>
            <w:r>
              <w:rPr>
                <w:rFonts w:ascii="Bookman Old Style" w:hAnsi="Bookman Old Style" w:cs="Arial"/>
                <w:sz w:val="22"/>
                <w:szCs w:val="22"/>
              </w:rPr>
              <w:t>El Toro</w:t>
            </w:r>
          </w:p>
        </w:tc>
        <w:tc>
          <w:tcPr>
            <w:tcW w:w="1475" w:type="dxa"/>
            <w:vMerge/>
            <w:vAlign w:val="center"/>
          </w:tcPr>
          <w:p w:rsidR="00736BE3" w:rsidRPr="00A57DD0" w:rsidRDefault="00736BE3" w:rsidP="00736BE3">
            <w:pPr>
              <w:ind w:left="-104" w:right="-1"/>
              <w:jc w:val="center"/>
              <w:rPr>
                <w:rFonts w:ascii="Bookman Old Style" w:hAnsi="Bookman Old Style" w:cs="Arial"/>
                <w:sz w:val="22"/>
                <w:szCs w:val="22"/>
              </w:rPr>
            </w:pPr>
          </w:p>
        </w:tc>
        <w:tc>
          <w:tcPr>
            <w:tcW w:w="1792" w:type="dxa"/>
            <w:vMerge/>
            <w:shd w:val="clear" w:color="auto" w:fill="auto"/>
            <w:vAlign w:val="center"/>
          </w:tcPr>
          <w:p w:rsidR="00736BE3" w:rsidRDefault="00736BE3" w:rsidP="00736BE3">
            <w:pPr>
              <w:ind w:left="-104" w:right="-1"/>
              <w:jc w:val="center"/>
              <w:rPr>
                <w:rFonts w:ascii="Bookman Old Style" w:hAnsi="Bookman Old Style" w:cs="Arial"/>
                <w:sz w:val="22"/>
                <w:szCs w:val="22"/>
              </w:rPr>
            </w:pPr>
          </w:p>
        </w:tc>
        <w:tc>
          <w:tcPr>
            <w:tcW w:w="2244" w:type="dxa"/>
            <w:vMerge/>
            <w:shd w:val="clear" w:color="auto" w:fill="auto"/>
            <w:vAlign w:val="center"/>
          </w:tcPr>
          <w:p w:rsidR="00736BE3" w:rsidRDefault="00736BE3" w:rsidP="00736BE3">
            <w:pPr>
              <w:ind w:left="-111" w:right="-1"/>
              <w:jc w:val="center"/>
              <w:rPr>
                <w:rFonts w:ascii="Bookman Old Style" w:hAnsi="Bookman Old Style" w:cs="Arial"/>
                <w:sz w:val="22"/>
                <w:szCs w:val="22"/>
              </w:rPr>
            </w:pPr>
          </w:p>
        </w:tc>
      </w:tr>
      <w:tr w:rsidR="00736BE3" w:rsidRPr="00010337" w:rsidTr="00777497">
        <w:trPr>
          <w:jc w:val="center"/>
        </w:trPr>
        <w:tc>
          <w:tcPr>
            <w:tcW w:w="2100" w:type="dxa"/>
            <w:shd w:val="clear" w:color="auto" w:fill="auto"/>
            <w:vAlign w:val="center"/>
          </w:tcPr>
          <w:p w:rsidR="00736BE3" w:rsidRDefault="00736BE3" w:rsidP="003778EF">
            <w:pPr>
              <w:ind w:left="164" w:right="-1"/>
              <w:rPr>
                <w:rFonts w:ascii="Bookman Old Style" w:hAnsi="Bookman Old Style" w:cs="Arial"/>
                <w:sz w:val="22"/>
                <w:szCs w:val="22"/>
              </w:rPr>
            </w:pPr>
            <w:r>
              <w:rPr>
                <w:rFonts w:ascii="Bookman Old Style" w:hAnsi="Bookman Old Style" w:cs="Arial"/>
                <w:sz w:val="22"/>
                <w:szCs w:val="22"/>
              </w:rPr>
              <w:t>Pueblo Nuevo</w:t>
            </w:r>
          </w:p>
        </w:tc>
        <w:tc>
          <w:tcPr>
            <w:tcW w:w="1475" w:type="dxa"/>
            <w:vMerge/>
            <w:vAlign w:val="center"/>
          </w:tcPr>
          <w:p w:rsidR="00736BE3" w:rsidRDefault="00736BE3" w:rsidP="00736BE3">
            <w:pPr>
              <w:ind w:left="-104" w:right="-1"/>
              <w:jc w:val="center"/>
              <w:rPr>
                <w:rFonts w:ascii="Bookman Old Style" w:hAnsi="Bookman Old Style" w:cs="Arial"/>
                <w:sz w:val="22"/>
                <w:szCs w:val="22"/>
              </w:rPr>
            </w:pPr>
          </w:p>
        </w:tc>
        <w:tc>
          <w:tcPr>
            <w:tcW w:w="1792" w:type="dxa"/>
            <w:vMerge/>
            <w:shd w:val="clear" w:color="auto" w:fill="auto"/>
            <w:vAlign w:val="center"/>
          </w:tcPr>
          <w:p w:rsidR="00736BE3" w:rsidRDefault="00736BE3" w:rsidP="00736BE3">
            <w:pPr>
              <w:ind w:left="-104" w:right="-1"/>
              <w:jc w:val="center"/>
              <w:rPr>
                <w:rFonts w:ascii="Bookman Old Style" w:hAnsi="Bookman Old Style" w:cs="Arial"/>
                <w:sz w:val="22"/>
                <w:szCs w:val="22"/>
              </w:rPr>
            </w:pPr>
          </w:p>
        </w:tc>
        <w:tc>
          <w:tcPr>
            <w:tcW w:w="2244" w:type="dxa"/>
            <w:vMerge/>
            <w:shd w:val="clear" w:color="auto" w:fill="auto"/>
            <w:vAlign w:val="center"/>
          </w:tcPr>
          <w:p w:rsidR="00736BE3" w:rsidRDefault="00736BE3" w:rsidP="00736BE3">
            <w:pPr>
              <w:ind w:left="-111" w:right="-1"/>
              <w:jc w:val="center"/>
              <w:rPr>
                <w:rFonts w:ascii="Bookman Old Style" w:hAnsi="Bookman Old Style" w:cs="Arial"/>
                <w:sz w:val="22"/>
                <w:szCs w:val="22"/>
              </w:rPr>
            </w:pPr>
          </w:p>
        </w:tc>
      </w:tr>
      <w:tr w:rsidR="00736BE3" w:rsidRPr="00010337" w:rsidTr="00777497">
        <w:trPr>
          <w:jc w:val="center"/>
        </w:trPr>
        <w:tc>
          <w:tcPr>
            <w:tcW w:w="2100" w:type="dxa"/>
            <w:shd w:val="clear" w:color="auto" w:fill="auto"/>
            <w:vAlign w:val="center"/>
          </w:tcPr>
          <w:p w:rsidR="00736BE3" w:rsidRDefault="00736BE3" w:rsidP="003778EF">
            <w:pPr>
              <w:ind w:left="164" w:right="-1"/>
              <w:rPr>
                <w:rFonts w:ascii="Bookman Old Style" w:hAnsi="Bookman Old Style" w:cs="Arial"/>
                <w:sz w:val="22"/>
                <w:szCs w:val="22"/>
              </w:rPr>
            </w:pPr>
            <w:r>
              <w:rPr>
                <w:rFonts w:ascii="Bookman Old Style" w:hAnsi="Bookman Old Style" w:cs="Arial"/>
                <w:sz w:val="22"/>
                <w:szCs w:val="22"/>
              </w:rPr>
              <w:t>La Represa</w:t>
            </w:r>
          </w:p>
        </w:tc>
        <w:tc>
          <w:tcPr>
            <w:tcW w:w="1475" w:type="dxa"/>
            <w:vMerge/>
            <w:vAlign w:val="center"/>
          </w:tcPr>
          <w:p w:rsidR="00736BE3" w:rsidRDefault="00736BE3" w:rsidP="00736BE3">
            <w:pPr>
              <w:ind w:left="-104" w:right="-1"/>
              <w:jc w:val="center"/>
              <w:rPr>
                <w:rFonts w:ascii="Bookman Old Style" w:hAnsi="Bookman Old Style" w:cs="Arial"/>
                <w:sz w:val="22"/>
                <w:szCs w:val="22"/>
              </w:rPr>
            </w:pPr>
          </w:p>
        </w:tc>
        <w:tc>
          <w:tcPr>
            <w:tcW w:w="1792" w:type="dxa"/>
            <w:vMerge/>
            <w:shd w:val="clear" w:color="auto" w:fill="auto"/>
            <w:vAlign w:val="center"/>
          </w:tcPr>
          <w:p w:rsidR="00736BE3" w:rsidRDefault="00736BE3" w:rsidP="00736BE3">
            <w:pPr>
              <w:ind w:left="-104" w:right="-1"/>
              <w:jc w:val="center"/>
              <w:rPr>
                <w:rFonts w:ascii="Bookman Old Style" w:hAnsi="Bookman Old Style" w:cs="Arial"/>
                <w:sz w:val="22"/>
                <w:szCs w:val="22"/>
              </w:rPr>
            </w:pPr>
          </w:p>
        </w:tc>
        <w:tc>
          <w:tcPr>
            <w:tcW w:w="2244" w:type="dxa"/>
            <w:vMerge/>
            <w:shd w:val="clear" w:color="auto" w:fill="auto"/>
            <w:vAlign w:val="center"/>
          </w:tcPr>
          <w:p w:rsidR="00736BE3" w:rsidRDefault="00736BE3" w:rsidP="00736BE3">
            <w:pPr>
              <w:ind w:left="-111" w:right="-1"/>
              <w:jc w:val="center"/>
              <w:rPr>
                <w:rFonts w:ascii="Bookman Old Style" w:hAnsi="Bookman Old Style" w:cs="Arial"/>
                <w:sz w:val="22"/>
                <w:szCs w:val="22"/>
              </w:rPr>
            </w:pPr>
          </w:p>
        </w:tc>
      </w:tr>
    </w:tbl>
    <w:p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lastRenderedPageBreak/>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AF234D"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empresa </w:t>
      </w:r>
      <w:r w:rsidR="003E4288" w:rsidRPr="00F90300">
        <w:rPr>
          <w:rFonts w:ascii="Bookman Old Style" w:hAnsi="Bookman Old Style" w:cs="Arial"/>
        </w:rPr>
        <w:t>LOGIGAS</w:t>
      </w:r>
      <w:r w:rsidR="003551EA">
        <w:rPr>
          <w:rFonts w:ascii="Bookman Old Style" w:hAnsi="Bookman Old Style" w:cs="Arial"/>
        </w:rPr>
        <w:t xml:space="preserve"> S.A.S.</w:t>
      </w:r>
      <w:r w:rsidRPr="001F4AC3">
        <w:rPr>
          <w:rFonts w:ascii="Bookman Old Style" w:hAnsi="Bookman Old Style" w:cs="Arial"/>
        </w:rPr>
        <w:t xml:space="preserve"> E.S.P. informa que el proyecto </w:t>
      </w:r>
      <w:r w:rsidR="00951718">
        <w:rPr>
          <w:rFonts w:ascii="Bookman Old Style" w:hAnsi="Bookman Old Style" w:cs="Arial"/>
        </w:rPr>
        <w:t xml:space="preserve">no </w:t>
      </w:r>
      <w:r w:rsidRPr="001F4AC3">
        <w:rPr>
          <w:rFonts w:ascii="Bookman Old Style" w:hAnsi="Bookman Old Style" w:cs="Arial"/>
        </w:rPr>
        <w:t xml:space="preserve">cuenta con recursos públicos </w:t>
      </w:r>
      <w:r w:rsidR="00AF234D" w:rsidRPr="001F4AC3">
        <w:rPr>
          <w:rFonts w:ascii="Bookman Old Style" w:hAnsi="Bookman Old Style" w:cs="Arial"/>
        </w:rPr>
        <w:t xml:space="preserve">para la construcción de la infraestructura de distribución de gas </w:t>
      </w:r>
      <w:r w:rsidR="00951718">
        <w:rPr>
          <w:rFonts w:ascii="Bookman Old Style" w:hAnsi="Bookman Old Style" w:cs="Arial"/>
        </w:rPr>
        <w:t xml:space="preserve">combustible </w:t>
      </w:r>
      <w:r w:rsidR="00AF234D" w:rsidRPr="001F4AC3">
        <w:rPr>
          <w:rFonts w:ascii="Bookman Old Style" w:hAnsi="Bookman Old Style" w:cs="Arial"/>
        </w:rPr>
        <w:t>por redes.</w:t>
      </w:r>
    </w:p>
    <w:p w:rsidR="00566054" w:rsidRDefault="00566054" w:rsidP="00C80032">
      <w:pPr>
        <w:adjustRightInd w:val="0"/>
        <w:spacing w:before="240" w:after="240"/>
        <w:ind w:left="0" w:right="20"/>
        <w:jc w:val="both"/>
        <w:rPr>
          <w:rFonts w:ascii="Bookman Old Style" w:hAnsi="Bookman Old Style" w:cs="Arial"/>
        </w:rPr>
      </w:pPr>
      <w:r w:rsidRPr="00C11A90">
        <w:rPr>
          <w:rFonts w:ascii="Bookman Old Style" w:hAnsi="Bookman Old Style" w:cs="Arial"/>
        </w:rPr>
        <w:t xml:space="preserve">Mediante oficio con radicado </w:t>
      </w:r>
      <w:r w:rsidRPr="00F90300">
        <w:rPr>
          <w:rFonts w:ascii="Bookman Old Style" w:hAnsi="Bookman Old Style" w:cs="Arial"/>
        </w:rPr>
        <w:t>CREG E-2018-0</w:t>
      </w:r>
      <w:r w:rsidR="0064087D" w:rsidRPr="00F90300">
        <w:rPr>
          <w:rFonts w:ascii="Bookman Old Style" w:hAnsi="Bookman Old Style" w:cs="Arial"/>
        </w:rPr>
        <w:t>03635</w:t>
      </w:r>
      <w:r w:rsidRPr="00F90300">
        <w:rPr>
          <w:rFonts w:ascii="Bookman Old Style" w:hAnsi="Bookman Old Style" w:cs="Arial"/>
        </w:rPr>
        <w:t xml:space="preserve"> de</w:t>
      </w:r>
      <w:r w:rsidR="00B1609B" w:rsidRPr="00F90300">
        <w:rPr>
          <w:rFonts w:ascii="Bookman Old Style" w:hAnsi="Bookman Old Style" w:cs="Arial"/>
        </w:rPr>
        <w:t>l</w:t>
      </w:r>
      <w:r w:rsidRPr="00F90300">
        <w:rPr>
          <w:rFonts w:ascii="Bookman Old Style" w:hAnsi="Bookman Old Style" w:cs="Arial"/>
        </w:rPr>
        <w:t xml:space="preserve"> </w:t>
      </w:r>
      <w:r w:rsidR="00907908" w:rsidRPr="00F90300">
        <w:rPr>
          <w:rFonts w:ascii="Bookman Old Style" w:hAnsi="Bookman Old Style" w:cs="Arial"/>
        </w:rPr>
        <w:t xml:space="preserve">17 </w:t>
      </w:r>
      <w:r w:rsidR="00C80032" w:rsidRPr="00F90300">
        <w:rPr>
          <w:rFonts w:ascii="Bookman Old Style" w:hAnsi="Bookman Old Style" w:cs="Arial"/>
        </w:rPr>
        <w:t xml:space="preserve">de </w:t>
      </w:r>
      <w:r w:rsidR="00907908" w:rsidRPr="00F90300">
        <w:rPr>
          <w:rFonts w:ascii="Bookman Old Style" w:hAnsi="Bookman Old Style" w:cs="Arial"/>
        </w:rPr>
        <w:t>abril</w:t>
      </w:r>
      <w:r w:rsidR="00C80032" w:rsidRPr="00F90300">
        <w:rPr>
          <w:rFonts w:ascii="Bookman Old Style" w:hAnsi="Bookman Old Style" w:cs="Arial"/>
        </w:rPr>
        <w:t xml:space="preserve"> de 2018</w:t>
      </w:r>
      <w:r w:rsidRPr="00C11A90">
        <w:rPr>
          <w:rFonts w:ascii="Bookman Old Style" w:hAnsi="Bookman Old Style" w:cs="Arial"/>
        </w:rPr>
        <w:t xml:space="preserve">, </w:t>
      </w:r>
      <w:r w:rsidR="006A4E34">
        <w:rPr>
          <w:rFonts w:ascii="Bookman Old Style" w:hAnsi="Bookman Old Style" w:cs="Arial"/>
        </w:rPr>
        <w:t>l</w:t>
      </w:r>
      <w:r w:rsidRPr="00C11A90">
        <w:rPr>
          <w:rFonts w:ascii="Bookman Old Style" w:hAnsi="Bookman Old Style" w:cs="Arial"/>
        </w:rPr>
        <w:t xml:space="preserve">a Unidad de Planeación Minero Energética </w:t>
      </w:r>
      <w:r w:rsidR="006A4E34">
        <w:rPr>
          <w:rFonts w:ascii="Bookman Old Style" w:hAnsi="Bookman Old Style" w:cs="Arial"/>
        </w:rPr>
        <w:t>–</w:t>
      </w:r>
      <w:r w:rsidRPr="00C11A90">
        <w:rPr>
          <w:rFonts w:ascii="Bookman Old Style" w:hAnsi="Bookman Old Style" w:cs="Arial"/>
        </w:rPr>
        <w:t>UPME</w:t>
      </w:r>
      <w:r w:rsidR="006A4E34">
        <w:rPr>
          <w:rFonts w:ascii="Bookman Old Style" w:hAnsi="Bookman Old Style" w:cs="Arial"/>
        </w:rPr>
        <w:t>-</w:t>
      </w:r>
      <w:r w:rsidRPr="00C11A90">
        <w:rPr>
          <w:rFonts w:ascii="Bookman Old Style" w:hAnsi="Bookman Old Style" w:cs="Arial"/>
        </w:rPr>
        <w:t xml:space="preserve"> remite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3E4288">
        <w:rPr>
          <w:rFonts w:ascii="Bookman Old Style" w:hAnsi="Bookman Old Style" w:cs="Arial"/>
        </w:rPr>
        <w:t>LOGIGAS</w:t>
      </w:r>
      <w:r w:rsidR="003551EA">
        <w:rPr>
          <w:rFonts w:ascii="Bookman Old Style" w:hAnsi="Bookman Old Style" w:cs="Arial"/>
        </w:rPr>
        <w:t xml:space="preserve"> S.A.S.</w:t>
      </w:r>
      <w:r w:rsidR="00AD3F3B">
        <w:rPr>
          <w:rFonts w:ascii="Bookman Old Style" w:hAnsi="Bookman Old Style" w:cs="Arial"/>
        </w:rPr>
        <w:t xml:space="preserve"> E.S.P.</w:t>
      </w:r>
      <w:r w:rsidRPr="00C11A90">
        <w:rPr>
          <w:rFonts w:ascii="Bookman Old Style" w:hAnsi="Bookman Old Style" w:cs="Arial"/>
        </w:rPr>
        <w:t xml:space="preserve"> para </w:t>
      </w:r>
      <w:r w:rsidR="00364983">
        <w:rPr>
          <w:rFonts w:ascii="Bookman Old Style" w:hAnsi="Bookman Old Style" w:cs="Arial"/>
        </w:rPr>
        <w:t>los corregimientos</w:t>
      </w:r>
      <w:r w:rsidR="003A7E3C">
        <w:rPr>
          <w:rFonts w:ascii="Bookman Old Style" w:hAnsi="Bookman Old Style" w:cs="Arial"/>
        </w:rPr>
        <w:t xml:space="preserve"> de </w:t>
      </w:r>
      <w:r w:rsidR="003E4288">
        <w:rPr>
          <w:rFonts w:ascii="Bookman Old Style" w:hAnsi="Bookman Old Style" w:cs="Arial"/>
        </w:rPr>
        <w:t>Casablanca, El Toro, Pueblo Nuevo y La Represa</w:t>
      </w:r>
      <w:r w:rsidR="00AD3F3B" w:rsidRPr="00AD3F3B">
        <w:rPr>
          <w:rFonts w:ascii="Bookman Old Style" w:hAnsi="Bookman Old Style" w:cs="Arial"/>
        </w:rPr>
        <w:t xml:space="preserve"> del municipio </w:t>
      </w:r>
      <w:r w:rsidR="003E4288">
        <w:rPr>
          <w:rFonts w:ascii="Bookman Old Style" w:hAnsi="Bookman Old Style" w:cs="Arial"/>
        </w:rPr>
        <w:t>de Castilla La Nueva</w:t>
      </w:r>
      <w:r w:rsidR="003A7E3C">
        <w:rPr>
          <w:rFonts w:ascii="Bookman Old Style" w:hAnsi="Bookman Old Style" w:cs="Arial"/>
        </w:rPr>
        <w:t xml:space="preserve"> en el departamento </w:t>
      </w:r>
      <w:r w:rsidR="003E4288">
        <w:rPr>
          <w:rFonts w:ascii="Bookman Old Style" w:hAnsi="Bookman Old Style" w:cs="Arial"/>
        </w:rPr>
        <w:t>del Meta</w:t>
      </w:r>
      <w:r w:rsidRPr="00C11A90">
        <w:rPr>
          <w:rFonts w:ascii="Bookman Old Style" w:hAnsi="Bookman Old Style" w:cs="Arial"/>
        </w:rPr>
        <w:t>, cumple con los requerimientos contenidos en el Anexo 13 de la Resolución CREG 202 de 2013.</w:t>
      </w:r>
    </w:p>
    <w:p w:rsidR="006B0844"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00075F96" w:rsidRPr="00075F96">
        <w:rPr>
          <w:rFonts w:ascii="Bookman Old Style" w:hAnsi="Bookman Old Style" w:cs="Arial"/>
        </w:rPr>
        <w:t xml:space="preserve"> evidenciando que la información remitida no es suficiente para iniciar la actuación</w:t>
      </w:r>
      <w:r>
        <w:rPr>
          <w:rFonts w:ascii="Bookman Old Style" w:hAnsi="Bookman Old Style" w:cs="Arial"/>
        </w:rPr>
        <w:t xml:space="preserve"> administrativa correspondiente. Por lo anterior, mediante comunicación </w:t>
      </w:r>
      <w:r w:rsidRPr="00F90300">
        <w:rPr>
          <w:rFonts w:ascii="Bookman Old Style" w:hAnsi="Bookman Old Style" w:cs="Arial"/>
        </w:rPr>
        <w:t>S-2018-00</w:t>
      </w:r>
      <w:r w:rsidR="008F7F21" w:rsidRPr="00F90300">
        <w:rPr>
          <w:rFonts w:ascii="Bookman Old Style" w:hAnsi="Bookman Old Style" w:cs="Arial"/>
        </w:rPr>
        <w:t>2300</w:t>
      </w:r>
      <w:r w:rsidRPr="00F90300">
        <w:rPr>
          <w:rFonts w:ascii="Bookman Old Style" w:hAnsi="Bookman Old Style" w:cs="Arial"/>
        </w:rPr>
        <w:t xml:space="preserve"> del </w:t>
      </w:r>
      <w:r w:rsidR="006B0844" w:rsidRPr="00F90300">
        <w:rPr>
          <w:rFonts w:ascii="Bookman Old Style" w:hAnsi="Bookman Old Style" w:cs="Arial"/>
        </w:rPr>
        <w:t>17</w:t>
      </w:r>
      <w:r w:rsidRPr="00F90300">
        <w:rPr>
          <w:rFonts w:ascii="Bookman Old Style" w:hAnsi="Bookman Old Style" w:cs="Arial"/>
        </w:rPr>
        <w:t xml:space="preserve"> de </w:t>
      </w:r>
      <w:r w:rsidR="006B0844" w:rsidRPr="00F90300">
        <w:rPr>
          <w:rFonts w:ascii="Bookman Old Style" w:hAnsi="Bookman Old Style" w:cs="Arial"/>
        </w:rPr>
        <w:t>mayo</w:t>
      </w:r>
      <w:r w:rsidRPr="00F90300">
        <w:rPr>
          <w:rFonts w:ascii="Bookman Old Style" w:hAnsi="Bookman Old Style" w:cs="Arial"/>
        </w:rPr>
        <w:t xml:space="preserve"> de 2018</w:t>
      </w:r>
      <w:r w:rsidR="00F90300">
        <w:rPr>
          <w:rFonts w:ascii="Bookman Old Style" w:hAnsi="Bookman Old Style" w:cs="Arial"/>
        </w:rPr>
        <w:t>,</w:t>
      </w:r>
      <w:r>
        <w:rPr>
          <w:rFonts w:ascii="Bookman Old Style" w:hAnsi="Bookman Old Style" w:cs="Arial"/>
        </w:rPr>
        <w:t xml:space="preserve"> se solicita</w:t>
      </w:r>
      <w:r w:rsidR="00566054">
        <w:rPr>
          <w:rFonts w:ascii="Bookman Old Style" w:hAnsi="Bookman Old Style" w:cs="Arial"/>
        </w:rPr>
        <w:t xml:space="preserve"> </w:t>
      </w:r>
      <w:r w:rsidR="006B2572" w:rsidRPr="006B2572">
        <w:rPr>
          <w:rFonts w:ascii="Bookman Old Style" w:hAnsi="Bookman Old Style" w:cs="Arial"/>
        </w:rPr>
        <w:t xml:space="preserve">a la empresa el envío </w:t>
      </w:r>
      <w:r w:rsidR="008F7F21">
        <w:rPr>
          <w:rFonts w:ascii="Bookman Old Style" w:hAnsi="Bookman Old Style" w:cs="Arial"/>
        </w:rPr>
        <w:t>del certificado de existencia y representación, las razones que fundamentaron la petición del cargo y el objeto de la petición</w:t>
      </w:r>
      <w:r w:rsidR="006B0844">
        <w:rPr>
          <w:rFonts w:ascii="Bookman Old Style" w:hAnsi="Bookman Old Style" w:cs="Arial"/>
        </w:rPr>
        <w:t>.</w:t>
      </w:r>
    </w:p>
    <w:p w:rsid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075F96" w:rsidRPr="00075F96">
        <w:rPr>
          <w:rFonts w:ascii="Bookman Old Style" w:hAnsi="Bookman Old Style" w:cs="Arial"/>
        </w:rPr>
        <w:t xml:space="preserve"> </w:t>
      </w:r>
      <w:r w:rsidR="00075F96" w:rsidRPr="00261A4E">
        <w:rPr>
          <w:rFonts w:ascii="Bookman Old Style" w:hAnsi="Bookman Old Style" w:cs="Arial"/>
        </w:rPr>
        <w:t xml:space="preserve">comunicación </w:t>
      </w:r>
      <w:r w:rsidR="00075F96" w:rsidRPr="00F90300">
        <w:rPr>
          <w:rFonts w:ascii="Bookman Old Style" w:hAnsi="Bookman Old Style" w:cs="Arial"/>
        </w:rPr>
        <w:t>E-2018-</w:t>
      </w:r>
      <w:r w:rsidR="00F66BC4" w:rsidRPr="00F90300">
        <w:rPr>
          <w:rFonts w:ascii="Bookman Old Style" w:hAnsi="Bookman Old Style" w:cs="Arial"/>
        </w:rPr>
        <w:t>00</w:t>
      </w:r>
      <w:r w:rsidR="003926BB" w:rsidRPr="00F90300">
        <w:rPr>
          <w:rFonts w:ascii="Bookman Old Style" w:hAnsi="Bookman Old Style" w:cs="Arial"/>
        </w:rPr>
        <w:t>4978</w:t>
      </w:r>
      <w:r w:rsidR="00075F96" w:rsidRPr="00261A4E">
        <w:rPr>
          <w:rFonts w:ascii="Bookman Old Style" w:hAnsi="Bookman Old Style" w:cs="Arial"/>
        </w:rPr>
        <w:t xml:space="preserve"> </w:t>
      </w:r>
      <w:r w:rsidR="00075F96" w:rsidRPr="00F90300">
        <w:rPr>
          <w:rFonts w:ascii="Bookman Old Style" w:hAnsi="Bookman Old Style" w:cs="Arial"/>
        </w:rPr>
        <w:t>de</w:t>
      </w:r>
      <w:r w:rsidR="00566054" w:rsidRPr="00F90300">
        <w:rPr>
          <w:rFonts w:ascii="Bookman Old Style" w:hAnsi="Bookman Old Style" w:cs="Arial"/>
        </w:rPr>
        <w:t>l</w:t>
      </w:r>
      <w:r w:rsidR="00075F96" w:rsidRPr="00F90300">
        <w:rPr>
          <w:rFonts w:ascii="Bookman Old Style" w:hAnsi="Bookman Old Style" w:cs="Arial"/>
        </w:rPr>
        <w:t xml:space="preserve"> </w:t>
      </w:r>
      <w:r w:rsidR="003926BB" w:rsidRPr="00F90300">
        <w:rPr>
          <w:rFonts w:ascii="Bookman Old Style" w:hAnsi="Bookman Old Style" w:cs="Arial"/>
        </w:rPr>
        <w:t>23</w:t>
      </w:r>
      <w:r w:rsidR="00566054" w:rsidRPr="00F90300">
        <w:rPr>
          <w:rFonts w:ascii="Bookman Old Style" w:hAnsi="Bookman Old Style" w:cs="Arial"/>
        </w:rPr>
        <w:t xml:space="preserve"> de </w:t>
      </w:r>
      <w:r w:rsidR="009F768C" w:rsidRPr="00F90300">
        <w:rPr>
          <w:rFonts w:ascii="Bookman Old Style" w:hAnsi="Bookman Old Style" w:cs="Arial"/>
        </w:rPr>
        <w:t>mayo</w:t>
      </w:r>
      <w:r w:rsidR="00566054" w:rsidRPr="00F90300">
        <w:rPr>
          <w:rFonts w:ascii="Bookman Old Style" w:hAnsi="Bookman Old Style" w:cs="Arial"/>
        </w:rPr>
        <w:t xml:space="preserve"> </w:t>
      </w:r>
      <w:r w:rsidR="00075F96" w:rsidRPr="00F90300">
        <w:rPr>
          <w:rFonts w:ascii="Bookman Old Style" w:hAnsi="Bookman Old Style" w:cs="Arial"/>
        </w:rPr>
        <w:t>de 2018</w:t>
      </w:r>
      <w:r w:rsidR="00075F96" w:rsidRPr="00261A4E">
        <w:rPr>
          <w:rFonts w:ascii="Bookman Old Style" w:hAnsi="Bookman Old Style" w:cs="Arial"/>
        </w:rPr>
        <w:t>, la</w:t>
      </w:r>
      <w:r w:rsidR="00075F96" w:rsidRPr="00075F96">
        <w:rPr>
          <w:rFonts w:ascii="Bookman Old Style" w:hAnsi="Bookman Old Style" w:cs="Arial"/>
        </w:rPr>
        <w:t xml:space="preserve"> empresa </w:t>
      </w:r>
      <w:r w:rsidR="003E4288">
        <w:rPr>
          <w:rFonts w:ascii="Bookman Old Style" w:hAnsi="Bookman Old Style" w:cs="Arial"/>
        </w:rPr>
        <w:t>LOGIGAS</w:t>
      </w:r>
      <w:r w:rsidR="003551EA">
        <w:rPr>
          <w:rFonts w:ascii="Bookman Old Style" w:hAnsi="Bookman Old Style" w:cs="Arial"/>
        </w:rPr>
        <w:t xml:space="preserve"> S.A.S.</w:t>
      </w:r>
      <w:r w:rsidR="00997BAE">
        <w:rPr>
          <w:rFonts w:ascii="Bookman Old Style" w:hAnsi="Bookman Old Style" w:cs="Arial"/>
        </w:rPr>
        <w:t xml:space="preserve"> E.S.P. </w:t>
      </w:r>
      <w:r w:rsidR="00075F96" w:rsidRPr="00075F96">
        <w:rPr>
          <w:rFonts w:ascii="Bookman Old Style" w:hAnsi="Bookman Old Style" w:cs="Arial"/>
        </w:rPr>
        <w:t xml:space="preserve">allega respuesta al requerimiento </w:t>
      </w:r>
      <w:r w:rsidR="003A2C11">
        <w:rPr>
          <w:rFonts w:ascii="Bookman Old Style" w:hAnsi="Bookman Old Style" w:cs="Arial"/>
        </w:rPr>
        <w:t>de</w:t>
      </w:r>
      <w:r w:rsidR="00075F96" w:rsidRPr="00075F96">
        <w:rPr>
          <w:rFonts w:ascii="Bookman Old Style" w:hAnsi="Bookman Old Style" w:cs="Arial"/>
        </w:rPr>
        <w:t xml:space="preserve"> la Comisión</w:t>
      </w:r>
      <w:r w:rsidR="003A2C11">
        <w:rPr>
          <w:rFonts w:ascii="Bookman Old Style" w:hAnsi="Bookman Old Style" w:cs="Arial"/>
        </w:rPr>
        <w:t xml:space="preserve"> y</w:t>
      </w:r>
      <w:r w:rsidR="00566054">
        <w:rPr>
          <w:rFonts w:ascii="Bookman Old Style" w:hAnsi="Bookman Old Style" w:cs="Arial"/>
        </w:rPr>
        <w:t xml:space="preserve"> </w:t>
      </w:r>
      <w:r w:rsidR="00997BAE" w:rsidRPr="00997BAE">
        <w:rPr>
          <w:rFonts w:ascii="Bookman Old Style" w:hAnsi="Bookman Old Style" w:cs="Arial"/>
        </w:rPr>
        <w:t>remite la información solicitada</w:t>
      </w:r>
      <w:r w:rsidR="00997BAE">
        <w:rPr>
          <w:rFonts w:ascii="Bookman Old Style" w:hAnsi="Bookman Old Style" w:cs="Arial"/>
        </w:rPr>
        <w:t>.</w:t>
      </w:r>
    </w:p>
    <w:p w:rsidR="00BF57FA" w:rsidRPr="00BF57FA" w:rsidRDefault="00BF57FA" w:rsidP="00BF57FA">
      <w:pPr>
        <w:adjustRightInd w:val="0"/>
        <w:spacing w:before="240" w:after="240"/>
        <w:ind w:left="0" w:right="20"/>
        <w:jc w:val="both"/>
        <w:rPr>
          <w:rFonts w:ascii="Bookman Old Style" w:hAnsi="Bookman Old Style" w:cs="Arial"/>
        </w:rPr>
      </w:pPr>
      <w:r w:rsidRPr="00BF57FA">
        <w:rPr>
          <w:rFonts w:ascii="Bookman Old Style" w:hAnsi="Bookman Old Style" w:cs="Arial"/>
        </w:rPr>
        <w:t>El numeral 5.3 del artículo 5 de la Resolución CREG 202 de 2013 dispone que los centros poblados diferentes a la cabecera municipal, que forman parte de municipios que se encuentran conformando mercados relevantes existentes y que por razones de distancia a los sistemas de distribución no se encuentran incluidos dentro del plan de expansión por parte del distribuidor que presta el servicio en dicho mercado relevante, podrán constituirse como un mercado relevante de distribución especial para el siguiente periodo tarifario.</w:t>
      </w:r>
    </w:p>
    <w:p w:rsidR="00BF57FA" w:rsidRPr="00BF57FA" w:rsidRDefault="009F768C" w:rsidP="00BF57FA">
      <w:pPr>
        <w:adjustRightInd w:val="0"/>
        <w:spacing w:before="240" w:after="240"/>
        <w:ind w:left="0" w:right="20"/>
        <w:jc w:val="both"/>
        <w:rPr>
          <w:rFonts w:ascii="Bookman Old Style" w:hAnsi="Bookman Old Style" w:cs="Arial"/>
        </w:rPr>
      </w:pPr>
      <w:r>
        <w:rPr>
          <w:rFonts w:ascii="Bookman Old Style" w:hAnsi="Bookman Old Style" w:cs="Arial"/>
        </w:rPr>
        <w:t>Los</w:t>
      </w:r>
      <w:r w:rsidR="00BF57FA" w:rsidRPr="00BF57FA">
        <w:rPr>
          <w:rFonts w:ascii="Bookman Old Style" w:hAnsi="Bookman Old Style" w:cs="Arial"/>
        </w:rPr>
        <w:t xml:space="preserve"> centro</w:t>
      </w:r>
      <w:r>
        <w:rPr>
          <w:rFonts w:ascii="Bookman Old Style" w:hAnsi="Bookman Old Style" w:cs="Arial"/>
        </w:rPr>
        <w:t>s</w:t>
      </w:r>
      <w:r w:rsidR="00BF57FA" w:rsidRPr="00BF57FA">
        <w:rPr>
          <w:rFonts w:ascii="Bookman Old Style" w:hAnsi="Bookman Old Style" w:cs="Arial"/>
        </w:rPr>
        <w:t xml:space="preserve"> poblado</w:t>
      </w:r>
      <w:r>
        <w:rPr>
          <w:rFonts w:ascii="Bookman Old Style" w:hAnsi="Bookman Old Style" w:cs="Arial"/>
        </w:rPr>
        <w:t>s de</w:t>
      </w:r>
      <w:r w:rsidR="00BF57FA" w:rsidRPr="00BF57FA">
        <w:rPr>
          <w:rFonts w:ascii="Bookman Old Style" w:hAnsi="Bookman Old Style" w:cs="Arial"/>
        </w:rPr>
        <w:t xml:space="preserve"> </w:t>
      </w:r>
      <w:r w:rsidR="003E4288">
        <w:rPr>
          <w:rFonts w:ascii="Bookman Old Style" w:hAnsi="Bookman Old Style" w:cs="Arial"/>
        </w:rPr>
        <w:t>Casablanca, El Toro, Pueblo Nuevo y La Represa</w:t>
      </w:r>
      <w:r w:rsidR="00BF57FA" w:rsidRPr="00BF57FA">
        <w:rPr>
          <w:rFonts w:ascii="Bookman Old Style" w:hAnsi="Bookman Old Style" w:cs="Arial"/>
        </w:rPr>
        <w:t xml:space="preserve"> forma</w:t>
      </w:r>
      <w:r>
        <w:rPr>
          <w:rFonts w:ascii="Bookman Old Style" w:hAnsi="Bookman Old Style" w:cs="Arial"/>
        </w:rPr>
        <w:t>n</w:t>
      </w:r>
      <w:r w:rsidR="00BF57FA" w:rsidRPr="00BF57FA">
        <w:rPr>
          <w:rFonts w:ascii="Bookman Old Style" w:hAnsi="Bookman Old Style" w:cs="Arial"/>
        </w:rPr>
        <w:t xml:space="preserve"> parte del municipio </w:t>
      </w:r>
      <w:r w:rsidR="003E4288">
        <w:rPr>
          <w:rFonts w:ascii="Bookman Old Style" w:hAnsi="Bookman Old Style" w:cs="Arial"/>
        </w:rPr>
        <w:t>de Castilla La Nueva</w:t>
      </w:r>
      <w:r w:rsidR="00BF57FA" w:rsidRPr="00BF57FA">
        <w:rPr>
          <w:rFonts w:ascii="Bookman Old Style" w:hAnsi="Bookman Old Style" w:cs="Arial"/>
        </w:rPr>
        <w:t xml:space="preserve">, departamento </w:t>
      </w:r>
      <w:r w:rsidR="003E4288">
        <w:rPr>
          <w:rFonts w:ascii="Bookman Old Style" w:hAnsi="Bookman Old Style" w:cs="Arial"/>
        </w:rPr>
        <w:t>del Meta</w:t>
      </w:r>
      <w:r w:rsidR="00BF57FA" w:rsidRPr="00BF57FA">
        <w:rPr>
          <w:rFonts w:ascii="Bookman Old Style" w:hAnsi="Bookman Old Style" w:cs="Arial"/>
        </w:rPr>
        <w:t>. Dicho municipio forma parte del mercado relevante existente con cargos aproba</w:t>
      </w:r>
      <w:r w:rsidR="00414419">
        <w:rPr>
          <w:rFonts w:ascii="Bookman Old Style" w:hAnsi="Bookman Old Style" w:cs="Arial"/>
        </w:rPr>
        <w:t xml:space="preserve">dos mediante Resolución </w:t>
      </w:r>
      <w:r w:rsidR="00414419" w:rsidRPr="00F90300">
        <w:rPr>
          <w:rFonts w:ascii="Bookman Old Style" w:hAnsi="Bookman Old Style" w:cs="Arial"/>
        </w:rPr>
        <w:t>CREG 0</w:t>
      </w:r>
      <w:r w:rsidR="00305927" w:rsidRPr="00F90300">
        <w:rPr>
          <w:rFonts w:ascii="Bookman Old Style" w:hAnsi="Bookman Old Style" w:cs="Arial"/>
        </w:rPr>
        <w:t>48 de 2004</w:t>
      </w:r>
      <w:r w:rsidR="00BF57FA" w:rsidRPr="00F90300">
        <w:rPr>
          <w:rFonts w:ascii="Bookman Old Style" w:hAnsi="Bookman Old Style" w:cs="Arial"/>
        </w:rPr>
        <w:t xml:space="preserve">, en el cual presta servicio la empresa </w:t>
      </w:r>
      <w:r w:rsidR="001828D6" w:rsidRPr="00F90300">
        <w:rPr>
          <w:rFonts w:ascii="Bookman Old Style" w:hAnsi="Bookman Old Style" w:cs="Arial"/>
        </w:rPr>
        <w:t>MADIGAS INGENIEROS</w:t>
      </w:r>
      <w:r w:rsidR="00BF57FA" w:rsidRPr="00F90300">
        <w:rPr>
          <w:rFonts w:ascii="Bookman Old Style" w:hAnsi="Bookman Old Style" w:cs="Arial"/>
        </w:rPr>
        <w:t xml:space="preserve"> S.A. E.S.P.</w:t>
      </w:r>
    </w:p>
    <w:p w:rsidR="00BF57FA" w:rsidRPr="00BF57FA" w:rsidRDefault="00AC2DD0" w:rsidP="00BF57FA">
      <w:pPr>
        <w:adjustRightInd w:val="0"/>
        <w:spacing w:before="240" w:after="240"/>
        <w:ind w:left="0" w:right="20"/>
        <w:jc w:val="both"/>
        <w:rPr>
          <w:rFonts w:ascii="Bookman Old Style" w:hAnsi="Bookman Old Style" w:cs="Arial"/>
        </w:rPr>
      </w:pPr>
      <w:r>
        <w:rPr>
          <w:rFonts w:ascii="Bookman Old Style" w:hAnsi="Bookman Old Style" w:cs="Arial"/>
        </w:rPr>
        <w:t>Mediante comunicación con radicado</w:t>
      </w:r>
      <w:r w:rsidR="00BF57FA" w:rsidRPr="00BF57FA">
        <w:rPr>
          <w:rFonts w:ascii="Bookman Old Style" w:hAnsi="Bookman Old Style" w:cs="Arial"/>
        </w:rPr>
        <w:t xml:space="preserve"> </w:t>
      </w:r>
      <w:r w:rsidR="00BF57FA" w:rsidRPr="00261A4E">
        <w:rPr>
          <w:rFonts w:ascii="Bookman Old Style" w:hAnsi="Bookman Old Style" w:cs="Arial"/>
        </w:rPr>
        <w:t xml:space="preserve">CREG </w:t>
      </w:r>
      <w:r w:rsidR="00BF57FA" w:rsidRPr="00F90300">
        <w:rPr>
          <w:rFonts w:ascii="Bookman Old Style" w:hAnsi="Bookman Old Style" w:cs="Arial"/>
        </w:rPr>
        <w:t>S-2018-00</w:t>
      </w:r>
      <w:r w:rsidR="00305927" w:rsidRPr="00F90300">
        <w:rPr>
          <w:rFonts w:ascii="Bookman Old Style" w:hAnsi="Bookman Old Style" w:cs="Arial"/>
        </w:rPr>
        <w:t>4757</w:t>
      </w:r>
      <w:r w:rsidR="00BF57FA" w:rsidRPr="00261A4E">
        <w:rPr>
          <w:rFonts w:ascii="Bookman Old Style" w:hAnsi="Bookman Old Style" w:cs="Arial"/>
        </w:rPr>
        <w:t xml:space="preserve"> </w:t>
      </w:r>
      <w:r w:rsidRPr="00F90300">
        <w:rPr>
          <w:rFonts w:ascii="Bookman Old Style" w:hAnsi="Bookman Old Style" w:cs="Arial"/>
        </w:rPr>
        <w:t>del 17</w:t>
      </w:r>
      <w:r w:rsidR="00BF57FA" w:rsidRPr="00F90300">
        <w:rPr>
          <w:rFonts w:ascii="Bookman Old Style" w:hAnsi="Bookman Old Style" w:cs="Arial"/>
        </w:rPr>
        <w:t xml:space="preserve"> de </w:t>
      </w:r>
      <w:r w:rsidRPr="00F90300">
        <w:rPr>
          <w:rFonts w:ascii="Bookman Old Style" w:hAnsi="Bookman Old Style" w:cs="Arial"/>
        </w:rPr>
        <w:t>octu</w:t>
      </w:r>
      <w:r w:rsidR="00BF57FA" w:rsidRPr="00F90300">
        <w:rPr>
          <w:rFonts w:ascii="Bookman Old Style" w:hAnsi="Bookman Old Style" w:cs="Arial"/>
        </w:rPr>
        <w:t>bre de 2018</w:t>
      </w:r>
      <w:r w:rsidR="00BF57FA" w:rsidRPr="00261A4E">
        <w:rPr>
          <w:rFonts w:ascii="Bookman Old Style" w:hAnsi="Bookman Old Style" w:cs="Arial"/>
        </w:rPr>
        <w:t xml:space="preserve"> respectivamente, la Comisión de Regulación de Energía y Gas solicitó a la empresa </w:t>
      </w:r>
      <w:r w:rsidR="001828D6" w:rsidRPr="00261A4E">
        <w:rPr>
          <w:rFonts w:ascii="Bookman Old Style" w:hAnsi="Bookman Old Style" w:cs="Arial"/>
        </w:rPr>
        <w:t>MADIGAS INGENIEROS</w:t>
      </w:r>
      <w:r w:rsidR="00BF57FA" w:rsidRPr="00261A4E">
        <w:rPr>
          <w:rFonts w:ascii="Bookman Old Style" w:hAnsi="Bookman Old Style" w:cs="Arial"/>
        </w:rPr>
        <w:t xml:space="preserve"> S.A. E.</w:t>
      </w:r>
      <w:r w:rsidR="00BF57FA" w:rsidRPr="00BF57FA">
        <w:rPr>
          <w:rFonts w:ascii="Bookman Old Style" w:hAnsi="Bookman Old Style" w:cs="Arial"/>
        </w:rPr>
        <w:t xml:space="preserve">S.P. que manifestara si </w:t>
      </w:r>
      <w:r w:rsidR="004544AA">
        <w:rPr>
          <w:rFonts w:ascii="Bookman Old Style" w:hAnsi="Bookman Old Style" w:cs="Arial"/>
        </w:rPr>
        <w:t>los</w:t>
      </w:r>
      <w:r w:rsidR="00BF57FA" w:rsidRPr="00BF57FA">
        <w:rPr>
          <w:rFonts w:ascii="Bookman Old Style" w:hAnsi="Bookman Old Style" w:cs="Arial"/>
        </w:rPr>
        <w:t xml:space="preserve"> centro</w:t>
      </w:r>
      <w:r w:rsidR="004544AA">
        <w:rPr>
          <w:rFonts w:ascii="Bookman Old Style" w:hAnsi="Bookman Old Style" w:cs="Arial"/>
        </w:rPr>
        <w:t>s</w:t>
      </w:r>
      <w:r w:rsidR="00BF57FA" w:rsidRPr="00BF57FA">
        <w:rPr>
          <w:rFonts w:ascii="Bookman Old Style" w:hAnsi="Bookman Old Style" w:cs="Arial"/>
        </w:rPr>
        <w:t xml:space="preserve"> poblado</w:t>
      </w:r>
      <w:r w:rsidR="004544AA">
        <w:rPr>
          <w:rFonts w:ascii="Bookman Old Style" w:hAnsi="Bookman Old Style" w:cs="Arial"/>
        </w:rPr>
        <w:t>s de</w:t>
      </w:r>
      <w:r w:rsidR="00BF57FA" w:rsidRPr="00BF57FA">
        <w:rPr>
          <w:rFonts w:ascii="Bookman Old Style" w:hAnsi="Bookman Old Style" w:cs="Arial"/>
        </w:rPr>
        <w:t xml:space="preserve"> </w:t>
      </w:r>
      <w:r w:rsidR="003E4288">
        <w:rPr>
          <w:rFonts w:ascii="Bookman Old Style" w:hAnsi="Bookman Old Style" w:cs="Arial"/>
        </w:rPr>
        <w:t>Casablanca, El Toro, Pueblo Nuevo y La Represa</w:t>
      </w:r>
      <w:r w:rsidR="00BF57FA" w:rsidRPr="00BF57FA">
        <w:rPr>
          <w:rFonts w:ascii="Bookman Old Style" w:hAnsi="Bookman Old Style" w:cs="Arial"/>
        </w:rPr>
        <w:t xml:space="preserve"> se encuentra</w:t>
      </w:r>
      <w:r w:rsidR="004544AA">
        <w:rPr>
          <w:rFonts w:ascii="Bookman Old Style" w:hAnsi="Bookman Old Style" w:cs="Arial"/>
        </w:rPr>
        <w:t>n</w:t>
      </w:r>
      <w:r w:rsidR="00BF57FA" w:rsidRPr="00BF57FA">
        <w:rPr>
          <w:rFonts w:ascii="Bookman Old Style" w:hAnsi="Bookman Old Style" w:cs="Arial"/>
        </w:rPr>
        <w:t xml:space="preserve"> incluido dentro de su plan de expansión.</w:t>
      </w:r>
    </w:p>
    <w:p w:rsidR="0002540B" w:rsidRDefault="00BF57FA" w:rsidP="00BF57FA">
      <w:pPr>
        <w:adjustRightInd w:val="0"/>
        <w:spacing w:before="240" w:after="240"/>
        <w:ind w:left="0" w:right="20"/>
        <w:jc w:val="both"/>
        <w:rPr>
          <w:rFonts w:ascii="Bookman Old Style" w:hAnsi="Bookman Old Style" w:cs="Arial"/>
        </w:rPr>
      </w:pPr>
      <w:r w:rsidRPr="00BF57FA">
        <w:rPr>
          <w:rFonts w:ascii="Bookman Old Style" w:hAnsi="Bookman Old Style" w:cs="Arial"/>
        </w:rPr>
        <w:t xml:space="preserve">La empresa </w:t>
      </w:r>
      <w:r w:rsidR="001828D6" w:rsidRPr="00F90300">
        <w:rPr>
          <w:rFonts w:ascii="Bookman Old Style" w:hAnsi="Bookman Old Style" w:cs="Arial"/>
        </w:rPr>
        <w:t>MADIGAS INGENIEROS</w:t>
      </w:r>
      <w:r w:rsidRPr="00F90300">
        <w:rPr>
          <w:rFonts w:ascii="Bookman Old Style" w:hAnsi="Bookman Old Style" w:cs="Arial"/>
        </w:rPr>
        <w:t xml:space="preserve"> S.A. E.S.P</w:t>
      </w:r>
      <w:r w:rsidRPr="00261A4E">
        <w:rPr>
          <w:rFonts w:ascii="Bookman Old Style" w:hAnsi="Bookman Old Style" w:cs="Arial"/>
        </w:rPr>
        <w:t xml:space="preserve">., mediante radicado </w:t>
      </w:r>
      <w:r w:rsidRPr="00F90300">
        <w:rPr>
          <w:rFonts w:ascii="Bookman Old Style" w:hAnsi="Bookman Old Style" w:cs="Arial"/>
        </w:rPr>
        <w:t>E-2018-0</w:t>
      </w:r>
      <w:r w:rsidR="00643EC9" w:rsidRPr="00F90300">
        <w:rPr>
          <w:rFonts w:ascii="Bookman Old Style" w:hAnsi="Bookman Old Style" w:cs="Arial"/>
        </w:rPr>
        <w:t>11</w:t>
      </w:r>
      <w:r w:rsidR="00305927" w:rsidRPr="00F90300">
        <w:rPr>
          <w:rFonts w:ascii="Bookman Old Style" w:hAnsi="Bookman Old Style" w:cs="Arial"/>
        </w:rPr>
        <w:t>439</w:t>
      </w:r>
      <w:r w:rsidRPr="00F90300">
        <w:rPr>
          <w:rFonts w:ascii="Bookman Old Style" w:hAnsi="Bookman Old Style" w:cs="Arial"/>
        </w:rPr>
        <w:t xml:space="preserve"> del </w:t>
      </w:r>
      <w:r w:rsidR="00305927" w:rsidRPr="00F90300">
        <w:rPr>
          <w:rFonts w:ascii="Bookman Old Style" w:hAnsi="Bookman Old Style" w:cs="Arial"/>
        </w:rPr>
        <w:t>30</w:t>
      </w:r>
      <w:r w:rsidRPr="00F90300">
        <w:rPr>
          <w:rFonts w:ascii="Bookman Old Style" w:hAnsi="Bookman Old Style" w:cs="Arial"/>
        </w:rPr>
        <w:t xml:space="preserve"> de </w:t>
      </w:r>
      <w:r w:rsidR="00643EC9" w:rsidRPr="00F90300">
        <w:rPr>
          <w:rFonts w:ascii="Bookman Old Style" w:hAnsi="Bookman Old Style" w:cs="Arial"/>
        </w:rPr>
        <w:t>octubre</w:t>
      </w:r>
      <w:r w:rsidRPr="00F90300">
        <w:rPr>
          <w:rFonts w:ascii="Bookman Old Style" w:hAnsi="Bookman Old Style" w:cs="Arial"/>
        </w:rPr>
        <w:t xml:space="preserve"> de 2018</w:t>
      </w:r>
      <w:r w:rsidRPr="00261A4E">
        <w:rPr>
          <w:rFonts w:ascii="Bookman Old Style" w:hAnsi="Bookman Old Style" w:cs="Arial"/>
        </w:rPr>
        <w:t>,</w:t>
      </w:r>
      <w:r w:rsidRPr="00BF57FA">
        <w:rPr>
          <w:rFonts w:ascii="Bookman Old Style" w:hAnsi="Bookman Old Style" w:cs="Arial"/>
        </w:rPr>
        <w:t xml:space="preserve"> informa que </w:t>
      </w:r>
      <w:r w:rsidR="0002540B" w:rsidRPr="0002540B">
        <w:rPr>
          <w:rFonts w:ascii="Bookman Old Style" w:hAnsi="Bookman Old Style" w:cs="Arial"/>
        </w:rPr>
        <w:t>“</w:t>
      </w:r>
      <w:r w:rsidR="0002540B" w:rsidRPr="0002540B">
        <w:rPr>
          <w:rFonts w:ascii="Bookman Old Style" w:hAnsi="Bookman Old Style" w:cs="Arial"/>
          <w:i/>
        </w:rPr>
        <w:t xml:space="preserve">los centros poblados mencionados en el oficio de referencia, están contemplados dentro del plan de </w:t>
      </w:r>
      <w:r w:rsidR="0002540B" w:rsidRPr="0002540B">
        <w:rPr>
          <w:rFonts w:ascii="Bookman Old Style" w:hAnsi="Bookman Old Style" w:cs="Arial"/>
          <w:i/>
        </w:rPr>
        <w:lastRenderedPageBreak/>
        <w:t>expansión a corto plazo.</w:t>
      </w:r>
      <w:r w:rsidR="0002540B" w:rsidRPr="0002540B">
        <w:rPr>
          <w:rFonts w:ascii="Bookman Old Style" w:hAnsi="Bookman Old Style" w:cs="Arial"/>
        </w:rPr>
        <w:t>”</w:t>
      </w:r>
      <w:r w:rsidR="00FA719E">
        <w:rPr>
          <w:rFonts w:ascii="Bookman Old Style" w:hAnsi="Bookman Old Style" w:cs="Arial"/>
        </w:rPr>
        <w:t xml:space="preserve"> Así mismo, a través del </w:t>
      </w:r>
      <w:r w:rsidR="00FA719E" w:rsidRPr="000547B2">
        <w:rPr>
          <w:rFonts w:ascii="Bookman Old Style" w:hAnsi="Bookman Old Style" w:cs="Arial"/>
        </w:rPr>
        <w:t xml:space="preserve">radicado </w:t>
      </w:r>
      <w:r w:rsidR="00FA719E" w:rsidRPr="00F90300">
        <w:rPr>
          <w:rFonts w:ascii="Bookman Old Style" w:hAnsi="Bookman Old Style" w:cs="Arial"/>
        </w:rPr>
        <w:t>CREG E-2019-002021</w:t>
      </w:r>
      <w:r w:rsidR="00FA719E">
        <w:rPr>
          <w:rFonts w:ascii="Bookman Old Style" w:hAnsi="Bookman Old Style" w:cs="Arial"/>
        </w:rPr>
        <w:t xml:space="preserve"> del 25 de febrero de 2019 manifiesta que “</w:t>
      </w:r>
      <w:r w:rsidR="00277EC8" w:rsidRPr="00277EC8">
        <w:rPr>
          <w:rFonts w:ascii="Bookman Old Style" w:hAnsi="Bookman Old Style" w:cs="Arial"/>
          <w:i/>
        </w:rPr>
        <w:t>iniciará el tendido de construcción aproximadamente en noviembre de 2019</w:t>
      </w:r>
      <w:r w:rsidR="00277EC8">
        <w:rPr>
          <w:rFonts w:ascii="Bookman Old Style" w:hAnsi="Bookman Old Style" w:cs="Arial"/>
        </w:rPr>
        <w:t xml:space="preserve"> (…)”</w:t>
      </w:r>
    </w:p>
    <w:p w:rsidR="00BA06E2" w:rsidRPr="00BA06E2" w:rsidRDefault="001E3985" w:rsidP="00BA06E2">
      <w:pPr>
        <w:adjustRightInd w:val="0"/>
        <w:spacing w:before="240" w:after="240"/>
        <w:ind w:left="0" w:right="20"/>
        <w:jc w:val="both"/>
        <w:rPr>
          <w:rFonts w:ascii="Bookman Old Style" w:hAnsi="Bookman Old Style" w:cs="Arial"/>
        </w:rPr>
      </w:pPr>
      <w:r>
        <w:rPr>
          <w:rFonts w:ascii="Bookman Old Style" w:hAnsi="Bookman Old Style" w:cs="Arial"/>
        </w:rPr>
        <w:t>Por lo tanto, r</w:t>
      </w:r>
      <w:r w:rsidR="00BA06E2" w:rsidRPr="00BA06E2">
        <w:rPr>
          <w:rFonts w:ascii="Bookman Old Style" w:hAnsi="Bookman Old Style" w:cs="Arial"/>
        </w:rPr>
        <w:t>especto al plan de expansión es importante considerar que la Resolución CREG 048 de 2004, aprobó el Cargo Promedio de Distribución por uso del Sistema de Distribución con base en la metodología de costos medios de mediano plazo, establecida en la Resolución CREG 011 de 2003. Donde, para el mercado relevante conformado por el municipio de Castilla la Nueva se aprobó un cargo de distribución con base en un programa de nuevas inversiones a cinco años.</w:t>
      </w:r>
    </w:p>
    <w:p w:rsidR="00BA06E2" w:rsidRPr="00BA06E2" w:rsidRDefault="00BA06E2" w:rsidP="00BA06E2">
      <w:pPr>
        <w:adjustRightInd w:val="0"/>
        <w:spacing w:before="240" w:after="240"/>
        <w:ind w:left="0" w:right="20"/>
        <w:jc w:val="both"/>
        <w:rPr>
          <w:rFonts w:ascii="Bookman Old Style" w:hAnsi="Bookman Old Style" w:cs="Arial"/>
        </w:rPr>
      </w:pPr>
      <w:r w:rsidRPr="00BA06E2">
        <w:rPr>
          <w:rFonts w:ascii="Bookman Old Style" w:hAnsi="Bookman Old Style" w:cs="Arial"/>
        </w:rPr>
        <w:t>En este sentido, el código de distribución de gas combustible por redes, establecido mediante la Resolución CREG 067 de 1995, precisa lo siguiente:</w:t>
      </w:r>
    </w:p>
    <w:p w:rsidR="00BA06E2" w:rsidRPr="00BA06E2" w:rsidRDefault="00BA06E2" w:rsidP="00BA06E2">
      <w:pPr>
        <w:adjustRightInd w:val="0"/>
        <w:spacing w:before="240" w:after="240"/>
        <w:ind w:left="426" w:right="425"/>
        <w:jc w:val="both"/>
        <w:rPr>
          <w:rFonts w:ascii="Bookman Old Style" w:hAnsi="Bookman Old Style" w:cs="Arial"/>
        </w:rPr>
      </w:pPr>
      <w:r w:rsidRPr="00BA06E2">
        <w:rPr>
          <w:rFonts w:ascii="Bookman Old Style" w:hAnsi="Bookman Old Style" w:cs="Arial"/>
        </w:rPr>
        <w:t>•</w:t>
      </w:r>
      <w:r w:rsidRPr="00BA06E2">
        <w:rPr>
          <w:rFonts w:ascii="Bookman Old Style" w:hAnsi="Bookman Old Style" w:cs="Arial"/>
        </w:rPr>
        <w:tab/>
        <w:t>En el título III.3 “Planeamiento de la expansión”, numeral 3.9 dispone que:</w:t>
      </w:r>
    </w:p>
    <w:p w:rsidR="00BA06E2" w:rsidRPr="00BA06E2" w:rsidRDefault="00BA06E2" w:rsidP="00BA06E2">
      <w:pPr>
        <w:adjustRightInd w:val="0"/>
        <w:spacing w:before="240" w:after="240"/>
        <w:ind w:left="426" w:right="425"/>
        <w:jc w:val="both"/>
        <w:rPr>
          <w:rFonts w:ascii="Bookman Old Style" w:hAnsi="Bookman Old Style" w:cs="Arial"/>
        </w:rPr>
      </w:pPr>
      <w:r w:rsidRPr="00BA06E2">
        <w:rPr>
          <w:rFonts w:ascii="Bookman Old Style" w:hAnsi="Bookman Old Style" w:cs="Arial"/>
          <w:i/>
        </w:rPr>
        <w:t>3.9. Con el fin de definir las fórmulas de tarifas de la empresa respectiva, para la expansión, reforma o modificaciones de los sistemas de distribución, la CREG utilizará la información de los planes quinquenales con la inversión prevista, que las empresas deben enviar a la UPME para su revisión y concepto, de forma tal que la inversión se recupere por medio de tarifas, de acuerdo con las resoluciones que para el efecto expida la CREG.</w:t>
      </w:r>
    </w:p>
    <w:p w:rsidR="00BA06E2" w:rsidRPr="00BA06E2" w:rsidRDefault="00BA06E2" w:rsidP="00BA06E2">
      <w:pPr>
        <w:adjustRightInd w:val="0"/>
        <w:spacing w:before="240" w:after="240"/>
        <w:ind w:left="0" w:right="20"/>
        <w:jc w:val="both"/>
        <w:rPr>
          <w:rFonts w:ascii="Bookman Old Style" w:hAnsi="Bookman Old Style" w:cs="Arial"/>
        </w:rPr>
      </w:pPr>
      <w:r>
        <w:rPr>
          <w:rFonts w:ascii="Bookman Old Style" w:hAnsi="Bookman Old Style" w:cs="Arial"/>
        </w:rPr>
        <w:t>E</w:t>
      </w:r>
      <w:r w:rsidRPr="00BA06E2">
        <w:rPr>
          <w:rFonts w:ascii="Bookman Old Style" w:hAnsi="Bookman Old Style" w:cs="Arial"/>
        </w:rPr>
        <w:t>l numeral 5.3 de la Resolución CREG 202 de 2013, establece que los centros poblados que no se encuentren incluidos dentro del plan de expansión por parte del distribuidor que presta el servicio en dicho mercado, podrán constituirse como un mercado de distribución especial. Donde, la restricción asociada a estos planes tiene por objeto garantizar que las expansiones que no habían cumplido los cinco años al momento de la expedición de la Resolución CREG 202 de 2013 pudieran ejecutarse.</w:t>
      </w:r>
    </w:p>
    <w:p w:rsidR="00BA06E2" w:rsidRPr="00BA06E2" w:rsidRDefault="00BA06E2" w:rsidP="00BA06E2">
      <w:pPr>
        <w:adjustRightInd w:val="0"/>
        <w:spacing w:before="240" w:after="240"/>
        <w:ind w:left="0" w:right="20"/>
        <w:jc w:val="both"/>
        <w:rPr>
          <w:rFonts w:ascii="Bookman Old Style" w:hAnsi="Bookman Old Style" w:cs="Arial"/>
        </w:rPr>
      </w:pPr>
      <w:r w:rsidRPr="00BA06E2">
        <w:rPr>
          <w:rFonts w:ascii="Bookman Old Style" w:hAnsi="Bookman Old Style" w:cs="Arial"/>
        </w:rPr>
        <w:t>Así las cosas, durante la vigencia de los cargos aprobados con la metodología establecida en la Resolución CREG 011 de 2003, las empresas distribuidoras interesadas en ampliar la prestación del servicio debieron manifestar tanto a esta Comisión como a la UPME el plan de expansión indicado en el numeral 3.9 del código de distribución.</w:t>
      </w:r>
    </w:p>
    <w:p w:rsidR="00BA06E2" w:rsidRPr="00BA06E2" w:rsidRDefault="00BA06E2" w:rsidP="00BA06E2">
      <w:pPr>
        <w:adjustRightInd w:val="0"/>
        <w:spacing w:before="240" w:after="240"/>
        <w:ind w:left="0" w:right="20"/>
        <w:jc w:val="both"/>
        <w:rPr>
          <w:rFonts w:ascii="Bookman Old Style" w:hAnsi="Bookman Old Style" w:cs="Arial"/>
        </w:rPr>
      </w:pPr>
      <w:r w:rsidRPr="00BA06E2">
        <w:rPr>
          <w:rFonts w:ascii="Bookman Old Style" w:hAnsi="Bookman Old Style" w:cs="Arial"/>
        </w:rPr>
        <w:t>Por lo tanto, ante la manifestación de la MADIGAS INGENIEROS S.A E.S.P. de ampliar la cobertura del servicio en los centros poblados objeto de la solicitud, esta Comisión considera que se encuentran fuera del plan de expansión que sirvió de base para el cálculo del cargo de la Resolución CREG 048 de 2004.</w:t>
      </w:r>
    </w:p>
    <w:p w:rsidR="00BA06E2" w:rsidRPr="00BA06E2" w:rsidRDefault="00BA06E2" w:rsidP="00BA06E2">
      <w:pPr>
        <w:adjustRightInd w:val="0"/>
        <w:spacing w:before="240" w:after="240"/>
        <w:ind w:left="0" w:right="20"/>
        <w:jc w:val="both"/>
        <w:rPr>
          <w:rFonts w:ascii="Bookman Old Style" w:hAnsi="Bookman Old Style" w:cs="Arial"/>
        </w:rPr>
      </w:pPr>
      <w:r w:rsidRPr="00BA06E2">
        <w:rPr>
          <w:rFonts w:ascii="Bookman Old Style" w:hAnsi="Bookman Old Style" w:cs="Arial"/>
        </w:rPr>
        <w:t xml:space="preserve">En consecuencia, el requisito establecido en la Resolución CREG 202 de 2013, relacionado con la inclusión de los centros poblados de Casablanca, El Toro, Pueblo Nuevo y La Represa en el plan de expansión no es aplicable en este caso, dado que, se evidencia que en el plan de expansión requerido para la aprobación </w:t>
      </w:r>
      <w:r w:rsidRPr="00BA06E2">
        <w:rPr>
          <w:rFonts w:ascii="Bookman Old Style" w:hAnsi="Bookman Old Style" w:cs="Arial"/>
        </w:rPr>
        <w:lastRenderedPageBreak/>
        <w:t>del cargo con la Resolución CREG 048 de 2004 no tenía incluidos los centros poblados del asunto.</w:t>
      </w:r>
    </w:p>
    <w:p w:rsidR="00BA06E2" w:rsidRDefault="00BA06E2" w:rsidP="00BA06E2">
      <w:pPr>
        <w:adjustRightInd w:val="0"/>
        <w:spacing w:before="240" w:after="240"/>
        <w:ind w:left="0" w:right="20"/>
        <w:jc w:val="both"/>
        <w:rPr>
          <w:rFonts w:ascii="Bookman Old Style" w:hAnsi="Bookman Old Style" w:cs="Arial"/>
        </w:rPr>
      </w:pPr>
      <w:r w:rsidRPr="00BA06E2">
        <w:rPr>
          <w:rFonts w:ascii="Bookman Old Style" w:hAnsi="Bookman Old Style" w:cs="Arial"/>
        </w:rPr>
        <w:t xml:space="preserve">Por </w:t>
      </w:r>
      <w:r w:rsidR="009805E0">
        <w:rPr>
          <w:rFonts w:ascii="Bookman Old Style" w:hAnsi="Bookman Old Style" w:cs="Arial"/>
        </w:rPr>
        <w:t>lo</w:t>
      </w:r>
      <w:r w:rsidRPr="00BA06E2">
        <w:rPr>
          <w:rFonts w:ascii="Bookman Old Style" w:hAnsi="Bookman Old Style" w:cs="Arial"/>
        </w:rPr>
        <w:t xml:space="preserve"> </w:t>
      </w:r>
      <w:r>
        <w:rPr>
          <w:rFonts w:ascii="Bookman Old Style" w:hAnsi="Bookman Old Style" w:cs="Arial"/>
        </w:rPr>
        <w:t>anterior</w:t>
      </w:r>
      <w:r w:rsidRPr="00BA06E2">
        <w:rPr>
          <w:rFonts w:ascii="Bookman Old Style" w:hAnsi="Bookman Old Style" w:cs="Arial"/>
        </w:rPr>
        <w:t>, la prestación de los servicios públicos domiciliarios está íntimamente ligada al cumplimiento de los fines sociales del Estado Social de Derecho en tanto estos son catalogados como servicios esenciales, así las cosas, esta Comisión en aras de garantizar la prestación del servicio, considera pertinente que la condición de los centros poblados de Casablanca, El Toro, Pueblo Nuevo y La Represa, amerita su constitución dentro del mercado relevante de distribución especial propuesto por la empresa LOGIGAS COLOMBIA S.A. E.S.P., para la aprobación de los cargos respectivos.</w:t>
      </w:r>
    </w:p>
    <w:p w:rsidR="003A46CB" w:rsidRPr="00452CD6"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Pr="00F90300">
        <w:rPr>
          <w:rFonts w:ascii="Bookman Old Style" w:hAnsi="Bookman Old Style" w:cs="Arial"/>
        </w:rPr>
        <w:t xml:space="preserve">auto proferido el día </w:t>
      </w:r>
      <w:r w:rsidR="00B8660A" w:rsidRPr="00F90300">
        <w:rPr>
          <w:rFonts w:ascii="Bookman Old Style" w:hAnsi="Bookman Old Style" w:cs="Arial"/>
        </w:rPr>
        <w:t>27</w:t>
      </w:r>
      <w:r w:rsidRPr="00F90300">
        <w:rPr>
          <w:rFonts w:ascii="Bookman Old Style" w:hAnsi="Bookman Old Style" w:cs="Arial"/>
        </w:rPr>
        <w:t xml:space="preserve"> de </w:t>
      </w:r>
      <w:r w:rsidR="00B8660A" w:rsidRPr="00F90300">
        <w:rPr>
          <w:rFonts w:ascii="Bookman Old Style" w:hAnsi="Bookman Old Style" w:cs="Arial"/>
        </w:rPr>
        <w:t>febrero</w:t>
      </w:r>
      <w:r w:rsidRPr="00F90300">
        <w:rPr>
          <w:rFonts w:ascii="Bookman Old Style" w:hAnsi="Bookman Old Style" w:cs="Arial"/>
        </w:rPr>
        <w:t xml:space="preserve"> de 201</w:t>
      </w:r>
      <w:r w:rsidR="00D72F09" w:rsidRPr="00F90300">
        <w:rPr>
          <w:rFonts w:ascii="Bookman Old Style" w:hAnsi="Bookman Old Style" w:cs="Arial"/>
        </w:rPr>
        <w:t>8</w:t>
      </w:r>
      <w:r w:rsidRPr="00694C22">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E4288">
        <w:rPr>
          <w:rFonts w:ascii="Bookman Old Style" w:hAnsi="Bookman Old Style" w:cs="Arial"/>
        </w:rPr>
        <w:t>LOGIGAS</w:t>
      </w:r>
      <w:r w:rsidR="003551EA">
        <w:rPr>
          <w:rFonts w:ascii="Bookman Old Style" w:hAnsi="Bookman Old Style" w:cs="Arial"/>
        </w:rPr>
        <w:t xml:space="preserve"> S.A.S.</w:t>
      </w:r>
      <w:r w:rsidR="001F4AC3">
        <w:rPr>
          <w:rFonts w:ascii="Bookman Old Style" w:hAnsi="Bookman Old Style" w:cs="Arial"/>
        </w:rPr>
        <w:t xml:space="preserve">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424877" w:rsidRPr="00F90300">
        <w:rPr>
          <w:rFonts w:ascii="Bookman Old Style" w:hAnsi="Bookman Old Style" w:cs="Arial"/>
          <w:szCs w:val="22"/>
        </w:rPr>
        <w:t>GLP</w:t>
      </w:r>
      <w:r w:rsidR="00B1609B" w:rsidRPr="00694C22">
        <w:rPr>
          <w:rFonts w:ascii="Bookman Old Style" w:hAnsi="Bookman Old Style" w:cs="Arial"/>
          <w:szCs w:val="22"/>
        </w:rPr>
        <w:t xml:space="preserve"> p</w:t>
      </w:r>
      <w:r w:rsidR="00B1609B">
        <w:rPr>
          <w:rFonts w:ascii="Bookman Old Style" w:hAnsi="Bookman Old Style" w:cs="Arial"/>
          <w:szCs w:val="22"/>
        </w:rPr>
        <w:t xml:space="preserve">or redes de tubería para el </w:t>
      </w:r>
      <w:r w:rsidR="00B1609B">
        <w:rPr>
          <w:rFonts w:ascii="Bookman Old Style" w:hAnsi="Bookman Old Style" w:cs="Arial"/>
        </w:rPr>
        <w:t xml:space="preserve">mercado relevante </w:t>
      </w:r>
      <w:r w:rsidR="00B1609B" w:rsidRPr="00D24B72">
        <w:rPr>
          <w:rFonts w:ascii="Bookman Old Style" w:hAnsi="Bookman Old Style" w:cs="Arial"/>
          <w:szCs w:val="22"/>
        </w:rPr>
        <w:t>conformado</w:t>
      </w:r>
      <w:r w:rsidR="00B1609B">
        <w:rPr>
          <w:rFonts w:ascii="Bookman Old Style" w:hAnsi="Bookman Old Style" w:cs="Arial"/>
          <w:szCs w:val="22"/>
        </w:rPr>
        <w:t xml:space="preserve"> por </w:t>
      </w:r>
      <w:r w:rsidR="00364983">
        <w:rPr>
          <w:rFonts w:ascii="Bookman Old Style" w:hAnsi="Bookman Old Style" w:cs="Arial"/>
          <w:szCs w:val="22"/>
        </w:rPr>
        <w:t>los corregimientos</w:t>
      </w:r>
      <w:r w:rsidR="00B1609B">
        <w:rPr>
          <w:rFonts w:ascii="Bookman Old Style" w:hAnsi="Bookman Old Style" w:cs="Arial"/>
          <w:szCs w:val="22"/>
        </w:rPr>
        <w:t xml:space="preserve"> de </w:t>
      </w:r>
      <w:r w:rsidR="003E4288">
        <w:rPr>
          <w:rFonts w:ascii="Bookman Old Style" w:hAnsi="Bookman Old Style" w:cs="Arial"/>
          <w:szCs w:val="22"/>
        </w:rPr>
        <w:t>Casablanca, El Toro, Pueblo Nuevo y La Represa</w:t>
      </w:r>
      <w:r w:rsidR="001F4AC3" w:rsidRPr="00AD3F3B">
        <w:rPr>
          <w:rFonts w:ascii="Bookman Old Style" w:hAnsi="Bookman Old Style" w:cs="Arial"/>
        </w:rPr>
        <w:t xml:space="preserve"> del municipio </w:t>
      </w:r>
      <w:r w:rsidR="003E4288">
        <w:rPr>
          <w:rFonts w:ascii="Bookman Old Style" w:hAnsi="Bookman Old Style" w:cs="Arial"/>
        </w:rPr>
        <w:t>de Castilla La Nueva</w:t>
      </w:r>
      <w:r w:rsidR="001F4AC3" w:rsidRPr="00AD3F3B">
        <w:rPr>
          <w:rFonts w:ascii="Bookman Old Style" w:hAnsi="Bookman Old Style" w:cs="Arial"/>
        </w:rPr>
        <w:t xml:space="preserve"> en el departamento </w:t>
      </w:r>
      <w:r w:rsidR="003E4288">
        <w:rPr>
          <w:rFonts w:ascii="Bookman Old Style" w:hAnsi="Bookman Old Style" w:cs="Arial"/>
        </w:rPr>
        <w:t>del Meta</w:t>
      </w:r>
      <w:r w:rsidR="00721DB0">
        <w:rPr>
          <w:rFonts w:ascii="Bookman Old Style" w:hAnsi="Bookman Old Style" w:cs="Arial"/>
          <w:szCs w:val="22"/>
        </w:rPr>
        <w:t>.</w:t>
      </w:r>
    </w:p>
    <w:p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Pr="00694C22">
        <w:rPr>
          <w:rFonts w:ascii="Bookman Old Style" w:hAnsi="Bookman Old Style" w:cs="Arial"/>
          <w:szCs w:val="22"/>
        </w:rPr>
        <w:t xml:space="preserve">el </w:t>
      </w:r>
      <w:r w:rsidRPr="00F90300">
        <w:rPr>
          <w:rFonts w:ascii="Bookman Old Style" w:hAnsi="Bookman Old Style" w:cs="Arial"/>
          <w:szCs w:val="22"/>
        </w:rPr>
        <w:t xml:space="preserve">auto del </w:t>
      </w:r>
      <w:r w:rsidR="009D4359" w:rsidRPr="00F90300">
        <w:rPr>
          <w:rFonts w:ascii="Bookman Old Style" w:hAnsi="Bookman Old Style" w:cs="Arial"/>
        </w:rPr>
        <w:t>27</w:t>
      </w:r>
      <w:r w:rsidR="00424877" w:rsidRPr="00F90300">
        <w:rPr>
          <w:rFonts w:ascii="Bookman Old Style" w:hAnsi="Bookman Old Style" w:cs="Arial"/>
        </w:rPr>
        <w:t xml:space="preserve"> de </w:t>
      </w:r>
      <w:r w:rsidR="009D4359" w:rsidRPr="00F90300">
        <w:rPr>
          <w:rFonts w:ascii="Bookman Old Style" w:hAnsi="Bookman Old Style" w:cs="Arial"/>
        </w:rPr>
        <w:t>febrero</w:t>
      </w:r>
      <w:r w:rsidRPr="00F90300">
        <w:rPr>
          <w:rFonts w:ascii="Bookman Old Style" w:hAnsi="Bookman Old Style" w:cs="Arial"/>
        </w:rPr>
        <w:t xml:space="preserve"> de 201</w:t>
      </w:r>
      <w:r w:rsidR="00D72F09" w:rsidRPr="00F90300">
        <w:rPr>
          <w:rFonts w:ascii="Bookman Old Style" w:hAnsi="Bookman Old Style" w:cs="Arial"/>
        </w:rPr>
        <w:t>8</w:t>
      </w:r>
      <w:r w:rsidRPr="00694C22">
        <w:rPr>
          <w:rFonts w:ascii="Bookman Old Style" w:hAnsi="Bookman Old Style" w:cs="Arial"/>
          <w:szCs w:val="22"/>
        </w:rPr>
        <w:t xml:space="preserve"> y para</w:t>
      </w:r>
      <w:r w:rsidRPr="00C07E9D">
        <w:rPr>
          <w:rFonts w:ascii="Bookman Old Style" w:hAnsi="Bookman Old Style" w:cs="Arial"/>
          <w:szCs w:val="22"/>
        </w:rPr>
        <w:t xml:space="preserve"> cumplir con lo dispuesto en el artículo 37 del Código de </w:t>
      </w:r>
      <w:r w:rsidRPr="00694C22">
        <w:rPr>
          <w:rFonts w:ascii="Bookman Old Style" w:hAnsi="Bookman Old Style" w:cs="Arial"/>
          <w:szCs w:val="22"/>
        </w:rPr>
        <w:t xml:space="preserve">Procedimiento Administrativo y de lo Contencioso Administrativo, en el </w:t>
      </w:r>
      <w:r w:rsidRPr="00F90300">
        <w:rPr>
          <w:rFonts w:ascii="Bookman Old Style" w:hAnsi="Bookman Old Style" w:cs="Arial"/>
          <w:i/>
          <w:szCs w:val="22"/>
        </w:rPr>
        <w:t>Diario Oficial</w:t>
      </w:r>
      <w:r w:rsidRPr="00694C22">
        <w:rPr>
          <w:rFonts w:ascii="Bookman Old Style" w:hAnsi="Bookman Old Style" w:cs="Arial"/>
          <w:szCs w:val="22"/>
        </w:rPr>
        <w:t xml:space="preserve"> No. </w:t>
      </w:r>
      <w:r w:rsidR="0083655D" w:rsidRPr="00F90300">
        <w:rPr>
          <w:rFonts w:ascii="Bookman Old Style" w:hAnsi="Bookman Old Style" w:cs="Arial"/>
          <w:szCs w:val="22"/>
        </w:rPr>
        <w:t>50.</w:t>
      </w:r>
      <w:r w:rsidR="009D4359" w:rsidRPr="00F90300">
        <w:rPr>
          <w:rFonts w:ascii="Bookman Old Style" w:hAnsi="Bookman Old Style" w:cs="Arial"/>
          <w:szCs w:val="22"/>
        </w:rPr>
        <w:t>886</w:t>
      </w:r>
      <w:r w:rsidRPr="00694C22">
        <w:rPr>
          <w:rFonts w:ascii="Bookman Old Style" w:hAnsi="Bookman Old Style" w:cs="Arial"/>
          <w:szCs w:val="22"/>
        </w:rPr>
        <w:t xml:space="preserve"> </w:t>
      </w:r>
      <w:r w:rsidRPr="00F90300">
        <w:rPr>
          <w:rFonts w:ascii="Bookman Old Style" w:hAnsi="Bookman Old Style" w:cs="Arial"/>
          <w:szCs w:val="22"/>
        </w:rPr>
        <w:t xml:space="preserve">del </w:t>
      </w:r>
      <w:r w:rsidR="00424877" w:rsidRPr="00F90300">
        <w:rPr>
          <w:rFonts w:ascii="Bookman Old Style" w:hAnsi="Bookman Old Style" w:cs="Arial"/>
          <w:szCs w:val="22"/>
        </w:rPr>
        <w:t>0</w:t>
      </w:r>
      <w:r w:rsidR="009D4359" w:rsidRPr="00F90300">
        <w:rPr>
          <w:rFonts w:ascii="Bookman Old Style" w:hAnsi="Bookman Old Style" w:cs="Arial"/>
          <w:szCs w:val="22"/>
        </w:rPr>
        <w:t>5</w:t>
      </w:r>
      <w:r w:rsidRPr="00F90300">
        <w:rPr>
          <w:rFonts w:ascii="Bookman Old Style" w:hAnsi="Bookman Old Style" w:cs="Arial"/>
          <w:szCs w:val="22"/>
        </w:rPr>
        <w:t xml:space="preserve"> de </w:t>
      </w:r>
      <w:r w:rsidR="009D4359" w:rsidRPr="00F90300">
        <w:rPr>
          <w:rFonts w:ascii="Bookman Old Style" w:hAnsi="Bookman Old Style" w:cs="Arial"/>
          <w:szCs w:val="22"/>
        </w:rPr>
        <w:t>marzo</w:t>
      </w:r>
      <w:r w:rsidR="00955D73" w:rsidRPr="00F90300">
        <w:rPr>
          <w:rFonts w:ascii="Bookman Old Style" w:hAnsi="Bookman Old Style" w:cs="Arial"/>
          <w:szCs w:val="22"/>
        </w:rPr>
        <w:t xml:space="preserve"> </w:t>
      </w:r>
      <w:r w:rsidRPr="00F90300">
        <w:rPr>
          <w:rFonts w:ascii="Bookman Old Style" w:hAnsi="Bookman Old Style" w:cs="Arial"/>
          <w:szCs w:val="22"/>
        </w:rPr>
        <w:t>de 201</w:t>
      </w:r>
      <w:r w:rsidR="009D4359" w:rsidRPr="00F90300">
        <w:rPr>
          <w:rFonts w:ascii="Bookman Old Style" w:hAnsi="Bookman Old Style" w:cs="Arial"/>
          <w:szCs w:val="22"/>
        </w:rPr>
        <w:t>9</w:t>
      </w:r>
      <w:r w:rsidRPr="00694C22">
        <w:rPr>
          <w:rFonts w:ascii="Bookman Old Style" w:hAnsi="Bookman Old Style" w:cs="Arial"/>
          <w:szCs w:val="22"/>
        </w:rPr>
        <w:t xml:space="preserve"> se publicó el </w:t>
      </w:r>
      <w:r w:rsidRPr="00F90300">
        <w:rPr>
          <w:rFonts w:ascii="Bookman Old Style" w:hAnsi="Bookman Old Style" w:cs="Arial"/>
          <w:szCs w:val="22"/>
        </w:rPr>
        <w:t xml:space="preserve">Aviso No. </w:t>
      </w:r>
      <w:r w:rsidR="00424877" w:rsidRPr="00F90300">
        <w:rPr>
          <w:rFonts w:ascii="Bookman Old Style" w:hAnsi="Bookman Old Style" w:cs="Arial"/>
          <w:szCs w:val="22"/>
        </w:rPr>
        <w:t>0</w:t>
      </w:r>
      <w:r w:rsidR="006F7B2D" w:rsidRPr="00F90300">
        <w:rPr>
          <w:rFonts w:ascii="Bookman Old Style" w:hAnsi="Bookman Old Style" w:cs="Arial"/>
          <w:szCs w:val="22"/>
        </w:rPr>
        <w:t>07</w:t>
      </w:r>
      <w:r w:rsidR="00D24B72" w:rsidRPr="00F90300">
        <w:rPr>
          <w:rFonts w:ascii="Bookman Old Style" w:hAnsi="Bookman Old Style" w:cs="Arial"/>
          <w:szCs w:val="22"/>
        </w:rPr>
        <w:t xml:space="preserve"> </w:t>
      </w:r>
      <w:r w:rsidRPr="00F90300">
        <w:rPr>
          <w:rFonts w:ascii="Bookman Old Style" w:hAnsi="Bookman Old Style" w:cs="Arial"/>
          <w:szCs w:val="22"/>
        </w:rPr>
        <w:t>de 201</w:t>
      </w:r>
      <w:r w:rsidR="009D4359" w:rsidRPr="00F90300">
        <w:rPr>
          <w:rFonts w:ascii="Bookman Old Style" w:hAnsi="Bookman Old Style" w:cs="Arial"/>
          <w:szCs w:val="22"/>
        </w:rPr>
        <w:t>9</w:t>
      </w:r>
      <w:r w:rsidRPr="00694C22">
        <w:rPr>
          <w:rFonts w:ascii="Bookman Old Style" w:hAnsi="Bookman Old Style" w:cs="Arial"/>
          <w:szCs w:val="22"/>
        </w:rPr>
        <w:t xml:space="preserve"> </w:t>
      </w:r>
      <w:r w:rsidR="00B16C42" w:rsidRPr="00694C22">
        <w:rPr>
          <w:rFonts w:ascii="Bookman Old Style" w:hAnsi="Bookman Old Style" w:cs="Arial"/>
          <w:szCs w:val="22"/>
        </w:rPr>
        <w:t>que contiene un</w:t>
      </w:r>
      <w:r w:rsidRPr="00694C22">
        <w:rPr>
          <w:rFonts w:ascii="Bookman Old Style" w:hAnsi="Bookman Old Style" w:cs="Arial"/>
          <w:szCs w:val="22"/>
        </w:rPr>
        <w:t xml:space="preserve"> extracto de la actuación administrativa </w:t>
      </w:r>
      <w:r w:rsidR="00B16C42" w:rsidRPr="00694C22">
        <w:rPr>
          <w:rFonts w:ascii="Bookman Old Style" w:hAnsi="Bookman Old Style" w:cs="Arial"/>
          <w:szCs w:val="22"/>
        </w:rPr>
        <w:t>iniciada</w:t>
      </w:r>
      <w:r w:rsidRPr="00694C22">
        <w:rPr>
          <w:rFonts w:ascii="Bookman Old Style" w:hAnsi="Bookman Old Style" w:cs="Arial"/>
          <w:szCs w:val="22"/>
        </w:rPr>
        <w:t xml:space="preserve"> con la solicitud presentada por </w:t>
      </w:r>
      <w:r w:rsidR="003E4288" w:rsidRPr="00694C22">
        <w:rPr>
          <w:rFonts w:ascii="Bookman Old Style" w:hAnsi="Bookman Old Style" w:cs="Arial"/>
        </w:rPr>
        <w:t>LOGIGAS</w:t>
      </w:r>
      <w:r w:rsidR="003551EA" w:rsidRPr="00694C22">
        <w:rPr>
          <w:rFonts w:ascii="Bookman Old Style" w:hAnsi="Bookman Old Style" w:cs="Arial"/>
        </w:rPr>
        <w:t xml:space="preserve"> S.A.S.</w:t>
      </w:r>
      <w:r w:rsidR="001F4AC3" w:rsidRPr="00694C22">
        <w:rPr>
          <w:rFonts w:ascii="Bookman Old Style" w:hAnsi="Bookman Old Style" w:cs="Arial"/>
        </w:rPr>
        <w:t xml:space="preserve"> E.S.P. </w:t>
      </w:r>
      <w:r w:rsidRPr="00694C22">
        <w:rPr>
          <w:rFonts w:ascii="Bookman Old Style" w:hAnsi="Bookman Old Style" w:cs="Arial"/>
        </w:rPr>
        <w:t xml:space="preserve">para la aprobación de cargos de </w:t>
      </w:r>
      <w:r w:rsidRPr="00694C22">
        <w:rPr>
          <w:rFonts w:ascii="Bookman Old Style" w:hAnsi="Bookman Old Style" w:cs="Arial"/>
          <w:szCs w:val="22"/>
        </w:rPr>
        <w:t xml:space="preserve">distribución de </w:t>
      </w:r>
      <w:r w:rsidR="00424877" w:rsidRPr="00F90300">
        <w:rPr>
          <w:rFonts w:ascii="Bookman Old Style" w:hAnsi="Bookman Old Style" w:cs="Arial"/>
          <w:szCs w:val="22"/>
        </w:rPr>
        <w:t>GLP</w:t>
      </w:r>
      <w:r w:rsidRPr="00694C22">
        <w:rPr>
          <w:rFonts w:ascii="Bookman Old Style" w:hAnsi="Bookman Old Style" w:cs="Arial"/>
          <w:szCs w:val="22"/>
        </w:rPr>
        <w:t xml:space="preserve"> por redes de tubería.</w:t>
      </w:r>
      <w:r w:rsidR="00F95F5B" w:rsidRPr="00694C22">
        <w:rPr>
          <w:rFonts w:ascii="Bookman Old Style" w:hAnsi="Bookman Old Style" w:cs="Arial"/>
          <w:szCs w:val="22"/>
        </w:rPr>
        <w:t xml:space="preserve"> </w:t>
      </w:r>
      <w:r w:rsidRPr="00694C22">
        <w:rPr>
          <w:rFonts w:ascii="Bookman Old Style" w:hAnsi="Bookman Old Style" w:cs="Arial"/>
          <w:szCs w:val="22"/>
        </w:rPr>
        <w:t>Lo anterior, a fin de que los terceros interesados pudiesen hacerse</w:t>
      </w:r>
      <w:r w:rsidRPr="00341E8F">
        <w:rPr>
          <w:rFonts w:ascii="Bookman Old Style" w:hAnsi="Bookman Old Style" w:cs="Arial"/>
          <w:szCs w:val="22"/>
        </w:rPr>
        <w:t xml:space="preserve"> parte en la respectiva actua</w:t>
      </w:r>
      <w:r w:rsidR="0083655D">
        <w:rPr>
          <w:rFonts w:ascii="Bookman Old Style" w:hAnsi="Bookman Old Style" w:cs="Arial"/>
          <w:szCs w:val="22"/>
        </w:rPr>
        <w:t>ción.</w:t>
      </w:r>
    </w:p>
    <w:p w:rsidR="001A6592" w:rsidRDefault="00BA06E2" w:rsidP="0083655D">
      <w:pPr>
        <w:adjustRightInd w:val="0"/>
        <w:spacing w:before="240" w:after="240"/>
        <w:ind w:left="0" w:right="20"/>
        <w:jc w:val="both"/>
        <w:rPr>
          <w:rFonts w:ascii="Bookman Old Style" w:hAnsi="Bookman Old Style" w:cs="Arial"/>
          <w:szCs w:val="22"/>
        </w:rPr>
      </w:pPr>
      <w:r w:rsidRPr="00BA06E2">
        <w:rPr>
          <w:rFonts w:ascii="Bookman Old Style" w:hAnsi="Bookman Old Style" w:cs="Arial"/>
          <w:szCs w:val="22"/>
        </w:rPr>
        <w:t>Por medio del radicado CREG E-2019-003120, la empresa MADIGAS INGENIEROS S.A E.S.P. interpone recurso de reposición c</w:t>
      </w:r>
      <w:r w:rsidR="001A6592">
        <w:rPr>
          <w:rFonts w:ascii="Bookman Old Style" w:hAnsi="Bookman Old Style" w:cs="Arial"/>
          <w:szCs w:val="22"/>
        </w:rPr>
        <w:t>ontra el auto del 27 de febrero, donde, la</w:t>
      </w:r>
      <w:r w:rsidR="003B489D">
        <w:rPr>
          <w:rFonts w:ascii="Bookman Old Style" w:hAnsi="Bookman Old Style" w:cs="Arial"/>
          <w:szCs w:val="22"/>
        </w:rPr>
        <w:t>s</w:t>
      </w:r>
      <w:r w:rsidR="001A6592">
        <w:rPr>
          <w:rFonts w:ascii="Bookman Old Style" w:hAnsi="Bookman Old Style" w:cs="Arial"/>
          <w:szCs w:val="22"/>
        </w:rPr>
        <w:t xml:space="preserve"> petici</w:t>
      </w:r>
      <w:r w:rsidR="003B489D">
        <w:rPr>
          <w:rFonts w:ascii="Bookman Old Style" w:hAnsi="Bookman Old Style" w:cs="Arial"/>
          <w:szCs w:val="22"/>
        </w:rPr>
        <w:t>ones</w:t>
      </w:r>
      <w:r w:rsidR="001A6592">
        <w:rPr>
          <w:rFonts w:ascii="Bookman Old Style" w:hAnsi="Bookman Old Style" w:cs="Arial"/>
          <w:szCs w:val="22"/>
        </w:rPr>
        <w:t xml:space="preserve"> del recurrente </w:t>
      </w:r>
      <w:r w:rsidR="003B489D">
        <w:rPr>
          <w:rFonts w:ascii="Bookman Old Style" w:hAnsi="Bookman Old Style" w:cs="Arial"/>
          <w:szCs w:val="22"/>
        </w:rPr>
        <w:t>son: i)</w:t>
      </w:r>
      <w:r w:rsidR="001A6592">
        <w:rPr>
          <w:rFonts w:ascii="Bookman Old Style" w:hAnsi="Bookman Old Style" w:cs="Arial"/>
          <w:szCs w:val="22"/>
        </w:rPr>
        <w:t xml:space="preserve"> r</w:t>
      </w:r>
      <w:r w:rsidR="001A6592" w:rsidRPr="001A6592">
        <w:rPr>
          <w:rFonts w:ascii="Bookman Old Style" w:hAnsi="Bookman Old Style" w:cs="Arial"/>
          <w:szCs w:val="22"/>
        </w:rPr>
        <w:t xml:space="preserve">evocar el auto por medio del cual se ordena la formación del expediente administrativo con el objeto de decidir sobre la solicitud de aprobación de cargos de distribución y comercialización de cargos por redes de tubería presentada por LOGIGAS COLOMBIA S.A. E.S.P., de acuerdo con las Resoluciones CREG 202 de 2013 y 011 de 2003, para el mercado relevante conformado por los centros poblados de Casa Blanca, El </w:t>
      </w:r>
      <w:r w:rsidR="003B489D">
        <w:rPr>
          <w:rFonts w:ascii="Bookman Old Style" w:hAnsi="Bookman Old Style" w:cs="Arial"/>
          <w:szCs w:val="22"/>
        </w:rPr>
        <w:t>Toro, Pueblo Nuevo y La Represa, ii) a</w:t>
      </w:r>
      <w:r w:rsidR="003B489D" w:rsidRPr="003B489D">
        <w:rPr>
          <w:rFonts w:ascii="Bookman Old Style" w:hAnsi="Bookman Old Style" w:cs="Arial"/>
          <w:szCs w:val="22"/>
        </w:rPr>
        <w:t>rchivar la solicitud de LOGIGAS COLOMBIA S.A E.S.P. por medio del radicado CREG E-201</w:t>
      </w:r>
      <w:r w:rsidR="003B489D">
        <w:rPr>
          <w:rFonts w:ascii="Bookman Old Style" w:hAnsi="Bookman Old Style" w:cs="Arial"/>
          <w:szCs w:val="22"/>
        </w:rPr>
        <w:t>8-002014, y iii) t</w:t>
      </w:r>
      <w:r w:rsidR="003B489D" w:rsidRPr="003B489D">
        <w:rPr>
          <w:rFonts w:ascii="Bookman Old Style" w:hAnsi="Bookman Old Style" w:cs="Arial"/>
          <w:szCs w:val="22"/>
        </w:rPr>
        <w:t>ener como parte dentro de la actuación administrativa a MADIGAS INGENIEROS S.A E.S.P.</w:t>
      </w:r>
    </w:p>
    <w:p w:rsidR="004E34CF" w:rsidRDefault="004E34CF" w:rsidP="00A33999">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A través del auto </w:t>
      </w:r>
      <w:r w:rsidRPr="00694C22">
        <w:rPr>
          <w:rFonts w:ascii="Bookman Old Style" w:hAnsi="Bookman Old Style" w:cs="Arial"/>
          <w:szCs w:val="22"/>
        </w:rPr>
        <w:t xml:space="preserve">del </w:t>
      </w:r>
      <w:r w:rsidR="006F7B2D" w:rsidRPr="00F90300">
        <w:rPr>
          <w:rFonts w:ascii="Bookman Old Style" w:hAnsi="Bookman Old Style" w:cs="Arial"/>
          <w:szCs w:val="22"/>
        </w:rPr>
        <w:t>25</w:t>
      </w:r>
      <w:r w:rsidRPr="00F90300">
        <w:rPr>
          <w:rFonts w:ascii="Bookman Old Style" w:hAnsi="Bookman Old Style" w:cs="Arial"/>
          <w:szCs w:val="22"/>
        </w:rPr>
        <w:t xml:space="preserve"> de </w:t>
      </w:r>
      <w:r w:rsidR="006F7B2D" w:rsidRPr="00F90300">
        <w:rPr>
          <w:rFonts w:ascii="Bookman Old Style" w:hAnsi="Bookman Old Style" w:cs="Arial"/>
          <w:szCs w:val="22"/>
        </w:rPr>
        <w:t>abril</w:t>
      </w:r>
      <w:r w:rsidRPr="00694C22">
        <w:rPr>
          <w:rFonts w:ascii="Bookman Old Style" w:hAnsi="Bookman Old Style" w:cs="Arial"/>
          <w:szCs w:val="22"/>
        </w:rPr>
        <w:t xml:space="preserve"> </w:t>
      </w:r>
      <w:r w:rsidR="00A33999" w:rsidRPr="00694C22">
        <w:rPr>
          <w:rFonts w:ascii="Bookman Old Style" w:hAnsi="Bookman Old Style" w:cs="Arial"/>
          <w:szCs w:val="22"/>
        </w:rPr>
        <w:t>la Comisión da respuesta al recurso de reposición interpuesto por la empresa</w:t>
      </w:r>
      <w:r w:rsidR="00A33999">
        <w:rPr>
          <w:rFonts w:ascii="Bookman Old Style" w:hAnsi="Bookman Old Style" w:cs="Arial"/>
          <w:szCs w:val="22"/>
        </w:rPr>
        <w:t xml:space="preserve"> </w:t>
      </w:r>
      <w:r w:rsidR="00A33999" w:rsidRPr="00BA06E2">
        <w:rPr>
          <w:rFonts w:ascii="Bookman Old Style" w:hAnsi="Bookman Old Style" w:cs="Arial"/>
          <w:szCs w:val="22"/>
        </w:rPr>
        <w:t>MADIGAS INGENIEROS S.A E.S.P.</w:t>
      </w:r>
      <w:r w:rsidR="00A33999">
        <w:rPr>
          <w:rFonts w:ascii="Bookman Old Style" w:hAnsi="Bookman Old Style" w:cs="Arial"/>
          <w:szCs w:val="22"/>
        </w:rPr>
        <w:t>, donde en sus análisis da respuesta a los argumentos expuestos por el recurrente y resuelve: i) co</w:t>
      </w:r>
      <w:r w:rsidR="00A33999" w:rsidRPr="00A33999">
        <w:rPr>
          <w:rFonts w:ascii="Bookman Old Style" w:hAnsi="Bookman Old Style" w:cs="Arial"/>
          <w:szCs w:val="22"/>
        </w:rPr>
        <w:t xml:space="preserve">nfirmar en su integridad el auto de fecha 27 de febrero de 2019 que ordena la formación del respectivo expediente administrativo con el objeto de decidir sobre la solicitud de aprobación de cargos de distribución y comercialización de GPL por redes de tubería presentada por la empresa LOGIGAS COLOMBIA S.A. E.S.P., de acuerdo con las metodologías definidas en </w:t>
      </w:r>
      <w:r w:rsidR="00A33999" w:rsidRPr="00A33999">
        <w:rPr>
          <w:rFonts w:ascii="Bookman Old Style" w:hAnsi="Bookman Old Style" w:cs="Arial"/>
          <w:szCs w:val="22"/>
        </w:rPr>
        <w:lastRenderedPageBreak/>
        <w:t>la Resolución CREG 202 de 2013 y la Resolución CREG 011 de 2003, para el mercado relevante de distribución especial conformado por los centros poblados de Casa Blanca, El Toro, Pueblo Nuevo y La Represa ubicados en el municipio de Castilla la Nu</w:t>
      </w:r>
      <w:r w:rsidR="00A33999">
        <w:rPr>
          <w:rFonts w:ascii="Bookman Old Style" w:hAnsi="Bookman Old Style" w:cs="Arial"/>
          <w:szCs w:val="22"/>
        </w:rPr>
        <w:t>eva en el departamento del Meta, y ii) c</w:t>
      </w:r>
      <w:r w:rsidR="00A33999" w:rsidRPr="00A33999">
        <w:rPr>
          <w:rFonts w:ascii="Bookman Old Style" w:hAnsi="Bookman Old Style" w:cs="Arial"/>
          <w:szCs w:val="22"/>
        </w:rPr>
        <w:t>ontinuar con el curso de la actuación administrativa con radicado CREG E-20</w:t>
      </w:r>
      <w:r w:rsidR="004E0656">
        <w:rPr>
          <w:rFonts w:ascii="Bookman Old Style" w:hAnsi="Bookman Old Style" w:cs="Arial"/>
          <w:szCs w:val="22"/>
        </w:rPr>
        <w:t>18-002014, expediente 2019-0035.</w:t>
      </w:r>
    </w:p>
    <w:p w:rsidR="004E0656" w:rsidRPr="004E0656" w:rsidRDefault="004E0656" w:rsidP="004E0656">
      <w:pPr>
        <w:adjustRightInd w:val="0"/>
        <w:spacing w:before="240" w:after="240"/>
        <w:ind w:left="0" w:right="20"/>
        <w:jc w:val="both"/>
        <w:rPr>
          <w:rFonts w:ascii="Bookman Old Style" w:hAnsi="Bookman Old Style" w:cs="Arial"/>
          <w:szCs w:val="22"/>
        </w:rPr>
      </w:pPr>
      <w:r>
        <w:rPr>
          <w:rFonts w:ascii="Bookman Old Style" w:hAnsi="Bookman Old Style" w:cs="Arial"/>
          <w:szCs w:val="22"/>
        </w:rPr>
        <w:t>Ahora, l</w:t>
      </w:r>
      <w:r w:rsidRPr="004E0656">
        <w:rPr>
          <w:rFonts w:ascii="Bookman Old Style" w:hAnsi="Bookman Old Style" w:cs="Arial"/>
          <w:szCs w:val="22"/>
        </w:rPr>
        <w:t>a empresa MADIGAS S.A. E.S.P. en el c</w:t>
      </w:r>
      <w:r>
        <w:rPr>
          <w:rFonts w:ascii="Bookman Old Style" w:hAnsi="Bookman Old Style" w:cs="Arial"/>
          <w:szCs w:val="22"/>
        </w:rPr>
        <w:t>apítulo pretensiones señala “</w:t>
      </w:r>
      <w:r w:rsidRPr="004E0656">
        <w:rPr>
          <w:rFonts w:ascii="Bookman Old Style" w:hAnsi="Bookman Old Style" w:cs="Arial"/>
          <w:szCs w:val="22"/>
        </w:rPr>
        <w:t>Tener como parte dentro de la actuación administrativa a MADIGAS INGENIEROS S.A. E.S.P.”.</w:t>
      </w:r>
    </w:p>
    <w:p w:rsidR="004E0656" w:rsidRPr="004E0656" w:rsidRDefault="004E0656" w:rsidP="004E0656">
      <w:pPr>
        <w:adjustRightInd w:val="0"/>
        <w:spacing w:before="240" w:after="240"/>
        <w:ind w:left="0" w:right="20"/>
        <w:jc w:val="both"/>
        <w:rPr>
          <w:rFonts w:ascii="Bookman Old Style" w:hAnsi="Bookman Old Style" w:cs="Arial"/>
          <w:szCs w:val="22"/>
        </w:rPr>
      </w:pPr>
      <w:r>
        <w:rPr>
          <w:rFonts w:ascii="Bookman Old Style" w:hAnsi="Bookman Old Style" w:cs="Arial"/>
          <w:szCs w:val="22"/>
        </w:rPr>
        <w:t>Al respecto, se entiende que la</w:t>
      </w:r>
      <w:r w:rsidRPr="004E0656">
        <w:rPr>
          <w:rFonts w:ascii="Bookman Old Style" w:hAnsi="Bookman Old Style" w:cs="Arial"/>
          <w:szCs w:val="22"/>
        </w:rPr>
        <w:t xml:space="preserve"> solicitud hace referencia a la figura establecida en el artículo 38 del Código de Procedimiento Administrativo y de lo Contencioso Administrativo que dispone:</w:t>
      </w:r>
    </w:p>
    <w:p w:rsidR="004E0656" w:rsidRPr="004E0656" w:rsidRDefault="004E0656" w:rsidP="004E0656">
      <w:pPr>
        <w:adjustRightInd w:val="0"/>
        <w:spacing w:before="240" w:after="240"/>
        <w:ind w:left="284" w:right="284"/>
        <w:jc w:val="both"/>
        <w:rPr>
          <w:rFonts w:ascii="Bookman Old Style" w:hAnsi="Bookman Old Style" w:cs="Arial"/>
          <w:i/>
          <w:szCs w:val="22"/>
        </w:rPr>
      </w:pPr>
      <w:r w:rsidRPr="004E0656">
        <w:rPr>
          <w:rFonts w:ascii="Bookman Old Style" w:hAnsi="Bookman Old Style" w:cs="Arial"/>
          <w:i/>
          <w:szCs w:val="22"/>
        </w:rPr>
        <w:t>“Artículo 38. Intervención de terceros. Los terceros podrán intervenir en las actuaciones administrativas con los mismos derechos, deberes y responsabilidades de quienes son parte interesada, en los siguientes casos:</w:t>
      </w:r>
    </w:p>
    <w:p w:rsidR="004E0656" w:rsidRPr="004E0656" w:rsidRDefault="004E0656" w:rsidP="004E0656">
      <w:pPr>
        <w:adjustRightInd w:val="0"/>
        <w:spacing w:before="240" w:after="240"/>
        <w:ind w:left="284" w:right="284"/>
        <w:jc w:val="both"/>
        <w:rPr>
          <w:rFonts w:ascii="Bookman Old Style" w:hAnsi="Bookman Old Style" w:cs="Arial"/>
          <w:i/>
          <w:szCs w:val="22"/>
        </w:rPr>
      </w:pPr>
      <w:r w:rsidRPr="004E0656">
        <w:rPr>
          <w:rFonts w:ascii="Bookman Old Style" w:hAnsi="Bookman Old Style" w:cs="Arial"/>
          <w:i/>
          <w:szCs w:val="22"/>
        </w:rPr>
        <w:t>1. Cuando hayan promovido la actuación administrativa sancionatoria en calidad de denunciantes, resulten afectados con la conducta por la cual se adelanta la investigación, o estén en capacidad de aportar pruebas que contribuyan a dilucidar los hechos materia de la misma.</w:t>
      </w:r>
    </w:p>
    <w:p w:rsidR="004E0656" w:rsidRPr="004E0656" w:rsidRDefault="004E0656" w:rsidP="004E0656">
      <w:pPr>
        <w:adjustRightInd w:val="0"/>
        <w:spacing w:before="240" w:after="240"/>
        <w:ind w:left="284" w:right="284"/>
        <w:jc w:val="both"/>
        <w:rPr>
          <w:rFonts w:ascii="Bookman Old Style" w:hAnsi="Bookman Old Style" w:cs="Arial"/>
          <w:i/>
          <w:szCs w:val="22"/>
        </w:rPr>
      </w:pPr>
      <w:r w:rsidRPr="004E0656">
        <w:rPr>
          <w:rFonts w:ascii="Bookman Old Style" w:hAnsi="Bookman Old Style" w:cs="Arial"/>
          <w:i/>
          <w:szCs w:val="22"/>
        </w:rPr>
        <w:t>2. Cuando sus derechos o su situación jurídica puedan resultar afectados con la actuación administrativa adelantada en interés particular, o cuando la decisión que sobre ella recaiga pueda ocasionarles perjuicios.</w:t>
      </w:r>
    </w:p>
    <w:p w:rsidR="004E0656" w:rsidRPr="004E0656" w:rsidRDefault="004E0656" w:rsidP="004E0656">
      <w:pPr>
        <w:adjustRightInd w:val="0"/>
        <w:spacing w:before="240" w:after="240"/>
        <w:ind w:left="284" w:right="284"/>
        <w:jc w:val="both"/>
        <w:rPr>
          <w:rFonts w:ascii="Bookman Old Style" w:hAnsi="Bookman Old Style" w:cs="Arial"/>
          <w:i/>
          <w:szCs w:val="22"/>
        </w:rPr>
      </w:pPr>
      <w:r w:rsidRPr="004E0656">
        <w:rPr>
          <w:rFonts w:ascii="Bookman Old Style" w:hAnsi="Bookman Old Style" w:cs="Arial"/>
          <w:i/>
          <w:szCs w:val="22"/>
        </w:rPr>
        <w:t>3. Cuando la actuación haya sido iniciada en interés general.</w:t>
      </w:r>
    </w:p>
    <w:p w:rsidR="004E0656" w:rsidRPr="004E0656" w:rsidRDefault="004E0656" w:rsidP="004E0656">
      <w:pPr>
        <w:adjustRightInd w:val="0"/>
        <w:spacing w:before="240" w:after="240"/>
        <w:ind w:left="284" w:right="284"/>
        <w:jc w:val="both"/>
        <w:rPr>
          <w:rFonts w:ascii="Bookman Old Style" w:hAnsi="Bookman Old Style" w:cs="Arial"/>
          <w:i/>
          <w:szCs w:val="22"/>
        </w:rPr>
      </w:pPr>
      <w:r w:rsidRPr="004E0656">
        <w:rPr>
          <w:rFonts w:ascii="Bookman Old Style" w:hAnsi="Bookman Old Style" w:cs="Arial"/>
          <w:i/>
          <w:szCs w:val="22"/>
        </w:rPr>
        <w:t>Parágrafo. La petición deberá reunir los requisitos previstos en el artículo 16 y en ella se indicará cuál es el interés de participar en la actuación y se allegarán o solicitarán las pruebas que el interesado pretenda hacer valer. La autoridad que la tramita la resolverá de plano y contra esta decisión no procederá recurso alguno.” (Subrayas fuera del texto)</w:t>
      </w:r>
    </w:p>
    <w:p w:rsidR="004E0656" w:rsidRPr="00A33999" w:rsidRDefault="004E0656" w:rsidP="004E0656">
      <w:pPr>
        <w:adjustRightInd w:val="0"/>
        <w:spacing w:before="240" w:after="240"/>
        <w:ind w:left="0" w:right="20"/>
        <w:jc w:val="both"/>
        <w:rPr>
          <w:rFonts w:ascii="Bookman Old Style" w:hAnsi="Bookman Old Style" w:cs="Arial"/>
          <w:szCs w:val="22"/>
        </w:rPr>
      </w:pPr>
      <w:r w:rsidRPr="004E0656">
        <w:rPr>
          <w:rFonts w:ascii="Bookman Old Style" w:hAnsi="Bookman Old Style" w:cs="Arial"/>
          <w:szCs w:val="22"/>
        </w:rPr>
        <w:t>De manera que, para poder tramitar la solicitud en el marco del artículo 38, es necesario se presente en los términos exigidos en el Código. En particular, se detalle cual es el interés de participar en la actuación administrativa.</w:t>
      </w:r>
    </w:p>
    <w:p w:rsidR="003A46CB" w:rsidRDefault="008B41D7" w:rsidP="009353D2">
      <w:pPr>
        <w:adjustRightInd w:val="0"/>
        <w:ind w:left="0" w:right="20"/>
        <w:jc w:val="both"/>
        <w:rPr>
          <w:rFonts w:ascii="Bookman Old Style" w:hAnsi="Bookman Old Style" w:cs="Arial"/>
        </w:rPr>
      </w:pPr>
      <w:r>
        <w:rPr>
          <w:rFonts w:ascii="Bookman Old Style" w:hAnsi="Bookman Old Style" w:cs="Arial"/>
        </w:rPr>
        <w:t>Por otro lado, e</w:t>
      </w:r>
      <w:r w:rsidR="003A46CB">
        <w:rPr>
          <w:rFonts w:ascii="Bookman Old Style" w:hAnsi="Bookman Old Style" w:cs="Arial"/>
        </w:rPr>
        <w:t>l numeral 9.3 del artículo 9 de la Resolución CREG 202 de 2013 establece lo siguiente:</w:t>
      </w:r>
    </w:p>
    <w:p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lastRenderedPageBreak/>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3E4288">
        <w:rPr>
          <w:rFonts w:ascii="Bookman Old Style" w:hAnsi="Bookman Old Style" w:cs="Arial"/>
        </w:rPr>
        <w:t>LOGIGAS</w:t>
      </w:r>
      <w:r w:rsidR="003551EA">
        <w:rPr>
          <w:rFonts w:ascii="Bookman Old Style" w:hAnsi="Bookman Old Style" w:cs="Arial"/>
        </w:rPr>
        <w:t xml:space="preserve"> S.A.S.</w:t>
      </w:r>
      <w:r w:rsidR="00A44586" w:rsidRPr="009575C5">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3E4288">
        <w:rPr>
          <w:rFonts w:ascii="Bookman Old Style" w:hAnsi="Bookman Old Style" w:cs="Arial"/>
        </w:rPr>
        <w:t>LOGIGAS</w:t>
      </w:r>
      <w:r w:rsidR="003551EA">
        <w:rPr>
          <w:rFonts w:ascii="Bookman Old Style" w:hAnsi="Bookman Old Style" w:cs="Arial"/>
        </w:rPr>
        <w:t xml:space="preserve"> S.A.S.</w:t>
      </w:r>
      <w:r w:rsidR="00A44586" w:rsidRPr="009575C5">
        <w:rPr>
          <w:rFonts w:ascii="Bookman Old Style" w:hAnsi="Bookman Old Style" w:cs="Arial"/>
        </w:rPr>
        <w:t xml:space="preserve">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w:t>
      </w:r>
      <w:r w:rsidRPr="00F90300">
        <w:rPr>
          <w:rFonts w:ascii="Bookman Old Style" w:hAnsi="Bookman Old Style" w:cs="Arial"/>
        </w:rPr>
        <w:t>CREG</w:t>
      </w:r>
      <w:r w:rsidR="00445DD5" w:rsidRPr="00F90300">
        <w:rPr>
          <w:rFonts w:ascii="Bookman Old Style" w:hAnsi="Bookman Old Style" w:cs="Arial"/>
        </w:rPr>
        <w:t xml:space="preserve"> </w:t>
      </w:r>
      <w:r w:rsidR="00A44586" w:rsidRPr="00F90300">
        <w:rPr>
          <w:rFonts w:ascii="Bookman Old Style" w:hAnsi="Bookman Old Style" w:cs="Arial"/>
        </w:rPr>
        <w:t>E-2018-</w:t>
      </w:r>
      <w:r w:rsidR="009D4359" w:rsidRPr="00F90300">
        <w:rPr>
          <w:rFonts w:ascii="Bookman Old Style" w:hAnsi="Bookman Old Style" w:cs="Arial"/>
        </w:rPr>
        <w:t>002014</w:t>
      </w:r>
      <w:r w:rsidR="00A44586" w:rsidRPr="00F90300">
        <w:rPr>
          <w:rFonts w:ascii="Bookman Old Style" w:hAnsi="Bookman Old Style" w:cs="Arial"/>
        </w:rPr>
        <w:t xml:space="preserve">, </w:t>
      </w:r>
      <w:r w:rsidR="006A7B2B" w:rsidRPr="00F90300">
        <w:rPr>
          <w:rFonts w:ascii="Bookman Old Style" w:hAnsi="Bookman Old Style" w:cs="Arial"/>
        </w:rPr>
        <w:t>E-2018</w:t>
      </w:r>
      <w:r w:rsidR="00A44586" w:rsidRPr="00F90300">
        <w:rPr>
          <w:rFonts w:ascii="Bookman Old Style" w:hAnsi="Bookman Old Style" w:cs="Arial"/>
        </w:rPr>
        <w:t>-0</w:t>
      </w:r>
      <w:r w:rsidR="009F40BC" w:rsidRPr="00F90300">
        <w:rPr>
          <w:rFonts w:ascii="Bookman Old Style" w:hAnsi="Bookman Old Style" w:cs="Arial"/>
        </w:rPr>
        <w:t>0</w:t>
      </w:r>
      <w:r w:rsidR="009D4359" w:rsidRPr="00F90300">
        <w:rPr>
          <w:rFonts w:ascii="Bookman Old Style" w:hAnsi="Bookman Old Style" w:cs="Arial"/>
        </w:rPr>
        <w:t>2300</w:t>
      </w:r>
      <w:r w:rsidR="00827978" w:rsidRPr="00694C22">
        <w:rPr>
          <w:rFonts w:ascii="Bookman Old Style" w:hAnsi="Bookman Old Style" w:cs="Arial"/>
        </w:rPr>
        <w:t>,</w:t>
      </w:r>
      <w:r w:rsidR="00A44586" w:rsidRPr="00694C22">
        <w:rPr>
          <w:rFonts w:ascii="Bookman Old Style" w:hAnsi="Bookman Old Style" w:cs="Arial"/>
        </w:rPr>
        <w:t xml:space="preserve"> </w:t>
      </w:r>
      <w:r w:rsidRPr="00694C22">
        <w:rPr>
          <w:rFonts w:ascii="Bookman Old Style" w:hAnsi="Bookman Old Style" w:cs="Arial"/>
        </w:rPr>
        <w:t xml:space="preserve">se realizaron los </w:t>
      </w:r>
      <w:r w:rsidR="006A7B2B" w:rsidRPr="00694C22">
        <w:rPr>
          <w:rFonts w:ascii="Bookman Old Style" w:hAnsi="Bookman Old Style" w:cs="Arial"/>
        </w:rPr>
        <w:t>análisis</w:t>
      </w:r>
      <w:r w:rsidRPr="00694C22">
        <w:rPr>
          <w:rFonts w:ascii="Bookman Old Style" w:hAnsi="Bookman Old Style" w:cs="Arial"/>
        </w:rPr>
        <w:t xml:space="preserve"> </w:t>
      </w:r>
      <w:r w:rsidR="006A7B2B" w:rsidRPr="00694C22">
        <w:rPr>
          <w:rFonts w:ascii="Bookman Old Style" w:hAnsi="Bookman Old Style" w:cs="Arial"/>
        </w:rPr>
        <w:t>de</w:t>
      </w:r>
      <w:r w:rsidRPr="00694C22">
        <w:rPr>
          <w:rFonts w:ascii="Bookman Old Style" w:hAnsi="Bookman Old Style" w:cs="Arial"/>
        </w:rPr>
        <w:t xml:space="preserve"> la información requerida para el cálculo del cargo de distribución que trata la </w:t>
      </w:r>
      <w:r w:rsidR="00AD47C2" w:rsidRPr="00694C22">
        <w:rPr>
          <w:rFonts w:ascii="Bookman Old Style" w:hAnsi="Bookman Old Style" w:cs="Arial"/>
        </w:rPr>
        <w:t>Resolución CREG</w:t>
      </w:r>
      <w:r w:rsidR="00AD47C2" w:rsidRPr="008C2AC6">
        <w:rPr>
          <w:rFonts w:ascii="Bookman Old Style" w:hAnsi="Bookman Old Style" w:cs="Arial"/>
        </w:rPr>
        <w:t xml:space="preserve"> 202 de 2013 y </w:t>
      </w:r>
      <w:r w:rsidR="00AD47C2">
        <w:rPr>
          <w:rFonts w:ascii="Bookman Old Style" w:hAnsi="Bookman Old Style" w:cs="Arial"/>
        </w:rPr>
        <w:t>aquellas que la modifiquen, adicionen y/o sustituyan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F90300">
        <w:rPr>
          <w:rFonts w:ascii="Bookman Old Style" w:hAnsi="Bookman Old Style" w:cs="Arial"/>
        </w:rPr>
        <w:t>039</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 soporte de la presente resolución.</w:t>
      </w:r>
    </w:p>
    <w:p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F90300">
        <w:rPr>
          <w:rFonts w:ascii="Bookman Old Style" w:hAnsi="Bookman Old Style" w:cs="Arial"/>
        </w:rPr>
        <w:t xml:space="preserve">Documento CREG </w:t>
      </w:r>
      <w:r w:rsidR="00F90300" w:rsidRPr="00F90300">
        <w:rPr>
          <w:rFonts w:ascii="Bookman Old Style" w:hAnsi="Bookman Old Style" w:cs="Arial"/>
        </w:rPr>
        <w:t>039</w:t>
      </w:r>
      <w:r w:rsidRPr="00F90300">
        <w:rPr>
          <w:rFonts w:ascii="Bookman Old Style" w:hAnsi="Bookman Old Style" w:cs="Arial"/>
        </w:rPr>
        <w:t xml:space="preserve"> de 2019.</w:t>
      </w:r>
    </w:p>
    <w:p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F90300">
        <w:rPr>
          <w:rFonts w:ascii="Bookman Old Style" w:hAnsi="Bookman Old Style" w:cs="Arial"/>
          <w:color w:val="000000"/>
          <w:spacing w:val="-3"/>
        </w:rPr>
        <w:t>927</w:t>
      </w:r>
      <w:r w:rsidRPr="001954E9">
        <w:rPr>
          <w:rFonts w:ascii="Bookman Old Style" w:hAnsi="Bookman Old Style" w:cs="Arial"/>
          <w:color w:val="000000"/>
          <w:spacing w:val="-3"/>
        </w:rPr>
        <w:t xml:space="preserve"> del </w:t>
      </w:r>
      <w:r w:rsidR="00F90300">
        <w:rPr>
          <w:rFonts w:ascii="Bookman Old Style" w:hAnsi="Bookman Old Style" w:cs="Arial"/>
          <w:color w:val="000000"/>
          <w:spacing w:val="-3"/>
        </w:rPr>
        <w:t>25</w:t>
      </w:r>
      <w:r w:rsidRPr="001954E9">
        <w:rPr>
          <w:rFonts w:ascii="Bookman Old Style" w:hAnsi="Bookman Old Style" w:cs="Arial"/>
          <w:color w:val="000000"/>
          <w:spacing w:val="-3"/>
        </w:rPr>
        <w:t xml:space="preserve"> </w:t>
      </w:r>
      <w:r w:rsidRPr="00F90300">
        <w:rPr>
          <w:rFonts w:ascii="Bookman Old Style" w:hAnsi="Bookman Old Style" w:cs="Arial"/>
          <w:color w:val="000000"/>
          <w:spacing w:val="-3"/>
        </w:rPr>
        <w:t xml:space="preserve">de </w:t>
      </w:r>
      <w:r w:rsidR="002739D4" w:rsidRPr="00F90300">
        <w:rPr>
          <w:rFonts w:ascii="Bookman Old Style" w:hAnsi="Bookman Old Style" w:cs="Arial"/>
          <w:color w:val="000000"/>
          <w:spacing w:val="-3"/>
        </w:rPr>
        <w:t>junio</w:t>
      </w:r>
      <w:r w:rsidRPr="001954E9">
        <w:rPr>
          <w:rFonts w:ascii="Bookman Old Style" w:hAnsi="Bookman Old Style" w:cs="Arial"/>
          <w:color w:val="000000"/>
          <w:spacing w:val="-3"/>
        </w:rPr>
        <w:t xml:space="preserve"> 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rsidR="00834B60" w:rsidRDefault="00273C2C" w:rsidP="009353D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w:t>
      </w:r>
      <w:r w:rsidR="00834B60" w:rsidRPr="00341E8F">
        <w:rPr>
          <w:rFonts w:ascii="Bookman Old Style" w:hAnsi="Bookman Old Style" w:cs="Arial"/>
        </w:rPr>
        <w:lastRenderedPageBreak/>
        <w:t xml:space="preserve">de 2013, el Mercado Relevante de Distribución para el Siguiente Periodo Tarifario </w:t>
      </w:r>
      <w:r w:rsidR="00834B60">
        <w:rPr>
          <w:rFonts w:ascii="Bookman Old Style" w:hAnsi="Bookman Old Style" w:cs="Arial"/>
        </w:rPr>
        <w:t xml:space="preserve">corresponde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5B5788">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5B5788">
        <w:rPr>
          <w:rFonts w:ascii="Bookman Old Style" w:hAnsi="Bookman Old Style" w:cs="Arial"/>
        </w:rPr>
        <w:t>s</w:t>
      </w:r>
      <w:r w:rsidR="009F40BC">
        <w:rPr>
          <w:rFonts w:ascii="Bookman Old Style" w:hAnsi="Bookman Old Style" w:cs="Arial"/>
        </w:rPr>
        <w:t xml:space="preserve"> corregimiento</w:t>
      </w:r>
      <w:r w:rsidR="005B5788">
        <w:rPr>
          <w:rFonts w:ascii="Bookman Old Style" w:hAnsi="Bookman Old Style" w:cs="Arial"/>
        </w:rPr>
        <w:t>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475"/>
        <w:gridCol w:w="1792"/>
        <w:gridCol w:w="2244"/>
      </w:tblGrid>
      <w:tr w:rsidR="005B5788" w:rsidRPr="00010337" w:rsidTr="00777497">
        <w:trPr>
          <w:tblHeader/>
          <w:jc w:val="center"/>
        </w:trPr>
        <w:tc>
          <w:tcPr>
            <w:tcW w:w="2100" w:type="dxa"/>
            <w:shd w:val="clear" w:color="auto" w:fill="D9D9D9" w:themeFill="background1" w:themeFillShade="D9"/>
            <w:vAlign w:val="center"/>
          </w:tcPr>
          <w:p w:rsidR="005B5788" w:rsidRPr="00010337" w:rsidRDefault="005B5788" w:rsidP="0077749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475" w:type="dxa"/>
            <w:shd w:val="clear" w:color="auto" w:fill="D9D9D9" w:themeFill="background1" w:themeFillShade="D9"/>
            <w:vAlign w:val="center"/>
          </w:tcPr>
          <w:p w:rsidR="005B5788" w:rsidRPr="00010337" w:rsidRDefault="005B5788" w:rsidP="00777497">
            <w:pPr>
              <w:keepNext/>
              <w:ind w:left="-104"/>
              <w:jc w:val="center"/>
              <w:rPr>
                <w:rFonts w:ascii="Bookman Old Style" w:hAnsi="Bookman Old Style" w:cs="Arial"/>
                <w:b/>
                <w:sz w:val="22"/>
                <w:szCs w:val="22"/>
              </w:rPr>
            </w:pPr>
            <w:r w:rsidRPr="00010337">
              <w:rPr>
                <w:rFonts w:ascii="Bookman Old Style" w:hAnsi="Bookman Old Style" w:cs="Arial"/>
                <w:b/>
                <w:sz w:val="22"/>
                <w:szCs w:val="22"/>
              </w:rPr>
              <w:t xml:space="preserve">CODIGO DANE DEL </w:t>
            </w:r>
            <w:r>
              <w:rPr>
                <w:rFonts w:ascii="Bookman Old Style" w:hAnsi="Bookman Old Style" w:cs="Arial"/>
                <w:b/>
                <w:sz w:val="22"/>
                <w:szCs w:val="22"/>
              </w:rPr>
              <w:t>MUNICIPIO</w:t>
            </w:r>
          </w:p>
        </w:tc>
        <w:tc>
          <w:tcPr>
            <w:tcW w:w="1792" w:type="dxa"/>
            <w:shd w:val="clear" w:color="auto" w:fill="D9D9D9" w:themeFill="background1" w:themeFillShade="D9"/>
            <w:vAlign w:val="center"/>
          </w:tcPr>
          <w:p w:rsidR="005B5788" w:rsidRPr="00010337" w:rsidRDefault="005B5788" w:rsidP="0077749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244" w:type="dxa"/>
            <w:shd w:val="clear" w:color="auto" w:fill="D9D9D9" w:themeFill="background1" w:themeFillShade="D9"/>
            <w:vAlign w:val="center"/>
          </w:tcPr>
          <w:p w:rsidR="005B5788" w:rsidRPr="00010337" w:rsidRDefault="005B5788" w:rsidP="0077749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5B5788" w:rsidRPr="00010337" w:rsidTr="00777497">
        <w:trPr>
          <w:jc w:val="center"/>
        </w:trPr>
        <w:tc>
          <w:tcPr>
            <w:tcW w:w="2100" w:type="dxa"/>
            <w:shd w:val="clear" w:color="auto" w:fill="auto"/>
            <w:vAlign w:val="center"/>
          </w:tcPr>
          <w:p w:rsidR="005B5788" w:rsidRPr="00010337" w:rsidRDefault="005B5788" w:rsidP="00777497">
            <w:pPr>
              <w:ind w:left="164" w:right="-1"/>
              <w:rPr>
                <w:rFonts w:ascii="Bookman Old Style" w:hAnsi="Bookman Old Style" w:cs="Arial"/>
                <w:sz w:val="22"/>
                <w:szCs w:val="22"/>
              </w:rPr>
            </w:pPr>
            <w:r>
              <w:rPr>
                <w:rFonts w:ascii="Bookman Old Style" w:hAnsi="Bookman Old Style" w:cs="Arial"/>
                <w:sz w:val="22"/>
                <w:szCs w:val="22"/>
              </w:rPr>
              <w:t xml:space="preserve">Casablanca </w:t>
            </w:r>
          </w:p>
        </w:tc>
        <w:tc>
          <w:tcPr>
            <w:tcW w:w="1475" w:type="dxa"/>
            <w:vMerge w:val="restart"/>
            <w:vAlign w:val="center"/>
          </w:tcPr>
          <w:p w:rsidR="005B5788" w:rsidRPr="00010337" w:rsidRDefault="005B5788" w:rsidP="00777497">
            <w:pPr>
              <w:ind w:left="-104" w:right="-1"/>
              <w:jc w:val="center"/>
              <w:rPr>
                <w:rFonts w:ascii="Bookman Old Style" w:hAnsi="Bookman Old Style" w:cs="Arial"/>
                <w:sz w:val="22"/>
                <w:szCs w:val="22"/>
              </w:rPr>
            </w:pPr>
            <w:r>
              <w:rPr>
                <w:rFonts w:ascii="Bookman Old Style" w:hAnsi="Bookman Old Style" w:cs="Arial"/>
                <w:sz w:val="22"/>
                <w:szCs w:val="22"/>
              </w:rPr>
              <w:t>50150</w:t>
            </w:r>
          </w:p>
        </w:tc>
        <w:tc>
          <w:tcPr>
            <w:tcW w:w="1792" w:type="dxa"/>
            <w:vMerge w:val="restart"/>
            <w:shd w:val="clear" w:color="auto" w:fill="auto"/>
            <w:vAlign w:val="center"/>
          </w:tcPr>
          <w:p w:rsidR="005B5788" w:rsidRPr="00010337" w:rsidRDefault="005B5788" w:rsidP="00777497">
            <w:pPr>
              <w:ind w:left="-104" w:right="-1"/>
              <w:jc w:val="center"/>
              <w:rPr>
                <w:rFonts w:ascii="Bookman Old Style" w:hAnsi="Bookman Old Style" w:cs="Arial"/>
                <w:sz w:val="22"/>
                <w:szCs w:val="22"/>
              </w:rPr>
            </w:pPr>
            <w:r>
              <w:rPr>
                <w:rFonts w:ascii="Bookman Old Style" w:hAnsi="Bookman Old Style" w:cs="Arial"/>
                <w:sz w:val="22"/>
                <w:szCs w:val="22"/>
              </w:rPr>
              <w:t>Castilla La Nueva</w:t>
            </w:r>
          </w:p>
        </w:tc>
        <w:tc>
          <w:tcPr>
            <w:tcW w:w="2244" w:type="dxa"/>
            <w:vMerge w:val="restart"/>
            <w:shd w:val="clear" w:color="auto" w:fill="auto"/>
            <w:vAlign w:val="center"/>
          </w:tcPr>
          <w:p w:rsidR="005B5788" w:rsidRPr="00010337" w:rsidRDefault="005B5788" w:rsidP="00777497">
            <w:pPr>
              <w:ind w:left="-111" w:right="-1"/>
              <w:jc w:val="center"/>
              <w:rPr>
                <w:rFonts w:ascii="Bookman Old Style" w:hAnsi="Bookman Old Style" w:cs="Arial"/>
                <w:sz w:val="22"/>
                <w:szCs w:val="22"/>
              </w:rPr>
            </w:pPr>
            <w:r>
              <w:rPr>
                <w:rFonts w:ascii="Bookman Old Style" w:hAnsi="Bookman Old Style" w:cs="Arial"/>
                <w:sz w:val="22"/>
                <w:szCs w:val="22"/>
              </w:rPr>
              <w:t>Meta</w:t>
            </w:r>
          </w:p>
        </w:tc>
      </w:tr>
      <w:tr w:rsidR="005B5788" w:rsidRPr="00010337" w:rsidTr="00777497">
        <w:trPr>
          <w:jc w:val="center"/>
        </w:trPr>
        <w:tc>
          <w:tcPr>
            <w:tcW w:w="2100" w:type="dxa"/>
            <w:shd w:val="clear" w:color="auto" w:fill="auto"/>
            <w:vAlign w:val="center"/>
          </w:tcPr>
          <w:p w:rsidR="005B5788" w:rsidRDefault="005B5788" w:rsidP="00777497">
            <w:pPr>
              <w:ind w:left="164" w:right="-1"/>
              <w:rPr>
                <w:rFonts w:ascii="Bookman Old Style" w:hAnsi="Bookman Old Style" w:cs="Arial"/>
                <w:sz w:val="22"/>
                <w:szCs w:val="22"/>
              </w:rPr>
            </w:pPr>
            <w:r>
              <w:rPr>
                <w:rFonts w:ascii="Bookman Old Style" w:hAnsi="Bookman Old Style" w:cs="Arial"/>
                <w:sz w:val="22"/>
                <w:szCs w:val="22"/>
              </w:rPr>
              <w:t>El Toro</w:t>
            </w:r>
          </w:p>
        </w:tc>
        <w:tc>
          <w:tcPr>
            <w:tcW w:w="1475" w:type="dxa"/>
            <w:vMerge/>
            <w:vAlign w:val="center"/>
          </w:tcPr>
          <w:p w:rsidR="005B5788" w:rsidRPr="00A57DD0" w:rsidRDefault="005B5788" w:rsidP="00777497">
            <w:pPr>
              <w:ind w:left="-104" w:right="-1"/>
              <w:jc w:val="center"/>
              <w:rPr>
                <w:rFonts w:ascii="Bookman Old Style" w:hAnsi="Bookman Old Style" w:cs="Arial"/>
                <w:sz w:val="22"/>
                <w:szCs w:val="22"/>
              </w:rPr>
            </w:pPr>
          </w:p>
        </w:tc>
        <w:tc>
          <w:tcPr>
            <w:tcW w:w="1792" w:type="dxa"/>
            <w:vMerge/>
            <w:shd w:val="clear" w:color="auto" w:fill="auto"/>
            <w:vAlign w:val="center"/>
          </w:tcPr>
          <w:p w:rsidR="005B5788" w:rsidRDefault="005B5788" w:rsidP="00777497">
            <w:pPr>
              <w:ind w:left="-104" w:right="-1"/>
              <w:jc w:val="center"/>
              <w:rPr>
                <w:rFonts w:ascii="Bookman Old Style" w:hAnsi="Bookman Old Style" w:cs="Arial"/>
                <w:sz w:val="22"/>
                <w:szCs w:val="22"/>
              </w:rPr>
            </w:pPr>
          </w:p>
        </w:tc>
        <w:tc>
          <w:tcPr>
            <w:tcW w:w="2244" w:type="dxa"/>
            <w:vMerge/>
            <w:shd w:val="clear" w:color="auto" w:fill="auto"/>
            <w:vAlign w:val="center"/>
          </w:tcPr>
          <w:p w:rsidR="005B5788" w:rsidRDefault="005B5788" w:rsidP="00777497">
            <w:pPr>
              <w:ind w:left="-111" w:right="-1"/>
              <w:jc w:val="center"/>
              <w:rPr>
                <w:rFonts w:ascii="Bookman Old Style" w:hAnsi="Bookman Old Style" w:cs="Arial"/>
                <w:sz w:val="22"/>
                <w:szCs w:val="22"/>
              </w:rPr>
            </w:pPr>
          </w:p>
        </w:tc>
      </w:tr>
      <w:tr w:rsidR="005B5788" w:rsidRPr="00010337" w:rsidTr="00777497">
        <w:trPr>
          <w:jc w:val="center"/>
        </w:trPr>
        <w:tc>
          <w:tcPr>
            <w:tcW w:w="2100" w:type="dxa"/>
            <w:shd w:val="clear" w:color="auto" w:fill="auto"/>
            <w:vAlign w:val="center"/>
          </w:tcPr>
          <w:p w:rsidR="005B5788" w:rsidRDefault="005B5788" w:rsidP="00777497">
            <w:pPr>
              <w:ind w:left="164" w:right="-1"/>
              <w:rPr>
                <w:rFonts w:ascii="Bookman Old Style" w:hAnsi="Bookman Old Style" w:cs="Arial"/>
                <w:sz w:val="22"/>
                <w:szCs w:val="22"/>
              </w:rPr>
            </w:pPr>
            <w:r>
              <w:rPr>
                <w:rFonts w:ascii="Bookman Old Style" w:hAnsi="Bookman Old Style" w:cs="Arial"/>
                <w:sz w:val="22"/>
                <w:szCs w:val="22"/>
              </w:rPr>
              <w:t>Pueblo Nuevo</w:t>
            </w:r>
          </w:p>
        </w:tc>
        <w:tc>
          <w:tcPr>
            <w:tcW w:w="1475" w:type="dxa"/>
            <w:vMerge/>
            <w:vAlign w:val="center"/>
          </w:tcPr>
          <w:p w:rsidR="005B5788" w:rsidRDefault="005B5788" w:rsidP="00777497">
            <w:pPr>
              <w:ind w:left="-104" w:right="-1"/>
              <w:jc w:val="center"/>
              <w:rPr>
                <w:rFonts w:ascii="Bookman Old Style" w:hAnsi="Bookman Old Style" w:cs="Arial"/>
                <w:sz w:val="22"/>
                <w:szCs w:val="22"/>
              </w:rPr>
            </w:pPr>
          </w:p>
        </w:tc>
        <w:tc>
          <w:tcPr>
            <w:tcW w:w="1792" w:type="dxa"/>
            <w:vMerge/>
            <w:shd w:val="clear" w:color="auto" w:fill="auto"/>
            <w:vAlign w:val="center"/>
          </w:tcPr>
          <w:p w:rsidR="005B5788" w:rsidRDefault="005B5788" w:rsidP="00777497">
            <w:pPr>
              <w:ind w:left="-104" w:right="-1"/>
              <w:jc w:val="center"/>
              <w:rPr>
                <w:rFonts w:ascii="Bookman Old Style" w:hAnsi="Bookman Old Style" w:cs="Arial"/>
                <w:sz w:val="22"/>
                <w:szCs w:val="22"/>
              </w:rPr>
            </w:pPr>
          </w:p>
        </w:tc>
        <w:tc>
          <w:tcPr>
            <w:tcW w:w="2244" w:type="dxa"/>
            <w:vMerge/>
            <w:shd w:val="clear" w:color="auto" w:fill="auto"/>
            <w:vAlign w:val="center"/>
          </w:tcPr>
          <w:p w:rsidR="005B5788" w:rsidRDefault="005B5788" w:rsidP="00777497">
            <w:pPr>
              <w:ind w:left="-111" w:right="-1"/>
              <w:jc w:val="center"/>
              <w:rPr>
                <w:rFonts w:ascii="Bookman Old Style" w:hAnsi="Bookman Old Style" w:cs="Arial"/>
                <w:sz w:val="22"/>
                <w:szCs w:val="22"/>
              </w:rPr>
            </w:pPr>
          </w:p>
        </w:tc>
      </w:tr>
      <w:tr w:rsidR="005B5788" w:rsidRPr="00010337" w:rsidTr="00777497">
        <w:trPr>
          <w:jc w:val="center"/>
        </w:trPr>
        <w:tc>
          <w:tcPr>
            <w:tcW w:w="2100" w:type="dxa"/>
            <w:shd w:val="clear" w:color="auto" w:fill="auto"/>
            <w:vAlign w:val="center"/>
          </w:tcPr>
          <w:p w:rsidR="005B5788" w:rsidRDefault="005B5788" w:rsidP="00777497">
            <w:pPr>
              <w:ind w:left="164" w:right="-1"/>
              <w:rPr>
                <w:rFonts w:ascii="Bookman Old Style" w:hAnsi="Bookman Old Style" w:cs="Arial"/>
                <w:sz w:val="22"/>
                <w:szCs w:val="22"/>
              </w:rPr>
            </w:pPr>
            <w:r>
              <w:rPr>
                <w:rFonts w:ascii="Bookman Old Style" w:hAnsi="Bookman Old Style" w:cs="Arial"/>
                <w:sz w:val="22"/>
                <w:szCs w:val="22"/>
              </w:rPr>
              <w:t>La Represa</w:t>
            </w:r>
          </w:p>
        </w:tc>
        <w:tc>
          <w:tcPr>
            <w:tcW w:w="1475" w:type="dxa"/>
            <w:vMerge/>
            <w:vAlign w:val="center"/>
          </w:tcPr>
          <w:p w:rsidR="005B5788" w:rsidRDefault="005B5788" w:rsidP="00777497">
            <w:pPr>
              <w:ind w:left="-104" w:right="-1"/>
              <w:jc w:val="center"/>
              <w:rPr>
                <w:rFonts w:ascii="Bookman Old Style" w:hAnsi="Bookman Old Style" w:cs="Arial"/>
                <w:sz w:val="22"/>
                <w:szCs w:val="22"/>
              </w:rPr>
            </w:pPr>
          </w:p>
        </w:tc>
        <w:tc>
          <w:tcPr>
            <w:tcW w:w="1792" w:type="dxa"/>
            <w:vMerge/>
            <w:shd w:val="clear" w:color="auto" w:fill="auto"/>
            <w:vAlign w:val="center"/>
          </w:tcPr>
          <w:p w:rsidR="005B5788" w:rsidRDefault="005B5788" w:rsidP="00777497">
            <w:pPr>
              <w:ind w:left="-104" w:right="-1"/>
              <w:jc w:val="center"/>
              <w:rPr>
                <w:rFonts w:ascii="Bookman Old Style" w:hAnsi="Bookman Old Style" w:cs="Arial"/>
                <w:sz w:val="22"/>
                <w:szCs w:val="22"/>
              </w:rPr>
            </w:pPr>
          </w:p>
        </w:tc>
        <w:tc>
          <w:tcPr>
            <w:tcW w:w="2244" w:type="dxa"/>
            <w:vMerge/>
            <w:shd w:val="clear" w:color="auto" w:fill="auto"/>
            <w:vAlign w:val="center"/>
          </w:tcPr>
          <w:p w:rsidR="005B5788" w:rsidRDefault="005B5788" w:rsidP="00777497">
            <w:pPr>
              <w:ind w:left="-111" w:right="-1"/>
              <w:jc w:val="center"/>
              <w:rPr>
                <w:rFonts w:ascii="Bookman Old Style" w:hAnsi="Bookman Old Style" w:cs="Arial"/>
                <w:sz w:val="22"/>
                <w:szCs w:val="22"/>
              </w:rPr>
            </w:pPr>
          </w:p>
        </w:tc>
      </w:tr>
    </w:tbl>
    <w:p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sidRPr="00F90300">
        <w:rPr>
          <w:rFonts w:ascii="Bookman Old Style" w:hAnsi="Bookman Old Style" w:cs="Arial"/>
        </w:rPr>
        <w:t xml:space="preserve">$ </w:t>
      </w:r>
      <w:r w:rsidR="00B54124" w:rsidRPr="00F90300">
        <w:rPr>
          <w:rFonts w:ascii="Bookman Old Style" w:hAnsi="Bookman Old Style" w:cs="Arial"/>
        </w:rPr>
        <w:t>310</w:t>
      </w:r>
      <w:r w:rsidR="009F40BC" w:rsidRPr="00F90300">
        <w:rPr>
          <w:rFonts w:ascii="Bookman Old Style" w:hAnsi="Bookman Old Style" w:cs="Arial"/>
        </w:rPr>
        <w:t>,</w:t>
      </w:r>
      <w:r w:rsidR="00B54124" w:rsidRPr="00F90300">
        <w:rPr>
          <w:rFonts w:ascii="Bookman Old Style" w:hAnsi="Bookman Old Style" w:cs="Arial"/>
        </w:rPr>
        <w:t>312</w:t>
      </w:r>
      <w:r w:rsidR="009F40BC" w:rsidRPr="00F90300">
        <w:rPr>
          <w:rFonts w:ascii="Bookman Old Style" w:hAnsi="Bookman Old Style" w:cs="Arial"/>
        </w:rPr>
        <w:t>,</w:t>
      </w:r>
      <w:r w:rsidR="00B54124" w:rsidRPr="00F90300">
        <w:rPr>
          <w:rFonts w:ascii="Bookman Old Style" w:hAnsi="Bookman Old Style" w:cs="Arial"/>
        </w:rPr>
        <w:t>918</w:t>
      </w:r>
      <w:r w:rsidR="007F2C02" w:rsidRPr="00694C22">
        <w:rPr>
          <w:rFonts w:ascii="Bookman Old Style" w:hAnsi="Bookman Old Style" w:cs="Arial"/>
        </w:rPr>
        <w:t xml:space="preserve"> (</w:t>
      </w:r>
      <w:r w:rsidR="008150E7" w:rsidRPr="00694C22">
        <w:rPr>
          <w:rFonts w:ascii="Bookman Old Style" w:hAnsi="Bookman Old Style" w:cs="Arial"/>
        </w:rPr>
        <w:t>$</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rsidR="008C3D2D" w:rsidRDefault="008C3D2D" w:rsidP="00F90300">
      <w:pPr>
        <w:adjustRightInd w:val="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aquellas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rsidR="00F90300" w:rsidRPr="009353D2" w:rsidRDefault="00F90300" w:rsidP="009353D2">
      <w:pPr>
        <w:adjustRightInd w:val="0"/>
        <w:spacing w:before="240" w:after="240"/>
        <w:ind w:left="0" w:right="23"/>
        <w:jc w:val="both"/>
        <w:rPr>
          <w:rFonts w:ascii="Bookman Old Style" w:hAnsi="Bookman Old Style" w:cs="Arial"/>
          <w:bCs/>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rsidTr="004E57E2">
        <w:trPr>
          <w:trHeight w:val="459"/>
          <w:jc w:val="center"/>
        </w:trPr>
        <w:tc>
          <w:tcPr>
            <w:tcW w:w="5000" w:type="pct"/>
            <w:gridSpan w:val="2"/>
            <w:shd w:val="clear" w:color="auto" w:fill="D9D9D9" w:themeFill="background1" w:themeFillShade="D9"/>
            <w:vAlign w:val="center"/>
            <w:hideMark/>
          </w:tcPr>
          <w:p w:rsidR="00C42E05" w:rsidRPr="00BC2B64" w:rsidRDefault="00C42E05" w:rsidP="004E57E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sidR="002E7BF4">
              <w:rPr>
                <w:rFonts w:ascii="Bookman Old Style" w:hAnsi="Bookman Old Style"/>
                <w:b/>
                <w:bCs/>
                <w:color w:val="000000"/>
                <w:sz w:val="22"/>
                <w:szCs w:val="22"/>
                <w:lang w:eastAsia="es-CO"/>
              </w:rPr>
              <w:t xml:space="preserve"> y </w:t>
            </w:r>
            <w:r w:rsidR="002E7BF4" w:rsidRPr="00BC2B64">
              <w:rPr>
                <w:rFonts w:ascii="Bookman Old Style" w:hAnsi="Bookman Old Style"/>
                <w:b/>
                <w:bCs/>
                <w:color w:val="000000"/>
                <w:sz w:val="22"/>
                <w:szCs w:val="22"/>
                <w:lang w:eastAsia="es-CO"/>
              </w:rPr>
              <w:t>Usuarios Diferentes a los de Uso Residencial</w:t>
            </w:r>
          </w:p>
        </w:tc>
      </w:tr>
      <w:tr w:rsidR="00C42E05" w:rsidRPr="00A10908" w:rsidTr="009353D2">
        <w:trPr>
          <w:trHeight w:val="313"/>
          <w:jc w:val="center"/>
        </w:trPr>
        <w:tc>
          <w:tcPr>
            <w:tcW w:w="2596" w:type="pct"/>
            <w:shd w:val="clear" w:color="auto" w:fill="D9D9D9" w:themeFill="background1" w:themeFillShade="D9"/>
            <w:vAlign w:val="center"/>
            <w:hideMark/>
          </w:tcPr>
          <w:p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2F7C31D" wp14:editId="6604FA89">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FF234E" w:rsidP="00FF234E">
            <w:pPr>
              <w:ind w:left="0"/>
              <w:jc w:val="center"/>
              <w:rPr>
                <w:rFonts w:ascii="Bookman Old Style" w:hAnsi="Bookman Old Style"/>
                <w:color w:val="000000"/>
                <w:sz w:val="22"/>
                <w:szCs w:val="22"/>
              </w:rPr>
            </w:pPr>
            <w:r>
              <w:rPr>
                <w:rFonts w:ascii="Bookman Old Style" w:hAnsi="Bookman Old Style"/>
                <w:color w:val="000000"/>
                <w:sz w:val="22"/>
                <w:szCs w:val="22"/>
              </w:rPr>
              <w:t>112</w:t>
            </w:r>
            <w:r w:rsidR="007F2C02">
              <w:rPr>
                <w:rFonts w:ascii="Bookman Old Style" w:hAnsi="Bookman Old Style"/>
                <w:color w:val="000000"/>
                <w:sz w:val="22"/>
                <w:szCs w:val="22"/>
              </w:rPr>
              <w:t>,2</w:t>
            </w:r>
            <w:r>
              <w:rPr>
                <w:rFonts w:ascii="Bookman Old Style" w:hAnsi="Bookman Old Style"/>
                <w:color w:val="000000"/>
                <w:sz w:val="22"/>
                <w:szCs w:val="22"/>
              </w:rPr>
              <w:t>5</w:t>
            </w:r>
            <w:r w:rsidR="007F2C02">
              <w:rPr>
                <w:rFonts w:ascii="Bookman Old Style" w:hAnsi="Bookman Old Style"/>
                <w:color w:val="000000"/>
                <w:sz w:val="22"/>
                <w:szCs w:val="22"/>
              </w:rPr>
              <w:t>2</w:t>
            </w:r>
            <w:r w:rsidR="004E57E2">
              <w:rPr>
                <w:rFonts w:ascii="Bookman Old Style" w:hAnsi="Bookman Old Style"/>
                <w:color w:val="000000"/>
                <w:sz w:val="22"/>
                <w:szCs w:val="22"/>
              </w:rPr>
              <w:t>,</w:t>
            </w:r>
            <w:r>
              <w:rPr>
                <w:rFonts w:ascii="Bookman Old Style" w:hAnsi="Bookman Old Style"/>
                <w:color w:val="000000"/>
                <w:sz w:val="22"/>
                <w:szCs w:val="22"/>
              </w:rPr>
              <w:t>894</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680C5327" wp14:editId="3BDEE2E6">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FF234E" w:rsidP="00FF234E">
            <w:pPr>
              <w:ind w:left="0"/>
              <w:jc w:val="center"/>
              <w:rPr>
                <w:rFonts w:ascii="Bookman Old Style" w:hAnsi="Bookman Old Style"/>
                <w:color w:val="000000"/>
                <w:sz w:val="22"/>
                <w:szCs w:val="22"/>
              </w:rPr>
            </w:pPr>
            <w:r>
              <w:rPr>
                <w:rFonts w:ascii="Bookman Old Style" w:hAnsi="Bookman Old Style"/>
                <w:color w:val="000000"/>
                <w:sz w:val="22"/>
                <w:szCs w:val="22"/>
              </w:rPr>
              <w:t>178</w:t>
            </w:r>
            <w:r w:rsidR="004E57E2">
              <w:rPr>
                <w:rFonts w:ascii="Bookman Old Style" w:hAnsi="Bookman Old Style"/>
                <w:color w:val="000000"/>
                <w:sz w:val="22"/>
                <w:szCs w:val="22"/>
              </w:rPr>
              <w:t>,</w:t>
            </w:r>
            <w:r w:rsidR="007F2C02">
              <w:rPr>
                <w:rFonts w:ascii="Bookman Old Style" w:hAnsi="Bookman Old Style"/>
                <w:color w:val="000000"/>
                <w:sz w:val="22"/>
                <w:szCs w:val="22"/>
              </w:rPr>
              <w:t>0</w:t>
            </w:r>
            <w:r>
              <w:rPr>
                <w:rFonts w:ascii="Bookman Old Style" w:hAnsi="Bookman Old Style"/>
                <w:color w:val="000000"/>
                <w:sz w:val="22"/>
                <w:szCs w:val="22"/>
              </w:rPr>
              <w:t>26,465</w:t>
            </w:r>
          </w:p>
        </w:tc>
      </w:tr>
      <w:tr w:rsidR="00C42E05" w:rsidRPr="00A10908" w:rsidTr="009353D2">
        <w:trPr>
          <w:trHeight w:val="271"/>
          <w:jc w:val="center"/>
        </w:trPr>
        <w:tc>
          <w:tcPr>
            <w:tcW w:w="2596" w:type="pct"/>
            <w:shd w:val="clear" w:color="auto" w:fill="auto"/>
            <w:hideMark/>
          </w:tcPr>
          <w:p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rsidR="00C42E05" w:rsidRPr="00067A66" w:rsidRDefault="00FF234E" w:rsidP="00FF234E">
            <w:pPr>
              <w:ind w:left="0"/>
              <w:jc w:val="center"/>
              <w:rPr>
                <w:rFonts w:ascii="Bookman Old Style" w:hAnsi="Bookman Old Style"/>
                <w:color w:val="000000"/>
                <w:sz w:val="22"/>
                <w:szCs w:val="22"/>
              </w:rPr>
            </w:pPr>
            <w:r>
              <w:rPr>
                <w:rFonts w:ascii="Bookman Old Style" w:hAnsi="Bookman Old Style"/>
                <w:color w:val="000000"/>
                <w:sz w:val="22"/>
                <w:szCs w:val="22"/>
              </w:rPr>
              <w:t>112</w:t>
            </w:r>
            <w:r w:rsidR="00010818">
              <w:rPr>
                <w:rFonts w:ascii="Bookman Old Style" w:hAnsi="Bookman Old Style"/>
                <w:color w:val="000000"/>
                <w:sz w:val="22"/>
                <w:szCs w:val="22"/>
              </w:rPr>
              <w:t>,</w:t>
            </w:r>
            <w:r>
              <w:rPr>
                <w:rFonts w:ascii="Bookman Old Style" w:hAnsi="Bookman Old Style"/>
                <w:color w:val="000000"/>
                <w:sz w:val="22"/>
                <w:szCs w:val="22"/>
              </w:rPr>
              <w:t>299</w:t>
            </w:r>
          </w:p>
        </w:tc>
      </w:tr>
      <w:tr w:rsidR="00C42E05" w:rsidRPr="00A10908" w:rsidTr="00F26A94">
        <w:trPr>
          <w:trHeight w:val="242"/>
          <w:jc w:val="center"/>
        </w:trPr>
        <w:tc>
          <w:tcPr>
            <w:tcW w:w="2596" w:type="pct"/>
            <w:shd w:val="clear" w:color="auto" w:fill="auto"/>
            <w:hideMark/>
          </w:tcPr>
          <w:p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3F5A62" wp14:editId="357B4BB4">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C42E05" w:rsidRPr="009353D2" w:rsidRDefault="00FF234E" w:rsidP="00067A66">
            <w:pPr>
              <w:ind w:left="0"/>
              <w:jc w:val="center"/>
              <w:rPr>
                <w:rFonts w:ascii="Bookman Old Style" w:hAnsi="Bookman Old Style"/>
                <w:color w:val="000000"/>
                <w:sz w:val="22"/>
                <w:szCs w:val="22"/>
              </w:rPr>
            </w:pPr>
            <w:r>
              <w:rPr>
                <w:rFonts w:ascii="Bookman Old Style" w:hAnsi="Bookman Old Style"/>
                <w:color w:val="000000"/>
                <w:sz w:val="22"/>
                <w:szCs w:val="22"/>
              </w:rPr>
              <w:t>112,299</w:t>
            </w:r>
          </w:p>
        </w:tc>
      </w:tr>
    </w:tbl>
    <w:p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7D7B3F" w:rsidRPr="00F90300">
        <w:rPr>
          <w:rFonts w:ascii="Bookman Old Style" w:hAnsi="Bookman Old Style" w:cs="Arial"/>
          <w:bCs/>
        </w:rPr>
        <w:t>8.44</w:t>
      </w:r>
      <w:r w:rsidR="001B63E5" w:rsidRPr="00F90300">
        <w:rPr>
          <w:rFonts w:ascii="Bookman Old Style" w:hAnsi="Bookman Old Style" w:cs="Arial"/>
          <w:bCs/>
        </w:rPr>
        <w:t>%</w:t>
      </w:r>
      <w:r w:rsidR="00BB54AF" w:rsidRPr="00694C22">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694C22">
        <w:rPr>
          <w:rFonts w:ascii="Bookman Old Style" w:hAnsi="Bookman Old Style" w:cs="Arial"/>
          <w:bCs/>
        </w:rPr>
        <w:t xml:space="preserve"> de </w:t>
      </w:r>
      <w:r w:rsidR="007D7B3F" w:rsidRPr="00F90300">
        <w:rPr>
          <w:rFonts w:ascii="Bookman Old Style" w:hAnsi="Bookman Old Style" w:cs="Arial"/>
          <w:bCs/>
        </w:rPr>
        <w:t>63</w:t>
      </w:r>
      <w:r w:rsidR="00744E22" w:rsidRPr="00F90300">
        <w:rPr>
          <w:rFonts w:ascii="Bookman Old Style" w:hAnsi="Bookman Old Style" w:cs="Arial"/>
          <w:bCs/>
        </w:rPr>
        <w:t>.</w:t>
      </w:r>
      <w:r w:rsidR="007D7B3F" w:rsidRPr="00F90300">
        <w:rPr>
          <w:rFonts w:ascii="Bookman Old Style" w:hAnsi="Bookman Old Style" w:cs="Arial"/>
          <w:bCs/>
        </w:rPr>
        <w:t>77</w:t>
      </w:r>
      <w:r w:rsidR="001B63E5" w:rsidRPr="00F90300">
        <w:rPr>
          <w:rFonts w:ascii="Bookman Old Style" w:hAnsi="Bookman Old Style" w:cs="Arial"/>
          <w:bCs/>
        </w:rPr>
        <w:t>%</w:t>
      </w:r>
      <w:r w:rsidR="001B63E5" w:rsidRPr="00F90300">
        <w:rPr>
          <w:rFonts w:ascii="Bookman Old Style" w:hAnsi="Bookman Old Style" w:cs="Arial"/>
        </w:rPr>
        <w:t>.</w:t>
      </w:r>
      <w:r w:rsidR="001B63E5" w:rsidRPr="00694C22">
        <w:rPr>
          <w:rFonts w:ascii="Bookman Old Style" w:hAnsi="Bookman Old Style" w:cs="Arial"/>
        </w:rPr>
        <w:t xml:space="preserve"> En</w:t>
      </w:r>
      <w:r w:rsidR="001B63E5" w:rsidRPr="001954E9">
        <w:rPr>
          <w:rFonts w:ascii="Bookman Old Style" w:hAnsi="Bookman Old Style" w:cs="Arial"/>
        </w:rPr>
        <w:t xml:space="preserve">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p w:rsidR="00F90300" w:rsidRPr="001954E9" w:rsidRDefault="00F90300" w:rsidP="009353D2">
      <w:pPr>
        <w:spacing w:after="240"/>
        <w:ind w:left="0"/>
        <w:jc w:val="both"/>
        <w:rPr>
          <w:rFonts w:ascii="Bookman Old Style" w:hAnsi="Bookman Old Style" w:cs="Arial"/>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rsidTr="009353D2">
        <w:trPr>
          <w:trHeight w:val="287"/>
          <w:jc w:val="center"/>
        </w:trPr>
        <w:tc>
          <w:tcPr>
            <w:tcW w:w="3188" w:type="pct"/>
            <w:shd w:val="clear" w:color="auto" w:fill="D9D9D9" w:themeFill="background1" w:themeFillShade="D9"/>
            <w:vAlign w:val="center"/>
            <w:hideMark/>
          </w:tcPr>
          <w:p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del 31 de diciembre de 2017</w:t>
            </w:r>
          </w:p>
        </w:tc>
      </w:tr>
      <w:tr w:rsidR="00BB54AF" w:rsidRPr="00F37572" w:rsidTr="009353D2">
        <w:trPr>
          <w:trHeight w:val="478"/>
          <w:jc w:val="center"/>
        </w:trPr>
        <w:tc>
          <w:tcPr>
            <w:tcW w:w="3188" w:type="pct"/>
            <w:shd w:val="clear" w:color="auto" w:fill="auto"/>
            <w:vAlign w:val="center"/>
            <w:hideMark/>
          </w:tcPr>
          <w:p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rsidR="00BB54AF" w:rsidRPr="002820FB" w:rsidRDefault="007D7B3F" w:rsidP="007D7B3F">
            <w:pPr>
              <w:ind w:left="0"/>
              <w:jc w:val="center"/>
              <w:rPr>
                <w:rFonts w:ascii="Bookman Old Style" w:hAnsi="Bookman Old Style"/>
                <w:color w:val="000000"/>
                <w:sz w:val="22"/>
                <w:szCs w:val="22"/>
              </w:rPr>
            </w:pPr>
            <w:r>
              <w:rPr>
                <w:rFonts w:ascii="Bookman Old Style" w:hAnsi="Bookman Old Style"/>
                <w:color w:val="000000"/>
                <w:sz w:val="22"/>
                <w:szCs w:val="22"/>
              </w:rPr>
              <w:t>192</w:t>
            </w:r>
            <w:r w:rsidR="002820FB" w:rsidRPr="002820FB">
              <w:rPr>
                <w:rFonts w:ascii="Bookman Old Style" w:hAnsi="Bookman Old Style"/>
                <w:color w:val="000000"/>
                <w:sz w:val="22"/>
                <w:szCs w:val="22"/>
              </w:rPr>
              <w:t>,</w:t>
            </w:r>
            <w:r>
              <w:rPr>
                <w:rFonts w:ascii="Bookman Old Style" w:hAnsi="Bookman Old Style"/>
                <w:color w:val="000000"/>
                <w:sz w:val="22"/>
                <w:szCs w:val="22"/>
              </w:rPr>
              <w:t>044</w:t>
            </w:r>
            <w:r w:rsidR="002820FB" w:rsidRPr="002820FB">
              <w:rPr>
                <w:rFonts w:ascii="Bookman Old Style" w:hAnsi="Bookman Old Style"/>
                <w:color w:val="000000"/>
                <w:sz w:val="22"/>
                <w:szCs w:val="22"/>
              </w:rPr>
              <w:t>,</w:t>
            </w:r>
            <w:r>
              <w:rPr>
                <w:rFonts w:ascii="Bookman Old Style" w:hAnsi="Bookman Old Style"/>
                <w:color w:val="000000"/>
                <w:sz w:val="22"/>
                <w:szCs w:val="22"/>
              </w:rPr>
              <w:t>725</w:t>
            </w:r>
          </w:p>
        </w:tc>
      </w:tr>
    </w:tbl>
    <w:p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744E22">
        <w:trPr>
          <w:trHeight w:val="536"/>
          <w:tblHeader/>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r w:rsidR="00611203">
              <w:rPr>
                <w:rFonts w:ascii="Bookman Old Style" w:hAnsi="Bookman Old Style"/>
                <w:b/>
                <w:bCs/>
                <w:color w:val="000000"/>
                <w:sz w:val="22"/>
                <w:szCs w:val="22"/>
                <w:lang w:eastAsia="es-CO"/>
              </w:rPr>
              <w:t xml:space="preserve"> y Usuarios Diferentes a los de Uso Residencial</w:t>
            </w:r>
          </w:p>
        </w:tc>
      </w:tr>
      <w:tr w:rsidR="00A92969" w:rsidRPr="00A10908" w:rsidTr="00744E22">
        <w:trPr>
          <w:trHeight w:val="313"/>
          <w:tblHeader/>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F5055FB" wp14:editId="47FF82A8">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D61EE1" w:rsidP="00D61EE1">
            <w:pPr>
              <w:ind w:left="0"/>
              <w:jc w:val="center"/>
              <w:rPr>
                <w:rFonts w:ascii="Bookman Old Style" w:hAnsi="Bookman Old Style"/>
                <w:color w:val="000000"/>
                <w:sz w:val="22"/>
                <w:szCs w:val="20"/>
              </w:rPr>
            </w:pPr>
            <w:r>
              <w:rPr>
                <w:rFonts w:ascii="Bookman Old Style" w:hAnsi="Bookman Old Style"/>
                <w:color w:val="000000"/>
                <w:sz w:val="22"/>
                <w:szCs w:val="20"/>
              </w:rPr>
              <w:t>37</w:t>
            </w:r>
            <w:r w:rsidR="00744E22">
              <w:rPr>
                <w:rFonts w:ascii="Bookman Old Style" w:hAnsi="Bookman Old Style"/>
                <w:color w:val="000000"/>
                <w:sz w:val="22"/>
                <w:szCs w:val="20"/>
              </w:rPr>
              <w:t>,</w:t>
            </w:r>
            <w:r>
              <w:rPr>
                <w:rFonts w:ascii="Bookman Old Style" w:hAnsi="Bookman Old Style"/>
                <w:color w:val="000000"/>
                <w:sz w:val="22"/>
                <w:szCs w:val="20"/>
              </w:rPr>
              <w:t>132</w:t>
            </w:r>
            <w:r w:rsidR="00744E22">
              <w:rPr>
                <w:rFonts w:ascii="Bookman Old Style" w:hAnsi="Bookman Old Style"/>
                <w:color w:val="000000"/>
                <w:sz w:val="22"/>
                <w:szCs w:val="20"/>
              </w:rPr>
              <w:t>,</w:t>
            </w:r>
            <w:r>
              <w:rPr>
                <w:rFonts w:ascii="Bookman Old Style" w:hAnsi="Bookman Old Style"/>
                <w:color w:val="000000"/>
                <w:sz w:val="22"/>
                <w:szCs w:val="20"/>
              </w:rPr>
              <w:t>465</w:t>
            </w:r>
          </w:p>
        </w:tc>
      </w:tr>
      <w:tr w:rsidR="00936063" w:rsidRPr="00A10908" w:rsidTr="00EA345B">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0444644" wp14:editId="4648735F">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rsidR="00936063" w:rsidRPr="00936063" w:rsidRDefault="00D61EE1" w:rsidP="00D61EE1">
            <w:pPr>
              <w:ind w:left="0"/>
              <w:jc w:val="center"/>
              <w:rPr>
                <w:rFonts w:ascii="Bookman Old Style" w:hAnsi="Bookman Old Style"/>
                <w:color w:val="000000"/>
                <w:sz w:val="22"/>
                <w:szCs w:val="20"/>
              </w:rPr>
            </w:pPr>
            <w:r>
              <w:rPr>
                <w:rFonts w:ascii="Bookman Old Style" w:hAnsi="Bookman Old Style"/>
                <w:color w:val="000000"/>
                <w:sz w:val="22"/>
                <w:szCs w:val="20"/>
              </w:rPr>
              <w:t>154</w:t>
            </w:r>
            <w:r w:rsidR="00744E22">
              <w:rPr>
                <w:rFonts w:ascii="Bookman Old Style" w:hAnsi="Bookman Old Style"/>
                <w:color w:val="000000"/>
                <w:sz w:val="22"/>
                <w:szCs w:val="20"/>
              </w:rPr>
              <w:t>,</w:t>
            </w:r>
            <w:r>
              <w:rPr>
                <w:rFonts w:ascii="Bookman Old Style" w:hAnsi="Bookman Old Style"/>
                <w:color w:val="000000"/>
                <w:sz w:val="22"/>
                <w:szCs w:val="20"/>
              </w:rPr>
              <w:t>912</w:t>
            </w:r>
            <w:r w:rsidR="00744E22">
              <w:rPr>
                <w:rFonts w:ascii="Bookman Old Style" w:hAnsi="Bookman Old Style"/>
                <w:color w:val="000000"/>
                <w:sz w:val="22"/>
                <w:szCs w:val="20"/>
              </w:rPr>
              <w:t>,</w:t>
            </w:r>
            <w:r>
              <w:rPr>
                <w:rFonts w:ascii="Bookman Old Style" w:hAnsi="Bookman Old Style"/>
                <w:color w:val="000000"/>
                <w:sz w:val="22"/>
                <w:szCs w:val="20"/>
              </w:rPr>
              <w:t>260</w:t>
            </w:r>
          </w:p>
        </w:tc>
      </w:tr>
      <w:tr w:rsidR="00D61EE1" w:rsidRPr="00A10908" w:rsidTr="00AD47C2">
        <w:trPr>
          <w:trHeight w:val="271"/>
          <w:jc w:val="center"/>
        </w:trPr>
        <w:tc>
          <w:tcPr>
            <w:tcW w:w="2596" w:type="pct"/>
            <w:shd w:val="clear" w:color="auto" w:fill="auto"/>
            <w:hideMark/>
          </w:tcPr>
          <w:p w:rsidR="00D61EE1" w:rsidRPr="000B4904" w:rsidRDefault="00D61EE1" w:rsidP="00D61EE1">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rsidR="00D61EE1" w:rsidRPr="00D61EE1" w:rsidRDefault="00D61EE1" w:rsidP="00D61EE1">
            <w:pPr>
              <w:ind w:left="0"/>
              <w:jc w:val="center"/>
              <w:rPr>
                <w:rFonts w:ascii="Bookman Old Style" w:hAnsi="Bookman Old Style"/>
                <w:color w:val="000000"/>
                <w:sz w:val="22"/>
                <w:szCs w:val="20"/>
              </w:rPr>
            </w:pPr>
            <w:r w:rsidRPr="00D61EE1">
              <w:rPr>
                <w:rFonts w:ascii="Bookman Old Style" w:hAnsi="Bookman Old Style"/>
                <w:color w:val="000000"/>
                <w:sz w:val="22"/>
                <w:szCs w:val="20"/>
              </w:rPr>
              <w:t>112,299</w:t>
            </w:r>
          </w:p>
        </w:tc>
      </w:tr>
      <w:tr w:rsidR="00D61EE1" w:rsidRPr="00A10908" w:rsidTr="00AD47C2">
        <w:trPr>
          <w:trHeight w:val="271"/>
          <w:jc w:val="center"/>
        </w:trPr>
        <w:tc>
          <w:tcPr>
            <w:tcW w:w="2596" w:type="pct"/>
            <w:shd w:val="clear" w:color="auto" w:fill="auto"/>
            <w:hideMark/>
          </w:tcPr>
          <w:p w:rsidR="00D61EE1" w:rsidRPr="00A10908" w:rsidRDefault="00D61EE1" w:rsidP="00D61EE1">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2CC5F00" wp14:editId="05657472">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D61EE1" w:rsidRPr="00D61EE1" w:rsidRDefault="00D61EE1" w:rsidP="00D61EE1">
            <w:pPr>
              <w:ind w:left="0"/>
              <w:jc w:val="center"/>
              <w:rPr>
                <w:rFonts w:ascii="Bookman Old Style" w:hAnsi="Bookman Old Style"/>
                <w:color w:val="000000"/>
                <w:sz w:val="22"/>
                <w:szCs w:val="20"/>
              </w:rPr>
            </w:pPr>
            <w:r w:rsidRPr="00D61EE1">
              <w:rPr>
                <w:rFonts w:ascii="Bookman Old Style" w:hAnsi="Bookman Old Style"/>
                <w:color w:val="000000"/>
                <w:sz w:val="22"/>
                <w:szCs w:val="20"/>
              </w:rPr>
              <w:t>112,299</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CE2259" w:rsidRDefault="00CE2259" w:rsidP="00294DD4">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rsidTr="00077A0F">
        <w:trPr>
          <w:trHeight w:val="551"/>
          <w:tblHeader/>
        </w:trPr>
        <w:tc>
          <w:tcPr>
            <w:tcW w:w="8906" w:type="dxa"/>
            <w:gridSpan w:val="3"/>
            <w:shd w:val="clear" w:color="auto" w:fill="D9D9D9" w:themeFill="background1" w:themeFillShade="D9"/>
            <w:vAlign w:val="center"/>
          </w:tcPr>
          <w:p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rsidTr="00077A0F">
        <w:trPr>
          <w:trHeight w:val="406"/>
          <w:tblHeader/>
        </w:trPr>
        <w:tc>
          <w:tcPr>
            <w:tcW w:w="5812"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BC2B64"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A92969" w:rsidRPr="006E3361" w:rsidRDefault="006349B0" w:rsidP="006349B0">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4</w:t>
            </w:r>
            <w:r w:rsidR="00744E22">
              <w:rPr>
                <w:rFonts w:ascii="Bookman Old Style" w:hAnsi="Bookman Old Style" w:cs="Arial"/>
                <w:b/>
                <w:sz w:val="22"/>
                <w:szCs w:val="22"/>
              </w:rPr>
              <w:t>,</w:t>
            </w:r>
            <w:r>
              <w:rPr>
                <w:rFonts w:ascii="Bookman Old Style" w:hAnsi="Bookman Old Style" w:cs="Arial"/>
                <w:b/>
                <w:sz w:val="22"/>
                <w:szCs w:val="22"/>
              </w:rPr>
              <w:t>295</w:t>
            </w:r>
            <w:r w:rsidR="00744E22">
              <w:rPr>
                <w:rFonts w:ascii="Bookman Old Style" w:hAnsi="Bookman Old Style" w:cs="Arial"/>
                <w:b/>
                <w:sz w:val="22"/>
                <w:szCs w:val="22"/>
              </w:rPr>
              <w:t>.</w:t>
            </w:r>
            <w:r>
              <w:rPr>
                <w:rFonts w:ascii="Bookman Old Style" w:hAnsi="Bookman Old Style" w:cs="Arial"/>
                <w:b/>
                <w:sz w:val="22"/>
                <w:szCs w:val="22"/>
              </w:rPr>
              <w:t>01</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3E4288">
              <w:rPr>
                <w:rFonts w:ascii="Bookman Old Style" w:hAnsi="Bookman Old Style"/>
                <w:color w:val="000000"/>
                <w:sz w:val="22"/>
                <w:szCs w:val="22"/>
                <w:lang w:val="es-CO" w:eastAsia="es-CO"/>
              </w:rPr>
              <w:t>LOGIGAS</w:t>
            </w:r>
            <w:r w:rsidR="003551EA">
              <w:rPr>
                <w:rFonts w:ascii="Bookman Old Style" w:hAnsi="Bookman Old Style"/>
                <w:color w:val="000000"/>
                <w:sz w:val="22"/>
                <w:szCs w:val="22"/>
                <w:lang w:val="es-CO" w:eastAsia="es-CO"/>
              </w:rPr>
              <w:t xml:space="preserve"> S.A.S.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6349B0" w:rsidP="006349B0">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w:t>
            </w:r>
            <w:r w:rsidR="00744E22">
              <w:rPr>
                <w:rFonts w:ascii="Bookman Old Style" w:hAnsi="Bookman Old Style" w:cs="Arial"/>
                <w:sz w:val="22"/>
                <w:szCs w:val="22"/>
              </w:rPr>
              <w:t>,</w:t>
            </w:r>
            <w:r>
              <w:rPr>
                <w:rFonts w:ascii="Bookman Old Style" w:hAnsi="Bookman Old Style" w:cs="Arial"/>
                <w:sz w:val="22"/>
                <w:szCs w:val="22"/>
              </w:rPr>
              <w:t>584</w:t>
            </w:r>
            <w:r w:rsidR="00744E22">
              <w:rPr>
                <w:rFonts w:ascii="Bookman Old Style" w:hAnsi="Bookman Old Style" w:cs="Arial"/>
                <w:sz w:val="22"/>
                <w:szCs w:val="22"/>
              </w:rPr>
              <w:t>.</w:t>
            </w:r>
            <w:r>
              <w:rPr>
                <w:rFonts w:ascii="Bookman Old Style" w:hAnsi="Bookman Old Style" w:cs="Arial"/>
                <w:sz w:val="22"/>
                <w:szCs w:val="22"/>
              </w:rPr>
              <w:t>88</w:t>
            </w:r>
          </w:p>
        </w:tc>
      </w:tr>
      <w:tr w:rsidR="00A92969" w:rsidRPr="00202111" w:rsidTr="00202111">
        <w:trPr>
          <w:trHeight w:val="517"/>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6349B0" w:rsidP="006349B0">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1,710</w:t>
            </w:r>
            <w:r w:rsidR="000D5FC4">
              <w:rPr>
                <w:rFonts w:ascii="Bookman Old Style" w:hAnsi="Bookman Old Style" w:cs="Arial"/>
                <w:sz w:val="22"/>
                <w:szCs w:val="22"/>
              </w:rPr>
              <w:t>.</w:t>
            </w:r>
            <w:r>
              <w:rPr>
                <w:rFonts w:ascii="Bookman Old Style" w:hAnsi="Bookman Old Style" w:cs="Arial"/>
                <w:sz w:val="22"/>
                <w:szCs w:val="22"/>
              </w:rPr>
              <w:t>12</w:t>
            </w:r>
          </w:p>
        </w:tc>
      </w:tr>
    </w:tbl>
    <w:p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Resolución CREG 202 de 2013 y aquellas que la </w:t>
      </w:r>
      <w:r w:rsidR="00AD47C2">
        <w:rPr>
          <w:rFonts w:ascii="Bookman Old Style" w:hAnsi="Bookman Old Style" w:cs="Arial"/>
        </w:rPr>
        <w:t>modifiquen y/o adicionen</w:t>
      </w:r>
      <w:r w:rsidRPr="001954E9">
        <w:rPr>
          <w:rFonts w:ascii="Bookman Old Style" w:hAnsi="Bookman Old Style" w:cs="Arial"/>
        </w:rPr>
        <w:t>, e</w:t>
      </w:r>
      <w:r w:rsidRPr="001954E9">
        <w:rPr>
          <w:rFonts w:ascii="Bookman Old Style" w:hAnsi="Bookman Old Style"/>
        </w:rPr>
        <w:t xml:space="preserve">l componente de inversión correspondiente a recursos de la empresa sólo podrá iniciar su cobro al usuario al mes siguiente de que la distribuidora haya </w:t>
      </w:r>
      <w:r w:rsidRPr="001954E9">
        <w:rPr>
          <w:rFonts w:ascii="Bookman Old Style" w:hAnsi="Bookman Old Style"/>
        </w:rPr>
        <w:lastRenderedPageBreak/>
        <w:t>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rsidR="00F90300" w:rsidRPr="005A3F03" w:rsidRDefault="00F90300" w:rsidP="00F90300">
      <w:pPr>
        <w:widowControl w:val="0"/>
        <w:adjustRightInd w:val="0"/>
        <w:ind w:left="0" w:right="20"/>
        <w:jc w:val="both"/>
        <w:rPr>
          <w:rFonts w:ascii="Bookman Old Style" w:hAnsi="Bookman Old Style" w:cs="Arial"/>
          <w:b/>
          <w:bCs/>
          <w:sz w:val="12"/>
        </w:rPr>
      </w:pPr>
    </w:p>
    <w:p w:rsidR="001D0C22" w:rsidRDefault="001D0C22" w:rsidP="00F90300">
      <w:pPr>
        <w:widowControl w:val="0"/>
        <w:adjustRightInd w:val="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F90300" w:rsidRPr="005A3F03" w:rsidRDefault="00F90300" w:rsidP="00F90300">
      <w:pPr>
        <w:widowControl w:val="0"/>
        <w:adjustRightInd w:val="0"/>
        <w:ind w:left="0" w:right="20"/>
        <w:jc w:val="both"/>
        <w:rPr>
          <w:rFonts w:ascii="Bookman Old Style" w:hAnsi="Bookman Old Style" w:cs="Arial"/>
          <w:sz w:val="36"/>
        </w:rPr>
      </w:pPr>
    </w:p>
    <w:p w:rsidR="00CE2259" w:rsidRDefault="00CE2259" w:rsidP="00F90300">
      <w:pPr>
        <w:widowControl w:val="0"/>
        <w:adjustRightInd w:val="0"/>
        <w:spacing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rsidTr="00077A0F">
        <w:trPr>
          <w:trHeight w:val="551"/>
          <w:tblHeader/>
        </w:trPr>
        <w:tc>
          <w:tcPr>
            <w:tcW w:w="8906" w:type="dxa"/>
            <w:gridSpan w:val="3"/>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rsidTr="00077A0F">
        <w:trPr>
          <w:trHeight w:val="406"/>
          <w:tblHeader/>
        </w:trPr>
        <w:tc>
          <w:tcPr>
            <w:tcW w:w="5812"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2C7356" w:rsidRPr="00202111" w:rsidTr="00202111">
        <w:trPr>
          <w:trHeight w:val="516"/>
        </w:trPr>
        <w:tc>
          <w:tcPr>
            <w:tcW w:w="5812" w:type="dxa"/>
            <w:shd w:val="clear" w:color="auto" w:fill="auto"/>
            <w:vAlign w:val="center"/>
          </w:tcPr>
          <w:p w:rsidR="002C7356" w:rsidRPr="00202111" w:rsidRDefault="002C7356" w:rsidP="002C7356">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2C7356" w:rsidRPr="00202111" w:rsidRDefault="002C7356" w:rsidP="002C735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2C7356" w:rsidRPr="006E3361" w:rsidRDefault="002C7356" w:rsidP="002C7356">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4,295.01</w:t>
            </w:r>
          </w:p>
        </w:tc>
      </w:tr>
      <w:tr w:rsidR="002C7356" w:rsidRPr="00202111" w:rsidTr="00202111">
        <w:trPr>
          <w:trHeight w:val="516"/>
        </w:trPr>
        <w:tc>
          <w:tcPr>
            <w:tcW w:w="5812" w:type="dxa"/>
            <w:shd w:val="clear" w:color="auto" w:fill="auto"/>
            <w:vAlign w:val="center"/>
          </w:tcPr>
          <w:p w:rsidR="002C7356" w:rsidRPr="00202111" w:rsidRDefault="002C7356" w:rsidP="002C7356">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LOGIGAS S.A.S.</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rsidR="002C7356" w:rsidRPr="00202111" w:rsidRDefault="002C7356" w:rsidP="002C735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2C7356" w:rsidRPr="00202111" w:rsidRDefault="002C7356" w:rsidP="002C7356">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2,584.88</w:t>
            </w:r>
          </w:p>
        </w:tc>
      </w:tr>
      <w:tr w:rsidR="002C7356" w:rsidRPr="00202111" w:rsidTr="00202111">
        <w:trPr>
          <w:trHeight w:val="517"/>
        </w:trPr>
        <w:tc>
          <w:tcPr>
            <w:tcW w:w="5812" w:type="dxa"/>
            <w:shd w:val="clear" w:color="auto" w:fill="auto"/>
            <w:vAlign w:val="center"/>
          </w:tcPr>
          <w:p w:rsidR="002C7356" w:rsidRPr="00202111" w:rsidRDefault="002C7356" w:rsidP="002C735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2C7356" w:rsidRPr="00202111" w:rsidRDefault="002C7356" w:rsidP="002C735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2C7356" w:rsidRPr="00202111" w:rsidRDefault="002C7356" w:rsidP="002C7356">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1,710.12</w:t>
            </w:r>
          </w:p>
        </w:tc>
      </w:tr>
    </w:tbl>
    <w:p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5A3F03" w:rsidRDefault="005A3F03" w:rsidP="005A3F03">
      <w:pPr>
        <w:spacing w:after="240"/>
        <w:ind w:left="0"/>
        <w:jc w:val="both"/>
        <w:rPr>
          <w:rFonts w:ascii="Bookman Old Style" w:hAnsi="Bookman Old Style" w:cs="Arial"/>
          <w:b/>
          <w:bCs/>
        </w:rPr>
      </w:pPr>
    </w:p>
    <w:p w:rsidR="00BF359F" w:rsidRPr="001954E9" w:rsidRDefault="00BF359F" w:rsidP="005A3F03">
      <w:pPr>
        <w:spacing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rsidR="00BF359F" w:rsidRDefault="00BF359F" w:rsidP="00F90300">
      <w:pPr>
        <w:widowControl w:val="0"/>
        <w:adjustRightInd w:val="0"/>
        <w:spacing w:before="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Pr>
          <w:rFonts w:ascii="Bookman Old Style" w:hAnsi="Bookman Old Style" w:cs="Arial"/>
        </w:rPr>
        <w:t>.</w:t>
      </w:r>
    </w:p>
    <w:p w:rsidR="00F90300" w:rsidRPr="005A3F03" w:rsidRDefault="00F90300" w:rsidP="00F90300">
      <w:pPr>
        <w:widowControl w:val="0"/>
        <w:adjustRightInd w:val="0"/>
        <w:spacing w:before="240"/>
        <w:ind w:left="0" w:right="20"/>
        <w:jc w:val="both"/>
        <w:rPr>
          <w:rFonts w:ascii="Bookman Old Style" w:hAnsi="Bookman Old Style" w:cs="Arial"/>
          <w:sz w:val="16"/>
        </w:rPr>
      </w:pPr>
    </w:p>
    <w:p w:rsidR="00682647" w:rsidRDefault="00035D47" w:rsidP="005A3F03">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xml:space="preserve">. Vencido el período de vigencia de los cargos regulados, estos continuarán </w:t>
      </w:r>
      <w:r w:rsidR="00682647" w:rsidRPr="000B65DE">
        <w:rPr>
          <w:rFonts w:ascii="Bookman Old Style" w:hAnsi="Bookman Old Style"/>
          <w:bCs/>
        </w:rPr>
        <w:lastRenderedPageBreak/>
        <w:t>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rsidR="005A3F03" w:rsidRPr="005A3F03" w:rsidRDefault="005A3F03" w:rsidP="005A3F03">
      <w:pPr>
        <w:widowControl w:val="0"/>
        <w:adjustRightInd w:val="0"/>
        <w:ind w:left="0" w:right="20"/>
        <w:jc w:val="both"/>
        <w:rPr>
          <w:rFonts w:ascii="Bookman Old Style" w:hAnsi="Bookman Old Style" w:cs="Arial"/>
          <w:sz w:val="32"/>
        </w:rPr>
      </w:pPr>
    </w:p>
    <w:p w:rsidR="00035D47" w:rsidRPr="001954E9" w:rsidRDefault="00035D47" w:rsidP="005A3F03">
      <w:pPr>
        <w:spacing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 xml:space="preserve">De acuerdo con lo dispuesto en el parágrafo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 xml:space="preserve">así como la totalidad delo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rsidR="00682647" w:rsidRDefault="00682647" w:rsidP="009353D2">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rsidR="00682647" w:rsidRDefault="00682647" w:rsidP="009353D2">
      <w:pPr>
        <w:spacing w:before="240" w:after="240"/>
        <w:ind w:left="0"/>
        <w:jc w:val="both"/>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rsidR="00035D47" w:rsidRPr="001954E9" w:rsidRDefault="00035D4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rsidR="00327FC7"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F90300" w:rsidRPr="001954E9" w:rsidRDefault="00F90300" w:rsidP="00F90300">
      <w:pPr>
        <w:keepNext/>
        <w:ind w:left="0"/>
        <w:jc w:val="center"/>
        <w:rPr>
          <w:rFonts w:ascii="Bookman Old Style" w:hAnsi="Bookman Old Style" w:cs="Arial"/>
          <w:b/>
          <w:spacing w:val="80"/>
        </w:rPr>
      </w:pPr>
    </w:p>
    <w:p w:rsidR="00273C2C" w:rsidRDefault="00273C2C" w:rsidP="00F90300">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F90300" w:rsidRPr="001954E9" w:rsidRDefault="00F90300" w:rsidP="00F90300">
      <w:pPr>
        <w:widowControl w:val="0"/>
        <w:adjustRightInd w:val="0"/>
        <w:ind w:left="0" w:right="23"/>
        <w:jc w:val="both"/>
        <w:rPr>
          <w:rFonts w:ascii="Bookman Old Style" w:hAnsi="Bookman Old Style" w:cs="Arial"/>
        </w:rPr>
      </w:pPr>
    </w:p>
    <w:p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rsidR="00F90300" w:rsidRDefault="00F90300" w:rsidP="00F90300">
      <w:pPr>
        <w:keepNext/>
        <w:ind w:left="0"/>
        <w:jc w:val="center"/>
        <w:rPr>
          <w:rFonts w:ascii="Bookman Old Style" w:hAnsi="Bookman Old Style" w:cs="Arial"/>
          <w:b/>
          <w:spacing w:val="80"/>
        </w:rPr>
      </w:pPr>
    </w:p>
    <w:p w:rsidR="00327FC7" w:rsidRPr="001954E9" w:rsidRDefault="00327FC7" w:rsidP="00F9030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3E4288">
        <w:rPr>
          <w:rFonts w:ascii="Bookman Old Style" w:hAnsi="Bookman Old Style" w:cs="Arial"/>
          <w:lang w:val="es-ES_tradnl"/>
        </w:rPr>
        <w:t>LOGIGAS</w:t>
      </w:r>
      <w:r w:rsidR="003551EA">
        <w:rPr>
          <w:rFonts w:ascii="Bookman Old Style" w:hAnsi="Bookman Old Style" w:cs="Arial"/>
          <w:lang w:val="es-ES_tradnl"/>
        </w:rPr>
        <w:t xml:space="preserve"> S.A.S.</w:t>
      </w:r>
      <w:r w:rsidR="00BF359F">
        <w:rPr>
          <w:rFonts w:ascii="Bookman Old Style" w:hAnsi="Bookman Old Style" w:cs="Arial"/>
          <w:lang w:val="es-ES_tradnl"/>
        </w:rPr>
        <w:t xml:space="preserve"> E.S.P.</w:t>
      </w:r>
      <w:r w:rsidR="00E83C85">
        <w:rPr>
          <w:rFonts w:ascii="Bookman Old Style" w:hAnsi="Bookman Old Style" w:cs="Arial"/>
          <w:lang w:val="es-ES_tradnl"/>
        </w:rPr>
        <w:t xml:space="preserve"> </w:t>
      </w:r>
      <w:r w:rsidR="00316D76" w:rsidRPr="00341E8F">
        <w:rPr>
          <w:rFonts w:ascii="Bookman Old Style" w:hAnsi="Bookman Old Style" w:cs="Arial"/>
          <w:spacing w:val="-4"/>
        </w:rPr>
        <w:t xml:space="preserve">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Default="00273C2C" w:rsidP="00341E8F">
      <w:pPr>
        <w:widowControl w:val="0"/>
        <w:adjustRightInd w:val="0"/>
        <w:ind w:left="0" w:right="20"/>
        <w:jc w:val="center"/>
        <w:rPr>
          <w:rFonts w:ascii="Bookman Old Style" w:hAnsi="Bookman Old Style" w:cs="Arial"/>
          <w:b/>
        </w:rPr>
      </w:pPr>
    </w:p>
    <w:p w:rsidR="00FD458E" w:rsidRPr="001954E9" w:rsidRDefault="00FD458E"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273C2C" w:rsidRPr="001954E9" w:rsidRDefault="00273C2C" w:rsidP="00341E8F">
      <w:pPr>
        <w:widowControl w:val="0"/>
        <w:adjustRightInd w:val="0"/>
        <w:ind w:left="0" w:right="20"/>
        <w:jc w:val="both"/>
        <w:rPr>
          <w:rFonts w:ascii="Bookman Old Style" w:hAnsi="Bookman Old Style" w:cs="Arial"/>
        </w:rPr>
      </w:pPr>
    </w:p>
    <w:p w:rsidR="00FD458E" w:rsidRDefault="00FD458E"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F90300" w:rsidTr="006C3F44">
        <w:trPr>
          <w:tblCellSpacing w:w="0" w:type="dxa"/>
          <w:jc w:val="center"/>
        </w:trPr>
        <w:tc>
          <w:tcPr>
            <w:tcW w:w="5033" w:type="dxa"/>
          </w:tcPr>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r w:rsidRPr="00F90300">
              <w:rPr>
                <w:rFonts w:ascii="Bookman Old Style" w:hAnsi="Bookman Old Style" w:cs="Arial"/>
                <w:b/>
              </w:rPr>
              <w:t>DIEGO MESA PUYO</w:t>
            </w:r>
          </w:p>
        </w:tc>
        <w:tc>
          <w:tcPr>
            <w:tcW w:w="4465" w:type="dxa"/>
          </w:tcPr>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r w:rsidRPr="00F90300">
              <w:rPr>
                <w:rFonts w:ascii="Bookman Old Style" w:hAnsi="Bookman Old Style" w:cs="Arial"/>
                <w:b/>
                <w:spacing w:val="-3"/>
              </w:rPr>
              <w:t>CHRISTIAN JARAMILLO HERRERA</w:t>
            </w:r>
          </w:p>
        </w:tc>
      </w:tr>
      <w:tr w:rsidR="00F90300" w:rsidTr="006C3F44">
        <w:trPr>
          <w:tblCellSpacing w:w="0" w:type="dxa"/>
          <w:jc w:val="center"/>
        </w:trPr>
        <w:tc>
          <w:tcPr>
            <w:tcW w:w="5033" w:type="dxa"/>
            <w:hideMark/>
          </w:tcPr>
          <w:p w:rsidR="00F90300" w:rsidRPr="00F90300" w:rsidRDefault="00F90300" w:rsidP="006C3F44">
            <w:pPr>
              <w:ind w:left="66"/>
              <w:jc w:val="center"/>
              <w:rPr>
                <w:rFonts w:ascii="Bookman Old Style" w:hAnsi="Bookman Old Style" w:cs="Arial"/>
                <w:spacing w:val="-3"/>
              </w:rPr>
            </w:pPr>
            <w:r w:rsidRPr="00F90300">
              <w:rPr>
                <w:rFonts w:ascii="Bookman Old Style" w:hAnsi="Bookman Old Style" w:cs="Arial"/>
                <w:spacing w:val="-3"/>
              </w:rPr>
              <w:t>Viceministro de Energía</w:t>
            </w:r>
          </w:p>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Delegado de la Ministra de Minas y Energía</w:t>
            </w:r>
          </w:p>
        </w:tc>
        <w:tc>
          <w:tcPr>
            <w:tcW w:w="4465" w:type="dxa"/>
            <w:hideMark/>
          </w:tcPr>
          <w:p w:rsidR="00F90300" w:rsidRPr="00F90300" w:rsidRDefault="00F90300" w:rsidP="006C3F44">
            <w:pPr>
              <w:jc w:val="center"/>
              <w:rPr>
                <w:rFonts w:ascii="Bookman Old Style" w:eastAsia="Arial Unicode MS" w:hAnsi="Bookman Old Style" w:cs="Arial"/>
                <w:color w:val="000000"/>
              </w:rPr>
            </w:pPr>
            <w:r w:rsidRPr="00F90300">
              <w:rPr>
                <w:rFonts w:ascii="Bookman Old Style" w:hAnsi="Bookman Old Style" w:cs="Arial"/>
                <w:spacing w:val="-3"/>
              </w:rPr>
              <w:t>Director Ejecutivo</w:t>
            </w:r>
          </w:p>
        </w:tc>
      </w:tr>
      <w:tr w:rsidR="00F90300" w:rsidTr="006C3F44">
        <w:trPr>
          <w:tblCellSpacing w:w="0" w:type="dxa"/>
          <w:jc w:val="center"/>
        </w:trPr>
        <w:tc>
          <w:tcPr>
            <w:tcW w:w="5033" w:type="dxa"/>
            <w:hideMark/>
          </w:tcPr>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Presidente</w:t>
            </w:r>
          </w:p>
        </w:tc>
        <w:tc>
          <w:tcPr>
            <w:tcW w:w="4465" w:type="dxa"/>
          </w:tcPr>
          <w:p w:rsidR="00F90300" w:rsidRPr="00F90300" w:rsidRDefault="00F90300" w:rsidP="006C3F44">
            <w:pPr>
              <w:jc w:val="center"/>
              <w:rPr>
                <w:rFonts w:ascii="Bookman Old Style" w:eastAsia="Arial Unicode MS" w:hAnsi="Bookman Old Style" w:cs="Arial"/>
                <w:color w:val="000000"/>
                <w:sz w:val="22"/>
              </w:rPr>
            </w:pPr>
          </w:p>
        </w:tc>
      </w:tr>
    </w:tbl>
    <w:p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rsidR="00273C2C" w:rsidRDefault="00273C2C"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7D31F1" w:rsidRDefault="007D31F1" w:rsidP="00341E8F">
      <w:pPr>
        <w:widowControl w:val="0"/>
        <w:adjustRightInd w:val="0"/>
        <w:ind w:left="0"/>
        <w:jc w:val="center"/>
        <w:rPr>
          <w:rFonts w:ascii="Bookman Old Style" w:hAnsi="Bookman Old Style" w:cs="Arial"/>
          <w:bCs/>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0"/>
        <w:gridCol w:w="1420"/>
        <w:gridCol w:w="851"/>
        <w:gridCol w:w="852"/>
        <w:gridCol w:w="1136"/>
        <w:gridCol w:w="850"/>
        <w:gridCol w:w="426"/>
        <w:gridCol w:w="426"/>
        <w:gridCol w:w="422"/>
        <w:gridCol w:w="426"/>
        <w:gridCol w:w="424"/>
        <w:gridCol w:w="983"/>
      </w:tblGrid>
      <w:tr w:rsidR="007A7973" w:rsidRPr="007A7973" w:rsidTr="00F55A6D">
        <w:trPr>
          <w:trHeight w:val="375"/>
        </w:trPr>
        <w:tc>
          <w:tcPr>
            <w:tcW w:w="604" w:type="pct"/>
            <w:vMerge w:val="restart"/>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Municipio</w:t>
            </w:r>
          </w:p>
        </w:tc>
        <w:tc>
          <w:tcPr>
            <w:tcW w:w="759" w:type="pct"/>
            <w:vMerge w:val="restart"/>
            <w:shd w:val="clear" w:color="auto" w:fill="BFBFBF" w:themeFill="background1" w:themeFillShade="BF"/>
            <w:noWrap/>
            <w:vAlign w:val="center"/>
            <w:hideMark/>
          </w:tcPr>
          <w:p w:rsidR="007A7973" w:rsidRPr="007A7973" w:rsidRDefault="007A7973" w:rsidP="00885AFE">
            <w:pPr>
              <w:ind w:left="-202" w:firstLine="202"/>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Unidad Constructiva</w:t>
            </w:r>
          </w:p>
        </w:tc>
        <w:tc>
          <w:tcPr>
            <w:tcW w:w="455" w:type="pct"/>
            <w:vMerge w:val="restart"/>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Código de la UC</w:t>
            </w:r>
          </w:p>
        </w:tc>
        <w:tc>
          <w:tcPr>
            <w:tcW w:w="456" w:type="pct"/>
            <w:vMerge w:val="restart"/>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Costo</w:t>
            </w:r>
          </w:p>
        </w:tc>
        <w:tc>
          <w:tcPr>
            <w:tcW w:w="608" w:type="pct"/>
            <w:vMerge w:val="restart"/>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Tipo de Inversión</w:t>
            </w:r>
          </w:p>
        </w:tc>
        <w:tc>
          <w:tcPr>
            <w:tcW w:w="455" w:type="pct"/>
            <w:vMerge w:val="restart"/>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Red</w:t>
            </w:r>
          </w:p>
        </w:tc>
        <w:tc>
          <w:tcPr>
            <w:tcW w:w="1135" w:type="pct"/>
            <w:gridSpan w:val="5"/>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Cantidad</w:t>
            </w:r>
          </w:p>
        </w:tc>
        <w:tc>
          <w:tcPr>
            <w:tcW w:w="529"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Costo Total</w:t>
            </w:r>
          </w:p>
        </w:tc>
      </w:tr>
      <w:tr w:rsidR="007A7973" w:rsidRPr="007A7973" w:rsidTr="00F55A6D">
        <w:trPr>
          <w:trHeight w:val="270"/>
        </w:trPr>
        <w:tc>
          <w:tcPr>
            <w:tcW w:w="604" w:type="pct"/>
            <w:vMerge/>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759" w:type="pct"/>
            <w:vMerge/>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455" w:type="pct"/>
            <w:vMerge/>
            <w:shd w:val="clear" w:color="auto" w:fill="BFBFBF" w:themeFill="background1" w:themeFillShade="BF"/>
            <w:noWrap/>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456" w:type="pct"/>
            <w:vMerge/>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608" w:type="pct"/>
            <w:vMerge/>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455" w:type="pct"/>
            <w:vMerge/>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p>
        </w:tc>
        <w:tc>
          <w:tcPr>
            <w:tcW w:w="228"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1</w:t>
            </w:r>
          </w:p>
        </w:tc>
        <w:tc>
          <w:tcPr>
            <w:tcW w:w="228"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2</w:t>
            </w:r>
          </w:p>
        </w:tc>
        <w:tc>
          <w:tcPr>
            <w:tcW w:w="226"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3</w:t>
            </w:r>
          </w:p>
        </w:tc>
        <w:tc>
          <w:tcPr>
            <w:tcW w:w="228"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4</w:t>
            </w:r>
          </w:p>
        </w:tc>
        <w:tc>
          <w:tcPr>
            <w:tcW w:w="227"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5</w:t>
            </w:r>
          </w:p>
        </w:tc>
        <w:tc>
          <w:tcPr>
            <w:tcW w:w="529" w:type="pct"/>
            <w:shd w:val="clear" w:color="auto" w:fill="BFBFBF" w:themeFill="background1" w:themeFillShade="BF"/>
            <w:vAlign w:val="center"/>
            <w:hideMark/>
          </w:tcPr>
          <w:p w:rsidR="007A7973" w:rsidRPr="007A7973" w:rsidRDefault="007A7973" w:rsidP="00885AFE">
            <w:pPr>
              <w:ind w:left="0"/>
              <w:jc w:val="center"/>
              <w:rPr>
                <w:rFonts w:ascii="Bookman Old Style" w:hAnsi="Bookman Old Style"/>
                <w:b/>
                <w:color w:val="000000"/>
                <w:sz w:val="12"/>
                <w:szCs w:val="12"/>
                <w:lang w:val="es-CO" w:eastAsia="es-CO"/>
              </w:rPr>
            </w:pPr>
            <w:r w:rsidRPr="007A7973">
              <w:rPr>
                <w:rFonts w:ascii="Bookman Old Style" w:hAnsi="Bookman Old Style"/>
                <w:b/>
                <w:color w:val="000000"/>
                <w:sz w:val="12"/>
                <w:szCs w:val="12"/>
                <w:lang w:val="es-CO" w:eastAsia="es-CO"/>
              </w:rPr>
              <w:t>Año 1</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El toro-Castilla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1/2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TPE1/2CO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74,427,810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0.01</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744,278</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El toro-Castilla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75,267,997</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0.21</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15,655,743</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El toro-Castilla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1/2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TPE1/2ZV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18,485,933</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0.11</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2,014,967</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El toro-Castilla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19,416,540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0.78</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15,125,485</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1/2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TPE1/2CO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74,427,810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0.16</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11,908,450</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Casablanca-Castilla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75,267,997</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0.06</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4,817,152</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75,267,997</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0.52</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39,365,162</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 pulg. en Calzada Concreto</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TPE1CO</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77,818,615</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0.21</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16,575,365</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1/2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TPE1/2ZV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18,485,933</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0.05</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887,325</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La Represa-Castilla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19,416,540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0.87</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16,853,557</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19,416,540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0.44</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8,465,612</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Casablanca-Castilla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3/4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TPE3/4ZV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19,416,540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0.54</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10,523,765</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Casablanca-Castilla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22,117,674</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1.93</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42,687,111</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Tubería de Polietileno de 1 pulg. en Zona Verde</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TPE1ZV</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22,117,674</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Inherentes a la Operación</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Secundaria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0.21</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4,688,947</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Casablanca-Castilla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Estación de GLP de 1000 galones</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TMP-1</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50,000,000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Especiales</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Primaria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50,000,000</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La Represa-Castilla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Estación de GLP de 1000 galones</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TMP-1</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50,000,000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Especiales</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Primaria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50,000,000</w:t>
            </w:r>
          </w:p>
        </w:tc>
      </w:tr>
      <w:tr w:rsidR="007A7973" w:rsidRPr="007A7973" w:rsidTr="00F55A6D">
        <w:trPr>
          <w:trHeight w:val="270"/>
        </w:trPr>
        <w:tc>
          <w:tcPr>
            <w:tcW w:w="604"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Pueblo Nuevo-Castilla la nueva-Meta</w:t>
            </w:r>
          </w:p>
        </w:tc>
        <w:tc>
          <w:tcPr>
            <w:tcW w:w="759"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Estación de GLP de 500 galones</w:t>
            </w:r>
          </w:p>
        </w:tc>
        <w:tc>
          <w:tcPr>
            <w:tcW w:w="455"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TMP-3</w:t>
            </w:r>
          </w:p>
        </w:tc>
        <w:tc>
          <w:tcPr>
            <w:tcW w:w="45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20,000,000</w:t>
            </w:r>
          </w:p>
        </w:tc>
        <w:tc>
          <w:tcPr>
            <w:tcW w:w="608" w:type="pct"/>
            <w:shd w:val="clear" w:color="auto" w:fill="auto"/>
            <w:noWrap/>
            <w:vAlign w:val="center"/>
            <w:hideMark/>
          </w:tcPr>
          <w:p w:rsidR="007A7973" w:rsidRPr="007A7973" w:rsidRDefault="007A7973" w:rsidP="007A7973">
            <w:pPr>
              <w:ind w:left="0"/>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Activos Especiales</w:t>
            </w:r>
          </w:p>
        </w:tc>
        <w:tc>
          <w:tcPr>
            <w:tcW w:w="455" w:type="pct"/>
            <w:shd w:val="clear" w:color="auto" w:fill="auto"/>
            <w:noWrap/>
            <w:vAlign w:val="center"/>
            <w:hideMark/>
          </w:tcPr>
          <w:p w:rsidR="007A7973" w:rsidRPr="007A7973" w:rsidRDefault="007A7973" w:rsidP="007A7973">
            <w:pPr>
              <w:ind w:left="0"/>
              <w:jc w:val="center"/>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Primaria</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1.00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6"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8"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227"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0.00</w:t>
            </w:r>
          </w:p>
        </w:tc>
        <w:tc>
          <w:tcPr>
            <w:tcW w:w="529" w:type="pct"/>
            <w:shd w:val="clear" w:color="auto" w:fill="auto"/>
            <w:noWrap/>
            <w:vAlign w:val="center"/>
            <w:hideMark/>
          </w:tcPr>
          <w:p w:rsidR="007A7973" w:rsidRPr="007A7973" w:rsidRDefault="007A7973" w:rsidP="007A7973">
            <w:pPr>
              <w:ind w:left="0"/>
              <w:jc w:val="right"/>
              <w:rPr>
                <w:rFonts w:ascii="Bookman Old Style" w:hAnsi="Bookman Old Style"/>
                <w:color w:val="000000"/>
                <w:sz w:val="12"/>
                <w:szCs w:val="12"/>
                <w:lang w:val="es-CO" w:eastAsia="es-CO"/>
              </w:rPr>
            </w:pPr>
            <w:r w:rsidRPr="007A7973">
              <w:rPr>
                <w:rFonts w:ascii="Bookman Old Style" w:hAnsi="Bookman Old Style"/>
                <w:color w:val="000000"/>
                <w:sz w:val="12"/>
                <w:szCs w:val="12"/>
                <w:lang w:val="es-CO" w:eastAsia="es-CO"/>
              </w:rPr>
              <w:t>20,000,000</w:t>
            </w:r>
          </w:p>
        </w:tc>
      </w:tr>
    </w:tbl>
    <w:p w:rsidR="00887878" w:rsidRPr="00945EFE" w:rsidRDefault="00273C2C" w:rsidP="00945EFE">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Pr="00CF6508">
        <w:rPr>
          <w:rFonts w:ascii="Bookman Old Style" w:hAnsi="Bookman Old Style" w:cs="Arial"/>
          <w:bCs/>
          <w:sz w:val="14"/>
        </w:rPr>
        <w:t>)</w:t>
      </w:r>
    </w:p>
    <w:p w:rsidR="00984132" w:rsidRDefault="00984132" w:rsidP="00341E8F">
      <w:pPr>
        <w:widowControl w:val="0"/>
        <w:adjustRightInd w:val="0"/>
        <w:ind w:left="0"/>
        <w:jc w:val="center"/>
        <w:rPr>
          <w:rFonts w:ascii="Bookman Old Style" w:hAnsi="Bookman Old Style" w:cs="Arial"/>
          <w:bCs/>
          <w:sz w:val="20"/>
        </w:rPr>
      </w:pPr>
    </w:p>
    <w:p w:rsidR="00195EC1" w:rsidRDefault="00195EC1"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F90300" w:rsidRPr="00F90300" w:rsidTr="006C3F44">
        <w:trPr>
          <w:tblCellSpacing w:w="0" w:type="dxa"/>
          <w:jc w:val="center"/>
        </w:trPr>
        <w:tc>
          <w:tcPr>
            <w:tcW w:w="5033" w:type="dxa"/>
          </w:tcPr>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r w:rsidRPr="00F90300">
              <w:rPr>
                <w:rFonts w:ascii="Bookman Old Style" w:hAnsi="Bookman Old Style" w:cs="Arial"/>
                <w:b/>
              </w:rPr>
              <w:t>DIEGO MESA PUYO</w:t>
            </w:r>
          </w:p>
        </w:tc>
        <w:tc>
          <w:tcPr>
            <w:tcW w:w="4465" w:type="dxa"/>
          </w:tcPr>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r w:rsidRPr="00F90300">
              <w:rPr>
                <w:rFonts w:ascii="Bookman Old Style" w:hAnsi="Bookman Old Style" w:cs="Arial"/>
                <w:b/>
                <w:spacing w:val="-3"/>
              </w:rPr>
              <w:t>CHRISTIAN JARAMILLO HERRERA</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hAnsi="Bookman Old Style" w:cs="Arial"/>
                <w:spacing w:val="-3"/>
              </w:rPr>
            </w:pPr>
            <w:r w:rsidRPr="00F90300">
              <w:rPr>
                <w:rFonts w:ascii="Bookman Old Style" w:hAnsi="Bookman Old Style" w:cs="Arial"/>
                <w:spacing w:val="-3"/>
              </w:rPr>
              <w:t>Viceministro de Energía</w:t>
            </w:r>
          </w:p>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Delegado de la Ministra de Minas y Energía</w:t>
            </w:r>
          </w:p>
        </w:tc>
        <w:tc>
          <w:tcPr>
            <w:tcW w:w="4465" w:type="dxa"/>
            <w:hideMark/>
          </w:tcPr>
          <w:p w:rsidR="00F90300" w:rsidRPr="00F90300" w:rsidRDefault="00F90300" w:rsidP="006C3F44">
            <w:pPr>
              <w:jc w:val="center"/>
              <w:rPr>
                <w:rFonts w:ascii="Bookman Old Style" w:eastAsia="Arial Unicode MS" w:hAnsi="Bookman Old Style" w:cs="Arial"/>
                <w:color w:val="000000"/>
              </w:rPr>
            </w:pPr>
            <w:r w:rsidRPr="00F90300">
              <w:rPr>
                <w:rFonts w:ascii="Bookman Old Style" w:hAnsi="Bookman Old Style" w:cs="Arial"/>
                <w:spacing w:val="-3"/>
              </w:rPr>
              <w:t>Director Ejecutivo</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Presidente</w:t>
            </w:r>
          </w:p>
        </w:tc>
        <w:tc>
          <w:tcPr>
            <w:tcW w:w="4465" w:type="dxa"/>
          </w:tcPr>
          <w:p w:rsidR="00F90300" w:rsidRPr="00F90300" w:rsidRDefault="00F90300" w:rsidP="006C3F44">
            <w:pPr>
              <w:jc w:val="center"/>
              <w:rPr>
                <w:rFonts w:ascii="Bookman Old Style" w:eastAsia="Arial Unicode MS" w:hAnsi="Bookman Old Style" w:cs="Arial"/>
                <w:color w:val="000000"/>
                <w:sz w:val="22"/>
              </w:rPr>
            </w:pPr>
          </w:p>
        </w:tc>
      </w:tr>
    </w:tbl>
    <w:p w:rsidR="00415FAD" w:rsidRDefault="00415FAD"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rsidTr="00E51288">
        <w:trPr>
          <w:trHeight w:val="864"/>
          <w:jc w:val="center"/>
        </w:trPr>
        <w:tc>
          <w:tcPr>
            <w:tcW w:w="5184" w:type="dxa"/>
          </w:tcPr>
          <w:p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rsidR="00984132" w:rsidRPr="00666660" w:rsidRDefault="00984132" w:rsidP="0027242C">
            <w:pPr>
              <w:tabs>
                <w:tab w:val="left" w:pos="-720"/>
              </w:tabs>
              <w:suppressAutoHyphens/>
              <w:ind w:left="0"/>
              <w:jc w:val="center"/>
              <w:rPr>
                <w:rFonts w:ascii="Bookman Old Style" w:hAnsi="Bookman Old Style" w:cs="Arial"/>
                <w:b/>
                <w:spacing w:val="-3"/>
              </w:rPr>
            </w:pPr>
          </w:p>
        </w:tc>
      </w:tr>
    </w:tbl>
    <w:p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rsidR="00273C2C" w:rsidRDefault="00273C2C" w:rsidP="004D7020">
      <w:pPr>
        <w:widowControl w:val="0"/>
        <w:adjustRightInd w:val="0"/>
        <w:ind w:left="0"/>
        <w:jc w:val="center"/>
        <w:rPr>
          <w:rFonts w:ascii="Bookman Old Style" w:hAnsi="Bookman Old Style" w:cs="Arial"/>
          <w:b/>
          <w:bCs/>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7D31F1" w:rsidRDefault="007D31F1" w:rsidP="00341E8F">
      <w:pPr>
        <w:widowControl w:val="0"/>
        <w:adjustRightInd w:val="0"/>
        <w:ind w:left="0"/>
        <w:jc w:val="center"/>
        <w:rPr>
          <w:rFonts w:ascii="Bookman Old Style" w:hAnsi="Bookman Old Style"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826"/>
        <w:gridCol w:w="757"/>
        <w:gridCol w:w="757"/>
        <w:gridCol w:w="757"/>
        <w:gridCol w:w="757"/>
        <w:gridCol w:w="757"/>
        <w:gridCol w:w="757"/>
        <w:gridCol w:w="757"/>
        <w:gridCol w:w="757"/>
        <w:gridCol w:w="757"/>
        <w:gridCol w:w="751"/>
      </w:tblGrid>
      <w:tr w:rsidR="008748B7" w:rsidRPr="008748B7" w:rsidTr="008748B7">
        <w:trPr>
          <w:trHeight w:val="375"/>
          <w:tblHeader/>
        </w:trPr>
        <w:tc>
          <w:tcPr>
            <w:tcW w:w="511" w:type="pct"/>
            <w:vMerge w:val="restart"/>
            <w:shd w:val="clear" w:color="auto" w:fill="BFBFBF" w:themeFill="background1" w:themeFillShade="BF"/>
            <w:noWrap/>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Municipio</w:t>
            </w:r>
          </w:p>
        </w:tc>
        <w:tc>
          <w:tcPr>
            <w:tcW w:w="442" w:type="pct"/>
            <w:vMerge w:val="restart"/>
            <w:shd w:val="clear" w:color="auto" w:fill="BFBFBF" w:themeFill="background1" w:themeFillShade="BF"/>
            <w:noWrap/>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Usuario</w:t>
            </w:r>
          </w:p>
        </w:tc>
        <w:tc>
          <w:tcPr>
            <w:tcW w:w="809" w:type="pct"/>
            <w:gridSpan w:val="2"/>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Año 1</w:t>
            </w:r>
          </w:p>
        </w:tc>
        <w:tc>
          <w:tcPr>
            <w:tcW w:w="810" w:type="pct"/>
            <w:gridSpan w:val="2"/>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Año 2</w:t>
            </w:r>
          </w:p>
        </w:tc>
        <w:tc>
          <w:tcPr>
            <w:tcW w:w="810" w:type="pct"/>
            <w:gridSpan w:val="2"/>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Año 3</w:t>
            </w:r>
          </w:p>
        </w:tc>
        <w:tc>
          <w:tcPr>
            <w:tcW w:w="810" w:type="pct"/>
            <w:gridSpan w:val="2"/>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Año 4</w:t>
            </w:r>
          </w:p>
        </w:tc>
        <w:tc>
          <w:tcPr>
            <w:tcW w:w="807" w:type="pct"/>
            <w:gridSpan w:val="2"/>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r w:rsidRPr="008748B7">
              <w:rPr>
                <w:rFonts w:ascii="Bookman Old Style" w:hAnsi="Bookman Old Style"/>
                <w:b/>
                <w:color w:val="000000"/>
                <w:sz w:val="12"/>
                <w:szCs w:val="12"/>
                <w:lang w:val="es-CO" w:eastAsia="es-CO"/>
              </w:rPr>
              <w:t>Año 5</w:t>
            </w:r>
          </w:p>
        </w:tc>
      </w:tr>
      <w:tr w:rsidR="008748B7" w:rsidRPr="008748B7" w:rsidTr="008748B7">
        <w:trPr>
          <w:trHeight w:val="300"/>
          <w:tblHeader/>
        </w:trPr>
        <w:tc>
          <w:tcPr>
            <w:tcW w:w="511" w:type="pct"/>
            <w:vMerge/>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p>
        </w:tc>
        <w:tc>
          <w:tcPr>
            <w:tcW w:w="442" w:type="pct"/>
            <w:vMerge/>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2"/>
                <w:szCs w:val="12"/>
                <w:lang w:val="es-CO" w:eastAsia="es-CO"/>
              </w:rPr>
            </w:pP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Primaria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Secundaria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Primaria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Secundaria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Primaria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Secundaria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Primaria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Secundaria</w:t>
            </w:r>
          </w:p>
        </w:tc>
        <w:tc>
          <w:tcPr>
            <w:tcW w:w="405"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Primaria</w:t>
            </w:r>
          </w:p>
        </w:tc>
        <w:tc>
          <w:tcPr>
            <w:tcW w:w="402" w:type="pct"/>
            <w:shd w:val="clear" w:color="auto" w:fill="BFBFBF" w:themeFill="background1" w:themeFillShade="BF"/>
            <w:vAlign w:val="center"/>
            <w:hideMark/>
          </w:tcPr>
          <w:p w:rsidR="008748B7" w:rsidRPr="008748B7" w:rsidRDefault="008748B7" w:rsidP="008748B7">
            <w:pPr>
              <w:ind w:left="0"/>
              <w:jc w:val="center"/>
              <w:rPr>
                <w:rFonts w:ascii="Bookman Old Style" w:hAnsi="Bookman Old Style"/>
                <w:b/>
                <w:color w:val="000000"/>
                <w:sz w:val="10"/>
                <w:szCs w:val="10"/>
                <w:lang w:val="es-CO" w:eastAsia="es-CO"/>
              </w:rPr>
            </w:pPr>
            <w:r w:rsidRPr="008748B7">
              <w:rPr>
                <w:rFonts w:ascii="Bookman Old Style" w:hAnsi="Bookman Old Style"/>
                <w:b/>
                <w:color w:val="000000"/>
                <w:sz w:val="10"/>
                <w:szCs w:val="10"/>
                <w:lang w:val="es-CO" w:eastAsia="es-CO"/>
              </w:rPr>
              <w:t>Secundaria</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Residencial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1</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39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2</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3</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4</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5</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6</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Comercial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Industrial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GNCV</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Otros</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Residencial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1</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46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2</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3</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4</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5</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6</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Comercial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Industrial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GNCV</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Otros</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Residencial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1</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24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2</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w:t>
            </w:r>
            <w:r w:rsidRPr="008748B7">
              <w:rPr>
                <w:rFonts w:ascii="Bookman Old Style" w:hAnsi="Bookman Old Style"/>
                <w:color w:val="000000"/>
                <w:sz w:val="12"/>
                <w:szCs w:val="12"/>
                <w:lang w:val="es-CO" w:eastAsia="es-CO"/>
              </w:rPr>
              <w:lastRenderedPageBreak/>
              <w:t>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lastRenderedPageBreak/>
              <w:t>Estrato 3</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lastRenderedPageBreak/>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4</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5</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6</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Comercial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Industrial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GNCV</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Otros</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Residencial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1</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76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2</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3</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4</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5</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Estrato 6</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Comercial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Industrial</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GNCV</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r w:rsidR="008748B7" w:rsidRPr="008748B7" w:rsidTr="008748B7">
        <w:trPr>
          <w:trHeight w:val="270"/>
        </w:trPr>
        <w:tc>
          <w:tcPr>
            <w:tcW w:w="511"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Otros</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5"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8748B7" w:rsidRPr="008748B7" w:rsidRDefault="008748B7" w:rsidP="008748B7">
            <w:pPr>
              <w:ind w:left="0"/>
              <w:rPr>
                <w:rFonts w:ascii="Bookman Old Style" w:hAnsi="Bookman Old Style"/>
                <w:color w:val="000000"/>
                <w:sz w:val="12"/>
                <w:szCs w:val="12"/>
                <w:lang w:val="es-CO" w:eastAsia="es-CO"/>
              </w:rPr>
            </w:pPr>
            <w:r w:rsidRPr="008748B7">
              <w:rPr>
                <w:rFonts w:ascii="Bookman Old Style" w:hAnsi="Bookman Old Style"/>
                <w:color w:val="000000"/>
                <w:sz w:val="12"/>
                <w:szCs w:val="12"/>
                <w:lang w:val="es-CO" w:eastAsia="es-CO"/>
              </w:rPr>
              <w:t xml:space="preserve">                                    - </w:t>
            </w:r>
          </w:p>
        </w:tc>
      </w:tr>
    </w:tbl>
    <w:p w:rsidR="008748B7" w:rsidRDefault="008748B7" w:rsidP="00341E8F">
      <w:pPr>
        <w:widowControl w:val="0"/>
        <w:adjustRightInd w:val="0"/>
        <w:ind w:left="0"/>
        <w:jc w:val="center"/>
        <w:rPr>
          <w:rFonts w:ascii="Bookman Old Style" w:hAnsi="Bookman Old Style" w:cs="Arial"/>
          <w:b/>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9"/>
        <w:gridCol w:w="856"/>
        <w:gridCol w:w="701"/>
        <w:gridCol w:w="851"/>
        <w:gridCol w:w="640"/>
        <w:gridCol w:w="781"/>
        <w:gridCol w:w="781"/>
        <w:gridCol w:w="783"/>
        <w:gridCol w:w="781"/>
        <w:gridCol w:w="783"/>
        <w:gridCol w:w="709"/>
        <w:gridCol w:w="844"/>
      </w:tblGrid>
      <w:tr w:rsidR="00AA7764" w:rsidRPr="00777497" w:rsidTr="00AA7764">
        <w:trPr>
          <w:trHeight w:val="375"/>
          <w:tblHeader/>
        </w:trPr>
        <w:tc>
          <w:tcPr>
            <w:tcW w:w="521" w:type="pct"/>
            <w:vMerge w:val="restart"/>
            <w:shd w:val="clear" w:color="auto" w:fill="BFBFBF" w:themeFill="background1" w:themeFillShade="BF"/>
            <w:noWrap/>
            <w:vAlign w:val="center"/>
            <w:hideMark/>
          </w:tcPr>
          <w:p w:rsidR="00777497" w:rsidRPr="00777497" w:rsidRDefault="00777497" w:rsidP="00777497">
            <w:pPr>
              <w:ind w:left="0" w:right="53"/>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 Municipio</w:t>
            </w:r>
          </w:p>
        </w:tc>
        <w:tc>
          <w:tcPr>
            <w:tcW w:w="451" w:type="pct"/>
            <w:vMerge w:val="restart"/>
            <w:shd w:val="clear" w:color="auto" w:fill="BFBFBF" w:themeFill="background1" w:themeFillShade="BF"/>
            <w:noWrap/>
            <w:vAlign w:val="center"/>
            <w:hideMark/>
          </w:tcPr>
          <w:p w:rsidR="00777497" w:rsidRPr="00777497" w:rsidRDefault="00777497" w:rsidP="00777497">
            <w:pPr>
              <w:ind w:left="0" w:right="53"/>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 Usuario</w:t>
            </w:r>
          </w:p>
        </w:tc>
        <w:tc>
          <w:tcPr>
            <w:tcW w:w="817" w:type="pct"/>
            <w:gridSpan w:val="2"/>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Año 6</w:t>
            </w:r>
          </w:p>
        </w:tc>
        <w:tc>
          <w:tcPr>
            <w:tcW w:w="748" w:type="pct"/>
            <w:gridSpan w:val="2"/>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Año 7</w:t>
            </w:r>
          </w:p>
        </w:tc>
        <w:tc>
          <w:tcPr>
            <w:tcW w:w="823" w:type="pct"/>
            <w:gridSpan w:val="2"/>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Año 8</w:t>
            </w:r>
          </w:p>
        </w:tc>
        <w:tc>
          <w:tcPr>
            <w:tcW w:w="823" w:type="pct"/>
            <w:gridSpan w:val="2"/>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Año 9</w:t>
            </w:r>
          </w:p>
        </w:tc>
        <w:tc>
          <w:tcPr>
            <w:tcW w:w="819" w:type="pct"/>
            <w:gridSpan w:val="2"/>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r w:rsidRPr="00777497">
              <w:rPr>
                <w:rFonts w:ascii="Bookman Old Style" w:hAnsi="Bookman Old Style"/>
                <w:b/>
                <w:color w:val="000000"/>
                <w:sz w:val="12"/>
                <w:szCs w:val="12"/>
                <w:lang w:val="es-CO" w:eastAsia="es-CO"/>
              </w:rPr>
              <w:t>Año 10</w:t>
            </w:r>
          </w:p>
        </w:tc>
      </w:tr>
      <w:tr w:rsidR="00AA7764" w:rsidRPr="00777497" w:rsidTr="00AA7764">
        <w:trPr>
          <w:trHeight w:val="300"/>
          <w:tblHeader/>
        </w:trPr>
        <w:tc>
          <w:tcPr>
            <w:tcW w:w="521" w:type="pct"/>
            <w:vMerge/>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p>
        </w:tc>
        <w:tc>
          <w:tcPr>
            <w:tcW w:w="451" w:type="pct"/>
            <w:vMerge/>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2"/>
                <w:szCs w:val="12"/>
                <w:lang w:val="es-CO" w:eastAsia="es-CO"/>
              </w:rPr>
            </w:pPr>
          </w:p>
        </w:tc>
        <w:tc>
          <w:tcPr>
            <w:tcW w:w="369"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Primaria</w:t>
            </w:r>
          </w:p>
        </w:tc>
        <w:tc>
          <w:tcPr>
            <w:tcW w:w="447" w:type="pct"/>
            <w:shd w:val="clear" w:color="auto" w:fill="BFBFBF" w:themeFill="background1" w:themeFillShade="BF"/>
            <w:vAlign w:val="center"/>
            <w:hideMark/>
          </w:tcPr>
          <w:p w:rsidR="00777497" w:rsidRPr="00777497" w:rsidRDefault="00777497" w:rsidP="00685922">
            <w:pPr>
              <w:ind w:left="0" w:right="68"/>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Secundaria</w:t>
            </w:r>
          </w:p>
        </w:tc>
        <w:tc>
          <w:tcPr>
            <w:tcW w:w="337"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Secundaria</w:t>
            </w:r>
          </w:p>
        </w:tc>
        <w:tc>
          <w:tcPr>
            <w:tcW w:w="411"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Primaria</w:t>
            </w:r>
          </w:p>
        </w:tc>
        <w:tc>
          <w:tcPr>
            <w:tcW w:w="412"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Secundaria</w:t>
            </w:r>
          </w:p>
        </w:tc>
        <w:tc>
          <w:tcPr>
            <w:tcW w:w="411"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Primaria</w:t>
            </w:r>
          </w:p>
        </w:tc>
        <w:tc>
          <w:tcPr>
            <w:tcW w:w="412"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Secundaria</w:t>
            </w:r>
          </w:p>
        </w:tc>
        <w:tc>
          <w:tcPr>
            <w:tcW w:w="373" w:type="pct"/>
            <w:shd w:val="clear" w:color="auto" w:fill="BFBFBF" w:themeFill="background1" w:themeFillShade="BF"/>
            <w:vAlign w:val="center"/>
            <w:hideMark/>
          </w:tcPr>
          <w:p w:rsidR="00777497" w:rsidRPr="00777497" w:rsidRDefault="00777497" w:rsidP="00777497">
            <w:pPr>
              <w:ind w:left="0" w:right="53"/>
              <w:jc w:val="center"/>
              <w:rPr>
                <w:rFonts w:ascii="Bookman Old Style" w:hAnsi="Bookman Old Style"/>
                <w:b/>
                <w:color w:val="000000"/>
                <w:sz w:val="10"/>
                <w:szCs w:val="10"/>
                <w:lang w:val="es-CO" w:eastAsia="es-CO"/>
              </w:rPr>
            </w:pPr>
            <w:r w:rsidRPr="00777497">
              <w:rPr>
                <w:rFonts w:ascii="Bookman Old Style" w:hAnsi="Bookman Old Style"/>
                <w:b/>
                <w:color w:val="000000"/>
                <w:sz w:val="10"/>
                <w:szCs w:val="10"/>
                <w:lang w:val="es-CO" w:eastAsia="es-CO"/>
              </w:rPr>
              <w:t>Primaria</w:t>
            </w:r>
          </w:p>
        </w:tc>
        <w:tc>
          <w:tcPr>
            <w:tcW w:w="446" w:type="pct"/>
            <w:shd w:val="clear" w:color="auto" w:fill="BFBFBF" w:themeFill="background1" w:themeFillShade="BF"/>
            <w:vAlign w:val="center"/>
            <w:hideMark/>
          </w:tcPr>
          <w:p w:rsidR="00777497" w:rsidRPr="00777497" w:rsidRDefault="00685922" w:rsidP="00777497">
            <w:pPr>
              <w:ind w:left="0" w:right="53"/>
              <w:jc w:val="center"/>
              <w:rPr>
                <w:rFonts w:ascii="Bookman Old Style" w:hAnsi="Bookman Old Style"/>
                <w:b/>
                <w:color w:val="000000"/>
                <w:sz w:val="10"/>
                <w:szCs w:val="10"/>
                <w:lang w:val="es-CO" w:eastAsia="es-CO"/>
              </w:rPr>
            </w:pPr>
            <w:r>
              <w:rPr>
                <w:rFonts w:ascii="Bookman Old Style" w:hAnsi="Bookman Old Style"/>
                <w:b/>
                <w:color w:val="000000"/>
                <w:sz w:val="10"/>
                <w:szCs w:val="10"/>
                <w:lang w:val="es-CO" w:eastAsia="es-CO"/>
              </w:rPr>
              <w:t>Secundari</w:t>
            </w:r>
            <w:r w:rsidR="00AA7764">
              <w:rPr>
                <w:rFonts w:ascii="Bookman Old Style" w:hAnsi="Bookman Old Style"/>
                <w:b/>
                <w:color w:val="000000"/>
                <w:sz w:val="10"/>
                <w:szCs w:val="10"/>
                <w:lang w:val="es-CO" w:eastAsia="es-CO"/>
              </w:rPr>
              <w:t>a</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Residencial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1</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39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2</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3</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4</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5</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6</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lastRenderedPageBreak/>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Comercial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Industrial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GNCV</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El toro-Castilla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Otros</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Residencial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1</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46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2</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3</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4</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5</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6</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Comercial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Industrial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GNCV</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Casablanca-Castilla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Otros</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Residencial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1</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24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2</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3</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4</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5</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6</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Comercial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Industrial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GNCV</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Pueblo Nuevo-Castilla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Otros</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Residencial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1</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76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2</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3</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lastRenderedPageBreak/>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4</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5</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Estrato 6</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Comercial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Industrial</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GNCV</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r w:rsidR="00AA7764" w:rsidRPr="00777497" w:rsidTr="00AA7764">
        <w:trPr>
          <w:trHeight w:val="270"/>
        </w:trPr>
        <w:tc>
          <w:tcPr>
            <w:tcW w:w="52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La Represa-Castilla la nueva-Meta</w:t>
            </w:r>
          </w:p>
        </w:tc>
        <w:tc>
          <w:tcPr>
            <w:tcW w:w="45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Otros</w:t>
            </w:r>
          </w:p>
        </w:tc>
        <w:tc>
          <w:tcPr>
            <w:tcW w:w="369"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37"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12"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373"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c>
          <w:tcPr>
            <w:tcW w:w="446" w:type="pct"/>
            <w:shd w:val="clear" w:color="auto" w:fill="auto"/>
            <w:noWrap/>
            <w:vAlign w:val="center"/>
            <w:hideMark/>
          </w:tcPr>
          <w:p w:rsidR="00777497" w:rsidRPr="00777497" w:rsidRDefault="00777497" w:rsidP="00777497">
            <w:pPr>
              <w:ind w:left="0"/>
              <w:rPr>
                <w:rFonts w:ascii="Bookman Old Style" w:hAnsi="Bookman Old Style"/>
                <w:color w:val="000000"/>
                <w:sz w:val="12"/>
                <w:szCs w:val="12"/>
                <w:lang w:val="es-CO" w:eastAsia="es-CO"/>
              </w:rPr>
            </w:pPr>
            <w:r w:rsidRPr="00777497">
              <w:rPr>
                <w:rFonts w:ascii="Bookman Old Style" w:hAnsi="Bookman Old Style"/>
                <w:color w:val="000000"/>
                <w:sz w:val="12"/>
                <w:szCs w:val="12"/>
                <w:lang w:val="es-CO" w:eastAsia="es-CO"/>
              </w:rPr>
              <w:t xml:space="preserve">                                    - </w:t>
            </w:r>
          </w:p>
        </w:tc>
      </w:tr>
    </w:tbl>
    <w:p w:rsidR="008748B7" w:rsidRDefault="008748B7" w:rsidP="00341E8F">
      <w:pPr>
        <w:widowControl w:val="0"/>
        <w:adjustRightInd w:val="0"/>
        <w:ind w:left="0"/>
        <w:jc w:val="center"/>
        <w:rPr>
          <w:rFonts w:ascii="Bookman Old Style" w:hAnsi="Bookman Old Style" w:cs="Arial"/>
          <w:b/>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849"/>
        <w:gridCol w:w="703"/>
        <w:gridCol w:w="848"/>
        <w:gridCol w:w="776"/>
        <w:gridCol w:w="785"/>
        <w:gridCol w:w="776"/>
        <w:gridCol w:w="785"/>
        <w:gridCol w:w="776"/>
        <w:gridCol w:w="785"/>
        <w:gridCol w:w="776"/>
        <w:gridCol w:w="776"/>
      </w:tblGrid>
      <w:tr w:rsidR="00AA7764" w:rsidRPr="00AA7764" w:rsidTr="00AA7764">
        <w:trPr>
          <w:trHeight w:val="375"/>
          <w:tblHeader/>
        </w:trPr>
        <w:tc>
          <w:tcPr>
            <w:tcW w:w="446" w:type="pct"/>
            <w:vMerge w:val="restart"/>
            <w:shd w:val="clear" w:color="auto" w:fill="BFBFBF" w:themeFill="background1" w:themeFillShade="BF"/>
            <w:noWrap/>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Municipio</w:t>
            </w:r>
          </w:p>
        </w:tc>
        <w:tc>
          <w:tcPr>
            <w:tcW w:w="448" w:type="pct"/>
            <w:vMerge w:val="restart"/>
            <w:shd w:val="clear" w:color="auto" w:fill="BFBFBF" w:themeFill="background1" w:themeFillShade="BF"/>
            <w:noWrap/>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Usuario</w:t>
            </w:r>
          </w:p>
        </w:tc>
        <w:tc>
          <w:tcPr>
            <w:tcW w:w="818" w:type="pct"/>
            <w:gridSpan w:val="2"/>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Año 11</w:t>
            </w:r>
          </w:p>
        </w:tc>
        <w:tc>
          <w:tcPr>
            <w:tcW w:w="823" w:type="pct"/>
            <w:gridSpan w:val="2"/>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Año 12</w:t>
            </w:r>
          </w:p>
        </w:tc>
        <w:tc>
          <w:tcPr>
            <w:tcW w:w="823" w:type="pct"/>
            <w:gridSpan w:val="2"/>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Año 13</w:t>
            </w:r>
          </w:p>
        </w:tc>
        <w:tc>
          <w:tcPr>
            <w:tcW w:w="823" w:type="pct"/>
            <w:gridSpan w:val="2"/>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Año 14</w:t>
            </w:r>
          </w:p>
        </w:tc>
        <w:tc>
          <w:tcPr>
            <w:tcW w:w="818" w:type="pct"/>
            <w:gridSpan w:val="2"/>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r w:rsidRPr="00AA7764">
              <w:rPr>
                <w:rFonts w:ascii="Bookman Old Style" w:hAnsi="Bookman Old Style"/>
                <w:b/>
                <w:color w:val="000000"/>
                <w:sz w:val="12"/>
                <w:szCs w:val="12"/>
                <w:lang w:val="es-CO" w:eastAsia="es-CO"/>
              </w:rPr>
              <w:t>Año 15</w:t>
            </w:r>
          </w:p>
        </w:tc>
      </w:tr>
      <w:tr w:rsidR="00AA7764" w:rsidRPr="00AA7764" w:rsidTr="00AA7764">
        <w:trPr>
          <w:trHeight w:val="300"/>
          <w:tblHeader/>
        </w:trPr>
        <w:tc>
          <w:tcPr>
            <w:tcW w:w="446" w:type="pct"/>
            <w:vMerge/>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p>
        </w:tc>
        <w:tc>
          <w:tcPr>
            <w:tcW w:w="448" w:type="pct"/>
            <w:vMerge/>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2"/>
                <w:szCs w:val="12"/>
                <w:lang w:val="es-CO" w:eastAsia="es-CO"/>
              </w:rPr>
            </w:pPr>
          </w:p>
        </w:tc>
        <w:tc>
          <w:tcPr>
            <w:tcW w:w="371"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Primaria</w:t>
            </w:r>
          </w:p>
        </w:tc>
        <w:tc>
          <w:tcPr>
            <w:tcW w:w="447"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Secundaria</w:t>
            </w:r>
          </w:p>
        </w:tc>
        <w:tc>
          <w:tcPr>
            <w:tcW w:w="409"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Primaria</w:t>
            </w:r>
          </w:p>
        </w:tc>
        <w:tc>
          <w:tcPr>
            <w:tcW w:w="414"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Secundaria</w:t>
            </w:r>
          </w:p>
        </w:tc>
        <w:tc>
          <w:tcPr>
            <w:tcW w:w="409"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Primaria</w:t>
            </w:r>
          </w:p>
        </w:tc>
        <w:tc>
          <w:tcPr>
            <w:tcW w:w="414"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Secundaria</w:t>
            </w:r>
          </w:p>
        </w:tc>
        <w:tc>
          <w:tcPr>
            <w:tcW w:w="409"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Primaria</w:t>
            </w:r>
          </w:p>
        </w:tc>
        <w:tc>
          <w:tcPr>
            <w:tcW w:w="414"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Secundaria</w:t>
            </w:r>
          </w:p>
        </w:tc>
        <w:tc>
          <w:tcPr>
            <w:tcW w:w="409"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Primaria</w:t>
            </w:r>
          </w:p>
        </w:tc>
        <w:tc>
          <w:tcPr>
            <w:tcW w:w="409" w:type="pct"/>
            <w:shd w:val="clear" w:color="auto" w:fill="BFBFBF" w:themeFill="background1" w:themeFillShade="BF"/>
            <w:vAlign w:val="center"/>
            <w:hideMark/>
          </w:tcPr>
          <w:p w:rsidR="00AA7764" w:rsidRPr="00AA7764" w:rsidRDefault="00AA7764" w:rsidP="00AA7764">
            <w:pPr>
              <w:ind w:left="0"/>
              <w:jc w:val="center"/>
              <w:rPr>
                <w:rFonts w:ascii="Bookman Old Style" w:hAnsi="Bookman Old Style"/>
                <w:b/>
                <w:color w:val="000000"/>
                <w:sz w:val="10"/>
                <w:szCs w:val="10"/>
                <w:lang w:val="es-CO" w:eastAsia="es-CO"/>
              </w:rPr>
            </w:pPr>
            <w:r w:rsidRPr="00AA7764">
              <w:rPr>
                <w:rFonts w:ascii="Bookman Old Style" w:hAnsi="Bookman Old Style"/>
                <w:b/>
                <w:color w:val="000000"/>
                <w:sz w:val="10"/>
                <w:szCs w:val="10"/>
                <w:lang w:val="es-CO" w:eastAsia="es-CO"/>
              </w:rPr>
              <w:t>Secundaria</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Residencial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1</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39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2</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3</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4</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5</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6</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Comercial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Industrial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GNCV</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Otros</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Residencial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1</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46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2</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3</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4</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5</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6</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Comercial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Industrial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GNCV</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lastRenderedPageBreak/>
              <w:t>Casablanca-Castilla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Otros</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Residencial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1</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24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2</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3</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4</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5</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6</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Comercial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Industrial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GNCV</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Otros</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Residencial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1</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76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2</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3</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4</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5</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Estrato 6</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Comercial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Industrial</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GNCV</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r w:rsidR="00AA7764" w:rsidRPr="00AA7764" w:rsidTr="00AA7764">
        <w:trPr>
          <w:trHeight w:val="270"/>
        </w:trPr>
        <w:tc>
          <w:tcPr>
            <w:tcW w:w="446"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Otros</w:t>
            </w:r>
          </w:p>
        </w:tc>
        <w:tc>
          <w:tcPr>
            <w:tcW w:w="371"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47"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14"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AA7764" w:rsidRPr="00AA7764" w:rsidRDefault="00AA7764" w:rsidP="00AA7764">
            <w:pPr>
              <w:ind w:left="0"/>
              <w:rPr>
                <w:rFonts w:ascii="Bookman Old Style" w:hAnsi="Bookman Old Style"/>
                <w:color w:val="000000"/>
                <w:sz w:val="12"/>
                <w:szCs w:val="12"/>
                <w:lang w:val="es-CO" w:eastAsia="es-CO"/>
              </w:rPr>
            </w:pPr>
            <w:r w:rsidRPr="00AA7764">
              <w:rPr>
                <w:rFonts w:ascii="Bookman Old Style" w:hAnsi="Bookman Old Style"/>
                <w:color w:val="000000"/>
                <w:sz w:val="12"/>
                <w:szCs w:val="12"/>
                <w:lang w:val="es-CO" w:eastAsia="es-CO"/>
              </w:rPr>
              <w:t xml:space="preserve">                                    - </w:t>
            </w:r>
          </w:p>
        </w:tc>
      </w:tr>
    </w:tbl>
    <w:p w:rsidR="00AA7764" w:rsidRDefault="00AA7764" w:rsidP="00341E8F">
      <w:pPr>
        <w:widowControl w:val="0"/>
        <w:adjustRightInd w:val="0"/>
        <w:ind w:left="0"/>
        <w:jc w:val="center"/>
        <w:rPr>
          <w:rFonts w:ascii="Bookman Old Style" w:hAnsi="Bookman Old Style"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0"/>
        <w:gridCol w:w="826"/>
        <w:gridCol w:w="826"/>
        <w:gridCol w:w="957"/>
        <w:gridCol w:w="637"/>
        <w:gridCol w:w="761"/>
        <w:gridCol w:w="759"/>
        <w:gridCol w:w="761"/>
        <w:gridCol w:w="759"/>
        <w:gridCol w:w="761"/>
        <w:gridCol w:w="759"/>
        <w:gridCol w:w="720"/>
      </w:tblGrid>
      <w:tr w:rsidR="007948D2" w:rsidRPr="007948D2" w:rsidTr="007948D2">
        <w:trPr>
          <w:trHeight w:val="375"/>
          <w:tblHeader/>
        </w:trPr>
        <w:tc>
          <w:tcPr>
            <w:tcW w:w="439" w:type="pct"/>
            <w:vMerge w:val="restart"/>
            <w:shd w:val="clear" w:color="auto" w:fill="BFBFBF" w:themeFill="background1" w:themeFillShade="BF"/>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Municipio</w:t>
            </w:r>
          </w:p>
        </w:tc>
        <w:tc>
          <w:tcPr>
            <w:tcW w:w="442" w:type="pct"/>
            <w:vMerge w:val="restart"/>
            <w:shd w:val="clear" w:color="auto" w:fill="BFBFBF" w:themeFill="background1" w:themeFillShade="BF"/>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Usuario</w:t>
            </w:r>
          </w:p>
        </w:tc>
        <w:tc>
          <w:tcPr>
            <w:tcW w:w="954" w:type="pct"/>
            <w:gridSpan w:val="2"/>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Año 16</w:t>
            </w:r>
          </w:p>
        </w:tc>
        <w:tc>
          <w:tcPr>
            <w:tcW w:w="748" w:type="pct"/>
            <w:gridSpan w:val="2"/>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Año 17</w:t>
            </w:r>
          </w:p>
        </w:tc>
        <w:tc>
          <w:tcPr>
            <w:tcW w:w="812" w:type="pct"/>
            <w:gridSpan w:val="2"/>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Año 18</w:t>
            </w:r>
          </w:p>
        </w:tc>
        <w:tc>
          <w:tcPr>
            <w:tcW w:w="812" w:type="pct"/>
            <w:gridSpan w:val="2"/>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Año 19</w:t>
            </w:r>
          </w:p>
        </w:tc>
        <w:tc>
          <w:tcPr>
            <w:tcW w:w="793" w:type="pct"/>
            <w:gridSpan w:val="2"/>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Año 20</w:t>
            </w:r>
          </w:p>
        </w:tc>
      </w:tr>
      <w:tr w:rsidR="007948D2" w:rsidRPr="007948D2" w:rsidTr="007948D2">
        <w:trPr>
          <w:trHeight w:val="300"/>
          <w:tblHeader/>
        </w:trPr>
        <w:tc>
          <w:tcPr>
            <w:tcW w:w="439" w:type="pct"/>
            <w:vMerge/>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p>
        </w:tc>
        <w:tc>
          <w:tcPr>
            <w:tcW w:w="442" w:type="pct"/>
            <w:vMerge/>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2"/>
                <w:szCs w:val="12"/>
                <w:lang w:val="es-CO" w:eastAsia="es-CO"/>
              </w:rPr>
            </w:pPr>
          </w:p>
        </w:tc>
        <w:tc>
          <w:tcPr>
            <w:tcW w:w="442"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Primaria</w:t>
            </w:r>
          </w:p>
        </w:tc>
        <w:tc>
          <w:tcPr>
            <w:tcW w:w="512"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Secundaria</w:t>
            </w:r>
          </w:p>
        </w:tc>
        <w:tc>
          <w:tcPr>
            <w:tcW w:w="341"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Primaria</w:t>
            </w:r>
          </w:p>
        </w:tc>
        <w:tc>
          <w:tcPr>
            <w:tcW w:w="407"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Secundaria</w:t>
            </w:r>
          </w:p>
        </w:tc>
        <w:tc>
          <w:tcPr>
            <w:tcW w:w="406"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Primaria</w:t>
            </w:r>
          </w:p>
        </w:tc>
        <w:tc>
          <w:tcPr>
            <w:tcW w:w="407"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Secundaria</w:t>
            </w:r>
          </w:p>
        </w:tc>
        <w:tc>
          <w:tcPr>
            <w:tcW w:w="406"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Primaria</w:t>
            </w:r>
          </w:p>
        </w:tc>
        <w:tc>
          <w:tcPr>
            <w:tcW w:w="407"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Secundaria</w:t>
            </w:r>
          </w:p>
        </w:tc>
        <w:tc>
          <w:tcPr>
            <w:tcW w:w="406"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Primaria</w:t>
            </w:r>
          </w:p>
        </w:tc>
        <w:tc>
          <w:tcPr>
            <w:tcW w:w="387" w:type="pct"/>
            <w:shd w:val="clear" w:color="auto" w:fill="BFBFBF" w:themeFill="background1" w:themeFillShade="BF"/>
            <w:vAlign w:val="center"/>
            <w:hideMark/>
          </w:tcPr>
          <w:p w:rsidR="007948D2" w:rsidRPr="007948D2" w:rsidRDefault="007948D2" w:rsidP="007948D2">
            <w:pPr>
              <w:ind w:left="0"/>
              <w:jc w:val="center"/>
              <w:rPr>
                <w:rFonts w:ascii="Bookman Old Style" w:hAnsi="Bookman Old Style"/>
                <w:color w:val="000000"/>
                <w:sz w:val="10"/>
                <w:szCs w:val="10"/>
                <w:lang w:val="es-CO" w:eastAsia="es-CO"/>
              </w:rPr>
            </w:pPr>
            <w:r w:rsidRPr="007948D2">
              <w:rPr>
                <w:rFonts w:ascii="Bookman Old Style" w:hAnsi="Bookman Old Style"/>
                <w:color w:val="000000"/>
                <w:sz w:val="10"/>
                <w:szCs w:val="10"/>
                <w:lang w:val="es-CO" w:eastAsia="es-CO"/>
              </w:rPr>
              <w:t>Secundaria</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Residencial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lastRenderedPageBreak/>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1</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39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2</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3</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4</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5</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6</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Comercial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Industrial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GNCV</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El toro-Castilla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Otros</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Residencial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1</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46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2</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3</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4</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5</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6</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Comercial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Industrial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GNCV</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Casablanca-Castilla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Otros</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Residencial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Pueblo Nuevo-Castilla la </w:t>
            </w:r>
            <w:r w:rsidRPr="007948D2">
              <w:rPr>
                <w:rFonts w:ascii="Bookman Old Style" w:hAnsi="Bookman Old Style"/>
                <w:color w:val="000000"/>
                <w:sz w:val="12"/>
                <w:szCs w:val="12"/>
                <w:lang w:val="es-CO" w:eastAsia="es-CO"/>
              </w:rPr>
              <w:lastRenderedPageBreak/>
              <w:t>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lastRenderedPageBreak/>
              <w:t>Estrato 1</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24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lastRenderedPageBreak/>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2</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3</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4</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5</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6</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Comercial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Industrial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GNCV</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Pueblo Nuevo-Castilla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Otros</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Residencial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1</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76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2</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3</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4</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5</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Estrato 6</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Comercial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Industrial</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lastRenderedPageBreak/>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GNCV</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r w:rsidR="007948D2" w:rsidRPr="007948D2" w:rsidTr="007948D2">
        <w:trPr>
          <w:trHeight w:val="270"/>
        </w:trPr>
        <w:tc>
          <w:tcPr>
            <w:tcW w:w="439"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La Represa-Castilla la nueva-Meta</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Otros</w:t>
            </w:r>
          </w:p>
        </w:tc>
        <w:tc>
          <w:tcPr>
            <w:tcW w:w="44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512"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41"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406"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c>
          <w:tcPr>
            <w:tcW w:w="387" w:type="pct"/>
            <w:shd w:val="clear" w:color="auto" w:fill="auto"/>
            <w:noWrap/>
            <w:vAlign w:val="center"/>
            <w:hideMark/>
          </w:tcPr>
          <w:p w:rsidR="007948D2" w:rsidRPr="007948D2" w:rsidRDefault="007948D2" w:rsidP="007948D2">
            <w:pPr>
              <w:ind w:left="0"/>
              <w:rPr>
                <w:rFonts w:ascii="Bookman Old Style" w:hAnsi="Bookman Old Style"/>
                <w:color w:val="000000"/>
                <w:sz w:val="12"/>
                <w:szCs w:val="12"/>
                <w:lang w:val="es-CO" w:eastAsia="es-CO"/>
              </w:rPr>
            </w:pPr>
            <w:r w:rsidRPr="007948D2">
              <w:rPr>
                <w:rFonts w:ascii="Bookman Old Style" w:hAnsi="Bookman Old Style"/>
                <w:color w:val="000000"/>
                <w:sz w:val="12"/>
                <w:szCs w:val="12"/>
                <w:lang w:val="es-CO" w:eastAsia="es-CO"/>
              </w:rPr>
              <w:t xml:space="preserve">                                    - </w:t>
            </w:r>
          </w:p>
        </w:tc>
      </w:tr>
    </w:tbl>
    <w:p w:rsidR="00D1721A" w:rsidRDefault="00D1721A" w:rsidP="00341E8F">
      <w:pPr>
        <w:widowControl w:val="0"/>
        <w:adjustRightInd w:val="0"/>
        <w:ind w:left="0"/>
        <w:jc w:val="center"/>
        <w:rPr>
          <w:rFonts w:ascii="Bookman Old Style" w:hAnsi="Bookman Old Style" w:cs="Arial"/>
          <w:b/>
          <w:sz w:val="20"/>
        </w:rPr>
      </w:pPr>
    </w:p>
    <w:p w:rsidR="004337D7" w:rsidRDefault="004337D7" w:rsidP="00341E8F">
      <w:pPr>
        <w:widowControl w:val="0"/>
        <w:adjustRightInd w:val="0"/>
        <w:ind w:left="0"/>
        <w:jc w:val="center"/>
        <w:rPr>
          <w:rFonts w:ascii="Bookman Old Style" w:hAnsi="Bookman Old Style" w:cs="Arial"/>
          <w:b/>
          <w:sz w:val="20"/>
        </w:rPr>
      </w:pPr>
    </w:p>
    <w:p w:rsidR="0028104F" w:rsidRPr="001954E9" w:rsidRDefault="0028104F" w:rsidP="009272C6">
      <w:pPr>
        <w:ind w:left="0"/>
        <w:jc w:val="center"/>
        <w:rPr>
          <w:rFonts w:ascii="Bookman Old Style" w:hAnsi="Bookman Old Style" w:cs="Arial"/>
          <w:b/>
        </w:rPr>
      </w:pPr>
      <w:r w:rsidRPr="001954E9">
        <w:rPr>
          <w:rFonts w:ascii="Bookman Old Style" w:hAnsi="Bookman Old Style" w:cs="Arial"/>
          <w:b/>
          <w:sz w:val="20"/>
        </w:rPr>
        <w:t>VOLUMEN (m3)</w:t>
      </w:r>
    </w:p>
    <w:p w:rsidR="00FE1EB5" w:rsidRDefault="00FE1EB5" w:rsidP="00FE1EB5">
      <w:pPr>
        <w:widowControl w:val="0"/>
        <w:adjustRightInd w:val="0"/>
        <w:ind w:left="0"/>
        <w:jc w:val="center"/>
        <w:rPr>
          <w:rFonts w:ascii="Bookman Old Style" w:hAnsi="Bookman Old Style"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836"/>
        <w:gridCol w:w="766"/>
        <w:gridCol w:w="770"/>
        <w:gridCol w:w="766"/>
        <w:gridCol w:w="770"/>
        <w:gridCol w:w="766"/>
        <w:gridCol w:w="770"/>
        <w:gridCol w:w="766"/>
        <w:gridCol w:w="770"/>
        <w:gridCol w:w="766"/>
        <w:gridCol w:w="763"/>
      </w:tblGrid>
      <w:tr w:rsidR="003E6300" w:rsidRPr="003E6300" w:rsidTr="00EF3F43">
        <w:trPr>
          <w:trHeight w:val="375"/>
        </w:trPr>
        <w:tc>
          <w:tcPr>
            <w:tcW w:w="447" w:type="pct"/>
            <w:vMerge w:val="restart"/>
            <w:shd w:val="clear" w:color="auto" w:fill="BFBFBF" w:themeFill="background1" w:themeFillShade="BF"/>
            <w:noWrap/>
            <w:vAlign w:val="center"/>
            <w:hideMark/>
          </w:tcPr>
          <w:p w:rsidR="003E6300" w:rsidRPr="003E6300" w:rsidRDefault="003E6300" w:rsidP="003E6300">
            <w:pPr>
              <w:ind w:left="0"/>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 </w:t>
            </w:r>
          </w:p>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Municipio</w:t>
            </w:r>
          </w:p>
        </w:tc>
        <w:tc>
          <w:tcPr>
            <w:tcW w:w="447" w:type="pct"/>
            <w:vMerge w:val="restart"/>
            <w:shd w:val="clear" w:color="auto" w:fill="BFBFBF" w:themeFill="background1" w:themeFillShade="BF"/>
            <w:noWrap/>
            <w:vAlign w:val="center"/>
            <w:hideMark/>
          </w:tcPr>
          <w:p w:rsidR="003E6300" w:rsidRPr="003E6300" w:rsidRDefault="003E6300" w:rsidP="003E6300">
            <w:pPr>
              <w:ind w:left="0"/>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 </w:t>
            </w:r>
          </w:p>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Usuario</w:t>
            </w:r>
          </w:p>
        </w:tc>
        <w:tc>
          <w:tcPr>
            <w:tcW w:w="822" w:type="pct"/>
            <w:gridSpan w:val="2"/>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Año 1</w:t>
            </w:r>
          </w:p>
        </w:tc>
        <w:tc>
          <w:tcPr>
            <w:tcW w:w="822" w:type="pct"/>
            <w:gridSpan w:val="2"/>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Año 2</w:t>
            </w:r>
          </w:p>
        </w:tc>
        <w:tc>
          <w:tcPr>
            <w:tcW w:w="822" w:type="pct"/>
            <w:gridSpan w:val="2"/>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Año 3</w:t>
            </w:r>
          </w:p>
        </w:tc>
        <w:tc>
          <w:tcPr>
            <w:tcW w:w="822" w:type="pct"/>
            <w:gridSpan w:val="2"/>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Año 4</w:t>
            </w:r>
          </w:p>
        </w:tc>
        <w:tc>
          <w:tcPr>
            <w:tcW w:w="819" w:type="pct"/>
            <w:gridSpan w:val="2"/>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r w:rsidRPr="003E6300">
              <w:rPr>
                <w:rFonts w:ascii="Bookman Old Style" w:hAnsi="Bookman Old Style"/>
                <w:b/>
                <w:color w:val="000000"/>
                <w:sz w:val="12"/>
                <w:szCs w:val="12"/>
                <w:lang w:val="es-CO" w:eastAsia="es-CO"/>
              </w:rPr>
              <w:t>Año 5</w:t>
            </w:r>
          </w:p>
        </w:tc>
      </w:tr>
      <w:tr w:rsidR="00EF3F43" w:rsidRPr="003E6300" w:rsidTr="00EF3F43">
        <w:trPr>
          <w:trHeight w:val="300"/>
        </w:trPr>
        <w:tc>
          <w:tcPr>
            <w:tcW w:w="447" w:type="pct"/>
            <w:vMerge/>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p>
        </w:tc>
        <w:tc>
          <w:tcPr>
            <w:tcW w:w="447" w:type="pct"/>
            <w:vMerge/>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2"/>
                <w:szCs w:val="12"/>
                <w:lang w:val="es-CO" w:eastAsia="es-CO"/>
              </w:rPr>
            </w:pPr>
          </w:p>
        </w:tc>
        <w:tc>
          <w:tcPr>
            <w:tcW w:w="410"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Primaria</w:t>
            </w:r>
          </w:p>
        </w:tc>
        <w:tc>
          <w:tcPr>
            <w:tcW w:w="409" w:type="pct"/>
            <w:shd w:val="clear" w:color="auto" w:fill="BFBFBF" w:themeFill="background1" w:themeFillShade="BF"/>
            <w:vAlign w:val="center"/>
            <w:hideMark/>
          </w:tcPr>
          <w:p w:rsidR="003E6300" w:rsidRPr="003E6300" w:rsidRDefault="003E6300" w:rsidP="003E6300">
            <w:pPr>
              <w:ind w:left="0"/>
              <w:jc w:val="center"/>
              <w:rPr>
                <w:rFonts w:ascii="Bookman Old Style" w:hAnsi="Bookman Old Style"/>
                <w:b/>
                <w:color w:val="000000"/>
                <w:sz w:val="10"/>
                <w:szCs w:val="10"/>
                <w:lang w:val="es-CO" w:eastAsia="es-CO"/>
              </w:rPr>
            </w:pPr>
            <w:r w:rsidRPr="003E6300">
              <w:rPr>
                <w:rFonts w:ascii="Bookman Old Style" w:hAnsi="Bookman Old Style"/>
                <w:b/>
                <w:color w:val="000000"/>
                <w:sz w:val="10"/>
                <w:szCs w:val="10"/>
                <w:lang w:val="es-CO" w:eastAsia="es-CO"/>
              </w:rPr>
              <w:t>Secundaria</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3,229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GNCV</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Otros</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3,809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GNCV</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Otros</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lastRenderedPageBreak/>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1,987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GNCV</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Otros</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6,293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GNCV</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r w:rsidR="00EF3F43" w:rsidRPr="003E6300" w:rsidTr="00EF3F43">
        <w:trPr>
          <w:trHeight w:val="270"/>
        </w:trPr>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Otros</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3E6300" w:rsidRPr="003E6300" w:rsidRDefault="003E6300" w:rsidP="003E6300">
            <w:pPr>
              <w:ind w:left="0"/>
              <w:rPr>
                <w:rFonts w:ascii="Bookman Old Style" w:hAnsi="Bookman Old Style"/>
                <w:color w:val="000000"/>
                <w:sz w:val="12"/>
                <w:szCs w:val="12"/>
                <w:lang w:val="es-CO" w:eastAsia="es-CO"/>
              </w:rPr>
            </w:pPr>
            <w:r w:rsidRPr="003E6300">
              <w:rPr>
                <w:rFonts w:ascii="Bookman Old Style" w:hAnsi="Bookman Old Style"/>
                <w:color w:val="000000"/>
                <w:sz w:val="12"/>
                <w:szCs w:val="12"/>
                <w:lang w:val="es-CO" w:eastAsia="es-CO"/>
              </w:rPr>
              <w:t xml:space="preserve">                                    - </w:t>
            </w:r>
          </w:p>
        </w:tc>
      </w:tr>
    </w:tbl>
    <w:p w:rsidR="003E6300" w:rsidRDefault="003E6300" w:rsidP="00FE1EB5">
      <w:pPr>
        <w:widowControl w:val="0"/>
        <w:adjustRightInd w:val="0"/>
        <w:ind w:left="0"/>
        <w:jc w:val="center"/>
        <w:rPr>
          <w:rFonts w:ascii="Bookman Old Style" w:hAnsi="Bookman Old Style"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7"/>
        <w:gridCol w:w="836"/>
        <w:gridCol w:w="766"/>
        <w:gridCol w:w="770"/>
        <w:gridCol w:w="766"/>
        <w:gridCol w:w="770"/>
        <w:gridCol w:w="766"/>
        <w:gridCol w:w="770"/>
        <w:gridCol w:w="766"/>
        <w:gridCol w:w="770"/>
        <w:gridCol w:w="766"/>
        <w:gridCol w:w="763"/>
      </w:tblGrid>
      <w:tr w:rsidR="00625345" w:rsidRPr="00625345" w:rsidTr="00625345">
        <w:trPr>
          <w:trHeight w:val="375"/>
          <w:tblHeader/>
        </w:trPr>
        <w:tc>
          <w:tcPr>
            <w:tcW w:w="447" w:type="pct"/>
            <w:vMerge w:val="restart"/>
            <w:shd w:val="clear" w:color="auto" w:fill="BFBFBF" w:themeFill="background1" w:themeFillShade="BF"/>
            <w:noWrap/>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Municipio</w:t>
            </w:r>
          </w:p>
        </w:tc>
        <w:tc>
          <w:tcPr>
            <w:tcW w:w="447" w:type="pct"/>
            <w:vMerge w:val="restart"/>
            <w:shd w:val="clear" w:color="auto" w:fill="BFBFBF" w:themeFill="background1" w:themeFillShade="BF"/>
            <w:noWrap/>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Usuario</w:t>
            </w:r>
          </w:p>
        </w:tc>
        <w:tc>
          <w:tcPr>
            <w:tcW w:w="822"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Año 6</w:t>
            </w:r>
          </w:p>
        </w:tc>
        <w:tc>
          <w:tcPr>
            <w:tcW w:w="822"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Año 7</w:t>
            </w:r>
          </w:p>
        </w:tc>
        <w:tc>
          <w:tcPr>
            <w:tcW w:w="822"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Año 8</w:t>
            </w:r>
          </w:p>
        </w:tc>
        <w:tc>
          <w:tcPr>
            <w:tcW w:w="822"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Año 9</w:t>
            </w:r>
          </w:p>
        </w:tc>
        <w:tc>
          <w:tcPr>
            <w:tcW w:w="819"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r w:rsidRPr="00625345">
              <w:rPr>
                <w:rFonts w:ascii="Bookman Old Style" w:hAnsi="Bookman Old Style"/>
                <w:b/>
                <w:color w:val="000000"/>
                <w:sz w:val="12"/>
                <w:szCs w:val="12"/>
                <w:lang w:val="es-CO" w:eastAsia="es-CO"/>
              </w:rPr>
              <w:t>Año 10</w:t>
            </w:r>
          </w:p>
        </w:tc>
      </w:tr>
      <w:tr w:rsidR="00625345" w:rsidRPr="00625345" w:rsidTr="00625345">
        <w:trPr>
          <w:trHeight w:val="300"/>
          <w:tblHeader/>
        </w:trPr>
        <w:tc>
          <w:tcPr>
            <w:tcW w:w="447" w:type="pct"/>
            <w:vMerge/>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p>
        </w:tc>
        <w:tc>
          <w:tcPr>
            <w:tcW w:w="447" w:type="pct"/>
            <w:vMerge/>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2"/>
                <w:szCs w:val="12"/>
                <w:lang w:val="es-CO" w:eastAsia="es-CO"/>
              </w:rPr>
            </w:pPr>
          </w:p>
        </w:tc>
        <w:tc>
          <w:tcPr>
            <w:tcW w:w="410"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Primaria</w:t>
            </w:r>
          </w:p>
        </w:tc>
        <w:tc>
          <w:tcPr>
            <w:tcW w:w="411"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Secundaria</w:t>
            </w:r>
          </w:p>
        </w:tc>
        <w:tc>
          <w:tcPr>
            <w:tcW w:w="410"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Primaria</w:t>
            </w:r>
          </w:p>
        </w:tc>
        <w:tc>
          <w:tcPr>
            <w:tcW w:w="409"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b/>
                <w:color w:val="000000"/>
                <w:sz w:val="10"/>
                <w:szCs w:val="10"/>
                <w:lang w:val="es-CO" w:eastAsia="es-CO"/>
              </w:rPr>
            </w:pPr>
            <w:r w:rsidRPr="00625345">
              <w:rPr>
                <w:rFonts w:ascii="Bookman Old Style" w:hAnsi="Bookman Old Style"/>
                <w:b/>
                <w:color w:val="000000"/>
                <w:sz w:val="10"/>
                <w:szCs w:val="10"/>
                <w:lang w:val="es-CO" w:eastAsia="es-CO"/>
              </w:rPr>
              <w:t>Secundaria</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lastRenderedPageBreak/>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lastRenderedPageBreak/>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47"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1"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1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9"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bl>
    <w:p w:rsidR="003E6300" w:rsidRDefault="003E6300" w:rsidP="00FE1EB5">
      <w:pPr>
        <w:widowControl w:val="0"/>
        <w:adjustRightInd w:val="0"/>
        <w:ind w:left="0"/>
        <w:jc w:val="center"/>
        <w:rPr>
          <w:rFonts w:ascii="Bookman Old Style" w:hAnsi="Bookman Old Style" w:cs="Arial"/>
          <w:b/>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3"/>
        <w:gridCol w:w="847"/>
        <w:gridCol w:w="627"/>
        <w:gridCol w:w="815"/>
        <w:gridCol w:w="757"/>
        <w:gridCol w:w="759"/>
        <w:gridCol w:w="757"/>
        <w:gridCol w:w="759"/>
        <w:gridCol w:w="757"/>
        <w:gridCol w:w="759"/>
        <w:gridCol w:w="757"/>
        <w:gridCol w:w="746"/>
      </w:tblGrid>
      <w:tr w:rsidR="00625345" w:rsidRPr="00625345" w:rsidTr="00625345">
        <w:trPr>
          <w:trHeight w:val="375"/>
          <w:tblHeader/>
        </w:trPr>
        <w:tc>
          <w:tcPr>
            <w:tcW w:w="570" w:type="pct"/>
            <w:vMerge w:val="restart"/>
            <w:shd w:val="clear" w:color="auto" w:fill="BFBFBF" w:themeFill="background1" w:themeFillShade="BF"/>
            <w:noWrap/>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Municipio</w:t>
            </w:r>
          </w:p>
        </w:tc>
        <w:tc>
          <w:tcPr>
            <w:tcW w:w="450" w:type="pct"/>
            <w:vMerge w:val="restart"/>
            <w:shd w:val="clear" w:color="auto" w:fill="BFBFBF" w:themeFill="background1" w:themeFillShade="BF"/>
            <w:noWrap/>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Usuario</w:t>
            </w:r>
          </w:p>
        </w:tc>
        <w:tc>
          <w:tcPr>
            <w:tcW w:w="765"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Año 11</w:t>
            </w:r>
          </w:p>
        </w:tc>
        <w:tc>
          <w:tcPr>
            <w:tcW w:w="805"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Año 12</w:t>
            </w:r>
          </w:p>
        </w:tc>
        <w:tc>
          <w:tcPr>
            <w:tcW w:w="805"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Año 13</w:t>
            </w:r>
          </w:p>
        </w:tc>
        <w:tc>
          <w:tcPr>
            <w:tcW w:w="805"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Año 14</w:t>
            </w:r>
          </w:p>
        </w:tc>
        <w:tc>
          <w:tcPr>
            <w:tcW w:w="798" w:type="pct"/>
            <w:gridSpan w:val="2"/>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Año 15</w:t>
            </w:r>
          </w:p>
        </w:tc>
      </w:tr>
      <w:tr w:rsidR="00625345" w:rsidRPr="00625345" w:rsidTr="00625345">
        <w:trPr>
          <w:trHeight w:val="300"/>
          <w:tblHeader/>
        </w:trPr>
        <w:tc>
          <w:tcPr>
            <w:tcW w:w="570" w:type="pct"/>
            <w:vMerge/>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p>
        </w:tc>
        <w:tc>
          <w:tcPr>
            <w:tcW w:w="450" w:type="pct"/>
            <w:vMerge/>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2"/>
                <w:szCs w:val="12"/>
                <w:lang w:val="es-CO" w:eastAsia="es-CO"/>
              </w:rPr>
            </w:pPr>
          </w:p>
        </w:tc>
        <w:tc>
          <w:tcPr>
            <w:tcW w:w="333"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Primaria</w:t>
            </w:r>
          </w:p>
        </w:tc>
        <w:tc>
          <w:tcPr>
            <w:tcW w:w="433"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Secundaria</w:t>
            </w:r>
          </w:p>
        </w:tc>
        <w:tc>
          <w:tcPr>
            <w:tcW w:w="402"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Primaria</w:t>
            </w:r>
          </w:p>
        </w:tc>
        <w:tc>
          <w:tcPr>
            <w:tcW w:w="403"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Secundaria</w:t>
            </w:r>
          </w:p>
        </w:tc>
        <w:tc>
          <w:tcPr>
            <w:tcW w:w="402"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Primaria</w:t>
            </w:r>
          </w:p>
        </w:tc>
        <w:tc>
          <w:tcPr>
            <w:tcW w:w="403"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Secundaria</w:t>
            </w:r>
          </w:p>
        </w:tc>
        <w:tc>
          <w:tcPr>
            <w:tcW w:w="402"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Primaria</w:t>
            </w:r>
          </w:p>
        </w:tc>
        <w:tc>
          <w:tcPr>
            <w:tcW w:w="403"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Secundaria</w:t>
            </w:r>
          </w:p>
        </w:tc>
        <w:tc>
          <w:tcPr>
            <w:tcW w:w="402"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Primaria</w:t>
            </w:r>
          </w:p>
        </w:tc>
        <w:tc>
          <w:tcPr>
            <w:tcW w:w="396" w:type="pct"/>
            <w:shd w:val="clear" w:color="auto" w:fill="BFBFBF" w:themeFill="background1" w:themeFillShade="BF"/>
            <w:vAlign w:val="center"/>
            <w:hideMark/>
          </w:tcPr>
          <w:p w:rsidR="00625345" w:rsidRPr="00625345" w:rsidRDefault="00625345" w:rsidP="00625345">
            <w:pPr>
              <w:ind w:left="0"/>
              <w:jc w:val="center"/>
              <w:rPr>
                <w:rFonts w:ascii="Bookman Old Style" w:hAnsi="Bookman Old Style"/>
                <w:color w:val="000000"/>
                <w:sz w:val="10"/>
                <w:szCs w:val="10"/>
                <w:lang w:val="es-CO" w:eastAsia="es-CO"/>
              </w:rPr>
            </w:pPr>
            <w:r w:rsidRPr="00625345">
              <w:rPr>
                <w:rFonts w:ascii="Bookman Old Style" w:hAnsi="Bookman Old Style"/>
                <w:color w:val="000000"/>
                <w:sz w:val="10"/>
                <w:szCs w:val="10"/>
                <w:lang w:val="es-CO" w:eastAsia="es-CO"/>
              </w:rPr>
              <w:t>Secundaria</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3,229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El toro-Castilla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3,809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lastRenderedPageBreak/>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Casablanca-Castilla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1,987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Pueblo Nuevo-Castilla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Residencial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1</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6,293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2</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3</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4</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5</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Estrato 6</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Comercial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Industrial</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GNCV</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r w:rsidR="00625345" w:rsidRPr="00625345" w:rsidTr="00625345">
        <w:trPr>
          <w:trHeight w:val="270"/>
        </w:trPr>
        <w:tc>
          <w:tcPr>
            <w:tcW w:w="57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lastRenderedPageBreak/>
              <w:t>La Represa-Castilla la nueva-Meta</w:t>
            </w:r>
          </w:p>
        </w:tc>
        <w:tc>
          <w:tcPr>
            <w:tcW w:w="450"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Otros</w:t>
            </w:r>
          </w:p>
        </w:tc>
        <w:tc>
          <w:tcPr>
            <w:tcW w:w="3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3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3"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402"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c>
          <w:tcPr>
            <w:tcW w:w="396" w:type="pct"/>
            <w:shd w:val="clear" w:color="auto" w:fill="auto"/>
            <w:noWrap/>
            <w:vAlign w:val="center"/>
            <w:hideMark/>
          </w:tcPr>
          <w:p w:rsidR="00625345" w:rsidRPr="00625345" w:rsidRDefault="00625345" w:rsidP="00625345">
            <w:pPr>
              <w:ind w:left="0"/>
              <w:rPr>
                <w:rFonts w:ascii="Bookman Old Style" w:hAnsi="Bookman Old Style"/>
                <w:color w:val="000000"/>
                <w:sz w:val="12"/>
                <w:szCs w:val="12"/>
                <w:lang w:val="es-CO" w:eastAsia="es-CO"/>
              </w:rPr>
            </w:pPr>
            <w:r w:rsidRPr="00625345">
              <w:rPr>
                <w:rFonts w:ascii="Bookman Old Style" w:hAnsi="Bookman Old Style"/>
                <w:color w:val="000000"/>
                <w:sz w:val="12"/>
                <w:szCs w:val="12"/>
                <w:lang w:val="es-CO" w:eastAsia="es-CO"/>
              </w:rPr>
              <w:t xml:space="preserve">                                    - </w:t>
            </w:r>
          </w:p>
        </w:tc>
      </w:tr>
    </w:tbl>
    <w:p w:rsidR="003E6300" w:rsidRDefault="003E6300" w:rsidP="00FE1EB5">
      <w:pPr>
        <w:widowControl w:val="0"/>
        <w:adjustRightInd w:val="0"/>
        <w:ind w:left="0"/>
        <w:jc w:val="center"/>
        <w:rPr>
          <w:rFonts w:ascii="Bookman Old Style" w:hAnsi="Bookman Old Style" w:cs="Arial"/>
          <w:b/>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
        <w:gridCol w:w="847"/>
        <w:gridCol w:w="755"/>
        <w:gridCol w:w="721"/>
        <w:gridCol w:w="755"/>
        <w:gridCol w:w="757"/>
        <w:gridCol w:w="755"/>
        <w:gridCol w:w="757"/>
        <w:gridCol w:w="755"/>
        <w:gridCol w:w="757"/>
        <w:gridCol w:w="755"/>
        <w:gridCol w:w="750"/>
      </w:tblGrid>
      <w:tr w:rsidR="008C16D7" w:rsidRPr="008C16D7" w:rsidTr="00DB3261">
        <w:trPr>
          <w:trHeight w:val="375"/>
          <w:tblHeader/>
        </w:trPr>
        <w:tc>
          <w:tcPr>
            <w:tcW w:w="570" w:type="pct"/>
            <w:vMerge w:val="restart"/>
            <w:shd w:val="clear" w:color="auto" w:fill="BFBFBF" w:themeFill="background1" w:themeFillShade="BF"/>
            <w:noWrap/>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Municipio</w:t>
            </w:r>
          </w:p>
        </w:tc>
        <w:tc>
          <w:tcPr>
            <w:tcW w:w="448" w:type="pct"/>
            <w:vMerge w:val="restart"/>
            <w:shd w:val="clear" w:color="auto" w:fill="BFBFBF" w:themeFill="background1" w:themeFillShade="BF"/>
            <w:noWrap/>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Usuario</w:t>
            </w:r>
          </w:p>
        </w:tc>
        <w:tc>
          <w:tcPr>
            <w:tcW w:w="782" w:type="pct"/>
            <w:gridSpan w:val="2"/>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Año 16</w:t>
            </w:r>
          </w:p>
        </w:tc>
        <w:tc>
          <w:tcPr>
            <w:tcW w:w="801" w:type="pct"/>
            <w:gridSpan w:val="2"/>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Año 17</w:t>
            </w:r>
          </w:p>
        </w:tc>
        <w:tc>
          <w:tcPr>
            <w:tcW w:w="801" w:type="pct"/>
            <w:gridSpan w:val="2"/>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Año 18</w:t>
            </w:r>
          </w:p>
        </w:tc>
        <w:tc>
          <w:tcPr>
            <w:tcW w:w="801" w:type="pct"/>
            <w:gridSpan w:val="2"/>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Año 19</w:t>
            </w:r>
          </w:p>
        </w:tc>
        <w:tc>
          <w:tcPr>
            <w:tcW w:w="799" w:type="pct"/>
            <w:gridSpan w:val="2"/>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r w:rsidRPr="00DB3261">
              <w:rPr>
                <w:rFonts w:ascii="Bookman Old Style" w:hAnsi="Bookman Old Style"/>
                <w:b/>
                <w:color w:val="000000"/>
                <w:sz w:val="12"/>
                <w:szCs w:val="12"/>
                <w:lang w:val="es-CO" w:eastAsia="es-CO"/>
              </w:rPr>
              <w:t>Año 20</w:t>
            </w:r>
          </w:p>
        </w:tc>
      </w:tr>
      <w:tr w:rsidR="00DB3261" w:rsidRPr="008C16D7" w:rsidTr="00DB3261">
        <w:trPr>
          <w:trHeight w:val="300"/>
          <w:tblHeader/>
        </w:trPr>
        <w:tc>
          <w:tcPr>
            <w:tcW w:w="570" w:type="pct"/>
            <w:vMerge/>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p>
        </w:tc>
        <w:tc>
          <w:tcPr>
            <w:tcW w:w="448" w:type="pct"/>
            <w:vMerge/>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2"/>
                <w:szCs w:val="12"/>
                <w:lang w:val="es-CO" w:eastAsia="es-CO"/>
              </w:rPr>
            </w:pPr>
          </w:p>
        </w:tc>
        <w:tc>
          <w:tcPr>
            <w:tcW w:w="400"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Primaria</w:t>
            </w:r>
          </w:p>
        </w:tc>
        <w:tc>
          <w:tcPr>
            <w:tcW w:w="382"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Secundaria</w:t>
            </w:r>
          </w:p>
        </w:tc>
        <w:tc>
          <w:tcPr>
            <w:tcW w:w="400"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Primaria</w:t>
            </w:r>
          </w:p>
        </w:tc>
        <w:tc>
          <w:tcPr>
            <w:tcW w:w="401"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Secundaria</w:t>
            </w:r>
          </w:p>
        </w:tc>
        <w:tc>
          <w:tcPr>
            <w:tcW w:w="400"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Primaria</w:t>
            </w:r>
          </w:p>
        </w:tc>
        <w:tc>
          <w:tcPr>
            <w:tcW w:w="401"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Secundaria</w:t>
            </w:r>
          </w:p>
        </w:tc>
        <w:tc>
          <w:tcPr>
            <w:tcW w:w="400"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Primaria</w:t>
            </w:r>
          </w:p>
        </w:tc>
        <w:tc>
          <w:tcPr>
            <w:tcW w:w="401"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Secundaria</w:t>
            </w:r>
          </w:p>
        </w:tc>
        <w:tc>
          <w:tcPr>
            <w:tcW w:w="400"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Primaria</w:t>
            </w:r>
          </w:p>
        </w:tc>
        <w:tc>
          <w:tcPr>
            <w:tcW w:w="399" w:type="pct"/>
            <w:shd w:val="clear" w:color="auto" w:fill="BFBFBF" w:themeFill="background1" w:themeFillShade="BF"/>
            <w:vAlign w:val="center"/>
            <w:hideMark/>
          </w:tcPr>
          <w:p w:rsidR="008C16D7" w:rsidRPr="00DB3261" w:rsidRDefault="008C16D7" w:rsidP="008C16D7">
            <w:pPr>
              <w:ind w:left="0"/>
              <w:jc w:val="center"/>
              <w:rPr>
                <w:rFonts w:ascii="Bookman Old Style" w:hAnsi="Bookman Old Style"/>
                <w:b/>
                <w:color w:val="000000"/>
                <w:sz w:val="10"/>
                <w:szCs w:val="10"/>
                <w:lang w:val="es-CO" w:eastAsia="es-CO"/>
              </w:rPr>
            </w:pPr>
            <w:r w:rsidRPr="00DB3261">
              <w:rPr>
                <w:rFonts w:ascii="Bookman Old Style" w:hAnsi="Bookman Old Style"/>
                <w:b/>
                <w:color w:val="000000"/>
                <w:sz w:val="10"/>
                <w:szCs w:val="10"/>
                <w:lang w:val="es-CO" w:eastAsia="es-CO"/>
              </w:rPr>
              <w:t>Secundaria</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Residencial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1</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3,229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2</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3</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4</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5</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6</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Comercial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Industrial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GNCV</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El toro-Castilla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Otros</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Residencial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1</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3,809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2</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3</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4</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5</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6</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Comercial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Industrial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GNCV</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Casablanca-Castilla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Otros</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Residencial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1</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1,987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2</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3</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4</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5</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6</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Comercial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Industrial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lastRenderedPageBreak/>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GNCV</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Pueblo Nuevo-Castilla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Otros</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Residencial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1</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6,293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2</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3</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4</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5</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Estrato 6</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Comercial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Industrial</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GNCV</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r w:rsidR="008C16D7" w:rsidRPr="008C16D7" w:rsidTr="00DB3261">
        <w:trPr>
          <w:trHeight w:val="270"/>
        </w:trPr>
        <w:tc>
          <w:tcPr>
            <w:tcW w:w="57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La Represa-Castilla la nueva-Meta</w:t>
            </w:r>
          </w:p>
        </w:tc>
        <w:tc>
          <w:tcPr>
            <w:tcW w:w="448"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Otros</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82"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1"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400"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c>
          <w:tcPr>
            <w:tcW w:w="399" w:type="pct"/>
            <w:shd w:val="clear" w:color="auto" w:fill="auto"/>
            <w:noWrap/>
            <w:vAlign w:val="center"/>
            <w:hideMark/>
          </w:tcPr>
          <w:p w:rsidR="008C16D7" w:rsidRPr="008C16D7" w:rsidRDefault="008C16D7" w:rsidP="008C16D7">
            <w:pPr>
              <w:ind w:left="0"/>
              <w:rPr>
                <w:rFonts w:ascii="Bookman Old Style" w:hAnsi="Bookman Old Style"/>
                <w:color w:val="000000"/>
                <w:sz w:val="12"/>
                <w:szCs w:val="12"/>
                <w:lang w:val="es-CO" w:eastAsia="es-CO"/>
              </w:rPr>
            </w:pPr>
            <w:r w:rsidRPr="008C16D7">
              <w:rPr>
                <w:rFonts w:ascii="Bookman Old Style" w:hAnsi="Bookman Old Style"/>
                <w:color w:val="000000"/>
                <w:sz w:val="12"/>
                <w:szCs w:val="12"/>
                <w:lang w:val="es-CO" w:eastAsia="es-CO"/>
              </w:rPr>
              <w:t xml:space="preserve">                                    - </w:t>
            </w:r>
          </w:p>
        </w:tc>
      </w:tr>
    </w:tbl>
    <w:p w:rsidR="003E6300" w:rsidRDefault="003E6300" w:rsidP="00FE1EB5">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F90300" w:rsidRPr="00F90300" w:rsidTr="006C3F44">
        <w:trPr>
          <w:tblCellSpacing w:w="0" w:type="dxa"/>
          <w:jc w:val="center"/>
        </w:trPr>
        <w:tc>
          <w:tcPr>
            <w:tcW w:w="5033" w:type="dxa"/>
          </w:tcPr>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r w:rsidRPr="00F90300">
              <w:rPr>
                <w:rFonts w:ascii="Bookman Old Style" w:hAnsi="Bookman Old Style" w:cs="Arial"/>
                <w:b/>
              </w:rPr>
              <w:t>DIEGO MESA PUYO</w:t>
            </w:r>
          </w:p>
        </w:tc>
        <w:tc>
          <w:tcPr>
            <w:tcW w:w="4465" w:type="dxa"/>
          </w:tcPr>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r w:rsidRPr="00F90300">
              <w:rPr>
                <w:rFonts w:ascii="Bookman Old Style" w:hAnsi="Bookman Old Style" w:cs="Arial"/>
                <w:b/>
                <w:spacing w:val="-3"/>
              </w:rPr>
              <w:t>CHRISTIAN JARAMILLO HERRERA</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hAnsi="Bookman Old Style" w:cs="Arial"/>
                <w:spacing w:val="-3"/>
              </w:rPr>
            </w:pPr>
            <w:r w:rsidRPr="00F90300">
              <w:rPr>
                <w:rFonts w:ascii="Bookman Old Style" w:hAnsi="Bookman Old Style" w:cs="Arial"/>
                <w:spacing w:val="-3"/>
              </w:rPr>
              <w:t>Viceministro de Energía</w:t>
            </w:r>
          </w:p>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Delegado de la Ministra de Minas y Energía</w:t>
            </w:r>
          </w:p>
        </w:tc>
        <w:tc>
          <w:tcPr>
            <w:tcW w:w="4465" w:type="dxa"/>
            <w:hideMark/>
          </w:tcPr>
          <w:p w:rsidR="00F90300" w:rsidRPr="00F90300" w:rsidRDefault="00F90300" w:rsidP="006C3F44">
            <w:pPr>
              <w:jc w:val="center"/>
              <w:rPr>
                <w:rFonts w:ascii="Bookman Old Style" w:eastAsia="Arial Unicode MS" w:hAnsi="Bookman Old Style" w:cs="Arial"/>
                <w:color w:val="000000"/>
              </w:rPr>
            </w:pPr>
            <w:r w:rsidRPr="00F90300">
              <w:rPr>
                <w:rFonts w:ascii="Bookman Old Style" w:hAnsi="Bookman Old Style" w:cs="Arial"/>
                <w:spacing w:val="-3"/>
              </w:rPr>
              <w:t>Director Ejecutivo</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Presidente</w:t>
            </w:r>
          </w:p>
        </w:tc>
        <w:tc>
          <w:tcPr>
            <w:tcW w:w="4465" w:type="dxa"/>
          </w:tcPr>
          <w:p w:rsidR="00F90300" w:rsidRPr="00F90300" w:rsidRDefault="00F90300" w:rsidP="006C3F44">
            <w:pPr>
              <w:jc w:val="center"/>
              <w:rPr>
                <w:rFonts w:ascii="Bookman Old Style" w:eastAsia="Arial Unicode MS" w:hAnsi="Bookman Old Style" w:cs="Arial"/>
                <w:color w:val="000000"/>
                <w:sz w:val="22"/>
              </w:rPr>
            </w:pPr>
          </w:p>
        </w:tc>
      </w:tr>
    </w:tbl>
    <w:p w:rsidR="00FE1EB5" w:rsidRDefault="00FE1EB5" w:rsidP="00FE1EB5">
      <w:pPr>
        <w:widowControl w:val="0"/>
        <w:adjustRightInd w:val="0"/>
        <w:ind w:left="0"/>
        <w:jc w:val="center"/>
        <w:rPr>
          <w:rFonts w:ascii="Bookman Old Style" w:hAnsi="Bookman Old Style" w:cs="Arial"/>
          <w:b/>
        </w:rPr>
      </w:pPr>
    </w:p>
    <w:p w:rsidR="00F74608" w:rsidRDefault="00F74608" w:rsidP="00341E8F">
      <w:pPr>
        <w:widowControl w:val="0"/>
        <w:adjustRightInd w:val="0"/>
        <w:ind w:left="0"/>
        <w:jc w:val="center"/>
        <w:rPr>
          <w:rFonts w:ascii="Bookman Old Style" w:hAnsi="Bookman Old Style" w:cs="Arial"/>
          <w:b/>
        </w:rPr>
      </w:pPr>
    </w:p>
    <w:p w:rsidR="00887878" w:rsidRDefault="00887878" w:rsidP="00341E8F">
      <w:pPr>
        <w:widowControl w:val="0"/>
        <w:adjustRightInd w:val="0"/>
        <w:ind w:left="0"/>
        <w:jc w:val="center"/>
        <w:rPr>
          <w:rFonts w:ascii="Bookman Old Style" w:hAnsi="Bookman Old Style" w:cs="Arial"/>
          <w:b/>
        </w:rPr>
      </w:pPr>
    </w:p>
    <w:p w:rsidR="00D1721A" w:rsidRDefault="00D1721A"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F90300" w:rsidRDefault="00F90300" w:rsidP="00341E8F">
      <w:pPr>
        <w:widowControl w:val="0"/>
        <w:adjustRightInd w:val="0"/>
        <w:ind w:left="0"/>
        <w:jc w:val="center"/>
        <w:rPr>
          <w:rFonts w:ascii="Bookman Old Style" w:hAnsi="Bookman Old Style" w:cs="Arial"/>
          <w:b/>
        </w:rPr>
      </w:pPr>
    </w:p>
    <w:p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2017</w:t>
            </w:r>
            <w:r w:rsidRPr="009353D2">
              <w:rPr>
                <w:rFonts w:ascii="Bookman Old Style" w:hAnsi="Bookman Old Style" w:cs="Arial"/>
                <w:b/>
                <w:bCs/>
                <w:sz w:val="22"/>
                <w:szCs w:val="22"/>
                <w:lang w:val="es-CO" w:eastAsia="es-CO"/>
              </w:rPr>
              <w:t>)</w:t>
            </w:r>
          </w:p>
        </w:tc>
      </w:tr>
      <w:tr w:rsidR="006B2D70" w:rsidRPr="001954E9" w:rsidTr="0002540B">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6B2D70" w:rsidRPr="001954E9" w:rsidTr="0002540B">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B2D70" w:rsidRPr="009353D2" w:rsidRDefault="006B2D70" w:rsidP="006B2D7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tcPr>
          <w:p w:rsidR="006B2D70" w:rsidRPr="006B2D70" w:rsidRDefault="006B2D70" w:rsidP="006B2D70">
            <w:pPr>
              <w:ind w:left="0"/>
              <w:jc w:val="center"/>
              <w:rPr>
                <w:rFonts w:ascii="Bookman Old Style" w:hAnsi="Bookman Old Style" w:cs="Arial"/>
                <w:bCs/>
                <w:sz w:val="22"/>
                <w:szCs w:val="22"/>
                <w:lang w:val="es-CO" w:eastAsia="es-CO"/>
              </w:rPr>
            </w:pPr>
            <w:r w:rsidRPr="006B2D70">
              <w:rPr>
                <w:rFonts w:ascii="Bookman Old Style" w:hAnsi="Bookman Old Style" w:cs="Arial"/>
                <w:bCs/>
                <w:sz w:val="22"/>
                <w:szCs w:val="22"/>
                <w:lang w:val="es-CO" w:eastAsia="es-CO"/>
              </w:rPr>
              <w:t xml:space="preserve">26,195,652.60 </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455451" w:rsidRDefault="006B2D70" w:rsidP="00617056">
            <w:pPr>
              <w:ind w:left="0"/>
              <w:jc w:val="center"/>
              <w:rPr>
                <w:rFonts w:ascii="Bookman Old Style" w:hAnsi="Bookman Old Style"/>
                <w:b/>
                <w:sz w:val="22"/>
                <w:szCs w:val="22"/>
              </w:rPr>
            </w:pPr>
            <w:r w:rsidRPr="006B2D70">
              <w:rPr>
                <w:rFonts w:ascii="Bookman Old Style" w:hAnsi="Bookman Old Style"/>
                <w:b/>
                <w:color w:val="000000"/>
                <w:sz w:val="22"/>
                <w:szCs w:val="22"/>
              </w:rPr>
              <w:t>192,044,725</w:t>
            </w:r>
          </w:p>
        </w:tc>
      </w:tr>
    </w:tbl>
    <w:p w:rsidR="00273C2C" w:rsidRPr="001954E9" w:rsidRDefault="00273C2C" w:rsidP="006D11E8">
      <w:pPr>
        <w:widowControl w:val="0"/>
        <w:tabs>
          <w:tab w:val="left" w:pos="5489"/>
        </w:tabs>
        <w:adjustRightInd w:val="0"/>
        <w:ind w:left="0"/>
        <w:jc w:val="center"/>
        <w:rPr>
          <w:rFonts w:ascii="Bookman Old Style" w:hAnsi="Bookman Old Style" w:cs="Arial"/>
          <w:b/>
        </w:rPr>
      </w:pPr>
    </w:p>
    <w:p w:rsidR="00483D9E" w:rsidRDefault="00483D9E"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F90300" w:rsidRPr="00F90300" w:rsidTr="006C3F44">
        <w:trPr>
          <w:tblCellSpacing w:w="0" w:type="dxa"/>
          <w:jc w:val="center"/>
        </w:trPr>
        <w:tc>
          <w:tcPr>
            <w:tcW w:w="5033" w:type="dxa"/>
          </w:tcPr>
          <w:p w:rsidR="00F90300" w:rsidRPr="00F90300" w:rsidRDefault="00F90300" w:rsidP="006C3F44">
            <w:pPr>
              <w:rPr>
                <w:rFonts w:ascii="Bookman Old Style" w:hAnsi="Bookman Old Style" w:cs="Arial"/>
                <w:b/>
                <w:spacing w:val="-3"/>
              </w:rPr>
            </w:pPr>
          </w:p>
          <w:p w:rsidR="00F90300" w:rsidRPr="00F90300" w:rsidRDefault="00F90300" w:rsidP="006C3F44">
            <w:pP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p>
          <w:p w:rsidR="00F90300" w:rsidRPr="00F90300" w:rsidRDefault="00F90300" w:rsidP="006C3F44">
            <w:pPr>
              <w:ind w:left="66"/>
              <w:jc w:val="center"/>
              <w:rPr>
                <w:rFonts w:ascii="Bookman Old Style" w:hAnsi="Bookman Old Style" w:cs="Arial"/>
                <w:b/>
                <w:spacing w:val="-3"/>
              </w:rPr>
            </w:pPr>
            <w:r w:rsidRPr="00F90300">
              <w:rPr>
                <w:rFonts w:ascii="Bookman Old Style" w:hAnsi="Bookman Old Style" w:cs="Arial"/>
                <w:b/>
              </w:rPr>
              <w:t>DIEGO MESA PUYO</w:t>
            </w:r>
          </w:p>
        </w:tc>
        <w:tc>
          <w:tcPr>
            <w:tcW w:w="4465" w:type="dxa"/>
          </w:tcPr>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p>
          <w:p w:rsidR="00F90300" w:rsidRPr="00F90300" w:rsidRDefault="00F90300" w:rsidP="006C3F44">
            <w:pPr>
              <w:ind w:left="89"/>
              <w:jc w:val="center"/>
              <w:rPr>
                <w:rFonts w:ascii="Bookman Old Style" w:hAnsi="Bookman Old Style" w:cs="Arial"/>
                <w:b/>
                <w:spacing w:val="-3"/>
              </w:rPr>
            </w:pPr>
            <w:r w:rsidRPr="00F90300">
              <w:rPr>
                <w:rFonts w:ascii="Bookman Old Style" w:hAnsi="Bookman Old Style" w:cs="Arial"/>
                <w:b/>
                <w:spacing w:val="-3"/>
              </w:rPr>
              <w:t>CHRISTIAN JARAMILLO HERRERA</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hAnsi="Bookman Old Style" w:cs="Arial"/>
                <w:spacing w:val="-3"/>
              </w:rPr>
            </w:pPr>
            <w:r w:rsidRPr="00F90300">
              <w:rPr>
                <w:rFonts w:ascii="Bookman Old Style" w:hAnsi="Bookman Old Style" w:cs="Arial"/>
                <w:spacing w:val="-3"/>
              </w:rPr>
              <w:t>Viceministro de Energía</w:t>
            </w:r>
          </w:p>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Delegado de la Ministra de Minas y Energía</w:t>
            </w:r>
          </w:p>
        </w:tc>
        <w:tc>
          <w:tcPr>
            <w:tcW w:w="4465" w:type="dxa"/>
            <w:hideMark/>
          </w:tcPr>
          <w:p w:rsidR="00F90300" w:rsidRPr="00F90300" w:rsidRDefault="00F90300" w:rsidP="006C3F44">
            <w:pPr>
              <w:jc w:val="center"/>
              <w:rPr>
                <w:rFonts w:ascii="Bookman Old Style" w:eastAsia="Arial Unicode MS" w:hAnsi="Bookman Old Style" w:cs="Arial"/>
                <w:color w:val="000000"/>
              </w:rPr>
            </w:pPr>
            <w:r w:rsidRPr="00F90300">
              <w:rPr>
                <w:rFonts w:ascii="Bookman Old Style" w:hAnsi="Bookman Old Style" w:cs="Arial"/>
                <w:spacing w:val="-3"/>
              </w:rPr>
              <w:t>Director Ejecutivo</w:t>
            </w:r>
          </w:p>
        </w:tc>
      </w:tr>
      <w:tr w:rsidR="00F90300" w:rsidRPr="00F90300" w:rsidTr="006C3F44">
        <w:trPr>
          <w:tblCellSpacing w:w="0" w:type="dxa"/>
          <w:jc w:val="center"/>
        </w:trPr>
        <w:tc>
          <w:tcPr>
            <w:tcW w:w="5033" w:type="dxa"/>
            <w:hideMark/>
          </w:tcPr>
          <w:p w:rsidR="00F90300" w:rsidRPr="00F90300" w:rsidRDefault="00F90300" w:rsidP="006C3F44">
            <w:pPr>
              <w:ind w:left="66"/>
              <w:jc w:val="center"/>
              <w:rPr>
                <w:rFonts w:ascii="Bookman Old Style" w:eastAsia="Arial Unicode MS" w:hAnsi="Bookman Old Style" w:cs="Arial"/>
                <w:color w:val="000000"/>
              </w:rPr>
            </w:pPr>
            <w:r w:rsidRPr="00F90300">
              <w:rPr>
                <w:rFonts w:ascii="Bookman Old Style" w:hAnsi="Bookman Old Style" w:cs="Arial"/>
                <w:spacing w:val="-3"/>
              </w:rPr>
              <w:t>Presidente</w:t>
            </w:r>
          </w:p>
        </w:tc>
        <w:tc>
          <w:tcPr>
            <w:tcW w:w="4465" w:type="dxa"/>
          </w:tcPr>
          <w:p w:rsidR="00F90300" w:rsidRPr="00F90300" w:rsidRDefault="00F90300" w:rsidP="006C3F44">
            <w:pPr>
              <w:jc w:val="center"/>
              <w:rPr>
                <w:rFonts w:ascii="Bookman Old Style" w:eastAsia="Arial Unicode MS" w:hAnsi="Bookman Old Style" w:cs="Arial"/>
                <w:color w:val="000000"/>
                <w:sz w:val="22"/>
              </w:rPr>
            </w:pPr>
          </w:p>
        </w:tc>
      </w:tr>
    </w:tbl>
    <w:p w:rsidR="006240C9" w:rsidRDefault="006240C9" w:rsidP="00341E8F">
      <w:pPr>
        <w:widowControl w:val="0"/>
        <w:adjustRightInd w:val="0"/>
        <w:ind w:left="0"/>
        <w:jc w:val="center"/>
        <w:rPr>
          <w:rFonts w:ascii="Bookman Old Style" w:hAnsi="Bookman Old Style" w:cs="Arial"/>
          <w:b/>
        </w:rPr>
      </w:pPr>
    </w:p>
    <w:p w:rsidR="00A60B88" w:rsidRDefault="00A60B88" w:rsidP="006D11E8">
      <w:pPr>
        <w:widowControl w:val="0"/>
        <w:adjustRightInd w:val="0"/>
        <w:ind w:left="0"/>
        <w:jc w:val="center"/>
        <w:rPr>
          <w:rFonts w:ascii="Bookman Old Style" w:hAnsi="Bookman Old Style" w:cs="Arial"/>
          <w:b/>
        </w:rPr>
      </w:pPr>
    </w:p>
    <w:p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D3A" w:rsidRDefault="002F1D3A">
      <w:r>
        <w:separator/>
      </w:r>
    </w:p>
  </w:endnote>
  <w:endnote w:type="continuationSeparator" w:id="0">
    <w:p w:rsidR="002F1D3A" w:rsidRDefault="002F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D3A" w:rsidRDefault="002F1D3A">
      <w:r>
        <w:separator/>
      </w:r>
    </w:p>
  </w:footnote>
  <w:footnote w:type="continuationSeparator" w:id="0">
    <w:p w:rsidR="002F1D3A" w:rsidRDefault="002F1D3A">
      <w:r>
        <w:continuationSeparator/>
      </w:r>
    </w:p>
  </w:footnote>
  <w:footnote w:id="1">
    <w:p w:rsidR="00261A4E" w:rsidRPr="009353D2" w:rsidRDefault="00261A4E"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rsidR="00261A4E" w:rsidRPr="009353D2" w:rsidRDefault="00261A4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4E" w:rsidRDefault="00261A4E" w:rsidP="00951F79">
    <w:pPr>
      <w:pStyle w:val="Ttulo1"/>
      <w:ind w:right="6"/>
      <w:jc w:val="left"/>
      <w:rPr>
        <w:rFonts w:ascii="Bookman Old Style" w:hAnsi="Bookman Old Style" w:cs="Arial"/>
        <w:b w:val="0"/>
        <w:sz w:val="22"/>
        <w:szCs w:val="22"/>
      </w:rPr>
    </w:pPr>
  </w:p>
  <w:p w:rsidR="00261A4E" w:rsidRPr="00951F79" w:rsidRDefault="00261A4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93243">
      <w:rPr>
        <w:rFonts w:ascii="Bookman Old Style" w:hAnsi="Bookman Old Style" w:cs="Arial"/>
        <w:b w:val="0"/>
        <w:noProof/>
        <w:sz w:val="22"/>
        <w:szCs w:val="22"/>
      </w:rPr>
      <w:t>29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93243">
      <w:fldChar w:fldCharType="begin"/>
    </w:r>
    <w:r w:rsidR="00A93243">
      <w:instrText xml:space="preserve"> NUMPAGES  \* MERGEFORMAT </w:instrText>
    </w:r>
    <w:r w:rsidR="00A93243">
      <w:fldChar w:fldCharType="separate"/>
    </w:r>
    <w:r w:rsidR="00A93243" w:rsidRPr="00A93243">
      <w:rPr>
        <w:rFonts w:ascii="Bookman Old Style" w:hAnsi="Bookman Old Style" w:cs="Arial"/>
        <w:b w:val="0"/>
        <w:noProof/>
        <w:sz w:val="22"/>
        <w:szCs w:val="22"/>
      </w:rPr>
      <w:t>29</w:t>
    </w:r>
    <w:r w:rsidR="00A93243">
      <w:rPr>
        <w:rFonts w:ascii="Bookman Old Style" w:hAnsi="Bookman Old Style" w:cs="Arial"/>
        <w:b w:val="0"/>
        <w:noProof/>
        <w:sz w:val="22"/>
        <w:szCs w:val="22"/>
      </w:rPr>
      <w:fldChar w:fldCharType="end"/>
    </w:r>
  </w:p>
  <w:p w:rsidR="00261A4E" w:rsidRDefault="00261A4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61A4E" w:rsidRPr="00294DD4" w:rsidRDefault="00261A4E" w:rsidP="00887C49">
    <w:pPr>
      <w:pBdr>
        <w:bottom w:val="single" w:sz="4" w:space="1" w:color="auto"/>
      </w:pBdr>
      <w:spacing w:after="120"/>
      <w:ind w:left="142" w:right="147"/>
      <w:jc w:val="both"/>
      <w:rPr>
        <w:b/>
        <w:sz w:val="6"/>
        <w:szCs w:val="22"/>
        <w:lang w:val="es-ES_tradnl"/>
      </w:rPr>
    </w:pPr>
    <w:r w:rsidRPr="00887C49">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los corregimientos de Casablanca, El Toro, Pueblo Nuevo y La Represa del municipio de Castilla La Nueva, departamento del Meta, según solicitud tarifaria presentada por la empresa LOGIGAS S.A.S. E.S.P.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4E" w:rsidRDefault="00261A4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rsidR="00261A4E" w:rsidRDefault="00261A4E">
    <w:pPr>
      <w:pStyle w:val="Encabezado"/>
      <w:jc w:val="center"/>
      <w:rPr>
        <w:rFonts w:ascii="Arial" w:hAnsi="Arial" w:cs="Arial"/>
        <w:spacing w:val="20"/>
        <w:sz w:val="20"/>
      </w:rPr>
    </w:pPr>
  </w:p>
  <w:p w:rsidR="00261A4E" w:rsidRDefault="00261A4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BEE7F38"/>
    <w:multiLevelType w:val="hybridMultilevel"/>
    <w:tmpl w:val="3C6C7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2"/>
  </w:num>
  <w:num w:numId="13">
    <w:abstractNumId w:val="10"/>
  </w:num>
  <w:num w:numId="14">
    <w:abstractNumId w:val="4"/>
  </w:num>
  <w:num w:numId="15">
    <w:abstractNumId w:val="2"/>
  </w:num>
  <w:num w:numId="16">
    <w:abstractNumId w:val="1"/>
  </w:num>
  <w:num w:numId="17">
    <w:abstractNumId w:val="17"/>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0818"/>
    <w:rsid w:val="00012259"/>
    <w:rsid w:val="00014E2E"/>
    <w:rsid w:val="00016C18"/>
    <w:rsid w:val="000175DD"/>
    <w:rsid w:val="00025383"/>
    <w:rsid w:val="0002540B"/>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7B2"/>
    <w:rsid w:val="0005493F"/>
    <w:rsid w:val="00055B77"/>
    <w:rsid w:val="0005728B"/>
    <w:rsid w:val="00060D57"/>
    <w:rsid w:val="00061CE9"/>
    <w:rsid w:val="0006208A"/>
    <w:rsid w:val="00063657"/>
    <w:rsid w:val="000664AE"/>
    <w:rsid w:val="000679CE"/>
    <w:rsid w:val="00067A66"/>
    <w:rsid w:val="00071793"/>
    <w:rsid w:val="00072A62"/>
    <w:rsid w:val="00075F96"/>
    <w:rsid w:val="00076680"/>
    <w:rsid w:val="00076A1D"/>
    <w:rsid w:val="00076DF2"/>
    <w:rsid w:val="0007705D"/>
    <w:rsid w:val="0007780C"/>
    <w:rsid w:val="00077A0F"/>
    <w:rsid w:val="0008073E"/>
    <w:rsid w:val="00082816"/>
    <w:rsid w:val="00082B86"/>
    <w:rsid w:val="00083163"/>
    <w:rsid w:val="00087274"/>
    <w:rsid w:val="000873E1"/>
    <w:rsid w:val="0009160F"/>
    <w:rsid w:val="00091CDB"/>
    <w:rsid w:val="00091F23"/>
    <w:rsid w:val="00092171"/>
    <w:rsid w:val="0009253D"/>
    <w:rsid w:val="000929BA"/>
    <w:rsid w:val="00093F01"/>
    <w:rsid w:val="00093F91"/>
    <w:rsid w:val="00096B5C"/>
    <w:rsid w:val="00096E1F"/>
    <w:rsid w:val="00096F18"/>
    <w:rsid w:val="000A19AC"/>
    <w:rsid w:val="000A3172"/>
    <w:rsid w:val="000A603F"/>
    <w:rsid w:val="000A64BA"/>
    <w:rsid w:val="000A6C00"/>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77F"/>
    <w:rsid w:val="000D5FC4"/>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5AE6"/>
    <w:rsid w:val="0011783F"/>
    <w:rsid w:val="001202B9"/>
    <w:rsid w:val="0012200E"/>
    <w:rsid w:val="00122CFB"/>
    <w:rsid w:val="00123915"/>
    <w:rsid w:val="0012404A"/>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58E"/>
    <w:rsid w:val="00175723"/>
    <w:rsid w:val="00175814"/>
    <w:rsid w:val="00177A83"/>
    <w:rsid w:val="001803B2"/>
    <w:rsid w:val="00182325"/>
    <w:rsid w:val="001828D6"/>
    <w:rsid w:val="00184F26"/>
    <w:rsid w:val="0018547A"/>
    <w:rsid w:val="00186562"/>
    <w:rsid w:val="001867CB"/>
    <w:rsid w:val="001870B7"/>
    <w:rsid w:val="00187666"/>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A6592"/>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3985"/>
    <w:rsid w:val="001E5601"/>
    <w:rsid w:val="001E738F"/>
    <w:rsid w:val="001F1AE4"/>
    <w:rsid w:val="001F2709"/>
    <w:rsid w:val="001F3765"/>
    <w:rsid w:val="001F4AC3"/>
    <w:rsid w:val="00202111"/>
    <w:rsid w:val="002029C2"/>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0AB6"/>
    <w:rsid w:val="00261A4E"/>
    <w:rsid w:val="00261BF8"/>
    <w:rsid w:val="0026623A"/>
    <w:rsid w:val="00266CD6"/>
    <w:rsid w:val="0027242C"/>
    <w:rsid w:val="00273301"/>
    <w:rsid w:val="0027346B"/>
    <w:rsid w:val="002739D4"/>
    <w:rsid w:val="00273C2C"/>
    <w:rsid w:val="00274246"/>
    <w:rsid w:val="00274885"/>
    <w:rsid w:val="0027595D"/>
    <w:rsid w:val="00275BAD"/>
    <w:rsid w:val="00275DAB"/>
    <w:rsid w:val="0027665D"/>
    <w:rsid w:val="0027773E"/>
    <w:rsid w:val="0027774F"/>
    <w:rsid w:val="00277EC8"/>
    <w:rsid w:val="00280C73"/>
    <w:rsid w:val="0028104F"/>
    <w:rsid w:val="002817D6"/>
    <w:rsid w:val="00281C19"/>
    <w:rsid w:val="002820FB"/>
    <w:rsid w:val="00283BDF"/>
    <w:rsid w:val="00283ED9"/>
    <w:rsid w:val="002849DC"/>
    <w:rsid w:val="002849F9"/>
    <w:rsid w:val="00285D62"/>
    <w:rsid w:val="002861B3"/>
    <w:rsid w:val="002872ED"/>
    <w:rsid w:val="002874D5"/>
    <w:rsid w:val="002919B7"/>
    <w:rsid w:val="00294DD4"/>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2C07"/>
    <w:rsid w:val="002C5FDD"/>
    <w:rsid w:val="002C69FA"/>
    <w:rsid w:val="002C7356"/>
    <w:rsid w:val="002D0016"/>
    <w:rsid w:val="002D0C0D"/>
    <w:rsid w:val="002D16E4"/>
    <w:rsid w:val="002D1ECA"/>
    <w:rsid w:val="002D200F"/>
    <w:rsid w:val="002D2CEF"/>
    <w:rsid w:val="002D3AE9"/>
    <w:rsid w:val="002D4510"/>
    <w:rsid w:val="002D574B"/>
    <w:rsid w:val="002D6B88"/>
    <w:rsid w:val="002D747B"/>
    <w:rsid w:val="002E0C2C"/>
    <w:rsid w:val="002E2C7B"/>
    <w:rsid w:val="002E41C0"/>
    <w:rsid w:val="002E4959"/>
    <w:rsid w:val="002E4DC3"/>
    <w:rsid w:val="002E5905"/>
    <w:rsid w:val="002E7264"/>
    <w:rsid w:val="002E7BF4"/>
    <w:rsid w:val="002F0734"/>
    <w:rsid w:val="002F0CC9"/>
    <w:rsid w:val="002F1ACB"/>
    <w:rsid w:val="002F1D3A"/>
    <w:rsid w:val="002F2CD9"/>
    <w:rsid w:val="002F30E3"/>
    <w:rsid w:val="002F3A87"/>
    <w:rsid w:val="002F46E7"/>
    <w:rsid w:val="002F5D62"/>
    <w:rsid w:val="002F5E3D"/>
    <w:rsid w:val="002F6394"/>
    <w:rsid w:val="002F7BC3"/>
    <w:rsid w:val="00302AF5"/>
    <w:rsid w:val="00303396"/>
    <w:rsid w:val="003034E2"/>
    <w:rsid w:val="00303C3C"/>
    <w:rsid w:val="00304DB9"/>
    <w:rsid w:val="00305927"/>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4BDF"/>
    <w:rsid w:val="00345FA9"/>
    <w:rsid w:val="00346E50"/>
    <w:rsid w:val="003518A4"/>
    <w:rsid w:val="0035403A"/>
    <w:rsid w:val="00354CE5"/>
    <w:rsid w:val="003551EA"/>
    <w:rsid w:val="00355285"/>
    <w:rsid w:val="00356C1B"/>
    <w:rsid w:val="00356FDD"/>
    <w:rsid w:val="00357DAB"/>
    <w:rsid w:val="00360ADB"/>
    <w:rsid w:val="00361664"/>
    <w:rsid w:val="0036394B"/>
    <w:rsid w:val="00364983"/>
    <w:rsid w:val="00364E6F"/>
    <w:rsid w:val="00364E90"/>
    <w:rsid w:val="0036751E"/>
    <w:rsid w:val="00367F57"/>
    <w:rsid w:val="003700B5"/>
    <w:rsid w:val="003709B5"/>
    <w:rsid w:val="003734BE"/>
    <w:rsid w:val="00373B71"/>
    <w:rsid w:val="0037468F"/>
    <w:rsid w:val="003759C2"/>
    <w:rsid w:val="003778EF"/>
    <w:rsid w:val="00384193"/>
    <w:rsid w:val="003846C6"/>
    <w:rsid w:val="00384BE4"/>
    <w:rsid w:val="00385984"/>
    <w:rsid w:val="00387A57"/>
    <w:rsid w:val="00391B09"/>
    <w:rsid w:val="00391B3F"/>
    <w:rsid w:val="003926BB"/>
    <w:rsid w:val="003943C4"/>
    <w:rsid w:val="00394B66"/>
    <w:rsid w:val="003956D0"/>
    <w:rsid w:val="00397365"/>
    <w:rsid w:val="003A09AA"/>
    <w:rsid w:val="003A2C11"/>
    <w:rsid w:val="003A2CCD"/>
    <w:rsid w:val="003A31F6"/>
    <w:rsid w:val="003A3340"/>
    <w:rsid w:val="003A3799"/>
    <w:rsid w:val="003A46CB"/>
    <w:rsid w:val="003A65DA"/>
    <w:rsid w:val="003A789A"/>
    <w:rsid w:val="003A7E3C"/>
    <w:rsid w:val="003B10B9"/>
    <w:rsid w:val="003B46A0"/>
    <w:rsid w:val="003B489D"/>
    <w:rsid w:val="003B5489"/>
    <w:rsid w:val="003B65CC"/>
    <w:rsid w:val="003B6A60"/>
    <w:rsid w:val="003B75B5"/>
    <w:rsid w:val="003B769B"/>
    <w:rsid w:val="003C1DCC"/>
    <w:rsid w:val="003C24AD"/>
    <w:rsid w:val="003C3004"/>
    <w:rsid w:val="003C3447"/>
    <w:rsid w:val="003C7080"/>
    <w:rsid w:val="003C7783"/>
    <w:rsid w:val="003D076C"/>
    <w:rsid w:val="003D21D5"/>
    <w:rsid w:val="003D3597"/>
    <w:rsid w:val="003D5E6D"/>
    <w:rsid w:val="003D5E91"/>
    <w:rsid w:val="003D740F"/>
    <w:rsid w:val="003E02AF"/>
    <w:rsid w:val="003E0379"/>
    <w:rsid w:val="003E048C"/>
    <w:rsid w:val="003E2B23"/>
    <w:rsid w:val="003E2FE2"/>
    <w:rsid w:val="003E4288"/>
    <w:rsid w:val="003E6300"/>
    <w:rsid w:val="003E78B5"/>
    <w:rsid w:val="003F0076"/>
    <w:rsid w:val="003F4125"/>
    <w:rsid w:val="003F5A31"/>
    <w:rsid w:val="003F7FBF"/>
    <w:rsid w:val="004007B3"/>
    <w:rsid w:val="004021CD"/>
    <w:rsid w:val="00403322"/>
    <w:rsid w:val="00404192"/>
    <w:rsid w:val="00404561"/>
    <w:rsid w:val="00404DA1"/>
    <w:rsid w:val="00407E99"/>
    <w:rsid w:val="00410015"/>
    <w:rsid w:val="00411770"/>
    <w:rsid w:val="00411DFB"/>
    <w:rsid w:val="00413EF7"/>
    <w:rsid w:val="00414419"/>
    <w:rsid w:val="00415BAB"/>
    <w:rsid w:val="00415ED2"/>
    <w:rsid w:val="00415FAD"/>
    <w:rsid w:val="00416B74"/>
    <w:rsid w:val="0042068C"/>
    <w:rsid w:val="0042141F"/>
    <w:rsid w:val="004229E7"/>
    <w:rsid w:val="00423E5C"/>
    <w:rsid w:val="00424877"/>
    <w:rsid w:val="004248D0"/>
    <w:rsid w:val="004260E0"/>
    <w:rsid w:val="00426523"/>
    <w:rsid w:val="00430FE8"/>
    <w:rsid w:val="0043168B"/>
    <w:rsid w:val="00431A8E"/>
    <w:rsid w:val="004337D7"/>
    <w:rsid w:val="004355FC"/>
    <w:rsid w:val="00436CBA"/>
    <w:rsid w:val="00436F3F"/>
    <w:rsid w:val="0044048C"/>
    <w:rsid w:val="00441C4E"/>
    <w:rsid w:val="00442762"/>
    <w:rsid w:val="00442FA4"/>
    <w:rsid w:val="00443D9A"/>
    <w:rsid w:val="00445DD5"/>
    <w:rsid w:val="004460A6"/>
    <w:rsid w:val="00447B04"/>
    <w:rsid w:val="0045040D"/>
    <w:rsid w:val="00452CD6"/>
    <w:rsid w:val="004537E4"/>
    <w:rsid w:val="004544AA"/>
    <w:rsid w:val="004551B3"/>
    <w:rsid w:val="00455451"/>
    <w:rsid w:val="0045548C"/>
    <w:rsid w:val="00456169"/>
    <w:rsid w:val="00456F63"/>
    <w:rsid w:val="004607D8"/>
    <w:rsid w:val="00460916"/>
    <w:rsid w:val="00460AA4"/>
    <w:rsid w:val="00461242"/>
    <w:rsid w:val="0046176B"/>
    <w:rsid w:val="00463F18"/>
    <w:rsid w:val="004656CD"/>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B1840"/>
    <w:rsid w:val="004B27BD"/>
    <w:rsid w:val="004B2E9D"/>
    <w:rsid w:val="004B460E"/>
    <w:rsid w:val="004C1C08"/>
    <w:rsid w:val="004C3AAC"/>
    <w:rsid w:val="004C4E22"/>
    <w:rsid w:val="004C4E6C"/>
    <w:rsid w:val="004C6927"/>
    <w:rsid w:val="004C72AC"/>
    <w:rsid w:val="004D0A7F"/>
    <w:rsid w:val="004D0BC0"/>
    <w:rsid w:val="004D0C51"/>
    <w:rsid w:val="004D19FA"/>
    <w:rsid w:val="004D2FD2"/>
    <w:rsid w:val="004D43AE"/>
    <w:rsid w:val="004D5674"/>
    <w:rsid w:val="004D6EB8"/>
    <w:rsid w:val="004D7020"/>
    <w:rsid w:val="004D7634"/>
    <w:rsid w:val="004D77B5"/>
    <w:rsid w:val="004E0656"/>
    <w:rsid w:val="004E07AB"/>
    <w:rsid w:val="004E1E32"/>
    <w:rsid w:val="004E2802"/>
    <w:rsid w:val="004E34CF"/>
    <w:rsid w:val="004E45FB"/>
    <w:rsid w:val="004E46B6"/>
    <w:rsid w:val="004E57E2"/>
    <w:rsid w:val="004E69D2"/>
    <w:rsid w:val="004E760E"/>
    <w:rsid w:val="004F1108"/>
    <w:rsid w:val="004F371F"/>
    <w:rsid w:val="004F64E3"/>
    <w:rsid w:val="004F6A8A"/>
    <w:rsid w:val="004F759A"/>
    <w:rsid w:val="0050015E"/>
    <w:rsid w:val="005003B8"/>
    <w:rsid w:val="005016AB"/>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73FD"/>
    <w:rsid w:val="005878CC"/>
    <w:rsid w:val="00590753"/>
    <w:rsid w:val="00592E8C"/>
    <w:rsid w:val="0059325B"/>
    <w:rsid w:val="00593C4F"/>
    <w:rsid w:val="005946A8"/>
    <w:rsid w:val="00594D62"/>
    <w:rsid w:val="00596A33"/>
    <w:rsid w:val="00596E6F"/>
    <w:rsid w:val="0059774E"/>
    <w:rsid w:val="005A165B"/>
    <w:rsid w:val="005A3F03"/>
    <w:rsid w:val="005A3FBF"/>
    <w:rsid w:val="005A4407"/>
    <w:rsid w:val="005A55ED"/>
    <w:rsid w:val="005A59EF"/>
    <w:rsid w:val="005A60DF"/>
    <w:rsid w:val="005A7D14"/>
    <w:rsid w:val="005A7E89"/>
    <w:rsid w:val="005B06B4"/>
    <w:rsid w:val="005B1223"/>
    <w:rsid w:val="005B1B2E"/>
    <w:rsid w:val="005B4CC4"/>
    <w:rsid w:val="005B5788"/>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E4"/>
    <w:rsid w:val="006029DA"/>
    <w:rsid w:val="00605F60"/>
    <w:rsid w:val="00611203"/>
    <w:rsid w:val="00611C6C"/>
    <w:rsid w:val="00612218"/>
    <w:rsid w:val="00614BF3"/>
    <w:rsid w:val="006156F2"/>
    <w:rsid w:val="00615B0A"/>
    <w:rsid w:val="0061682D"/>
    <w:rsid w:val="00616E57"/>
    <w:rsid w:val="00617056"/>
    <w:rsid w:val="00621590"/>
    <w:rsid w:val="00622B37"/>
    <w:rsid w:val="00622B8D"/>
    <w:rsid w:val="00622FC1"/>
    <w:rsid w:val="006240C9"/>
    <w:rsid w:val="0062477F"/>
    <w:rsid w:val="00625345"/>
    <w:rsid w:val="00625DC6"/>
    <w:rsid w:val="00625DDC"/>
    <w:rsid w:val="0063024A"/>
    <w:rsid w:val="00631401"/>
    <w:rsid w:val="00631E8F"/>
    <w:rsid w:val="006328A4"/>
    <w:rsid w:val="00633B0C"/>
    <w:rsid w:val="00634642"/>
    <w:rsid w:val="00634749"/>
    <w:rsid w:val="006349B0"/>
    <w:rsid w:val="00635BCB"/>
    <w:rsid w:val="00636B42"/>
    <w:rsid w:val="00637B74"/>
    <w:rsid w:val="0064087D"/>
    <w:rsid w:val="0064391D"/>
    <w:rsid w:val="00643C5D"/>
    <w:rsid w:val="00643D49"/>
    <w:rsid w:val="00643EC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5922"/>
    <w:rsid w:val="0068645C"/>
    <w:rsid w:val="006922CB"/>
    <w:rsid w:val="00692AD7"/>
    <w:rsid w:val="00692D20"/>
    <w:rsid w:val="00694C22"/>
    <w:rsid w:val="00697556"/>
    <w:rsid w:val="0069757F"/>
    <w:rsid w:val="006A01FE"/>
    <w:rsid w:val="006A154F"/>
    <w:rsid w:val="006A161A"/>
    <w:rsid w:val="006A4E34"/>
    <w:rsid w:val="006A5307"/>
    <w:rsid w:val="006A69D0"/>
    <w:rsid w:val="006A7B2B"/>
    <w:rsid w:val="006B0844"/>
    <w:rsid w:val="006B1C64"/>
    <w:rsid w:val="006B2572"/>
    <w:rsid w:val="006B2D70"/>
    <w:rsid w:val="006B381F"/>
    <w:rsid w:val="006B3F46"/>
    <w:rsid w:val="006B4647"/>
    <w:rsid w:val="006B4C2B"/>
    <w:rsid w:val="006B5916"/>
    <w:rsid w:val="006B5D87"/>
    <w:rsid w:val="006B60D3"/>
    <w:rsid w:val="006B6D47"/>
    <w:rsid w:val="006B7746"/>
    <w:rsid w:val="006C2ED8"/>
    <w:rsid w:val="006C2F36"/>
    <w:rsid w:val="006C4A97"/>
    <w:rsid w:val="006C4B48"/>
    <w:rsid w:val="006C5AFE"/>
    <w:rsid w:val="006C709E"/>
    <w:rsid w:val="006D04C9"/>
    <w:rsid w:val="006D0D5B"/>
    <w:rsid w:val="006D11E8"/>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6F7B2D"/>
    <w:rsid w:val="007009B9"/>
    <w:rsid w:val="007019FA"/>
    <w:rsid w:val="00702880"/>
    <w:rsid w:val="0070296B"/>
    <w:rsid w:val="00702FC2"/>
    <w:rsid w:val="00704166"/>
    <w:rsid w:val="00704312"/>
    <w:rsid w:val="00704FB4"/>
    <w:rsid w:val="00706D65"/>
    <w:rsid w:val="00706F13"/>
    <w:rsid w:val="007072E8"/>
    <w:rsid w:val="00707D58"/>
    <w:rsid w:val="00707F25"/>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E3"/>
    <w:rsid w:val="00736FC9"/>
    <w:rsid w:val="007401F7"/>
    <w:rsid w:val="00740446"/>
    <w:rsid w:val="0074082F"/>
    <w:rsid w:val="00740B56"/>
    <w:rsid w:val="007438A9"/>
    <w:rsid w:val="0074491E"/>
    <w:rsid w:val="00744E22"/>
    <w:rsid w:val="0074568F"/>
    <w:rsid w:val="00746066"/>
    <w:rsid w:val="007467F1"/>
    <w:rsid w:val="00746862"/>
    <w:rsid w:val="00752A24"/>
    <w:rsid w:val="00755165"/>
    <w:rsid w:val="00757F03"/>
    <w:rsid w:val="0076247A"/>
    <w:rsid w:val="00762BAC"/>
    <w:rsid w:val="0076581E"/>
    <w:rsid w:val="00767414"/>
    <w:rsid w:val="00767B58"/>
    <w:rsid w:val="00772807"/>
    <w:rsid w:val="00772DA8"/>
    <w:rsid w:val="00773BA2"/>
    <w:rsid w:val="00775964"/>
    <w:rsid w:val="007765FE"/>
    <w:rsid w:val="00777497"/>
    <w:rsid w:val="007814D0"/>
    <w:rsid w:val="007842C3"/>
    <w:rsid w:val="00784B67"/>
    <w:rsid w:val="0078760A"/>
    <w:rsid w:val="007879AF"/>
    <w:rsid w:val="00787FC1"/>
    <w:rsid w:val="00793E29"/>
    <w:rsid w:val="00793F3E"/>
    <w:rsid w:val="007948D2"/>
    <w:rsid w:val="00795BFB"/>
    <w:rsid w:val="0079614C"/>
    <w:rsid w:val="00797044"/>
    <w:rsid w:val="00797093"/>
    <w:rsid w:val="00797582"/>
    <w:rsid w:val="007A375E"/>
    <w:rsid w:val="007A687C"/>
    <w:rsid w:val="007A7973"/>
    <w:rsid w:val="007B0D3E"/>
    <w:rsid w:val="007B2760"/>
    <w:rsid w:val="007B3764"/>
    <w:rsid w:val="007B6E55"/>
    <w:rsid w:val="007C2022"/>
    <w:rsid w:val="007C41A1"/>
    <w:rsid w:val="007C54E6"/>
    <w:rsid w:val="007C6336"/>
    <w:rsid w:val="007D0033"/>
    <w:rsid w:val="007D1EE9"/>
    <w:rsid w:val="007D2326"/>
    <w:rsid w:val="007D31F1"/>
    <w:rsid w:val="007D41AD"/>
    <w:rsid w:val="007D44E9"/>
    <w:rsid w:val="007D466E"/>
    <w:rsid w:val="007D4A2B"/>
    <w:rsid w:val="007D6341"/>
    <w:rsid w:val="007D7B3F"/>
    <w:rsid w:val="007E06F9"/>
    <w:rsid w:val="007E1F80"/>
    <w:rsid w:val="007E44F9"/>
    <w:rsid w:val="007E5E96"/>
    <w:rsid w:val="007F1A26"/>
    <w:rsid w:val="007F2B73"/>
    <w:rsid w:val="007F2C02"/>
    <w:rsid w:val="007F3868"/>
    <w:rsid w:val="007F4922"/>
    <w:rsid w:val="0080021C"/>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35C9"/>
    <w:rsid w:val="008348CB"/>
    <w:rsid w:val="00834B60"/>
    <w:rsid w:val="0083655D"/>
    <w:rsid w:val="00836BD5"/>
    <w:rsid w:val="00837B9A"/>
    <w:rsid w:val="0084194F"/>
    <w:rsid w:val="00843746"/>
    <w:rsid w:val="00844D9E"/>
    <w:rsid w:val="00845DB3"/>
    <w:rsid w:val="00847443"/>
    <w:rsid w:val="008501D2"/>
    <w:rsid w:val="0085358C"/>
    <w:rsid w:val="008540A0"/>
    <w:rsid w:val="0085467A"/>
    <w:rsid w:val="00854C37"/>
    <w:rsid w:val="008554C7"/>
    <w:rsid w:val="008563D3"/>
    <w:rsid w:val="0085706C"/>
    <w:rsid w:val="008577C6"/>
    <w:rsid w:val="008611E7"/>
    <w:rsid w:val="008625F4"/>
    <w:rsid w:val="00864029"/>
    <w:rsid w:val="00867644"/>
    <w:rsid w:val="008712A7"/>
    <w:rsid w:val="0087140E"/>
    <w:rsid w:val="00872D82"/>
    <w:rsid w:val="00873150"/>
    <w:rsid w:val="0087444C"/>
    <w:rsid w:val="008748B7"/>
    <w:rsid w:val="008750E6"/>
    <w:rsid w:val="0087657D"/>
    <w:rsid w:val="0087696D"/>
    <w:rsid w:val="00876D3E"/>
    <w:rsid w:val="00876DCE"/>
    <w:rsid w:val="00877B48"/>
    <w:rsid w:val="008807D5"/>
    <w:rsid w:val="00880832"/>
    <w:rsid w:val="00880F6B"/>
    <w:rsid w:val="00881588"/>
    <w:rsid w:val="00881609"/>
    <w:rsid w:val="00881BAA"/>
    <w:rsid w:val="008821E6"/>
    <w:rsid w:val="00882263"/>
    <w:rsid w:val="00882BC8"/>
    <w:rsid w:val="00883586"/>
    <w:rsid w:val="0088560A"/>
    <w:rsid w:val="00885AFE"/>
    <w:rsid w:val="00886913"/>
    <w:rsid w:val="00886EE1"/>
    <w:rsid w:val="00886F37"/>
    <w:rsid w:val="0088727D"/>
    <w:rsid w:val="00887878"/>
    <w:rsid w:val="00887C49"/>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B41D7"/>
    <w:rsid w:val="008C1130"/>
    <w:rsid w:val="008C16D7"/>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8F7F21"/>
    <w:rsid w:val="00906D10"/>
    <w:rsid w:val="009076C7"/>
    <w:rsid w:val="00907908"/>
    <w:rsid w:val="00907C3C"/>
    <w:rsid w:val="00910030"/>
    <w:rsid w:val="009138F3"/>
    <w:rsid w:val="00913D26"/>
    <w:rsid w:val="009141C9"/>
    <w:rsid w:val="00914D6C"/>
    <w:rsid w:val="00920416"/>
    <w:rsid w:val="00920C3D"/>
    <w:rsid w:val="00921B3A"/>
    <w:rsid w:val="00921FE1"/>
    <w:rsid w:val="0092279E"/>
    <w:rsid w:val="009230BC"/>
    <w:rsid w:val="009240B7"/>
    <w:rsid w:val="0092412E"/>
    <w:rsid w:val="0092593B"/>
    <w:rsid w:val="00925EFA"/>
    <w:rsid w:val="009269C7"/>
    <w:rsid w:val="00926AFE"/>
    <w:rsid w:val="009272C6"/>
    <w:rsid w:val="00930B12"/>
    <w:rsid w:val="009314E6"/>
    <w:rsid w:val="00932DC8"/>
    <w:rsid w:val="00934F43"/>
    <w:rsid w:val="00934FA6"/>
    <w:rsid w:val="009353D2"/>
    <w:rsid w:val="00935797"/>
    <w:rsid w:val="00936063"/>
    <w:rsid w:val="00937565"/>
    <w:rsid w:val="00940256"/>
    <w:rsid w:val="00940FD7"/>
    <w:rsid w:val="0094252E"/>
    <w:rsid w:val="00942841"/>
    <w:rsid w:val="009429E7"/>
    <w:rsid w:val="00942BAC"/>
    <w:rsid w:val="00942FC6"/>
    <w:rsid w:val="00945A3C"/>
    <w:rsid w:val="00945EFE"/>
    <w:rsid w:val="0094658F"/>
    <w:rsid w:val="00946AB1"/>
    <w:rsid w:val="009474AD"/>
    <w:rsid w:val="00950164"/>
    <w:rsid w:val="00951123"/>
    <w:rsid w:val="009516B8"/>
    <w:rsid w:val="0095171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4AB5"/>
    <w:rsid w:val="00974D5B"/>
    <w:rsid w:val="00975962"/>
    <w:rsid w:val="00976D32"/>
    <w:rsid w:val="009805E0"/>
    <w:rsid w:val="00980814"/>
    <w:rsid w:val="00980D18"/>
    <w:rsid w:val="009814D9"/>
    <w:rsid w:val="00984132"/>
    <w:rsid w:val="00984E57"/>
    <w:rsid w:val="00985B1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359"/>
    <w:rsid w:val="009D4A1A"/>
    <w:rsid w:val="009D65E7"/>
    <w:rsid w:val="009D692A"/>
    <w:rsid w:val="009D69D2"/>
    <w:rsid w:val="009E0C30"/>
    <w:rsid w:val="009E0D7E"/>
    <w:rsid w:val="009E11C8"/>
    <w:rsid w:val="009E1365"/>
    <w:rsid w:val="009E2F5E"/>
    <w:rsid w:val="009E3948"/>
    <w:rsid w:val="009E6C87"/>
    <w:rsid w:val="009F40BC"/>
    <w:rsid w:val="009F471E"/>
    <w:rsid w:val="009F492A"/>
    <w:rsid w:val="009F4A54"/>
    <w:rsid w:val="009F4BEC"/>
    <w:rsid w:val="009F5BAB"/>
    <w:rsid w:val="009F609F"/>
    <w:rsid w:val="009F768C"/>
    <w:rsid w:val="009F7D37"/>
    <w:rsid w:val="00A0161E"/>
    <w:rsid w:val="00A02436"/>
    <w:rsid w:val="00A031DE"/>
    <w:rsid w:val="00A047C7"/>
    <w:rsid w:val="00A0489D"/>
    <w:rsid w:val="00A04D6F"/>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2C46"/>
    <w:rsid w:val="00A33999"/>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E42"/>
    <w:rsid w:val="00A57DD0"/>
    <w:rsid w:val="00A60B88"/>
    <w:rsid w:val="00A6127C"/>
    <w:rsid w:val="00A62A9D"/>
    <w:rsid w:val="00A647FE"/>
    <w:rsid w:val="00A71343"/>
    <w:rsid w:val="00A716F6"/>
    <w:rsid w:val="00A71CC8"/>
    <w:rsid w:val="00A72AE2"/>
    <w:rsid w:val="00A75649"/>
    <w:rsid w:val="00A766E2"/>
    <w:rsid w:val="00A76D31"/>
    <w:rsid w:val="00A76DE9"/>
    <w:rsid w:val="00A7793A"/>
    <w:rsid w:val="00A81C1B"/>
    <w:rsid w:val="00A824D1"/>
    <w:rsid w:val="00A83C4B"/>
    <w:rsid w:val="00A84DAD"/>
    <w:rsid w:val="00A85A53"/>
    <w:rsid w:val="00A85E18"/>
    <w:rsid w:val="00A86149"/>
    <w:rsid w:val="00A87AAD"/>
    <w:rsid w:val="00A91BF5"/>
    <w:rsid w:val="00A92969"/>
    <w:rsid w:val="00A93243"/>
    <w:rsid w:val="00A93759"/>
    <w:rsid w:val="00A948B5"/>
    <w:rsid w:val="00A96741"/>
    <w:rsid w:val="00A96971"/>
    <w:rsid w:val="00AA00E0"/>
    <w:rsid w:val="00AA010D"/>
    <w:rsid w:val="00AA08CD"/>
    <w:rsid w:val="00AA0DF5"/>
    <w:rsid w:val="00AA3003"/>
    <w:rsid w:val="00AA44A7"/>
    <w:rsid w:val="00AA4CC7"/>
    <w:rsid w:val="00AA5380"/>
    <w:rsid w:val="00AA5E8E"/>
    <w:rsid w:val="00AA7764"/>
    <w:rsid w:val="00AB12AD"/>
    <w:rsid w:val="00AB1E2A"/>
    <w:rsid w:val="00AB1F86"/>
    <w:rsid w:val="00AB57FD"/>
    <w:rsid w:val="00AB6CA7"/>
    <w:rsid w:val="00AC2AA3"/>
    <w:rsid w:val="00AC2DD0"/>
    <w:rsid w:val="00AC71A8"/>
    <w:rsid w:val="00AC71D9"/>
    <w:rsid w:val="00AD01E4"/>
    <w:rsid w:val="00AD0858"/>
    <w:rsid w:val="00AD1A5B"/>
    <w:rsid w:val="00AD3492"/>
    <w:rsid w:val="00AD3F3B"/>
    <w:rsid w:val="00AD4002"/>
    <w:rsid w:val="00AD47C2"/>
    <w:rsid w:val="00AD552E"/>
    <w:rsid w:val="00AE05EC"/>
    <w:rsid w:val="00AE12AF"/>
    <w:rsid w:val="00AE1A34"/>
    <w:rsid w:val="00AE2302"/>
    <w:rsid w:val="00AE3354"/>
    <w:rsid w:val="00AE3C73"/>
    <w:rsid w:val="00AE420F"/>
    <w:rsid w:val="00AE556C"/>
    <w:rsid w:val="00AE5B7B"/>
    <w:rsid w:val="00AE5C1B"/>
    <w:rsid w:val="00AE7206"/>
    <w:rsid w:val="00AE7340"/>
    <w:rsid w:val="00AE7627"/>
    <w:rsid w:val="00AF1BBD"/>
    <w:rsid w:val="00AF1FB3"/>
    <w:rsid w:val="00AF234D"/>
    <w:rsid w:val="00AF4099"/>
    <w:rsid w:val="00AF4782"/>
    <w:rsid w:val="00AF577E"/>
    <w:rsid w:val="00AF5B5C"/>
    <w:rsid w:val="00B003BA"/>
    <w:rsid w:val="00B0328B"/>
    <w:rsid w:val="00B03A76"/>
    <w:rsid w:val="00B04CFB"/>
    <w:rsid w:val="00B07133"/>
    <w:rsid w:val="00B072E2"/>
    <w:rsid w:val="00B07959"/>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3934"/>
    <w:rsid w:val="00B351B4"/>
    <w:rsid w:val="00B3710B"/>
    <w:rsid w:val="00B37A67"/>
    <w:rsid w:val="00B453A0"/>
    <w:rsid w:val="00B46BCA"/>
    <w:rsid w:val="00B47F3A"/>
    <w:rsid w:val="00B526A3"/>
    <w:rsid w:val="00B53781"/>
    <w:rsid w:val="00B540E0"/>
    <w:rsid w:val="00B54124"/>
    <w:rsid w:val="00B565E2"/>
    <w:rsid w:val="00B60C8C"/>
    <w:rsid w:val="00B62199"/>
    <w:rsid w:val="00B62919"/>
    <w:rsid w:val="00B639AD"/>
    <w:rsid w:val="00B656B3"/>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660A"/>
    <w:rsid w:val="00B872EC"/>
    <w:rsid w:val="00B87806"/>
    <w:rsid w:val="00B87EC9"/>
    <w:rsid w:val="00B91123"/>
    <w:rsid w:val="00B917E4"/>
    <w:rsid w:val="00B91A55"/>
    <w:rsid w:val="00B92BC9"/>
    <w:rsid w:val="00B92EAC"/>
    <w:rsid w:val="00B948D7"/>
    <w:rsid w:val="00B94C06"/>
    <w:rsid w:val="00BA06E2"/>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AF9"/>
    <w:rsid w:val="00BD7F14"/>
    <w:rsid w:val="00BE01EB"/>
    <w:rsid w:val="00BE1547"/>
    <w:rsid w:val="00BE6338"/>
    <w:rsid w:val="00BE76E0"/>
    <w:rsid w:val="00BE7CAA"/>
    <w:rsid w:val="00BF2120"/>
    <w:rsid w:val="00BF26B2"/>
    <w:rsid w:val="00BF359F"/>
    <w:rsid w:val="00BF35DB"/>
    <w:rsid w:val="00BF4008"/>
    <w:rsid w:val="00BF4946"/>
    <w:rsid w:val="00BF57FA"/>
    <w:rsid w:val="00BF66D3"/>
    <w:rsid w:val="00BF6E67"/>
    <w:rsid w:val="00BF6EBD"/>
    <w:rsid w:val="00BF72A5"/>
    <w:rsid w:val="00BF77FD"/>
    <w:rsid w:val="00BF78D2"/>
    <w:rsid w:val="00C018C2"/>
    <w:rsid w:val="00C034CB"/>
    <w:rsid w:val="00C03A1D"/>
    <w:rsid w:val="00C04023"/>
    <w:rsid w:val="00C051A8"/>
    <w:rsid w:val="00C054BC"/>
    <w:rsid w:val="00C06611"/>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2792B"/>
    <w:rsid w:val="00C3020A"/>
    <w:rsid w:val="00C34589"/>
    <w:rsid w:val="00C350E9"/>
    <w:rsid w:val="00C35B2B"/>
    <w:rsid w:val="00C374DC"/>
    <w:rsid w:val="00C409D5"/>
    <w:rsid w:val="00C424BA"/>
    <w:rsid w:val="00C42E05"/>
    <w:rsid w:val="00C435C3"/>
    <w:rsid w:val="00C4502D"/>
    <w:rsid w:val="00C45BB1"/>
    <w:rsid w:val="00C47181"/>
    <w:rsid w:val="00C507D0"/>
    <w:rsid w:val="00C518D5"/>
    <w:rsid w:val="00C5202E"/>
    <w:rsid w:val="00C5395D"/>
    <w:rsid w:val="00C53D47"/>
    <w:rsid w:val="00C54529"/>
    <w:rsid w:val="00C563BE"/>
    <w:rsid w:val="00C56665"/>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80032"/>
    <w:rsid w:val="00C8372E"/>
    <w:rsid w:val="00C86165"/>
    <w:rsid w:val="00C86384"/>
    <w:rsid w:val="00C8661B"/>
    <w:rsid w:val="00C86F73"/>
    <w:rsid w:val="00C87369"/>
    <w:rsid w:val="00C87AC6"/>
    <w:rsid w:val="00C87CE5"/>
    <w:rsid w:val="00C90AB3"/>
    <w:rsid w:val="00C90C67"/>
    <w:rsid w:val="00C95EBA"/>
    <w:rsid w:val="00C96690"/>
    <w:rsid w:val="00C973B6"/>
    <w:rsid w:val="00C9774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46CE"/>
    <w:rsid w:val="00CF5F29"/>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721A"/>
    <w:rsid w:val="00D213A4"/>
    <w:rsid w:val="00D2235F"/>
    <w:rsid w:val="00D2290A"/>
    <w:rsid w:val="00D237C7"/>
    <w:rsid w:val="00D23E87"/>
    <w:rsid w:val="00D24B72"/>
    <w:rsid w:val="00D258BF"/>
    <w:rsid w:val="00D26139"/>
    <w:rsid w:val="00D26F85"/>
    <w:rsid w:val="00D27114"/>
    <w:rsid w:val="00D2772A"/>
    <w:rsid w:val="00D313EC"/>
    <w:rsid w:val="00D329CC"/>
    <w:rsid w:val="00D339D4"/>
    <w:rsid w:val="00D342A6"/>
    <w:rsid w:val="00D359F1"/>
    <w:rsid w:val="00D36398"/>
    <w:rsid w:val="00D45299"/>
    <w:rsid w:val="00D45DC2"/>
    <w:rsid w:val="00D4605B"/>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11A0"/>
    <w:rsid w:val="00D61EE1"/>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0D9C"/>
    <w:rsid w:val="00DA2099"/>
    <w:rsid w:val="00DA239B"/>
    <w:rsid w:val="00DA4664"/>
    <w:rsid w:val="00DA5560"/>
    <w:rsid w:val="00DA5F78"/>
    <w:rsid w:val="00DA5FF5"/>
    <w:rsid w:val="00DB3261"/>
    <w:rsid w:val="00DB7E5C"/>
    <w:rsid w:val="00DC331E"/>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D5A"/>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1EDB"/>
    <w:rsid w:val="00E726EC"/>
    <w:rsid w:val="00E72C5E"/>
    <w:rsid w:val="00E7347E"/>
    <w:rsid w:val="00E7709E"/>
    <w:rsid w:val="00E81CB4"/>
    <w:rsid w:val="00E83C85"/>
    <w:rsid w:val="00E8569C"/>
    <w:rsid w:val="00E8585B"/>
    <w:rsid w:val="00E91301"/>
    <w:rsid w:val="00E944DF"/>
    <w:rsid w:val="00E9460D"/>
    <w:rsid w:val="00E951AF"/>
    <w:rsid w:val="00E96001"/>
    <w:rsid w:val="00E9621C"/>
    <w:rsid w:val="00EA1805"/>
    <w:rsid w:val="00EA1EE1"/>
    <w:rsid w:val="00EA2219"/>
    <w:rsid w:val="00EA3452"/>
    <w:rsid w:val="00EA345B"/>
    <w:rsid w:val="00EA386A"/>
    <w:rsid w:val="00EA3F15"/>
    <w:rsid w:val="00EA636D"/>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3F43"/>
    <w:rsid w:val="00EF4B06"/>
    <w:rsid w:val="00EF605C"/>
    <w:rsid w:val="00EF6BDC"/>
    <w:rsid w:val="00F008C6"/>
    <w:rsid w:val="00F01459"/>
    <w:rsid w:val="00F01CA3"/>
    <w:rsid w:val="00F03154"/>
    <w:rsid w:val="00F0499E"/>
    <w:rsid w:val="00F04FA6"/>
    <w:rsid w:val="00F054F5"/>
    <w:rsid w:val="00F057E5"/>
    <w:rsid w:val="00F06BB2"/>
    <w:rsid w:val="00F0759E"/>
    <w:rsid w:val="00F15CCA"/>
    <w:rsid w:val="00F16347"/>
    <w:rsid w:val="00F16FE3"/>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A6D"/>
    <w:rsid w:val="00F55D33"/>
    <w:rsid w:val="00F564B3"/>
    <w:rsid w:val="00F63543"/>
    <w:rsid w:val="00F66BC4"/>
    <w:rsid w:val="00F672AB"/>
    <w:rsid w:val="00F704B1"/>
    <w:rsid w:val="00F70D62"/>
    <w:rsid w:val="00F7160E"/>
    <w:rsid w:val="00F724F8"/>
    <w:rsid w:val="00F72F94"/>
    <w:rsid w:val="00F739D9"/>
    <w:rsid w:val="00F74608"/>
    <w:rsid w:val="00F7490D"/>
    <w:rsid w:val="00F76E11"/>
    <w:rsid w:val="00F80D64"/>
    <w:rsid w:val="00F8217F"/>
    <w:rsid w:val="00F821A3"/>
    <w:rsid w:val="00F849B2"/>
    <w:rsid w:val="00F84FC9"/>
    <w:rsid w:val="00F877BF"/>
    <w:rsid w:val="00F87B5F"/>
    <w:rsid w:val="00F90300"/>
    <w:rsid w:val="00F919E5"/>
    <w:rsid w:val="00F92B41"/>
    <w:rsid w:val="00F9314A"/>
    <w:rsid w:val="00F94A53"/>
    <w:rsid w:val="00F94CBC"/>
    <w:rsid w:val="00F95F5B"/>
    <w:rsid w:val="00F95FDB"/>
    <w:rsid w:val="00F9623D"/>
    <w:rsid w:val="00F96674"/>
    <w:rsid w:val="00F969FC"/>
    <w:rsid w:val="00FA0D0D"/>
    <w:rsid w:val="00FA29CD"/>
    <w:rsid w:val="00FA3458"/>
    <w:rsid w:val="00FA50A6"/>
    <w:rsid w:val="00FA6A07"/>
    <w:rsid w:val="00FA719E"/>
    <w:rsid w:val="00FA7689"/>
    <w:rsid w:val="00FB061A"/>
    <w:rsid w:val="00FB277C"/>
    <w:rsid w:val="00FB2A39"/>
    <w:rsid w:val="00FB4124"/>
    <w:rsid w:val="00FB4372"/>
    <w:rsid w:val="00FB7D2C"/>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234E"/>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896629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76045666">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8051548">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1998603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101094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2294408">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2454388">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5306648">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75336048">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487995">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1552250">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2642167">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406565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365185">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399938965">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948704">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135492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7176588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80415231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0898733">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80236434">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04695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9B69-A2AD-4408-9BED-030EF2E6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29</Pages>
  <Words>28791</Words>
  <Characters>158355</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2019-07-03T14:13:00Z</cp:lastPrinted>
  <dcterms:created xsi:type="dcterms:W3CDTF">2019-07-15T20:58:00Z</dcterms:created>
  <dcterms:modified xsi:type="dcterms:W3CDTF">2019-07-15T20:58:00Z</dcterms:modified>
</cp:coreProperties>
</file>