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6DE87" w14:textId="77777777" w:rsidR="00625DC6" w:rsidRPr="00E060BE" w:rsidRDefault="00D27D74"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2389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65pt;margin-top:-53.35pt;width:45.75pt;height:48.75pt;z-index:251657728" fillcolor="#0c9">
            <v:imagedata r:id="rId8" o:title="" cropright="8426f"/>
          </v:shape>
          <o:OLEObject Type="Embed" ProgID="PBrush" ShapeID="_x0000_s1026" DrawAspect="Content" ObjectID="_1607344946" r:id="rId9"/>
        </w:object>
      </w:r>
    </w:p>
    <w:p w14:paraId="2D03B018" w14:textId="77777777" w:rsidR="00625DC6" w:rsidRPr="008A165F" w:rsidRDefault="00625DC6" w:rsidP="008A165F">
      <w:pPr>
        <w:widowControl w:val="0"/>
        <w:adjustRightInd w:val="0"/>
        <w:ind w:left="0" w:right="20"/>
        <w:jc w:val="center"/>
        <w:rPr>
          <w:rFonts w:ascii="Bookman Old Style" w:hAnsi="Bookman Old Style" w:cs="Arial"/>
        </w:rPr>
      </w:pPr>
    </w:p>
    <w:p w14:paraId="01875467" w14:textId="77777777" w:rsidR="00CA77FB" w:rsidRPr="008A165F" w:rsidRDefault="00CA77FB" w:rsidP="008A165F">
      <w:pPr>
        <w:widowControl w:val="0"/>
        <w:adjustRightInd w:val="0"/>
        <w:ind w:left="0" w:right="20"/>
        <w:jc w:val="center"/>
        <w:rPr>
          <w:rFonts w:ascii="Bookman Old Style" w:hAnsi="Bookman Old Style" w:cs="Arial"/>
        </w:rPr>
      </w:pPr>
      <w:r w:rsidRPr="008A165F">
        <w:rPr>
          <w:rFonts w:ascii="Bookman Old Style" w:hAnsi="Bookman Old Style" w:cs="Arial"/>
        </w:rPr>
        <w:t>Ministerio de Minas y Energía</w:t>
      </w:r>
    </w:p>
    <w:p w14:paraId="3FBD9210"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669954D1"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357B589"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6DC19EA"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DB1B58" w14:textId="77777777"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2B06FD">
        <w:rPr>
          <w:rFonts w:ascii="Bookman Old Style" w:hAnsi="Bookman Old Style"/>
          <w:sz w:val="24"/>
          <w:szCs w:val="24"/>
        </w:rPr>
        <w:t>8</w:t>
      </w:r>
    </w:p>
    <w:p w14:paraId="14B4EA32"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7B8930F0" w14:textId="77777777"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14:paraId="592770E8"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39A9D63F" w14:textId="77777777" w:rsidR="00B351B4" w:rsidRPr="00E060BE" w:rsidRDefault="00B351B4" w:rsidP="00012259">
      <w:pPr>
        <w:ind w:left="0"/>
        <w:rPr>
          <w:rFonts w:ascii="Bookman Old Style" w:hAnsi="Bookman Old Style"/>
          <w:bCs/>
          <w:lang w:val="es-CO"/>
        </w:rPr>
      </w:pPr>
    </w:p>
    <w:p w14:paraId="438CFE16" w14:textId="77777777" w:rsidR="00D66C02" w:rsidRPr="00D66C02" w:rsidRDefault="00D66C02" w:rsidP="00D66C02">
      <w:pPr>
        <w:widowControl w:val="0"/>
        <w:adjustRightInd w:val="0"/>
        <w:ind w:left="0" w:right="20"/>
        <w:jc w:val="center"/>
        <w:rPr>
          <w:rFonts w:ascii="Bookman Old Style" w:hAnsi="Bookman Old Style" w:cs="Arial"/>
          <w:lang w:val="es-ES_tradnl"/>
        </w:rPr>
      </w:pPr>
      <w:r w:rsidRPr="00D66C02">
        <w:rPr>
          <w:rFonts w:ascii="Bookman Old Style" w:hAnsi="Bookman Old Style" w:cs="Arial"/>
        </w:rPr>
        <w:t xml:space="preserve">Por la cual se resuelve el recurso de reposición interpuesto por la empresa </w:t>
      </w:r>
      <w:r>
        <w:rPr>
          <w:rFonts w:ascii="Bookman Old Style" w:hAnsi="Bookman Old Style" w:cs="Arial"/>
        </w:rPr>
        <w:t>GASES DE LA GUAJIRA</w:t>
      </w:r>
      <w:r w:rsidRPr="00D66C02">
        <w:rPr>
          <w:rFonts w:ascii="Bookman Old Style" w:hAnsi="Bookman Old Style" w:cs="Arial"/>
        </w:rPr>
        <w:t xml:space="preserve"> S.A. E.S.P. contra la Resolución CREG </w:t>
      </w:r>
      <w:r>
        <w:rPr>
          <w:rFonts w:ascii="Bookman Old Style" w:hAnsi="Bookman Old Style" w:cs="Arial"/>
        </w:rPr>
        <w:t>027</w:t>
      </w:r>
      <w:r w:rsidRPr="00D66C02">
        <w:rPr>
          <w:rFonts w:ascii="Bookman Old Style" w:hAnsi="Bookman Old Style" w:cs="Arial"/>
        </w:rPr>
        <w:t xml:space="preserve"> de 201</w:t>
      </w:r>
      <w:r>
        <w:rPr>
          <w:rFonts w:ascii="Bookman Old Style" w:hAnsi="Bookman Old Style" w:cs="Arial"/>
        </w:rPr>
        <w:t>8</w:t>
      </w:r>
      <w:r w:rsidRPr="00D66C02">
        <w:rPr>
          <w:rFonts w:ascii="Bookman Old Style" w:hAnsi="Bookman Old Style" w:cs="Arial"/>
        </w:rPr>
        <w:t>, “</w:t>
      </w:r>
      <w:r w:rsidR="00626EED" w:rsidRPr="00626EED">
        <w:rPr>
          <w:rFonts w:ascii="Bookman Old Style" w:hAnsi="Bookman Old Style" w:cs="Arial"/>
          <w:lang w:val="es-ES_tradnl"/>
        </w:rPr>
        <w:t>Por la cual se aprueba cargo transitorio por uso del sistema de distribución de gas combustible por redes de tubería, para el mercado relevante conformado por los municipios de Riohacha, Albania, Barrancas, Dibulla, Distracción, El Molino, Fonseca, Hatonuevo, Maica</w:t>
      </w:r>
      <w:r w:rsidR="00BB3060">
        <w:rPr>
          <w:rFonts w:ascii="Bookman Old Style" w:hAnsi="Bookman Old Style" w:cs="Arial"/>
          <w:lang w:val="es-ES_tradnl"/>
        </w:rPr>
        <w:t>o</w:t>
      </w:r>
      <w:r w:rsidR="00626EED" w:rsidRPr="00626EED">
        <w:rPr>
          <w:rFonts w:ascii="Bookman Old Style" w:hAnsi="Bookman Old Style" w:cs="Arial"/>
          <w:lang w:val="es-ES_tradnl"/>
        </w:rPr>
        <w:t>, Manaure, San Juan del Cesar, Uribia, Urumita, Villanueva y La Jagua del Pilar, según solicitud tarifaria presentada por GASES DE LA GUAJIRA S.A. E.S.P</w:t>
      </w:r>
      <w:r w:rsidRPr="00D66C02">
        <w:rPr>
          <w:rFonts w:ascii="Bookman Old Style" w:hAnsi="Bookman Old Style" w:cs="Arial"/>
          <w:lang w:val="es-ES_tradnl"/>
        </w:rPr>
        <w:t>”</w:t>
      </w:r>
    </w:p>
    <w:p w14:paraId="12FC6B9C" w14:textId="77777777" w:rsidR="00045D3D" w:rsidRPr="00C435C3" w:rsidRDefault="00045D3D" w:rsidP="00045D3D">
      <w:pPr>
        <w:ind w:left="0"/>
        <w:jc w:val="center"/>
        <w:rPr>
          <w:rFonts w:ascii="Bookman Old Style" w:hAnsi="Bookman Old Style"/>
        </w:rPr>
      </w:pPr>
    </w:p>
    <w:p w14:paraId="78B8FC70" w14:textId="77777777" w:rsidR="00045D3D" w:rsidRPr="00C435C3" w:rsidRDefault="00045D3D" w:rsidP="00045D3D">
      <w:pPr>
        <w:ind w:right="51"/>
        <w:rPr>
          <w:rFonts w:ascii="Bookman Old Style" w:hAnsi="Bookman Old Style"/>
        </w:rPr>
      </w:pPr>
    </w:p>
    <w:p w14:paraId="6BB93A70" w14:textId="77777777" w:rsidR="00045D3D" w:rsidRPr="00C435C3" w:rsidRDefault="00045D3D" w:rsidP="008A165F">
      <w:pPr>
        <w:ind w:left="0" w:right="51"/>
        <w:jc w:val="center"/>
        <w:rPr>
          <w:rFonts w:ascii="Bookman Old Style" w:hAnsi="Bookman Old Style"/>
          <w:b/>
        </w:rPr>
      </w:pPr>
      <w:r w:rsidRPr="00C435C3">
        <w:rPr>
          <w:rFonts w:ascii="Bookman Old Style" w:hAnsi="Bookman Old Style"/>
          <w:b/>
        </w:rPr>
        <w:t>LA COMISIÓN DE REGULACIÓN DE ENERGÍA Y GAS</w:t>
      </w:r>
    </w:p>
    <w:p w14:paraId="3C03CE4D" w14:textId="77777777" w:rsidR="00045D3D" w:rsidRPr="00C435C3" w:rsidRDefault="00045D3D" w:rsidP="00045D3D">
      <w:pPr>
        <w:ind w:left="0" w:right="51"/>
        <w:rPr>
          <w:rFonts w:ascii="Bookman Old Style" w:hAnsi="Bookman Old Style"/>
        </w:rPr>
      </w:pPr>
    </w:p>
    <w:p w14:paraId="790E444C" w14:textId="5568AC83" w:rsidR="00045D3D" w:rsidRPr="008A165F" w:rsidRDefault="00045D3D" w:rsidP="00475E85">
      <w:pPr>
        <w:adjustRightInd w:val="0"/>
        <w:spacing w:before="240" w:after="240"/>
        <w:ind w:left="708" w:hanging="708"/>
        <w:jc w:val="center"/>
        <w:rPr>
          <w:rFonts w:ascii="Bookman Old Style" w:hAnsi="Bookman Old Style" w:cs="Arial"/>
        </w:rPr>
      </w:pPr>
      <w:r w:rsidRPr="008A165F">
        <w:rPr>
          <w:rFonts w:ascii="Bookman Old Style" w:hAnsi="Bookman Old Style" w:cs="Arial"/>
        </w:rPr>
        <w:t xml:space="preserve">En ejercicio de sus atribuciones constitucionales y legales, en especial la conferida por la </w:t>
      </w:r>
      <w:r w:rsidR="002352B9" w:rsidRPr="008A165F">
        <w:rPr>
          <w:rFonts w:ascii="Bookman Old Style" w:hAnsi="Bookman Old Style" w:cs="Arial"/>
        </w:rPr>
        <w:t>l</w:t>
      </w:r>
      <w:r w:rsidRPr="008A165F">
        <w:rPr>
          <w:rFonts w:ascii="Bookman Old Style" w:hAnsi="Bookman Old Style" w:cs="Arial"/>
        </w:rPr>
        <w:t xml:space="preserve">ey 142 de 1994, y en desarrollo de los </w:t>
      </w:r>
      <w:r w:rsidR="002352B9" w:rsidRPr="008A165F">
        <w:rPr>
          <w:rFonts w:ascii="Bookman Old Style" w:hAnsi="Bookman Old Style" w:cs="Arial"/>
        </w:rPr>
        <w:t>d</w:t>
      </w:r>
      <w:r w:rsidRPr="008A165F">
        <w:rPr>
          <w:rFonts w:ascii="Bookman Old Style" w:hAnsi="Bookman Old Style" w:cs="Arial"/>
        </w:rPr>
        <w:t>ecretos 1524</w:t>
      </w:r>
      <w:r w:rsidR="002B30E9">
        <w:rPr>
          <w:rFonts w:ascii="Bookman Old Style" w:hAnsi="Bookman Old Style" w:cs="Arial"/>
        </w:rPr>
        <w:t>,</w:t>
      </w:r>
      <w:r w:rsidRPr="008A165F">
        <w:rPr>
          <w:rFonts w:ascii="Bookman Old Style" w:hAnsi="Bookman Old Style" w:cs="Arial"/>
        </w:rPr>
        <w:t xml:space="preserve"> 2253 de 1994</w:t>
      </w:r>
      <w:r w:rsidR="002B30E9">
        <w:rPr>
          <w:rFonts w:ascii="Bookman Old Style" w:hAnsi="Bookman Old Style" w:cs="Arial"/>
        </w:rPr>
        <w:t xml:space="preserve"> </w:t>
      </w:r>
      <w:r w:rsidR="006C444F">
        <w:rPr>
          <w:rFonts w:ascii="Bookman Old Style" w:hAnsi="Bookman Old Style" w:cs="Arial"/>
        </w:rPr>
        <w:t xml:space="preserve">y 1260 de 2013 </w:t>
      </w:r>
      <w:r w:rsidR="002B30E9">
        <w:rPr>
          <w:rFonts w:ascii="Bookman Old Style" w:hAnsi="Bookman Old Style" w:cs="Arial"/>
        </w:rPr>
        <w:t>y</w:t>
      </w:r>
      <w:r w:rsidRPr="008A165F">
        <w:rPr>
          <w:rFonts w:ascii="Bookman Old Style" w:hAnsi="Bookman Old Style" w:cs="Arial"/>
        </w:rPr>
        <w:t>.</w:t>
      </w:r>
    </w:p>
    <w:p w14:paraId="335F2021" w14:textId="77777777" w:rsidR="00045D3D" w:rsidRDefault="00045D3D" w:rsidP="00045D3D">
      <w:pPr>
        <w:ind w:right="51"/>
        <w:rPr>
          <w:rFonts w:ascii="Bookman Old Style" w:hAnsi="Bookman Old Style"/>
        </w:rPr>
      </w:pPr>
    </w:p>
    <w:p w14:paraId="63606A07" w14:textId="77777777" w:rsidR="00045D3D" w:rsidRPr="00C435C3" w:rsidRDefault="00045D3D" w:rsidP="001103A5">
      <w:pPr>
        <w:ind w:left="0" w:right="51"/>
        <w:jc w:val="center"/>
        <w:rPr>
          <w:rFonts w:ascii="Bookman Old Style" w:hAnsi="Bookman Old Style"/>
          <w:b/>
        </w:rPr>
      </w:pPr>
      <w:r w:rsidRPr="00C435C3">
        <w:rPr>
          <w:rFonts w:ascii="Bookman Old Style" w:hAnsi="Bookman Old Style"/>
          <w:b/>
        </w:rPr>
        <w:t>C O N S I D E R A N D O</w:t>
      </w:r>
      <w:r w:rsidR="001103A5">
        <w:rPr>
          <w:rFonts w:ascii="Bookman Old Style" w:hAnsi="Bookman Old Style"/>
          <w:b/>
        </w:rPr>
        <w:t xml:space="preserve"> </w:t>
      </w:r>
      <w:r>
        <w:rPr>
          <w:rFonts w:ascii="Bookman Old Style" w:hAnsi="Bookman Old Style"/>
          <w:b/>
        </w:rPr>
        <w:t xml:space="preserve"> Q U E</w:t>
      </w:r>
      <w:r w:rsidRPr="00C435C3">
        <w:rPr>
          <w:rFonts w:ascii="Bookman Old Style" w:hAnsi="Bookman Old Style"/>
          <w:b/>
        </w:rPr>
        <w:t>:</w:t>
      </w:r>
    </w:p>
    <w:p w14:paraId="04D078CC" w14:textId="77777777" w:rsidR="00045D3D" w:rsidRPr="00C435C3" w:rsidRDefault="00045D3D" w:rsidP="00045D3D">
      <w:pPr>
        <w:ind w:right="51"/>
        <w:jc w:val="center"/>
        <w:rPr>
          <w:rFonts w:ascii="Bookman Old Style" w:hAnsi="Bookman Old Style"/>
          <w:b/>
        </w:rPr>
      </w:pPr>
    </w:p>
    <w:p w14:paraId="1BE171E0" w14:textId="77777777" w:rsidR="00626EED" w:rsidRPr="00626EED" w:rsidRDefault="00626EED" w:rsidP="00245A33">
      <w:pPr>
        <w:pStyle w:val="Ttulo5"/>
        <w:numPr>
          <w:ilvl w:val="0"/>
          <w:numId w:val="2"/>
        </w:numPr>
        <w:tabs>
          <w:tab w:val="clear" w:pos="1080"/>
          <w:tab w:val="num" w:pos="851"/>
        </w:tabs>
        <w:spacing w:before="360" w:after="240"/>
        <w:ind w:left="567" w:hanging="567"/>
        <w:jc w:val="both"/>
        <w:rPr>
          <w:rFonts w:ascii="Bookman Old Style" w:hAnsi="Bookman Old Style"/>
          <w:sz w:val="24"/>
          <w:szCs w:val="24"/>
        </w:rPr>
      </w:pPr>
      <w:r w:rsidRPr="00626EED">
        <w:rPr>
          <w:rFonts w:ascii="Bookman Old Style" w:hAnsi="Bookman Old Style"/>
          <w:sz w:val="24"/>
          <w:szCs w:val="24"/>
        </w:rPr>
        <w:t>ANTECEDENTES</w:t>
      </w:r>
    </w:p>
    <w:p w14:paraId="28A7F51C" w14:textId="4E19924F" w:rsidR="002405D6" w:rsidRDefault="00BE3DE4" w:rsidP="002405D6">
      <w:pPr>
        <w:adjustRightInd w:val="0"/>
        <w:spacing w:after="240"/>
        <w:ind w:left="0"/>
        <w:jc w:val="both"/>
        <w:rPr>
          <w:rFonts w:ascii="Bookman Old Style" w:hAnsi="Bookman Old Style" w:cs="Arial"/>
        </w:rPr>
      </w:pPr>
      <w:r>
        <w:rPr>
          <w:rFonts w:ascii="Bookman Old Style" w:hAnsi="Bookman Old Style" w:cs="Arial"/>
        </w:rPr>
        <w:t>L</w:t>
      </w:r>
      <w:r w:rsidR="002405D6" w:rsidRPr="00166398">
        <w:rPr>
          <w:rFonts w:ascii="Bookman Old Style" w:hAnsi="Bookman Old Style" w:cs="Arial"/>
        </w:rPr>
        <w:t>a Resolución CREG 011 de 2003 estableci</w:t>
      </w:r>
      <w:r>
        <w:rPr>
          <w:rFonts w:ascii="Bookman Old Style" w:hAnsi="Bookman Old Style" w:cs="Arial"/>
        </w:rPr>
        <w:t>ó</w:t>
      </w:r>
      <w:r w:rsidR="002405D6" w:rsidRPr="00166398">
        <w:rPr>
          <w:rFonts w:ascii="Bookman Old Style" w:hAnsi="Bookman Old Style" w:cs="Arial"/>
        </w:rPr>
        <w:t xml:space="preserve"> los criterios generales para remunerar las actividades de distribución y comercialización de gas combustible, y las fórmulas generales para la prestación del servicio público domiciliario de distribución de gas combustible por redes de tubería a usuarios regulados en áreas de servicio no exclusivo.</w:t>
      </w:r>
    </w:p>
    <w:p w14:paraId="29D1E6DC" w14:textId="77777777" w:rsidR="002405D6" w:rsidRDefault="002405D6" w:rsidP="002405D6">
      <w:pPr>
        <w:adjustRightInd w:val="0"/>
        <w:spacing w:before="240" w:after="240"/>
        <w:ind w:left="0" w:right="23"/>
        <w:jc w:val="both"/>
        <w:rPr>
          <w:rFonts w:ascii="Bookman Old Style" w:hAnsi="Bookman Old Style"/>
          <w:shd w:val="clear" w:color="auto" w:fill="FFFFFF"/>
        </w:rPr>
      </w:pPr>
      <w:r w:rsidRPr="00F52C21">
        <w:rPr>
          <w:rFonts w:ascii="Bookman Old Style" w:hAnsi="Bookman Old Style"/>
          <w:shd w:val="clear" w:color="auto" w:fill="FFFFFF"/>
        </w:rPr>
        <w:t>Mediante la Resoluci</w:t>
      </w:r>
      <w:r>
        <w:rPr>
          <w:rFonts w:ascii="Bookman Old Style" w:hAnsi="Bookman Old Style"/>
          <w:shd w:val="clear" w:color="auto" w:fill="FFFFFF"/>
        </w:rPr>
        <w:t>ón</w:t>
      </w:r>
      <w:r w:rsidRPr="00F52C21">
        <w:rPr>
          <w:rFonts w:ascii="Bookman Old Style" w:hAnsi="Bookman Old Style"/>
          <w:shd w:val="clear" w:color="auto" w:fill="FFFFFF"/>
        </w:rPr>
        <w:t xml:space="preserve"> </w:t>
      </w:r>
      <w:r w:rsidRPr="00773E41">
        <w:rPr>
          <w:rFonts w:ascii="Bookman Old Style" w:hAnsi="Bookman Old Style"/>
        </w:rPr>
        <w:t>CREG 027 de 2004 se aprobaron</w:t>
      </w:r>
      <w:r w:rsidRPr="00F52C21">
        <w:rPr>
          <w:rFonts w:ascii="Bookman Old Style" w:hAnsi="Bookman Old Style"/>
          <w:shd w:val="clear" w:color="auto" w:fill="FFFFFF"/>
        </w:rPr>
        <w:t xml:space="preserve"> el Cargo Promedio de Distribución por uso del Sistema de Distribución de gas combustible por red y el Cargo Máximo Base de Comercialización de gas combustible por redes a usuarios regulados, para el mercado relevante conformado por</w:t>
      </w:r>
      <w:r>
        <w:rPr>
          <w:rFonts w:ascii="Bookman Old Style" w:hAnsi="Bookman Old Style"/>
          <w:shd w:val="clear" w:color="auto" w:fill="FFFFFF"/>
        </w:rPr>
        <w:t xml:space="preserve"> </w:t>
      </w:r>
      <w:r w:rsidRPr="00773E41">
        <w:rPr>
          <w:rFonts w:ascii="Bookman Old Style" w:hAnsi="Bookman Old Style"/>
          <w:shd w:val="clear" w:color="auto" w:fill="FFFFFF"/>
        </w:rPr>
        <w:t xml:space="preserve">los municipios de Albania, Barrancas, Dibulla, Distracción, El Molino, Fonseca, Hatonuevo, Maicao, Manaure, Riohacha, San Juan del Cesar, Uribia, Urumita y Villanueva </w:t>
      </w:r>
      <w:r>
        <w:rPr>
          <w:rFonts w:ascii="Bookman Old Style" w:hAnsi="Bookman Old Style"/>
          <w:shd w:val="clear" w:color="auto" w:fill="FFFFFF"/>
        </w:rPr>
        <w:t xml:space="preserve">en el departamento de Guajira, </w:t>
      </w:r>
      <w:r w:rsidRPr="00F52C21">
        <w:rPr>
          <w:rFonts w:ascii="Bookman Old Style" w:hAnsi="Bookman Old Style"/>
          <w:shd w:val="clear" w:color="auto" w:fill="FFFFFF"/>
        </w:rPr>
        <w:t xml:space="preserve">según solicitud tarifaria presentada por la empresa </w:t>
      </w:r>
      <w:r w:rsidRPr="00773E41">
        <w:rPr>
          <w:rFonts w:ascii="Bookman Old Style" w:hAnsi="Bookman Old Style"/>
          <w:shd w:val="clear" w:color="auto" w:fill="FFFFFF"/>
        </w:rPr>
        <w:t>GASES DE LA GUAJIRA S.A. E.S.P.</w:t>
      </w:r>
    </w:p>
    <w:p w14:paraId="74925C89" w14:textId="77777777" w:rsidR="002405D6" w:rsidRPr="00F52C21" w:rsidRDefault="002405D6" w:rsidP="002405D6">
      <w:pPr>
        <w:adjustRightInd w:val="0"/>
        <w:spacing w:before="240" w:after="240"/>
        <w:ind w:left="0" w:right="23"/>
        <w:jc w:val="both"/>
        <w:rPr>
          <w:rFonts w:ascii="Bookman Old Style" w:hAnsi="Bookman Old Style"/>
          <w:lang w:eastAsia="es-CO"/>
        </w:rPr>
      </w:pPr>
      <w:r>
        <w:rPr>
          <w:rFonts w:ascii="Bookman Old Style" w:hAnsi="Bookman Old Style"/>
          <w:shd w:val="clear" w:color="auto" w:fill="FFFFFF"/>
        </w:rPr>
        <w:t>De igual forma, m</w:t>
      </w:r>
      <w:r w:rsidRPr="00F52C21">
        <w:rPr>
          <w:rFonts w:ascii="Bookman Old Style" w:hAnsi="Bookman Old Style"/>
          <w:shd w:val="clear" w:color="auto" w:fill="FFFFFF"/>
        </w:rPr>
        <w:t>ediante la Resoluci</w:t>
      </w:r>
      <w:r>
        <w:rPr>
          <w:rFonts w:ascii="Bookman Old Style" w:hAnsi="Bookman Old Style"/>
          <w:shd w:val="clear" w:color="auto" w:fill="FFFFFF"/>
        </w:rPr>
        <w:t>ón</w:t>
      </w:r>
      <w:r w:rsidRPr="00F52C21">
        <w:rPr>
          <w:rFonts w:ascii="Bookman Old Style" w:hAnsi="Bookman Old Style"/>
          <w:shd w:val="clear" w:color="auto" w:fill="FFFFFF"/>
        </w:rPr>
        <w:t xml:space="preserve"> </w:t>
      </w:r>
      <w:r w:rsidRPr="00084172">
        <w:rPr>
          <w:rFonts w:ascii="Bookman Old Style" w:hAnsi="Bookman Old Style"/>
        </w:rPr>
        <w:t>CREG 0</w:t>
      </w:r>
      <w:r>
        <w:rPr>
          <w:rFonts w:ascii="Bookman Old Style" w:hAnsi="Bookman Old Style"/>
        </w:rPr>
        <w:t>89</w:t>
      </w:r>
      <w:r w:rsidRPr="00084172">
        <w:rPr>
          <w:rFonts w:ascii="Bookman Old Style" w:hAnsi="Bookman Old Style"/>
        </w:rPr>
        <w:t xml:space="preserve"> de 200</w:t>
      </w:r>
      <w:r>
        <w:rPr>
          <w:rFonts w:ascii="Bookman Old Style" w:hAnsi="Bookman Old Style"/>
        </w:rPr>
        <w:t>6</w:t>
      </w:r>
      <w:r w:rsidRPr="00084172">
        <w:rPr>
          <w:rFonts w:ascii="Bookman Old Style" w:hAnsi="Bookman Old Style"/>
        </w:rPr>
        <w:t xml:space="preserve"> se aprobaron</w:t>
      </w:r>
      <w:r w:rsidRPr="00F52C21">
        <w:rPr>
          <w:rFonts w:ascii="Bookman Old Style" w:hAnsi="Bookman Old Style"/>
          <w:shd w:val="clear" w:color="auto" w:fill="FFFFFF"/>
        </w:rPr>
        <w:t xml:space="preserve"> el Cargo Promedio de Distribución por uso del Sistema de Distribución de gas </w:t>
      </w:r>
      <w:r w:rsidRPr="00F52C21">
        <w:rPr>
          <w:rFonts w:ascii="Bookman Old Style" w:hAnsi="Bookman Old Style"/>
          <w:shd w:val="clear" w:color="auto" w:fill="FFFFFF"/>
        </w:rPr>
        <w:lastRenderedPageBreak/>
        <w:t>combustible por red y el Cargo Máximo Base de Comercialización de gas combustible por redes a usuarios regulado</w:t>
      </w:r>
      <w:r w:rsidR="008A7A9C">
        <w:rPr>
          <w:rFonts w:ascii="Bookman Old Style" w:hAnsi="Bookman Old Style"/>
          <w:shd w:val="clear" w:color="auto" w:fill="FFFFFF"/>
        </w:rPr>
        <w:t>s</w:t>
      </w:r>
      <w:r w:rsidRPr="00F52C21">
        <w:rPr>
          <w:rFonts w:ascii="Bookman Old Style" w:hAnsi="Bookman Old Style"/>
          <w:shd w:val="clear" w:color="auto" w:fill="FFFFFF"/>
        </w:rPr>
        <w:t xml:space="preserve"> para el </w:t>
      </w:r>
      <w:r w:rsidRPr="00084172">
        <w:rPr>
          <w:rFonts w:ascii="Bookman Old Style" w:hAnsi="Bookman Old Style"/>
          <w:shd w:val="clear" w:color="auto" w:fill="FFFFFF"/>
        </w:rPr>
        <w:t>municipio</w:t>
      </w:r>
      <w:r>
        <w:rPr>
          <w:rFonts w:ascii="Bookman Old Style" w:hAnsi="Bookman Old Style"/>
          <w:shd w:val="clear" w:color="auto" w:fill="FFFFFF"/>
        </w:rPr>
        <w:t xml:space="preserve"> de La Jagua del Pilar en el departamento de Guajira.</w:t>
      </w:r>
    </w:p>
    <w:p w14:paraId="2DF4F313" w14:textId="77777777" w:rsidR="002405D6" w:rsidRPr="001954E9" w:rsidRDefault="002405D6" w:rsidP="002405D6">
      <w:pPr>
        <w:adjustRightInd w:val="0"/>
        <w:spacing w:before="240" w:after="240"/>
        <w:ind w:left="0"/>
        <w:jc w:val="both"/>
        <w:rPr>
          <w:rFonts w:ascii="Bookman Old Style" w:hAnsi="Bookman Old Style" w:cs="Arial"/>
        </w:rPr>
      </w:pPr>
      <w:r>
        <w:rPr>
          <w:rFonts w:ascii="Bookman Old Style" w:hAnsi="Bookman Old Style" w:cs="Arial"/>
        </w:rPr>
        <w:t>Posteriormente, a</w:t>
      </w:r>
      <w:r w:rsidRPr="001954E9">
        <w:rPr>
          <w:rFonts w:ascii="Bookman Old Style" w:hAnsi="Bookman Old Style" w:cs="Arial"/>
        </w:rPr>
        <w:t xml:space="preserve"> través de la Resolución CREG 202 de 2013 se establecieron los </w:t>
      </w:r>
      <w:r>
        <w:rPr>
          <w:rFonts w:ascii="Bookman Old Style" w:hAnsi="Bookman Old Style" w:cs="Arial"/>
        </w:rPr>
        <w:t xml:space="preserve">nuevos </w:t>
      </w:r>
      <w:r w:rsidRPr="001954E9">
        <w:rPr>
          <w:rFonts w:ascii="Bookman Old Style" w:hAnsi="Bookman Old Style" w:cs="Arial"/>
        </w:rPr>
        <w:t>criterios generales para remunerar la actividad de distribución de gas combustible por redes de tubería</w:t>
      </w:r>
      <w:r>
        <w:rPr>
          <w:rFonts w:ascii="Bookman Old Style" w:hAnsi="Bookman Old Style" w:cs="Arial"/>
        </w:rPr>
        <w:t>, los cuales reemplazaron la metodología fijada mediante la Resolución CREG 011 de 2003</w:t>
      </w:r>
      <w:r w:rsidRPr="001954E9">
        <w:rPr>
          <w:rFonts w:ascii="Bookman Old Style" w:hAnsi="Bookman Old Style" w:cs="Arial"/>
        </w:rPr>
        <w:t>.</w:t>
      </w:r>
    </w:p>
    <w:p w14:paraId="291DEAC2" w14:textId="77777777" w:rsidR="002405D6" w:rsidRPr="001954E9" w:rsidRDefault="002405D6" w:rsidP="002405D6">
      <w:pPr>
        <w:adjustRightInd w:val="0"/>
        <w:spacing w:before="240" w:after="240"/>
        <w:ind w:left="0"/>
        <w:jc w:val="both"/>
        <w:rPr>
          <w:rFonts w:ascii="Bookman Old Style" w:hAnsi="Bookman Old Style" w:cs="Arial"/>
        </w:rPr>
      </w:pPr>
      <w:r w:rsidRPr="001954E9">
        <w:rPr>
          <w:rFonts w:ascii="Bookman Old Style" w:hAnsi="Bookman Old Style" w:cs="Arial"/>
        </w:rPr>
        <w:t>Mediante la</w:t>
      </w:r>
      <w:r>
        <w:rPr>
          <w:rFonts w:ascii="Bookman Old Style" w:hAnsi="Bookman Old Style" w:cs="Arial"/>
        </w:rPr>
        <w:t>s</w:t>
      </w:r>
      <w:r w:rsidRPr="001954E9">
        <w:rPr>
          <w:rFonts w:ascii="Bookman Old Style" w:hAnsi="Bookman Old Style" w:cs="Arial"/>
        </w:rPr>
        <w:t xml:space="preserve"> Resoluci</w:t>
      </w:r>
      <w:r>
        <w:rPr>
          <w:rFonts w:ascii="Bookman Old Style" w:hAnsi="Bookman Old Style" w:cs="Arial"/>
        </w:rPr>
        <w:t>ones</w:t>
      </w:r>
      <w:r w:rsidRPr="001954E9">
        <w:rPr>
          <w:rFonts w:ascii="Bookman Old Style" w:hAnsi="Bookman Old Style" w:cs="Arial"/>
        </w:rPr>
        <w:t xml:space="preserve"> CREG 052 de 2014, 138 de 2014, 112 de 2015, 125 de 2015 y 141 de 2015 se modificó y</w:t>
      </w:r>
      <w:r>
        <w:rPr>
          <w:rFonts w:ascii="Bookman Old Style" w:hAnsi="Bookman Old Style" w:cs="Arial"/>
        </w:rPr>
        <w:t>/o</w:t>
      </w:r>
      <w:r w:rsidRPr="001954E9">
        <w:rPr>
          <w:rFonts w:ascii="Bookman Old Style" w:hAnsi="Bookman Old Style" w:cs="Arial"/>
        </w:rPr>
        <w:t xml:space="preserve"> adicionó la Resolución CREG 202 de 2013.</w:t>
      </w:r>
    </w:p>
    <w:p w14:paraId="3ADAE3D5" w14:textId="77777777" w:rsidR="00323CA3" w:rsidRPr="0037220F" w:rsidRDefault="00323CA3" w:rsidP="009B212E">
      <w:pPr>
        <w:adjustRightInd w:val="0"/>
        <w:spacing w:before="240" w:after="240"/>
        <w:ind w:left="0"/>
        <w:jc w:val="both"/>
        <w:rPr>
          <w:rFonts w:ascii="Bookman Old Style" w:hAnsi="Bookman Old Style" w:cs="Arial"/>
        </w:rPr>
      </w:pPr>
      <w:r>
        <w:rPr>
          <w:rFonts w:ascii="Bookman Old Style" w:hAnsi="Bookman Old Style" w:cs="Arial"/>
        </w:rPr>
        <w:t>La empresa GASES DE LA GUAJIRA S.A. E.S.P., mediante radicado</w:t>
      </w:r>
      <w:r w:rsidR="009B212E">
        <w:rPr>
          <w:rFonts w:ascii="Bookman Old Style" w:hAnsi="Bookman Old Style" w:cs="Arial"/>
        </w:rPr>
        <w:t xml:space="preserve"> E-2015-011458 del 4 de noviembre de 2015</w:t>
      </w:r>
      <w:r w:rsidR="009B212E" w:rsidRPr="009B212E">
        <w:rPr>
          <w:rFonts w:ascii="Bookman Old Style" w:hAnsi="Bookman Old Style" w:cs="Arial"/>
        </w:rPr>
        <w:t xml:space="preserve">, </w:t>
      </w:r>
      <w:r w:rsidRPr="009B212E">
        <w:rPr>
          <w:rFonts w:ascii="Bookman Old Style" w:hAnsi="Bookman Old Style"/>
        </w:rPr>
        <w:t xml:space="preserve">solicitó la aprobación de los cargos de distribución de gas combustible por redes de tubería para el mercado relevante conformado por </w:t>
      </w:r>
      <w:r w:rsidR="009B212E" w:rsidRPr="009B212E">
        <w:rPr>
          <w:rFonts w:ascii="Bookman Old Style" w:hAnsi="Bookman Old Style"/>
        </w:rPr>
        <w:t xml:space="preserve">los municipios de </w:t>
      </w:r>
      <w:r w:rsidR="009B212E" w:rsidRPr="009B212E">
        <w:rPr>
          <w:rFonts w:ascii="Bookman Old Style" w:hAnsi="Bookman Old Style" w:cs="Arial"/>
          <w:lang w:val="es-ES_tradnl"/>
        </w:rPr>
        <w:t>Riohacha, Albania, Barrancas, Dibulla, Distracción, El Molino, Fonseca, Hatonuevo, Maicao, Manaure, San Juan del Cesar, Uribia, Urumita, Villanueva y La Jagua del Pilar</w:t>
      </w:r>
      <w:r w:rsidR="0037220F">
        <w:rPr>
          <w:rFonts w:ascii="Bookman Old Style" w:hAnsi="Bookman Old Style" w:cs="Arial"/>
          <w:lang w:val="es-ES_tradnl"/>
        </w:rPr>
        <w:t xml:space="preserve"> </w:t>
      </w:r>
      <w:r w:rsidR="0037220F" w:rsidRPr="0037220F">
        <w:rPr>
          <w:rFonts w:ascii="Bookman Old Style" w:hAnsi="Bookman Old Style" w:cs="Arial"/>
        </w:rPr>
        <w:t>en el departamento de La Guajira.</w:t>
      </w:r>
    </w:p>
    <w:p w14:paraId="0D76FD31" w14:textId="77777777" w:rsidR="0029694E" w:rsidRDefault="0029694E" w:rsidP="0029694E">
      <w:pPr>
        <w:adjustRightInd w:val="0"/>
        <w:spacing w:before="240" w:after="240"/>
        <w:ind w:left="0"/>
        <w:jc w:val="both"/>
        <w:rPr>
          <w:rFonts w:ascii="Bookman Old Style" w:hAnsi="Bookman Old Style" w:cs="Arial"/>
        </w:rPr>
      </w:pPr>
      <w:r>
        <w:rPr>
          <w:rFonts w:ascii="Bookman Old Style" w:hAnsi="Bookman Old Style" w:cs="Arial"/>
        </w:rPr>
        <w:t xml:space="preserve">En la Resolución CREG 093 de 2016 se dispuso, además de la revocatoria parcial de la Resolución CREG 202 de 2013, </w:t>
      </w:r>
      <w:r w:rsidRPr="00D734FA">
        <w:rPr>
          <w:rFonts w:ascii="Bookman Old Style" w:hAnsi="Bookman Old Style" w:cs="Arial"/>
        </w:rPr>
        <w:t xml:space="preserve">que </w:t>
      </w:r>
      <w:r>
        <w:rPr>
          <w:rFonts w:ascii="Bookman Old Style" w:hAnsi="Bookman Old Style" w:cs="Arial"/>
        </w:rPr>
        <w:t xml:space="preserve">la información reportada en octubre de 2015 </w:t>
      </w:r>
      <w:r w:rsidRPr="00D734FA">
        <w:rPr>
          <w:rFonts w:ascii="Bookman Old Style" w:hAnsi="Bookman Old Style" w:cs="Arial"/>
        </w:rPr>
        <w:t xml:space="preserve">en relación con activos existentes a </w:t>
      </w:r>
      <w:r>
        <w:rPr>
          <w:rFonts w:ascii="Bookman Old Style" w:hAnsi="Bookman Old Style" w:cs="Arial"/>
        </w:rPr>
        <w:t>diciembre de 2014</w:t>
      </w:r>
      <w:r w:rsidRPr="00D734FA">
        <w:rPr>
          <w:rFonts w:ascii="Bookman Old Style" w:hAnsi="Bookman Old Style" w:cs="Arial"/>
        </w:rPr>
        <w:t xml:space="preserve"> y gastos de A</w:t>
      </w:r>
      <w:r>
        <w:rPr>
          <w:rFonts w:ascii="Bookman Old Style" w:hAnsi="Bookman Old Style" w:cs="Arial"/>
        </w:rPr>
        <w:t>OM</w:t>
      </w:r>
      <w:r w:rsidRPr="00D734FA">
        <w:rPr>
          <w:rFonts w:ascii="Bookman Old Style" w:hAnsi="Bookman Old Style" w:cs="Arial"/>
        </w:rPr>
        <w:t xml:space="preserve"> ser</w:t>
      </w:r>
      <w:r>
        <w:rPr>
          <w:rFonts w:ascii="Bookman Old Style" w:hAnsi="Bookman Old Style" w:cs="Arial"/>
        </w:rPr>
        <w:t>ía</w:t>
      </w:r>
      <w:r w:rsidRPr="00D734FA">
        <w:rPr>
          <w:rFonts w:ascii="Bookman Old Style" w:hAnsi="Bookman Old Style" w:cs="Arial"/>
        </w:rPr>
        <w:t xml:space="preserve"> considerada</w:t>
      </w:r>
      <w:r>
        <w:rPr>
          <w:rFonts w:ascii="Bookman Old Style" w:hAnsi="Bookman Old Style" w:cs="Arial"/>
        </w:rPr>
        <w:t xml:space="preserve"> como información oficial y sería</w:t>
      </w:r>
      <w:r w:rsidRPr="00D734FA">
        <w:rPr>
          <w:rFonts w:ascii="Bookman Old Style" w:hAnsi="Bookman Old Style" w:cs="Arial"/>
        </w:rPr>
        <w:t xml:space="preserve"> tenida en cuenta en los procesos de análisis tarifarios s</w:t>
      </w:r>
      <w:r>
        <w:rPr>
          <w:rFonts w:ascii="Bookman Old Style" w:hAnsi="Bookman Old Style" w:cs="Arial"/>
        </w:rPr>
        <w:t>ub</w:t>
      </w:r>
      <w:r w:rsidRPr="00D734FA">
        <w:rPr>
          <w:rFonts w:ascii="Bookman Old Style" w:hAnsi="Bookman Old Style" w:cs="Arial"/>
        </w:rPr>
        <w:t>siguientes</w:t>
      </w:r>
      <w:r>
        <w:rPr>
          <w:rFonts w:ascii="Bookman Old Style" w:hAnsi="Bookman Old Style" w:cs="Arial"/>
        </w:rPr>
        <w:t xml:space="preserve">. </w:t>
      </w:r>
      <w:r w:rsidRPr="00A81359">
        <w:rPr>
          <w:rFonts w:ascii="Bookman Old Style" w:hAnsi="Bookman Old Style" w:cs="Arial"/>
        </w:rPr>
        <w:t>Adicionalmente</w:t>
      </w:r>
      <w:r>
        <w:rPr>
          <w:rFonts w:ascii="Bookman Old Style" w:hAnsi="Bookman Old Style" w:cs="Arial"/>
        </w:rPr>
        <w:t>,</w:t>
      </w:r>
      <w:r w:rsidRPr="00A81359">
        <w:rPr>
          <w:rFonts w:ascii="Bookman Old Style" w:hAnsi="Bookman Old Style" w:cs="Arial"/>
        </w:rPr>
        <w:t xml:space="preserve"> se ordenó el archivo de las</w:t>
      </w:r>
      <w:r>
        <w:rPr>
          <w:rFonts w:ascii="Bookman Old Style" w:hAnsi="Bookman Old Style" w:cs="Arial"/>
          <w:b/>
        </w:rPr>
        <w:t xml:space="preserve"> </w:t>
      </w:r>
      <w:r w:rsidRPr="00D734FA">
        <w:rPr>
          <w:rFonts w:ascii="Bookman Old Style" w:hAnsi="Bookman Old Style" w:cs="Arial"/>
        </w:rPr>
        <w:t>actuaciones administrativas</w:t>
      </w:r>
      <w:r>
        <w:rPr>
          <w:rFonts w:ascii="Bookman Old Style" w:hAnsi="Bookman Old Style" w:cs="Arial"/>
        </w:rPr>
        <w:t xml:space="preserve"> tarifarias </w:t>
      </w:r>
      <w:r w:rsidRPr="00D734FA">
        <w:rPr>
          <w:rFonts w:ascii="Bookman Old Style" w:hAnsi="Bookman Old Style" w:cs="Arial"/>
        </w:rPr>
        <w:t>para los mercados relevantes de distribución de gas combustible por red de tub</w:t>
      </w:r>
      <w:r>
        <w:rPr>
          <w:rFonts w:ascii="Bookman Old Style" w:hAnsi="Bookman Old Style" w:cs="Arial"/>
        </w:rPr>
        <w:t xml:space="preserve">erías existentes que a la fecha de la revocatoria se habían </w:t>
      </w:r>
      <w:r w:rsidRPr="00D734FA">
        <w:rPr>
          <w:rFonts w:ascii="Bookman Old Style" w:hAnsi="Bookman Old Style" w:cs="Arial"/>
        </w:rPr>
        <w:t>iniciad</w:t>
      </w:r>
      <w:r>
        <w:rPr>
          <w:rFonts w:ascii="Bookman Old Style" w:hAnsi="Bookman Old Style" w:cs="Arial"/>
        </w:rPr>
        <w:t>o</w:t>
      </w:r>
      <w:r w:rsidRPr="00D734FA">
        <w:rPr>
          <w:rFonts w:ascii="Bookman Old Style" w:hAnsi="Bookman Old Style" w:cs="Arial"/>
        </w:rPr>
        <w:t xml:space="preserve"> </w:t>
      </w:r>
      <w:r>
        <w:rPr>
          <w:rFonts w:ascii="Bookman Old Style" w:hAnsi="Bookman Old Style" w:cs="Arial"/>
        </w:rPr>
        <w:t>y que se encontraban en trámite.</w:t>
      </w:r>
    </w:p>
    <w:p w14:paraId="605D67B9" w14:textId="77777777" w:rsidR="00626EED" w:rsidRDefault="00A010CB" w:rsidP="00A10671">
      <w:pPr>
        <w:adjustRightInd w:val="0"/>
        <w:spacing w:before="240" w:after="240"/>
        <w:ind w:left="0" w:right="23"/>
        <w:jc w:val="both"/>
        <w:rPr>
          <w:rFonts w:ascii="Bookman Old Style" w:hAnsi="Bookman Old Style"/>
        </w:rPr>
      </w:pPr>
      <w:r>
        <w:rPr>
          <w:rFonts w:ascii="Bookman Old Style" w:hAnsi="Bookman Old Style"/>
        </w:rPr>
        <w:t>M</w:t>
      </w:r>
      <w:r w:rsidR="00626EED" w:rsidRPr="00626EED">
        <w:rPr>
          <w:rFonts w:ascii="Bookman Old Style" w:hAnsi="Bookman Old Style"/>
        </w:rPr>
        <w:t>ediante comunicació</w:t>
      </w:r>
      <w:r w:rsidR="00A10671">
        <w:rPr>
          <w:rFonts w:ascii="Bookman Old Style" w:hAnsi="Bookman Old Style"/>
        </w:rPr>
        <w:t>n con radicado CREG E-2017-008</w:t>
      </w:r>
      <w:r w:rsidR="00626EED" w:rsidRPr="00626EED">
        <w:rPr>
          <w:rFonts w:ascii="Bookman Old Style" w:hAnsi="Bookman Old Style"/>
        </w:rPr>
        <w:t>7</w:t>
      </w:r>
      <w:r w:rsidR="00A10671">
        <w:rPr>
          <w:rFonts w:ascii="Bookman Old Style" w:hAnsi="Bookman Old Style"/>
        </w:rPr>
        <w:t>67</w:t>
      </w:r>
      <w:r w:rsidR="00626EED" w:rsidRPr="00626EED">
        <w:rPr>
          <w:rFonts w:ascii="Bookman Old Style" w:hAnsi="Bookman Old Style"/>
        </w:rPr>
        <w:t xml:space="preserve"> del</w:t>
      </w:r>
      <w:r w:rsidR="00A10671">
        <w:rPr>
          <w:rFonts w:ascii="Bookman Old Style" w:hAnsi="Bookman Old Style"/>
        </w:rPr>
        <w:t xml:space="preserve"> 20</w:t>
      </w:r>
      <w:r w:rsidR="00626EED" w:rsidRPr="00626EED">
        <w:rPr>
          <w:rFonts w:ascii="Bookman Old Style" w:hAnsi="Bookman Old Style"/>
        </w:rPr>
        <w:t xml:space="preserve"> de septiembre de 2017 y con base en lo establecido en la Circular CREG 034 de 2017, </w:t>
      </w:r>
      <w:r>
        <w:rPr>
          <w:rFonts w:ascii="Bookman Old Style" w:hAnsi="Bookman Old Style"/>
        </w:rPr>
        <w:t>l</w:t>
      </w:r>
      <w:r w:rsidRPr="00626EED">
        <w:rPr>
          <w:rFonts w:ascii="Bookman Old Style" w:hAnsi="Bookman Old Style"/>
        </w:rPr>
        <w:t>a empresa GASES DE</w:t>
      </w:r>
      <w:r>
        <w:rPr>
          <w:rFonts w:ascii="Bookman Old Style" w:hAnsi="Bookman Old Style"/>
        </w:rPr>
        <w:t xml:space="preserve"> </w:t>
      </w:r>
      <w:r w:rsidRPr="00626EED">
        <w:rPr>
          <w:rFonts w:ascii="Bookman Old Style" w:hAnsi="Bookman Old Style"/>
        </w:rPr>
        <w:t>L</w:t>
      </w:r>
      <w:r>
        <w:rPr>
          <w:rFonts w:ascii="Bookman Old Style" w:hAnsi="Bookman Old Style"/>
        </w:rPr>
        <w:t>A GUAJIRA S.A. E</w:t>
      </w:r>
      <w:r w:rsidRPr="00626EED">
        <w:rPr>
          <w:rFonts w:ascii="Bookman Old Style" w:hAnsi="Bookman Old Style"/>
        </w:rPr>
        <w:t xml:space="preserve">.S.P. </w:t>
      </w:r>
      <w:r w:rsidR="00626EED" w:rsidRPr="00626EED">
        <w:rPr>
          <w:rFonts w:ascii="Bookman Old Style" w:hAnsi="Bookman Old Style"/>
        </w:rPr>
        <w:t xml:space="preserve">solicitó la aprobación de los cargos transitorios de distribución de gas combustible por redes de tubería para el mercado relevante conformado por los municipios de </w:t>
      </w:r>
      <w:r w:rsidR="00A10671" w:rsidRPr="00A10671">
        <w:rPr>
          <w:rFonts w:ascii="Bookman Old Style" w:hAnsi="Bookman Old Style"/>
        </w:rPr>
        <w:t>Riohacha, Albania, Barrancas, Dibulla, Distracción, El Molino, Fonseca, Hatonuevo, Maicao, Manaure, San Juan de Cesar, Uribia, Urumita, Villanueva y La Jagua del Pilar</w:t>
      </w:r>
      <w:r w:rsidR="00A10671">
        <w:rPr>
          <w:rFonts w:ascii="Bookman Old Style" w:hAnsi="Bookman Old Style"/>
        </w:rPr>
        <w:t xml:space="preserve"> </w:t>
      </w:r>
      <w:r w:rsidR="00626EED" w:rsidRPr="00626EED">
        <w:rPr>
          <w:rFonts w:ascii="Bookman Old Style" w:hAnsi="Bookman Old Style"/>
        </w:rPr>
        <w:t xml:space="preserve">en el departamento de </w:t>
      </w:r>
      <w:r w:rsidR="00A10671">
        <w:rPr>
          <w:rFonts w:ascii="Bookman Old Style" w:hAnsi="Bookman Old Style"/>
        </w:rPr>
        <w:t>La Guajira.</w:t>
      </w:r>
    </w:p>
    <w:p w14:paraId="7A610ED4" w14:textId="77777777" w:rsidR="00BB3060" w:rsidRDefault="00626EED" w:rsidP="00626EED">
      <w:pPr>
        <w:adjustRightInd w:val="0"/>
        <w:spacing w:before="240" w:after="240"/>
        <w:ind w:left="0" w:right="23"/>
        <w:jc w:val="both"/>
        <w:rPr>
          <w:rFonts w:ascii="Bookman Old Style" w:hAnsi="Bookman Old Style"/>
        </w:rPr>
      </w:pPr>
      <w:r w:rsidRPr="00626EED">
        <w:rPr>
          <w:rFonts w:ascii="Bookman Old Style" w:hAnsi="Bookman Old Style"/>
        </w:rPr>
        <w:t>En este orden, la Comisión de Regulación de</w:t>
      </w:r>
      <w:r w:rsidR="00A10671">
        <w:rPr>
          <w:rFonts w:ascii="Bookman Old Style" w:hAnsi="Bookman Old Style"/>
        </w:rPr>
        <w:t xml:space="preserve"> Energía y Gas, en su sesión 839</w:t>
      </w:r>
      <w:r w:rsidRPr="00626EED">
        <w:rPr>
          <w:rFonts w:ascii="Bookman Old Style" w:hAnsi="Bookman Old Style"/>
        </w:rPr>
        <w:t xml:space="preserve"> del </w:t>
      </w:r>
      <w:r w:rsidR="00A10671">
        <w:rPr>
          <w:rFonts w:ascii="Bookman Old Style" w:hAnsi="Bookman Old Style"/>
        </w:rPr>
        <w:t>9</w:t>
      </w:r>
      <w:r w:rsidRPr="00626EED">
        <w:rPr>
          <w:rFonts w:ascii="Bookman Old Style" w:hAnsi="Bookman Old Style"/>
        </w:rPr>
        <w:t xml:space="preserve"> de </w:t>
      </w:r>
      <w:r w:rsidR="00A10671">
        <w:rPr>
          <w:rFonts w:ascii="Bookman Old Style" w:hAnsi="Bookman Old Style"/>
        </w:rPr>
        <w:t>febrero</w:t>
      </w:r>
      <w:r w:rsidRPr="00626EED">
        <w:rPr>
          <w:rFonts w:ascii="Bookman Old Style" w:hAnsi="Bookman Old Style"/>
        </w:rPr>
        <w:t xml:space="preserve"> de 201</w:t>
      </w:r>
      <w:r w:rsidR="00A10671">
        <w:rPr>
          <w:rFonts w:ascii="Bookman Old Style" w:hAnsi="Bookman Old Style"/>
        </w:rPr>
        <w:t>8</w:t>
      </w:r>
      <w:r w:rsidRPr="00626EED">
        <w:rPr>
          <w:rFonts w:ascii="Bookman Old Style" w:hAnsi="Bookman Old Style"/>
        </w:rPr>
        <w:t>, acord</w:t>
      </w:r>
      <w:r w:rsidR="00D57292">
        <w:rPr>
          <w:rFonts w:ascii="Bookman Old Style" w:hAnsi="Bookman Old Style"/>
        </w:rPr>
        <w:t>ó expedir la Resolución CREG 027</w:t>
      </w:r>
      <w:r w:rsidRPr="00626EED">
        <w:rPr>
          <w:rFonts w:ascii="Bookman Old Style" w:hAnsi="Bookman Old Style"/>
        </w:rPr>
        <w:t xml:space="preserve"> de 201</w:t>
      </w:r>
      <w:r w:rsidR="00D57292">
        <w:rPr>
          <w:rFonts w:ascii="Bookman Old Style" w:hAnsi="Bookman Old Style"/>
        </w:rPr>
        <w:t>8</w:t>
      </w:r>
      <w:r w:rsidRPr="00626EED">
        <w:rPr>
          <w:rFonts w:ascii="Bookman Old Style" w:hAnsi="Bookman Old Style"/>
        </w:rPr>
        <w:t xml:space="preserve"> </w:t>
      </w:r>
      <w:r w:rsidR="00BB3060" w:rsidRPr="00E9554A">
        <w:rPr>
          <w:rFonts w:ascii="Bookman Old Style" w:hAnsi="Bookman Old Style"/>
          <w:i/>
        </w:rPr>
        <w:t>“Por la cual se aprueba cargo transitorio por uso del sistema de distribución de gas combustible por redes de tubería, para el mercado relevante conformado por los municipios de Riohacha, Albania, Barrancas, Dibulla, Distracción, El Molino, Fonseca, Hatonuevo, Maica</w:t>
      </w:r>
      <w:r w:rsidR="003E5B84" w:rsidRPr="00E9554A">
        <w:rPr>
          <w:rFonts w:ascii="Bookman Old Style" w:hAnsi="Bookman Old Style"/>
          <w:i/>
        </w:rPr>
        <w:t>o</w:t>
      </w:r>
      <w:r w:rsidR="00BB3060" w:rsidRPr="00E9554A">
        <w:rPr>
          <w:rFonts w:ascii="Bookman Old Style" w:hAnsi="Bookman Old Style"/>
          <w:i/>
        </w:rPr>
        <w:t>, Manaure, San Juan del Cesar, Uribia, Urumita, Villanueva y La Jagua del Pilar, según solicitud tarifaria presentada por GASES DE LA GUAJIRA S.A. E.S.P.”</w:t>
      </w:r>
      <w:r w:rsidR="00BB3060" w:rsidRPr="00BB3060">
        <w:rPr>
          <w:rFonts w:ascii="Bookman Old Style" w:hAnsi="Bookman Old Style"/>
        </w:rPr>
        <w:t>.</w:t>
      </w:r>
    </w:p>
    <w:p w14:paraId="7882C70F" w14:textId="77777777" w:rsidR="00626EED" w:rsidRDefault="00F148D2" w:rsidP="00626EED">
      <w:pPr>
        <w:adjustRightInd w:val="0"/>
        <w:spacing w:before="240" w:after="240"/>
        <w:ind w:left="0" w:right="23"/>
        <w:jc w:val="both"/>
        <w:rPr>
          <w:rFonts w:ascii="Bookman Old Style" w:hAnsi="Bookman Old Style"/>
        </w:rPr>
      </w:pPr>
      <w:r>
        <w:rPr>
          <w:rFonts w:ascii="Bookman Old Style" w:hAnsi="Bookman Old Style"/>
        </w:rPr>
        <w:lastRenderedPageBreak/>
        <w:t>La Resolución CREG 027</w:t>
      </w:r>
      <w:r w:rsidR="00626EED" w:rsidRPr="00626EED">
        <w:rPr>
          <w:rFonts w:ascii="Bookman Old Style" w:hAnsi="Bookman Old Style"/>
        </w:rPr>
        <w:t xml:space="preserve"> de 201</w:t>
      </w:r>
      <w:r>
        <w:rPr>
          <w:rFonts w:ascii="Bookman Old Style" w:hAnsi="Bookman Old Style"/>
        </w:rPr>
        <w:t>8</w:t>
      </w:r>
      <w:r w:rsidR="00626EED" w:rsidRPr="00626EED">
        <w:rPr>
          <w:rFonts w:ascii="Bookman Old Style" w:hAnsi="Bookman Old Style"/>
        </w:rPr>
        <w:t xml:space="preserve"> fue notificada por correo electrónico a través del </w:t>
      </w:r>
      <w:r>
        <w:rPr>
          <w:rFonts w:ascii="Bookman Old Style" w:hAnsi="Bookman Old Style"/>
        </w:rPr>
        <w:t>segundo suplente del gerente</w:t>
      </w:r>
      <w:r w:rsidR="00626EED" w:rsidRPr="00626EED">
        <w:rPr>
          <w:rFonts w:ascii="Bookman Old Style" w:hAnsi="Bookman Old Style"/>
        </w:rPr>
        <w:t xml:space="preserve"> de la empresa GASES DE</w:t>
      </w:r>
      <w:r>
        <w:rPr>
          <w:rFonts w:ascii="Bookman Old Style" w:hAnsi="Bookman Old Style"/>
        </w:rPr>
        <w:t xml:space="preserve"> </w:t>
      </w:r>
      <w:r w:rsidR="00626EED" w:rsidRPr="00626EED">
        <w:rPr>
          <w:rFonts w:ascii="Bookman Old Style" w:hAnsi="Bookman Old Style"/>
        </w:rPr>
        <w:t>L</w:t>
      </w:r>
      <w:r>
        <w:rPr>
          <w:rFonts w:ascii="Bookman Old Style" w:hAnsi="Bookman Old Style"/>
        </w:rPr>
        <w:t>A GUAJIRA</w:t>
      </w:r>
      <w:r w:rsidR="00626EED" w:rsidRPr="00626EED">
        <w:rPr>
          <w:rFonts w:ascii="Bookman Old Style" w:hAnsi="Bookman Old Style"/>
        </w:rPr>
        <w:t xml:space="preserve"> S.A. E.S.P. el día 1</w:t>
      </w:r>
      <w:r w:rsidR="00E96974">
        <w:rPr>
          <w:rFonts w:ascii="Bookman Old Style" w:hAnsi="Bookman Old Style"/>
        </w:rPr>
        <w:t>1</w:t>
      </w:r>
      <w:r w:rsidR="00626EED" w:rsidRPr="00626EED">
        <w:rPr>
          <w:rFonts w:ascii="Bookman Old Style" w:hAnsi="Bookman Old Style"/>
        </w:rPr>
        <w:t xml:space="preserve"> de </w:t>
      </w:r>
      <w:r>
        <w:rPr>
          <w:rFonts w:ascii="Bookman Old Style" w:hAnsi="Bookman Old Style"/>
        </w:rPr>
        <w:t>abril</w:t>
      </w:r>
      <w:r w:rsidR="00626EED" w:rsidRPr="00626EED">
        <w:rPr>
          <w:rFonts w:ascii="Bookman Old Style" w:hAnsi="Bookman Old Style"/>
        </w:rPr>
        <w:t xml:space="preserve"> de 2018</w:t>
      </w:r>
      <w:r>
        <w:rPr>
          <w:rFonts w:ascii="Bookman Old Style" w:hAnsi="Bookman Old Style"/>
        </w:rPr>
        <w:t>,</w:t>
      </w:r>
      <w:r w:rsidR="00626EED" w:rsidRPr="00626EED">
        <w:rPr>
          <w:rFonts w:ascii="Bookman Old Style" w:hAnsi="Bookman Old Style"/>
        </w:rPr>
        <w:t xml:space="preserve"> tal como consta en el radicado CREG I-2018-00</w:t>
      </w:r>
      <w:r>
        <w:rPr>
          <w:rFonts w:ascii="Bookman Old Style" w:hAnsi="Bookman Old Style"/>
        </w:rPr>
        <w:t>2111</w:t>
      </w:r>
      <w:r w:rsidR="00626EED" w:rsidRPr="00626EED">
        <w:rPr>
          <w:rFonts w:ascii="Bookman Old Style" w:hAnsi="Bookman Old Style"/>
        </w:rPr>
        <w:t>.</w:t>
      </w:r>
    </w:p>
    <w:p w14:paraId="4C1B87F4" w14:textId="39126D4C" w:rsidR="00DE0495" w:rsidRDefault="00626EED" w:rsidP="00626EED">
      <w:pPr>
        <w:adjustRightInd w:val="0"/>
        <w:spacing w:before="240" w:after="240"/>
        <w:ind w:left="0" w:right="23"/>
        <w:jc w:val="both"/>
        <w:rPr>
          <w:rFonts w:ascii="Bookman Old Style" w:hAnsi="Bookman Old Style"/>
        </w:rPr>
      </w:pPr>
      <w:r w:rsidRPr="00626EED">
        <w:rPr>
          <w:rFonts w:ascii="Bookman Old Style" w:hAnsi="Bookman Old Style"/>
        </w:rPr>
        <w:t>Surtido el trámite de notificación de la referida decisión y estando dentro del término legal,</w:t>
      </w:r>
      <w:r w:rsidR="00F148D2">
        <w:rPr>
          <w:rFonts w:ascii="Bookman Old Style" w:hAnsi="Bookman Old Style"/>
        </w:rPr>
        <w:t xml:space="preserve"> </w:t>
      </w:r>
      <w:r w:rsidRPr="00626EED">
        <w:rPr>
          <w:rFonts w:ascii="Bookman Old Style" w:hAnsi="Bookman Old Style"/>
        </w:rPr>
        <w:t>el representante legal de GASES DE</w:t>
      </w:r>
      <w:r w:rsidR="00F148D2">
        <w:rPr>
          <w:rFonts w:ascii="Bookman Old Style" w:hAnsi="Bookman Old Style"/>
        </w:rPr>
        <w:t xml:space="preserve"> </w:t>
      </w:r>
      <w:r w:rsidRPr="00626EED">
        <w:rPr>
          <w:rFonts w:ascii="Bookman Old Style" w:hAnsi="Bookman Old Style"/>
        </w:rPr>
        <w:t>L</w:t>
      </w:r>
      <w:r w:rsidR="00F148D2">
        <w:rPr>
          <w:rFonts w:ascii="Bookman Old Style" w:hAnsi="Bookman Old Style"/>
        </w:rPr>
        <w:t>A</w:t>
      </w:r>
      <w:r w:rsidRPr="00626EED">
        <w:rPr>
          <w:rFonts w:ascii="Bookman Old Style" w:hAnsi="Bookman Old Style"/>
        </w:rPr>
        <w:t xml:space="preserve"> </w:t>
      </w:r>
      <w:r w:rsidR="00F148D2">
        <w:rPr>
          <w:rFonts w:ascii="Bookman Old Style" w:hAnsi="Bookman Old Style"/>
        </w:rPr>
        <w:t>GUAJIRA</w:t>
      </w:r>
      <w:r w:rsidRPr="00626EED">
        <w:rPr>
          <w:rFonts w:ascii="Bookman Old Style" w:hAnsi="Bookman Old Style"/>
        </w:rPr>
        <w:t xml:space="preserve"> S.A. E.S.P. interpuso recurso de reposición contra la mencionada resolución el 1</w:t>
      </w:r>
      <w:r w:rsidR="00F148D2">
        <w:rPr>
          <w:rFonts w:ascii="Bookman Old Style" w:hAnsi="Bookman Old Style"/>
        </w:rPr>
        <w:t>8</w:t>
      </w:r>
      <w:r w:rsidRPr="00626EED">
        <w:rPr>
          <w:rFonts w:ascii="Bookman Old Style" w:hAnsi="Bookman Old Style"/>
        </w:rPr>
        <w:t xml:space="preserve"> de </w:t>
      </w:r>
      <w:r w:rsidR="00F148D2">
        <w:rPr>
          <w:rFonts w:ascii="Bookman Old Style" w:hAnsi="Bookman Old Style"/>
        </w:rPr>
        <w:t>abril</w:t>
      </w:r>
      <w:r w:rsidRPr="00626EED">
        <w:rPr>
          <w:rFonts w:ascii="Bookman Old Style" w:hAnsi="Bookman Old Style"/>
        </w:rPr>
        <w:t xml:space="preserve"> de 2018</w:t>
      </w:r>
      <w:r w:rsidR="00E35ABE">
        <w:rPr>
          <w:rFonts w:ascii="Bookman Old Style" w:hAnsi="Bookman Old Style"/>
        </w:rPr>
        <w:t xml:space="preserve"> mediante radicado</w:t>
      </w:r>
      <w:r w:rsidR="00475E85">
        <w:rPr>
          <w:rFonts w:ascii="Bookman Old Style" w:hAnsi="Bookman Old Style"/>
        </w:rPr>
        <w:t>s</w:t>
      </w:r>
      <w:r w:rsidR="00E35ABE">
        <w:rPr>
          <w:rFonts w:ascii="Bookman Old Style" w:hAnsi="Bookman Old Style"/>
        </w:rPr>
        <w:t xml:space="preserve"> CREG E-2018-003</w:t>
      </w:r>
      <w:r w:rsidR="00475E85">
        <w:rPr>
          <w:rFonts w:ascii="Bookman Old Style" w:hAnsi="Bookman Old Style"/>
        </w:rPr>
        <w:t>695 y E-2018-003</w:t>
      </w:r>
      <w:r w:rsidR="00E35ABE">
        <w:rPr>
          <w:rFonts w:ascii="Bookman Old Style" w:hAnsi="Bookman Old Style"/>
        </w:rPr>
        <w:t>720.</w:t>
      </w:r>
    </w:p>
    <w:p w14:paraId="573B7F12" w14:textId="77777777" w:rsidR="00EB1039" w:rsidRDefault="003E4D0A" w:rsidP="00EB1039">
      <w:pPr>
        <w:spacing w:before="240" w:after="240"/>
        <w:ind w:left="0"/>
        <w:jc w:val="both"/>
        <w:rPr>
          <w:rFonts w:ascii="Bookman Old Style" w:hAnsi="Bookman Old Style"/>
          <w:lang w:val="es-ES_tradnl"/>
        </w:rPr>
      </w:pPr>
      <w:r>
        <w:rPr>
          <w:rFonts w:ascii="Bookman Old Style" w:hAnsi="Bookman Old Style"/>
          <w:lang w:val="es-ES_tradnl"/>
        </w:rPr>
        <w:t>Como soporte del recurso de reposición, la empresa solicita que se tengan en cuenta las siguientes pruebas:</w:t>
      </w:r>
      <w:r w:rsidR="003724AC">
        <w:rPr>
          <w:rFonts w:ascii="Bookman Old Style" w:hAnsi="Bookman Old Style"/>
          <w:lang w:val="es-ES_tradnl"/>
        </w:rPr>
        <w:t xml:space="preserve"> </w:t>
      </w:r>
    </w:p>
    <w:p w14:paraId="2086B0CE" w14:textId="77777777" w:rsidR="00EB1039" w:rsidRPr="00382A13" w:rsidRDefault="00EB1039" w:rsidP="00323CA3">
      <w:pPr>
        <w:pStyle w:val="Prrafodelista"/>
        <w:numPr>
          <w:ilvl w:val="0"/>
          <w:numId w:val="10"/>
        </w:numPr>
        <w:spacing w:before="240" w:after="240"/>
        <w:ind w:left="567" w:hanging="567"/>
        <w:jc w:val="both"/>
        <w:rPr>
          <w:rFonts w:ascii="Bookman Old Style" w:hAnsi="Bookman Old Style"/>
          <w:sz w:val="24"/>
          <w:szCs w:val="24"/>
          <w:lang w:val="es-ES_tradnl"/>
        </w:rPr>
      </w:pPr>
      <w:r w:rsidRPr="00382A13">
        <w:rPr>
          <w:rFonts w:ascii="Bookman Old Style" w:hAnsi="Bookman Old Style"/>
          <w:sz w:val="24"/>
          <w:szCs w:val="24"/>
          <w:lang w:val="es-ES_tradnl"/>
        </w:rPr>
        <w:t>I</w:t>
      </w:r>
      <w:r w:rsidR="003E4D0A" w:rsidRPr="00382A13">
        <w:rPr>
          <w:rFonts w:ascii="Bookman Old Style" w:hAnsi="Bookman Old Style"/>
          <w:sz w:val="24"/>
          <w:szCs w:val="24"/>
          <w:lang w:val="es-ES_tradnl"/>
        </w:rPr>
        <w:t>nventario de activos de la empresa en el que se detallan las inversiones ejecutadas</w:t>
      </w:r>
      <w:r w:rsidRPr="00382A13">
        <w:rPr>
          <w:rFonts w:ascii="Bookman Old Style" w:hAnsi="Bookman Old Style"/>
          <w:sz w:val="24"/>
          <w:szCs w:val="24"/>
          <w:lang w:val="es-ES_tradnl"/>
        </w:rPr>
        <w:t xml:space="preserve"> y</w:t>
      </w:r>
      <w:r w:rsidR="003724AC" w:rsidRPr="00382A13">
        <w:rPr>
          <w:rFonts w:ascii="Bookman Old Style" w:hAnsi="Bookman Old Style"/>
          <w:sz w:val="24"/>
          <w:szCs w:val="24"/>
          <w:lang w:val="es-ES_tradnl"/>
        </w:rPr>
        <w:t xml:space="preserve"> p</w:t>
      </w:r>
      <w:r w:rsidR="003E4D0A" w:rsidRPr="00382A13">
        <w:rPr>
          <w:rFonts w:ascii="Bookman Old Style" w:hAnsi="Bookman Old Style"/>
          <w:sz w:val="24"/>
          <w:szCs w:val="24"/>
          <w:lang w:val="es-ES_tradnl"/>
        </w:rPr>
        <w:t>lanos georreferenciados</w:t>
      </w:r>
      <w:r w:rsidR="003724AC" w:rsidRPr="00382A13">
        <w:rPr>
          <w:rFonts w:ascii="Bookman Old Style" w:hAnsi="Bookman Old Style"/>
          <w:sz w:val="24"/>
          <w:szCs w:val="24"/>
          <w:lang w:val="es-ES_tradnl"/>
        </w:rPr>
        <w:t xml:space="preserve"> de las inversiones ejecutadas</w:t>
      </w:r>
      <w:r w:rsidRPr="00382A13">
        <w:rPr>
          <w:rFonts w:ascii="Bookman Old Style" w:hAnsi="Bookman Old Style"/>
          <w:sz w:val="24"/>
          <w:szCs w:val="24"/>
          <w:lang w:val="es-ES_tradnl"/>
        </w:rPr>
        <w:t xml:space="preserve">. Estos se remitieron como anexo </w:t>
      </w:r>
      <w:r w:rsidRPr="00382A13">
        <w:rPr>
          <w:rFonts w:ascii="Bookman Old Style" w:hAnsi="Bookman Old Style"/>
          <w:sz w:val="24"/>
          <w:szCs w:val="24"/>
        </w:rPr>
        <w:t>al radicado CREG E-2018-003720.</w:t>
      </w:r>
    </w:p>
    <w:p w14:paraId="6A398B73" w14:textId="77777777" w:rsidR="00EB1039" w:rsidRPr="00382A13" w:rsidRDefault="00EB1039" w:rsidP="00323CA3">
      <w:pPr>
        <w:pStyle w:val="Prrafodelista"/>
        <w:numPr>
          <w:ilvl w:val="0"/>
          <w:numId w:val="10"/>
        </w:numPr>
        <w:spacing w:before="240" w:after="240"/>
        <w:ind w:left="567" w:hanging="567"/>
        <w:jc w:val="both"/>
        <w:rPr>
          <w:rFonts w:ascii="Bookman Old Style" w:hAnsi="Bookman Old Style"/>
          <w:sz w:val="24"/>
          <w:szCs w:val="24"/>
          <w:lang w:val="es-ES_tradnl"/>
        </w:rPr>
      </w:pPr>
      <w:r w:rsidRPr="00382A13">
        <w:rPr>
          <w:rFonts w:ascii="Bookman Old Style" w:hAnsi="Bookman Old Style"/>
          <w:sz w:val="24"/>
          <w:szCs w:val="24"/>
          <w:lang w:val="es-ES_tradnl"/>
        </w:rPr>
        <w:t>T</w:t>
      </w:r>
      <w:r w:rsidR="00250534" w:rsidRPr="00382A13">
        <w:rPr>
          <w:rFonts w:ascii="Bookman Old Style" w:hAnsi="Bookman Old Style"/>
          <w:sz w:val="24"/>
          <w:szCs w:val="24"/>
          <w:lang w:val="es-ES_tradnl"/>
        </w:rPr>
        <w:t>estimonio del Subgerente Técnico de GASES DE LA GUAJIRA S.A. E.S.P.</w:t>
      </w:r>
    </w:p>
    <w:p w14:paraId="3CA7B8F5" w14:textId="77777777" w:rsidR="00EB1039" w:rsidRPr="00382A13" w:rsidRDefault="00EB1039" w:rsidP="00323CA3">
      <w:pPr>
        <w:pStyle w:val="Prrafodelista"/>
        <w:numPr>
          <w:ilvl w:val="0"/>
          <w:numId w:val="10"/>
        </w:numPr>
        <w:spacing w:before="240" w:after="240"/>
        <w:ind w:left="567" w:hanging="567"/>
        <w:jc w:val="both"/>
        <w:rPr>
          <w:rFonts w:ascii="Bookman Old Style" w:hAnsi="Bookman Old Style"/>
          <w:sz w:val="24"/>
          <w:szCs w:val="24"/>
          <w:lang w:val="es-ES_tradnl"/>
        </w:rPr>
      </w:pPr>
      <w:r w:rsidRPr="00382A13">
        <w:rPr>
          <w:rFonts w:ascii="Bookman Old Style" w:hAnsi="Bookman Old Style"/>
          <w:sz w:val="24"/>
          <w:szCs w:val="24"/>
          <w:lang w:val="es-ES_tradnl"/>
        </w:rPr>
        <w:t>D</w:t>
      </w:r>
      <w:r w:rsidR="003724AC" w:rsidRPr="00382A13">
        <w:rPr>
          <w:rFonts w:ascii="Bookman Old Style" w:hAnsi="Bookman Old Style"/>
          <w:sz w:val="24"/>
          <w:szCs w:val="24"/>
          <w:lang w:val="es-ES_tradnl"/>
        </w:rPr>
        <w:t>ictamen pericial aportado por la empresa, en el cual se verifican las cantidades y los costos de las inversiones ejecutadas por la empresa y se detallan las diferencias existentes respecto de las inversiones reconocidas por la Comisión</w:t>
      </w:r>
      <w:r w:rsidRPr="00382A13">
        <w:rPr>
          <w:rFonts w:ascii="Bookman Old Style" w:hAnsi="Bookman Old Style"/>
          <w:sz w:val="24"/>
          <w:szCs w:val="24"/>
          <w:lang w:val="es-ES_tradnl"/>
        </w:rPr>
        <w:t xml:space="preserve">. </w:t>
      </w:r>
      <w:r w:rsidR="00382A13" w:rsidRPr="00382A13">
        <w:rPr>
          <w:rFonts w:ascii="Bookman Old Style" w:hAnsi="Bookman Old Style"/>
          <w:sz w:val="24"/>
          <w:szCs w:val="24"/>
          <w:lang w:val="es-ES_tradnl"/>
        </w:rPr>
        <w:t>Este se remitió a la C</w:t>
      </w:r>
      <w:r w:rsidR="00940085">
        <w:rPr>
          <w:rFonts w:ascii="Bookman Old Style" w:hAnsi="Bookman Old Style"/>
          <w:sz w:val="24"/>
          <w:szCs w:val="24"/>
          <w:lang w:val="es-ES_tradnl"/>
        </w:rPr>
        <w:t>omisión</w:t>
      </w:r>
      <w:r w:rsidR="00382A13" w:rsidRPr="00382A13">
        <w:rPr>
          <w:rFonts w:ascii="Bookman Old Style" w:hAnsi="Bookman Old Style"/>
          <w:sz w:val="24"/>
          <w:szCs w:val="24"/>
          <w:lang w:val="es-ES_tradnl"/>
        </w:rPr>
        <w:t xml:space="preserve"> </w:t>
      </w:r>
      <w:r w:rsidR="00382A13">
        <w:rPr>
          <w:rFonts w:ascii="Bookman Old Style" w:hAnsi="Bookman Old Style"/>
          <w:sz w:val="24"/>
          <w:szCs w:val="24"/>
          <w:lang w:val="es-ES_tradnl"/>
        </w:rPr>
        <w:t xml:space="preserve">el 26 de junio de 2018 </w:t>
      </w:r>
      <w:r w:rsidR="00382A13" w:rsidRPr="00382A13">
        <w:rPr>
          <w:rFonts w:ascii="Bookman Old Style" w:hAnsi="Bookman Old Style"/>
          <w:sz w:val="24"/>
          <w:szCs w:val="24"/>
          <w:lang w:val="es-ES_tradnl"/>
        </w:rPr>
        <w:t xml:space="preserve">y se radicó bajo el número </w:t>
      </w:r>
      <w:r w:rsidR="00382A13" w:rsidRPr="00382A13">
        <w:rPr>
          <w:rFonts w:ascii="Bookman Old Style" w:hAnsi="Bookman Old Style"/>
          <w:sz w:val="24"/>
          <w:szCs w:val="24"/>
        </w:rPr>
        <w:t>CREG E-2018-006297.</w:t>
      </w:r>
    </w:p>
    <w:p w14:paraId="096F645A" w14:textId="77777777" w:rsidR="00EB1039" w:rsidRPr="00382A13" w:rsidRDefault="00EB1039" w:rsidP="00323CA3">
      <w:pPr>
        <w:pStyle w:val="Prrafodelista"/>
        <w:numPr>
          <w:ilvl w:val="0"/>
          <w:numId w:val="10"/>
        </w:numPr>
        <w:spacing w:before="240" w:after="240"/>
        <w:ind w:left="567" w:hanging="567"/>
        <w:jc w:val="both"/>
        <w:rPr>
          <w:rFonts w:ascii="Bookman Old Style" w:hAnsi="Bookman Old Style"/>
          <w:sz w:val="24"/>
          <w:szCs w:val="24"/>
          <w:lang w:val="es-ES_tradnl"/>
        </w:rPr>
      </w:pPr>
      <w:r w:rsidRPr="00382A13">
        <w:rPr>
          <w:rFonts w:ascii="Bookman Old Style" w:hAnsi="Bookman Old Style"/>
          <w:sz w:val="24"/>
          <w:szCs w:val="24"/>
          <w:lang w:val="es-ES_tradnl"/>
        </w:rPr>
        <w:t>A</w:t>
      </w:r>
      <w:r w:rsidR="003724AC" w:rsidRPr="00382A13">
        <w:rPr>
          <w:rFonts w:ascii="Bookman Old Style" w:hAnsi="Bookman Old Style"/>
          <w:sz w:val="24"/>
          <w:szCs w:val="24"/>
          <w:lang w:val="es-ES_tradnl"/>
        </w:rPr>
        <w:t>udiencia para la presentación de los argumentos expuestos en el recurso.</w:t>
      </w:r>
      <w:r w:rsidRPr="00382A13">
        <w:rPr>
          <w:rFonts w:ascii="Bookman Old Style" w:hAnsi="Bookman Old Style"/>
          <w:sz w:val="24"/>
          <w:szCs w:val="24"/>
          <w:lang w:val="es-ES_tradnl"/>
        </w:rPr>
        <w:t xml:space="preserve"> </w:t>
      </w:r>
    </w:p>
    <w:p w14:paraId="11697FE7" w14:textId="1CEEAC7B" w:rsidR="002405D6" w:rsidRPr="00D275E2" w:rsidRDefault="00F52971" w:rsidP="00793844">
      <w:pPr>
        <w:spacing w:before="240" w:after="240"/>
        <w:ind w:left="0"/>
        <w:jc w:val="both"/>
        <w:rPr>
          <w:rFonts w:ascii="Bookman Old Style" w:hAnsi="Bookman Old Style"/>
        </w:rPr>
      </w:pPr>
      <w:r>
        <w:rPr>
          <w:rFonts w:ascii="Bookman Old Style" w:hAnsi="Bookman Old Style"/>
        </w:rPr>
        <w:t>Analizados los elementos probatorios allegados, m</w:t>
      </w:r>
      <w:r w:rsidR="002405D6">
        <w:rPr>
          <w:rFonts w:ascii="Bookman Old Style" w:hAnsi="Bookman Old Style"/>
        </w:rPr>
        <w:t xml:space="preserve">ediante auto de pruebas del 29 de agosto de 2018, la CREG </w:t>
      </w:r>
      <w:r>
        <w:rPr>
          <w:rFonts w:ascii="Bookman Old Style" w:hAnsi="Bookman Old Style"/>
        </w:rPr>
        <w:t xml:space="preserve">consideró pertinente </w:t>
      </w:r>
      <w:r w:rsidR="002405D6">
        <w:rPr>
          <w:rFonts w:ascii="Bookman Old Style" w:hAnsi="Bookman Old Style"/>
        </w:rPr>
        <w:t xml:space="preserve">solicita a la empresa </w:t>
      </w:r>
      <w:r>
        <w:rPr>
          <w:rFonts w:ascii="Bookman Old Style" w:hAnsi="Bookman Old Style"/>
        </w:rPr>
        <w:t xml:space="preserve">Gases de la Guajira S.A. E.S.P. </w:t>
      </w:r>
      <w:r w:rsidR="002405D6" w:rsidRPr="002405D6">
        <w:rPr>
          <w:rFonts w:ascii="Bookman Old Style" w:hAnsi="Bookman Old Style"/>
        </w:rPr>
        <w:t>explicar la razón de las diferencias existentes entre las cantidades de las unidades constructivas asociadas a tubería de polietileno de a</w:t>
      </w:r>
      <w:r w:rsidR="00793844">
        <w:rPr>
          <w:rFonts w:ascii="Bookman Old Style" w:hAnsi="Bookman Old Style"/>
        </w:rPr>
        <w:t xml:space="preserve">lta densidad reportadas en </w:t>
      </w:r>
      <w:r w:rsidR="00793844" w:rsidRPr="00D275E2">
        <w:rPr>
          <w:rFonts w:ascii="Bookman Old Style" w:hAnsi="Bookman Old Style"/>
        </w:rPr>
        <w:t>ApliG</w:t>
      </w:r>
      <w:r w:rsidR="002405D6" w:rsidRPr="00D275E2">
        <w:rPr>
          <w:rFonts w:ascii="Bookman Old Style" w:hAnsi="Bookman Old Style"/>
        </w:rPr>
        <w:t xml:space="preserve">as y las reportadas en los mapas georreferenciados, así como la razón de las diferencias existentes entre la clasificación </w:t>
      </w:r>
      <w:r w:rsidR="00D275E2" w:rsidRPr="00D275E2">
        <w:rPr>
          <w:rFonts w:ascii="Bookman Old Style" w:hAnsi="Bookman Old Style"/>
        </w:rPr>
        <w:t xml:space="preserve">de dichas unidades </w:t>
      </w:r>
      <w:r w:rsidR="002405D6" w:rsidRPr="00D275E2">
        <w:rPr>
          <w:rFonts w:ascii="Bookman Old Style" w:hAnsi="Bookman Old Style"/>
        </w:rPr>
        <w:t>en I</w:t>
      </w:r>
      <w:r w:rsidR="00D275E2" w:rsidRPr="00D275E2">
        <w:rPr>
          <w:rFonts w:ascii="Bookman Old Style" w:hAnsi="Bookman Old Style"/>
        </w:rPr>
        <w:t>nversión Existente (I</w:t>
      </w:r>
      <w:r w:rsidR="002405D6" w:rsidRPr="00D275E2">
        <w:rPr>
          <w:rFonts w:ascii="Bookman Old Style" w:hAnsi="Bookman Old Style"/>
        </w:rPr>
        <w:t>E</w:t>
      </w:r>
      <w:r w:rsidR="00D275E2" w:rsidRPr="00D275E2">
        <w:rPr>
          <w:rFonts w:ascii="Bookman Old Style" w:hAnsi="Bookman Old Style"/>
        </w:rPr>
        <w:t>)</w:t>
      </w:r>
      <w:r w:rsidR="002405D6" w:rsidRPr="00D275E2">
        <w:rPr>
          <w:rFonts w:ascii="Bookman Old Style" w:hAnsi="Bookman Old Style"/>
        </w:rPr>
        <w:t>,</w:t>
      </w:r>
      <w:r w:rsidR="00D275E2" w:rsidRPr="00D275E2">
        <w:rPr>
          <w:rFonts w:ascii="Bookman Old Style" w:hAnsi="Bookman Old Style"/>
        </w:rPr>
        <w:t xml:space="preserve"> </w:t>
      </w:r>
      <w:r w:rsidR="00D275E2" w:rsidRPr="00D275E2">
        <w:rPr>
          <w:rFonts w:ascii="Bookman Old Style" w:hAnsi="Bookman Old Style" w:cs="Arial"/>
          <w:lang w:val="es-ES_tradnl"/>
        </w:rPr>
        <w:t>Inversión Programada en Nuevas Inversiones que fue reconocida y ejecutada en el período tarifario vigente</w:t>
      </w:r>
      <w:r w:rsidR="002405D6" w:rsidRPr="00D275E2">
        <w:rPr>
          <w:rFonts w:ascii="Bookman Old Style" w:hAnsi="Bookman Old Style"/>
        </w:rPr>
        <w:t xml:space="preserve"> </w:t>
      </w:r>
      <w:r w:rsidR="00D275E2" w:rsidRPr="00D275E2">
        <w:rPr>
          <w:rFonts w:ascii="Bookman Old Style" w:hAnsi="Bookman Old Style"/>
        </w:rPr>
        <w:t>(</w:t>
      </w:r>
      <w:r w:rsidR="002405D6" w:rsidRPr="00D275E2">
        <w:rPr>
          <w:rFonts w:ascii="Bookman Old Style" w:hAnsi="Bookman Old Style"/>
        </w:rPr>
        <w:t>IPE</w:t>
      </w:r>
      <w:r w:rsidR="00D275E2" w:rsidRPr="00D275E2">
        <w:rPr>
          <w:rFonts w:ascii="Bookman Old Style" w:hAnsi="Bookman Old Style"/>
        </w:rPr>
        <w:t>)</w:t>
      </w:r>
      <w:r w:rsidR="002405D6" w:rsidRPr="00D275E2">
        <w:rPr>
          <w:rFonts w:ascii="Bookman Old Style" w:hAnsi="Bookman Old Style"/>
        </w:rPr>
        <w:t xml:space="preserve"> o </w:t>
      </w:r>
      <w:r w:rsidR="00D275E2" w:rsidRPr="00D275E2">
        <w:rPr>
          <w:rFonts w:ascii="Bookman Old Style" w:hAnsi="Bookman Old Style" w:cs="Arial"/>
          <w:lang w:val="es-ES_tradnl"/>
        </w:rPr>
        <w:t xml:space="preserve">Inversión ejecutada durante el período tarifario vigente y no prevista en el Programa de Nuevas Inversiones </w:t>
      </w:r>
      <w:r w:rsidR="00D275E2" w:rsidRPr="00D275E2">
        <w:rPr>
          <w:rFonts w:ascii="Bookman Old Style" w:hAnsi="Bookman Old Style"/>
        </w:rPr>
        <w:t>(</w:t>
      </w:r>
      <w:r w:rsidR="002405D6" w:rsidRPr="00D275E2">
        <w:rPr>
          <w:rFonts w:ascii="Bookman Old Style" w:hAnsi="Bookman Old Style"/>
        </w:rPr>
        <w:t>INPE</w:t>
      </w:r>
      <w:r w:rsidR="00D275E2" w:rsidRPr="00D275E2">
        <w:rPr>
          <w:rFonts w:ascii="Bookman Old Style" w:hAnsi="Bookman Old Style"/>
        </w:rPr>
        <w:t>)</w:t>
      </w:r>
      <w:r w:rsidR="002405D6" w:rsidRPr="00D275E2">
        <w:rPr>
          <w:rFonts w:ascii="Bookman Old Style" w:hAnsi="Bookman Old Style"/>
        </w:rPr>
        <w:t>.</w:t>
      </w:r>
      <w:r w:rsidR="003E707B" w:rsidRPr="00D275E2">
        <w:rPr>
          <w:rFonts w:ascii="Bookman Old Style" w:hAnsi="Bookman Old Style"/>
        </w:rPr>
        <w:t xml:space="preserve"> La empresa responde al requerimiento mediante radicado CREG E-2018-009208 del 10 de septiembre de 2018.</w:t>
      </w:r>
    </w:p>
    <w:p w14:paraId="175C8508" w14:textId="5E706313" w:rsidR="003E707B" w:rsidRPr="002405D6" w:rsidRDefault="00F52971" w:rsidP="002405D6">
      <w:pPr>
        <w:spacing w:before="240" w:after="240"/>
        <w:ind w:left="0"/>
        <w:jc w:val="both"/>
        <w:rPr>
          <w:rFonts w:ascii="Bookman Old Style" w:hAnsi="Bookman Old Style"/>
        </w:rPr>
      </w:pPr>
      <w:r>
        <w:rPr>
          <w:rFonts w:ascii="Bookman Old Style" w:hAnsi="Bookman Old Style"/>
        </w:rPr>
        <w:t xml:space="preserve">Posteriormente, a partir de los elementos de juicio disponibles, la Comisión a través del </w:t>
      </w:r>
      <w:r w:rsidR="003E707B">
        <w:rPr>
          <w:rFonts w:ascii="Bookman Old Style" w:hAnsi="Bookman Old Style"/>
        </w:rPr>
        <w:t>auto de pruebas de</w:t>
      </w:r>
      <w:r>
        <w:rPr>
          <w:rFonts w:ascii="Bookman Old Style" w:hAnsi="Bookman Old Style"/>
        </w:rPr>
        <w:t xml:space="preserve"> fecha</w:t>
      </w:r>
      <w:r w:rsidR="003E707B">
        <w:rPr>
          <w:rFonts w:ascii="Bookman Old Style" w:hAnsi="Bookman Old Style"/>
        </w:rPr>
        <w:t xml:space="preserve"> 22 de octubre de 2018, </w:t>
      </w:r>
      <w:r>
        <w:rPr>
          <w:rFonts w:ascii="Bookman Old Style" w:hAnsi="Bookman Old Style"/>
        </w:rPr>
        <w:t xml:space="preserve">decidió </w:t>
      </w:r>
      <w:r w:rsidR="003E707B">
        <w:rPr>
          <w:rFonts w:ascii="Bookman Old Style" w:hAnsi="Bookman Old Style"/>
        </w:rPr>
        <w:t>solicita</w:t>
      </w:r>
      <w:r>
        <w:rPr>
          <w:rFonts w:ascii="Bookman Old Style" w:hAnsi="Bookman Old Style"/>
        </w:rPr>
        <w:t>r</w:t>
      </w:r>
      <w:r w:rsidR="003E707B">
        <w:rPr>
          <w:rFonts w:ascii="Bookman Old Style" w:hAnsi="Bookman Old Style"/>
        </w:rPr>
        <w:t xml:space="preserve"> a la empresa </w:t>
      </w:r>
      <w:r>
        <w:rPr>
          <w:rFonts w:ascii="Bookman Old Style" w:hAnsi="Bookman Old Style"/>
        </w:rPr>
        <w:t xml:space="preserve">Gases de la Guajira S.A. E.S.P. </w:t>
      </w:r>
      <w:r w:rsidR="003E707B" w:rsidRPr="003E707B">
        <w:rPr>
          <w:rFonts w:ascii="Bookman Old Style" w:hAnsi="Bookman Old Style"/>
        </w:rPr>
        <w:t xml:space="preserve">remitir </w:t>
      </w:r>
      <w:r w:rsidR="003E707B">
        <w:rPr>
          <w:rFonts w:ascii="Bookman Old Style" w:hAnsi="Bookman Old Style"/>
        </w:rPr>
        <w:t>l</w:t>
      </w:r>
      <w:r w:rsidR="003E707B" w:rsidRPr="003E707B">
        <w:rPr>
          <w:rFonts w:ascii="Bookman Old Style" w:hAnsi="Bookman Old Style"/>
        </w:rPr>
        <w:t>os mapas georreferenciados de las unidades constructivas asociadas a tubería de polietileno de alta densidad reportadas a diciembre de 2014.</w:t>
      </w:r>
      <w:r w:rsidR="003E707B">
        <w:rPr>
          <w:rFonts w:ascii="Bookman Old Style" w:hAnsi="Bookman Old Style"/>
        </w:rPr>
        <w:t xml:space="preserve"> La empresa </w:t>
      </w:r>
      <w:r>
        <w:rPr>
          <w:rFonts w:ascii="Bookman Old Style" w:hAnsi="Bookman Old Style"/>
        </w:rPr>
        <w:t>atiende</w:t>
      </w:r>
      <w:r w:rsidR="003E707B">
        <w:rPr>
          <w:rFonts w:ascii="Bookman Old Style" w:hAnsi="Bookman Old Style"/>
        </w:rPr>
        <w:t xml:space="preserve"> al requerimiento mediante radicado CREG E-2018-011474 del 31 de octubre de 2018.</w:t>
      </w:r>
    </w:p>
    <w:p w14:paraId="53683BA7" w14:textId="77777777" w:rsidR="00626EED" w:rsidRPr="00626EED" w:rsidRDefault="00626EED" w:rsidP="00245A33">
      <w:pPr>
        <w:pStyle w:val="Ttulo5"/>
        <w:numPr>
          <w:ilvl w:val="0"/>
          <w:numId w:val="2"/>
        </w:numPr>
        <w:tabs>
          <w:tab w:val="clear" w:pos="1080"/>
          <w:tab w:val="num" w:pos="567"/>
        </w:tabs>
        <w:spacing w:before="360" w:after="240"/>
        <w:ind w:left="567" w:hanging="567"/>
        <w:jc w:val="both"/>
        <w:rPr>
          <w:rFonts w:ascii="Bookman Old Style" w:hAnsi="Bookman Old Style"/>
          <w:sz w:val="24"/>
          <w:szCs w:val="24"/>
          <w:lang w:eastAsia="es-ES_tradnl"/>
        </w:rPr>
      </w:pPr>
      <w:r w:rsidRPr="00626EED">
        <w:rPr>
          <w:rFonts w:ascii="Bookman Old Style" w:hAnsi="Bookman Old Style"/>
          <w:sz w:val="24"/>
          <w:szCs w:val="24"/>
          <w:lang w:eastAsia="es-ES_tradnl"/>
        </w:rPr>
        <w:lastRenderedPageBreak/>
        <w:t>CONSIDERACIONES DEL RECURRENTE</w:t>
      </w:r>
    </w:p>
    <w:p w14:paraId="60C554E6" w14:textId="7544466C" w:rsidR="00AF2987" w:rsidRDefault="00AF2987" w:rsidP="00AF2987">
      <w:pPr>
        <w:adjustRightInd w:val="0"/>
        <w:spacing w:before="240" w:after="240"/>
        <w:ind w:left="0" w:right="23"/>
        <w:jc w:val="both"/>
        <w:rPr>
          <w:rFonts w:ascii="Bookman Old Style" w:hAnsi="Bookman Old Style"/>
        </w:rPr>
      </w:pPr>
      <w:r>
        <w:rPr>
          <w:rFonts w:ascii="Bookman Old Style" w:hAnsi="Bookman Old Style"/>
        </w:rPr>
        <w:t xml:space="preserve">Señala el recurrente que mediante comunicación con radicado </w:t>
      </w:r>
      <w:r w:rsidR="00E41433">
        <w:rPr>
          <w:rFonts w:ascii="Bookman Old Style" w:hAnsi="Bookman Old Style"/>
        </w:rPr>
        <w:t xml:space="preserve">CREG </w:t>
      </w:r>
      <w:r>
        <w:rPr>
          <w:rFonts w:ascii="Bookman Old Style" w:hAnsi="Bookman Old Style"/>
        </w:rPr>
        <w:t xml:space="preserve">E-2017-008767 del 20 de septiembre de 2017 solicitó la aprobación de cargos transitorios de distribución de gas combustible y que, con respecto a la Inversión Base, GASES DE LA GUAJIRA S.A. E.S.P. solicitó que se </w:t>
      </w:r>
      <w:r w:rsidR="00726EB6">
        <w:rPr>
          <w:rFonts w:ascii="Bookman Old Style" w:hAnsi="Bookman Old Style"/>
        </w:rPr>
        <w:t xml:space="preserve">le reconociera </w:t>
      </w:r>
      <w:r>
        <w:rPr>
          <w:rFonts w:ascii="Bookman Old Style" w:hAnsi="Bookman Old Style"/>
        </w:rPr>
        <w:t>l</w:t>
      </w:r>
      <w:r w:rsidR="004D267B">
        <w:rPr>
          <w:rFonts w:ascii="Bookman Old Style" w:hAnsi="Bookman Old Style"/>
        </w:rPr>
        <w:t xml:space="preserve">a inversión </w:t>
      </w:r>
      <w:r w:rsidR="00726EB6">
        <w:rPr>
          <w:rFonts w:ascii="Bookman Old Style" w:hAnsi="Bookman Old Style"/>
        </w:rPr>
        <w:t>detallada</w:t>
      </w:r>
      <w:r w:rsidR="004D267B">
        <w:rPr>
          <w:rFonts w:ascii="Bookman Old Style" w:hAnsi="Bookman Old Style"/>
        </w:rPr>
        <w:t xml:space="preserve"> en el </w:t>
      </w:r>
      <w:r w:rsidR="004D267B" w:rsidRPr="004D267B">
        <w:rPr>
          <w:rFonts w:ascii="Bookman Old Style" w:hAnsi="Bookman Old Style"/>
        </w:rPr>
        <w:fldChar w:fldCharType="begin"/>
      </w:r>
      <w:r w:rsidR="004D267B" w:rsidRPr="004D267B">
        <w:rPr>
          <w:rFonts w:ascii="Bookman Old Style" w:hAnsi="Bookman Old Style"/>
        </w:rPr>
        <w:instrText xml:space="preserve"> REF _Ref530160522 \h  \* MERGEFORMAT </w:instrText>
      </w:r>
      <w:r w:rsidR="004D267B" w:rsidRPr="004D267B">
        <w:rPr>
          <w:rFonts w:ascii="Bookman Old Style" w:hAnsi="Bookman Old Style"/>
        </w:rPr>
      </w:r>
      <w:r w:rsidR="004D267B" w:rsidRPr="004D267B">
        <w:rPr>
          <w:rFonts w:ascii="Bookman Old Style" w:hAnsi="Bookman Old Style"/>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1</w:t>
      </w:r>
      <w:r w:rsidR="004D267B" w:rsidRPr="004D267B">
        <w:rPr>
          <w:rFonts w:ascii="Bookman Old Style" w:hAnsi="Bookman Old Style"/>
        </w:rPr>
        <w:fldChar w:fldCharType="end"/>
      </w:r>
      <w:r w:rsidR="004D267B">
        <w:rPr>
          <w:rFonts w:ascii="Bookman Old Style" w:hAnsi="Bookman Old Style"/>
        </w:rPr>
        <w:t>.</w:t>
      </w:r>
    </w:p>
    <w:p w14:paraId="0D56F697" w14:textId="4149E5CB" w:rsidR="00AF2987" w:rsidRPr="00AF2987" w:rsidRDefault="005F5D91" w:rsidP="005F5D91">
      <w:pPr>
        <w:keepNext/>
        <w:adjustRightInd w:val="0"/>
        <w:spacing w:before="240"/>
        <w:ind w:left="0" w:right="23"/>
        <w:jc w:val="center"/>
        <w:rPr>
          <w:rFonts w:ascii="Bookman Old Style" w:hAnsi="Bookman Old Style"/>
          <w:b/>
        </w:rPr>
      </w:pPr>
      <w:bookmarkStart w:id="1" w:name="_Ref530160522"/>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1</w:t>
      </w:r>
      <w:r w:rsidRPr="005F5D91">
        <w:rPr>
          <w:rFonts w:ascii="Bookman Old Style" w:hAnsi="Bookman Old Style"/>
          <w:b/>
        </w:rPr>
        <w:fldChar w:fldCharType="end"/>
      </w:r>
      <w:bookmarkEnd w:id="1"/>
    </w:p>
    <w:tbl>
      <w:tblPr>
        <w:tblStyle w:val="Tablaconcuadrcula"/>
        <w:tblW w:w="0" w:type="auto"/>
        <w:jc w:val="center"/>
        <w:tblLook w:val="04A0" w:firstRow="1" w:lastRow="0" w:firstColumn="1" w:lastColumn="0" w:noHBand="0" w:noVBand="1"/>
      </w:tblPr>
      <w:tblGrid>
        <w:gridCol w:w="6232"/>
        <w:gridCol w:w="2835"/>
      </w:tblGrid>
      <w:tr w:rsidR="00AF2987" w14:paraId="42E41866" w14:textId="77777777" w:rsidTr="00E41433">
        <w:trPr>
          <w:tblHeader/>
          <w:jc w:val="center"/>
        </w:trPr>
        <w:tc>
          <w:tcPr>
            <w:tcW w:w="6232" w:type="dxa"/>
            <w:shd w:val="clear" w:color="auto" w:fill="D9D9D9" w:themeFill="background1" w:themeFillShade="D9"/>
            <w:vAlign w:val="center"/>
          </w:tcPr>
          <w:p w14:paraId="5C3EBC12" w14:textId="77777777" w:rsidR="00AF2987" w:rsidRPr="009A5A3F" w:rsidRDefault="00AF2987" w:rsidP="00E41433">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Variable</w:t>
            </w:r>
          </w:p>
        </w:tc>
        <w:tc>
          <w:tcPr>
            <w:tcW w:w="2835" w:type="dxa"/>
            <w:shd w:val="clear" w:color="auto" w:fill="D9D9D9" w:themeFill="background1" w:themeFillShade="D9"/>
            <w:vAlign w:val="center"/>
          </w:tcPr>
          <w:p w14:paraId="6DC1E7BC" w14:textId="77777777" w:rsidR="00AF2987" w:rsidRPr="009A5A3F" w:rsidRDefault="00AF2987" w:rsidP="00E41433">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Valor</w:t>
            </w:r>
            <w:r w:rsidR="00E2233B" w:rsidRPr="009A5A3F">
              <w:rPr>
                <w:rFonts w:ascii="Bookman Old Style" w:hAnsi="Bookman Old Style"/>
                <w:b/>
                <w:sz w:val="22"/>
                <w:szCs w:val="22"/>
              </w:rPr>
              <w:t xml:space="preserve"> solicitado</w:t>
            </w:r>
          </w:p>
        </w:tc>
      </w:tr>
      <w:tr w:rsidR="00AF2987" w14:paraId="4B57DD6C" w14:textId="77777777" w:rsidTr="003E5B84">
        <w:trPr>
          <w:jc w:val="center"/>
        </w:trPr>
        <w:tc>
          <w:tcPr>
            <w:tcW w:w="6232" w:type="dxa"/>
          </w:tcPr>
          <w:p w14:paraId="4388D9B2" w14:textId="77777777" w:rsidR="00AF2987" w:rsidRPr="009A5A3F" w:rsidRDefault="00AF2987" w:rsidP="00AF2987">
            <w:pPr>
              <w:adjustRightInd w:val="0"/>
              <w:ind w:left="0" w:right="23"/>
              <w:jc w:val="both"/>
              <w:rPr>
                <w:rFonts w:ascii="Bookman Old Style" w:hAnsi="Bookman Old Style"/>
                <w:sz w:val="22"/>
                <w:szCs w:val="22"/>
              </w:rPr>
            </w:pPr>
            <w:r w:rsidRPr="009A5A3F">
              <w:rPr>
                <w:rFonts w:ascii="Bookman Old Style" w:hAnsi="Bookman Old Style"/>
                <w:sz w:val="22"/>
                <w:szCs w:val="22"/>
              </w:rPr>
              <w:t>Inversión Existente (IE)</w:t>
            </w:r>
          </w:p>
        </w:tc>
        <w:tc>
          <w:tcPr>
            <w:tcW w:w="2835" w:type="dxa"/>
            <w:vAlign w:val="center"/>
          </w:tcPr>
          <w:p w14:paraId="741456EE" w14:textId="77777777" w:rsidR="00AF2987" w:rsidRPr="009A5A3F" w:rsidRDefault="00AF2987" w:rsidP="00A64305">
            <w:pPr>
              <w:adjustRightInd w:val="0"/>
              <w:ind w:left="0" w:right="23"/>
              <w:jc w:val="center"/>
              <w:rPr>
                <w:rFonts w:ascii="Bookman Old Style" w:hAnsi="Bookman Old Style"/>
                <w:sz w:val="22"/>
                <w:szCs w:val="22"/>
              </w:rPr>
            </w:pPr>
            <w:r w:rsidRPr="009A5A3F">
              <w:rPr>
                <w:rFonts w:ascii="Bookman Old Style" w:hAnsi="Bookman Old Style"/>
                <w:sz w:val="22"/>
                <w:szCs w:val="22"/>
              </w:rPr>
              <w:t>22.119.041.630</w:t>
            </w:r>
          </w:p>
        </w:tc>
      </w:tr>
      <w:tr w:rsidR="00AF2987" w14:paraId="38570266" w14:textId="77777777" w:rsidTr="003E5B84">
        <w:trPr>
          <w:trHeight w:val="635"/>
          <w:jc w:val="center"/>
        </w:trPr>
        <w:tc>
          <w:tcPr>
            <w:tcW w:w="6232" w:type="dxa"/>
          </w:tcPr>
          <w:p w14:paraId="04D666E8" w14:textId="77777777" w:rsidR="00AF2987" w:rsidRPr="009A5A3F" w:rsidRDefault="00AF2987" w:rsidP="00AF2987">
            <w:pPr>
              <w:adjustRightInd w:val="0"/>
              <w:ind w:left="0" w:right="23"/>
              <w:jc w:val="both"/>
              <w:rPr>
                <w:rFonts w:ascii="Bookman Old Style" w:hAnsi="Bookman Old Style"/>
                <w:sz w:val="22"/>
                <w:szCs w:val="22"/>
              </w:rPr>
            </w:pPr>
            <w:r w:rsidRPr="009A5A3F">
              <w:rPr>
                <w:rFonts w:ascii="Bookman Old Style" w:hAnsi="Bookman Old Style" w:cs="Arial"/>
                <w:sz w:val="22"/>
                <w:szCs w:val="22"/>
                <w:lang w:val="es-ES_tradnl"/>
              </w:rPr>
              <w:t>Inversión Programada en Nuevas Inversiones que fue reconocida y ejecutada en el período tarifario vigente (IPE)</w:t>
            </w:r>
          </w:p>
        </w:tc>
        <w:tc>
          <w:tcPr>
            <w:tcW w:w="2835" w:type="dxa"/>
            <w:vAlign w:val="center"/>
          </w:tcPr>
          <w:p w14:paraId="3036909F" w14:textId="77777777" w:rsidR="00AF2987" w:rsidRPr="009A5A3F" w:rsidRDefault="00AF2987" w:rsidP="00A64305">
            <w:pPr>
              <w:adjustRightInd w:val="0"/>
              <w:ind w:left="0" w:right="23"/>
              <w:jc w:val="center"/>
              <w:rPr>
                <w:rFonts w:ascii="Bookman Old Style" w:hAnsi="Bookman Old Style"/>
                <w:sz w:val="22"/>
                <w:szCs w:val="22"/>
              </w:rPr>
            </w:pPr>
            <w:r w:rsidRPr="009A5A3F">
              <w:rPr>
                <w:rFonts w:ascii="Bookman Old Style" w:hAnsi="Bookman Old Style"/>
                <w:sz w:val="22"/>
                <w:szCs w:val="22"/>
              </w:rPr>
              <w:t>25.128.194.054</w:t>
            </w:r>
          </w:p>
        </w:tc>
      </w:tr>
      <w:tr w:rsidR="00AF2987" w14:paraId="77028CA8" w14:textId="77777777" w:rsidTr="003E5B84">
        <w:trPr>
          <w:jc w:val="center"/>
        </w:trPr>
        <w:tc>
          <w:tcPr>
            <w:tcW w:w="6232" w:type="dxa"/>
            <w:shd w:val="clear" w:color="auto" w:fill="F2F2F2" w:themeFill="background1" w:themeFillShade="F2"/>
          </w:tcPr>
          <w:p w14:paraId="7D03C656" w14:textId="77777777" w:rsidR="00AF2987" w:rsidRPr="009A5A3F" w:rsidRDefault="00A64305" w:rsidP="00A64305">
            <w:pPr>
              <w:adjustRightInd w:val="0"/>
              <w:ind w:left="0" w:right="23"/>
              <w:jc w:val="right"/>
              <w:rPr>
                <w:rFonts w:ascii="Bookman Old Style" w:hAnsi="Bookman Old Style"/>
                <w:b/>
                <w:sz w:val="22"/>
                <w:szCs w:val="22"/>
              </w:rPr>
            </w:pPr>
            <w:r w:rsidRPr="009A5A3F">
              <w:rPr>
                <w:rFonts w:ascii="Bookman Old Style" w:hAnsi="Bookman Old Style"/>
                <w:b/>
                <w:sz w:val="22"/>
                <w:szCs w:val="22"/>
              </w:rPr>
              <w:t>Total</w:t>
            </w:r>
          </w:p>
        </w:tc>
        <w:tc>
          <w:tcPr>
            <w:tcW w:w="2835" w:type="dxa"/>
            <w:shd w:val="clear" w:color="auto" w:fill="F2F2F2" w:themeFill="background1" w:themeFillShade="F2"/>
            <w:vAlign w:val="center"/>
          </w:tcPr>
          <w:p w14:paraId="14DCD5CB" w14:textId="77777777" w:rsidR="00AF2987" w:rsidRPr="009A5A3F" w:rsidRDefault="00AF2987" w:rsidP="00A64305">
            <w:pPr>
              <w:adjustRightInd w:val="0"/>
              <w:ind w:left="0" w:right="23"/>
              <w:jc w:val="center"/>
              <w:rPr>
                <w:rFonts w:ascii="Bookman Old Style" w:hAnsi="Bookman Old Style"/>
                <w:b/>
                <w:sz w:val="22"/>
                <w:szCs w:val="22"/>
              </w:rPr>
            </w:pPr>
            <w:r w:rsidRPr="009A5A3F">
              <w:rPr>
                <w:rFonts w:ascii="Bookman Old Style" w:hAnsi="Bookman Old Style"/>
                <w:b/>
                <w:sz w:val="22"/>
                <w:szCs w:val="22"/>
              </w:rPr>
              <w:t>47.247.235.684</w:t>
            </w:r>
          </w:p>
        </w:tc>
      </w:tr>
    </w:tbl>
    <w:p w14:paraId="37DB06E9" w14:textId="77777777" w:rsidR="0041553C" w:rsidRPr="0041553C" w:rsidRDefault="0041553C" w:rsidP="0041553C">
      <w:pPr>
        <w:adjustRightInd w:val="0"/>
        <w:spacing w:after="240"/>
        <w:ind w:left="0" w:right="23"/>
        <w:jc w:val="center"/>
        <w:rPr>
          <w:rFonts w:ascii="Bookman Old Style" w:hAnsi="Bookman Old Style"/>
          <w:sz w:val="20"/>
          <w:szCs w:val="20"/>
        </w:rPr>
      </w:pPr>
      <w:r w:rsidRPr="0041553C">
        <w:rPr>
          <w:rFonts w:ascii="Bookman Old Style" w:hAnsi="Bookman Old Style"/>
          <w:sz w:val="20"/>
          <w:szCs w:val="20"/>
        </w:rPr>
        <w:t>Cifras en pesos de diciembre de 2014</w:t>
      </w:r>
    </w:p>
    <w:p w14:paraId="68A4F87A" w14:textId="77777777" w:rsidR="00AF2987" w:rsidRDefault="0090058D" w:rsidP="00AF2987">
      <w:pPr>
        <w:adjustRightInd w:val="0"/>
        <w:spacing w:before="240" w:after="240"/>
        <w:ind w:left="0" w:right="23"/>
        <w:jc w:val="both"/>
        <w:rPr>
          <w:rFonts w:ascii="Bookman Old Style" w:hAnsi="Bookman Old Style"/>
        </w:rPr>
      </w:pPr>
      <w:r>
        <w:rPr>
          <w:rFonts w:ascii="Bookman Old Style" w:hAnsi="Bookman Old Style"/>
        </w:rPr>
        <w:t>Con relación a la Inversión Existente (IE), el recurrente indica que se incluyeron inversiones ejecutadas por la empresa en el anterior periodo tarifario, pero que no estaban reconocidas en la Inversión Existente de la última revisión tarifaria debido a diferencias respecto de la metodología para la identificación de las cantidades de las unidades constructivas.</w:t>
      </w:r>
    </w:p>
    <w:p w14:paraId="1BDD4660" w14:textId="77777777" w:rsidR="0090058D" w:rsidRDefault="00DE0495" w:rsidP="00AF2987">
      <w:pPr>
        <w:adjustRightInd w:val="0"/>
        <w:spacing w:before="240" w:after="240"/>
        <w:ind w:left="0" w:right="23"/>
        <w:jc w:val="both"/>
        <w:rPr>
          <w:rFonts w:ascii="Bookman Old Style" w:hAnsi="Bookman Old Style" w:cs="Arial"/>
          <w:lang w:val="es-ES_tradnl"/>
        </w:rPr>
      </w:pPr>
      <w:r>
        <w:rPr>
          <w:rFonts w:ascii="Bookman Old Style" w:hAnsi="Bookman Old Style"/>
        </w:rPr>
        <w:t>C</w:t>
      </w:r>
      <w:r w:rsidR="0090058D">
        <w:rPr>
          <w:rFonts w:ascii="Bookman Old Style" w:hAnsi="Bookman Old Style"/>
        </w:rPr>
        <w:t>on relación a la</w:t>
      </w:r>
      <w:r w:rsidR="0090058D" w:rsidRPr="0090058D">
        <w:rPr>
          <w:rFonts w:ascii="Bookman Old Style" w:hAnsi="Bookman Old Style" w:cs="Arial"/>
          <w:lang w:val="es-ES_tradnl"/>
        </w:rPr>
        <w:t xml:space="preserve"> </w:t>
      </w:r>
      <w:r w:rsidR="0090058D" w:rsidRPr="000B65DE">
        <w:rPr>
          <w:rFonts w:ascii="Bookman Old Style" w:hAnsi="Bookman Old Style" w:cs="Arial"/>
          <w:lang w:val="es-ES_tradnl"/>
        </w:rPr>
        <w:t>Inversión Programada en Nuevas Inversiones que fue reconocida y ejecutada en el período tarifario vigente (IPE)</w:t>
      </w:r>
      <w:r w:rsidR="0090058D">
        <w:rPr>
          <w:rFonts w:ascii="Bookman Old Style" w:hAnsi="Bookman Old Style" w:cs="Arial"/>
          <w:lang w:val="es-ES_tradnl"/>
        </w:rPr>
        <w:t xml:space="preserve"> y a la </w:t>
      </w:r>
      <w:r w:rsidR="0090058D" w:rsidRPr="000B65DE">
        <w:rPr>
          <w:rFonts w:ascii="Bookman Old Style" w:hAnsi="Bookman Old Style" w:cs="Arial"/>
          <w:lang w:val="es-ES_tradnl"/>
        </w:rPr>
        <w:t>Inversión ejecutada durante el período tarifario vigente y no prevista en el Programa de Nuevas Inversiones (INPE)</w:t>
      </w:r>
      <w:r w:rsidR="0090058D">
        <w:rPr>
          <w:rFonts w:ascii="Bookman Old Style" w:hAnsi="Bookman Old Style" w:cs="Arial"/>
          <w:lang w:val="es-ES_tradnl"/>
        </w:rPr>
        <w:t xml:space="preserve">, la empresa indica que estas se presentaron de manera conjunta en la solicitud tarifaria. Adicionalmente, indica </w:t>
      </w:r>
      <w:r w:rsidR="00CE52F1">
        <w:rPr>
          <w:rFonts w:ascii="Bookman Old Style" w:hAnsi="Bookman Old Style" w:cs="Arial"/>
          <w:lang w:val="es-ES_tradnl"/>
        </w:rPr>
        <w:t xml:space="preserve">que </w:t>
      </w:r>
      <w:r w:rsidR="0090058D">
        <w:rPr>
          <w:rFonts w:ascii="Bookman Old Style" w:hAnsi="Bookman Old Style" w:cs="Arial"/>
          <w:lang w:val="es-ES_tradnl"/>
        </w:rPr>
        <w:t xml:space="preserve">tanto </w:t>
      </w:r>
      <w:r w:rsidR="00670CE4">
        <w:rPr>
          <w:rFonts w:ascii="Bookman Old Style" w:hAnsi="Bookman Old Style" w:cs="Arial"/>
          <w:lang w:val="es-ES_tradnl"/>
        </w:rPr>
        <w:t xml:space="preserve">la </w:t>
      </w:r>
      <w:r w:rsidR="0090058D">
        <w:rPr>
          <w:rFonts w:ascii="Bookman Old Style" w:hAnsi="Bookman Old Style" w:cs="Arial"/>
          <w:lang w:val="es-ES_tradnl"/>
        </w:rPr>
        <w:t xml:space="preserve">IPE como </w:t>
      </w:r>
      <w:r w:rsidR="00670CE4">
        <w:rPr>
          <w:rFonts w:ascii="Bookman Old Style" w:hAnsi="Bookman Old Style" w:cs="Arial"/>
          <w:lang w:val="es-ES_tradnl"/>
        </w:rPr>
        <w:t xml:space="preserve">la </w:t>
      </w:r>
      <w:r w:rsidR="0090058D">
        <w:rPr>
          <w:rFonts w:ascii="Bookman Old Style" w:hAnsi="Bookman Old Style" w:cs="Arial"/>
          <w:lang w:val="es-ES_tradnl"/>
        </w:rPr>
        <w:t>INPE se reportaron homologando los activos a unidades constructivas y que fue valorada con los costos establecidos en el Anexo 6 de la Resolución CREG 202 de 2013</w:t>
      </w:r>
      <w:r w:rsidR="00CE52F1">
        <w:rPr>
          <w:rFonts w:ascii="Bookman Old Style" w:hAnsi="Bookman Old Style" w:cs="Arial"/>
          <w:lang w:val="es-ES_tradnl"/>
        </w:rPr>
        <w:t>. L</w:t>
      </w:r>
      <w:r w:rsidR="0090058D">
        <w:rPr>
          <w:rFonts w:ascii="Bookman Old Style" w:hAnsi="Bookman Old Style" w:cs="Arial"/>
          <w:lang w:val="es-ES_tradnl"/>
        </w:rPr>
        <w:t>as nuevas unidades constructivas de la INPE fueron reportadas conforme a los valores definidos en el Anexo 8 de la Resolución CREG 202 de 2013.</w:t>
      </w:r>
    </w:p>
    <w:p w14:paraId="12E1937D" w14:textId="72A4E585" w:rsidR="0090058D" w:rsidRDefault="00D605D9" w:rsidP="00AF2987">
      <w:pPr>
        <w:adjustRightInd w:val="0"/>
        <w:spacing w:before="240" w:after="240"/>
        <w:ind w:left="0" w:right="23"/>
        <w:jc w:val="both"/>
        <w:rPr>
          <w:rFonts w:ascii="Bookman Old Style" w:hAnsi="Bookman Old Style" w:cs="Arial"/>
          <w:lang w:val="es-ES_tradnl"/>
        </w:rPr>
      </w:pPr>
      <w:r>
        <w:rPr>
          <w:rFonts w:ascii="Bookman Old Style" w:hAnsi="Bookman Old Style" w:cs="Arial"/>
          <w:lang w:val="es-ES_tradnl"/>
        </w:rPr>
        <w:t>La empresa GASES DE LA GUAJIRA S.A. E.S.P.</w:t>
      </w:r>
      <w:r>
        <w:rPr>
          <w:rFonts w:ascii="Bookman Old Style" w:hAnsi="Bookman Old Style" w:cs="Arial"/>
          <w:lang w:val="es-ES_tradnl"/>
        </w:rPr>
        <w:tab/>
        <w:t>señala que en la Resolución CREG 027 de 2018 se reconocieron los valores de IE, IPE e INPE</w:t>
      </w:r>
      <w:r w:rsidR="00CD3DDB">
        <w:rPr>
          <w:rFonts w:ascii="Bookman Old Style" w:hAnsi="Bookman Old Style" w:cs="Arial"/>
          <w:lang w:val="es-ES_tradnl"/>
        </w:rPr>
        <w:t xml:space="preserve"> mostrados en el </w:t>
      </w:r>
      <w:r w:rsidR="00CD3DDB" w:rsidRPr="00CD3DDB">
        <w:rPr>
          <w:rFonts w:ascii="Bookman Old Style" w:hAnsi="Bookman Old Style" w:cs="Arial"/>
          <w:lang w:val="es-ES_tradnl"/>
        </w:rPr>
        <w:fldChar w:fldCharType="begin"/>
      </w:r>
      <w:r w:rsidR="00CD3DDB" w:rsidRPr="00CD3DDB">
        <w:rPr>
          <w:rFonts w:ascii="Bookman Old Style" w:hAnsi="Bookman Old Style" w:cs="Arial"/>
          <w:lang w:val="es-ES_tradnl"/>
        </w:rPr>
        <w:instrText xml:space="preserve"> REF _Ref530160561 \h  \* MERGEFORMAT </w:instrText>
      </w:r>
      <w:r w:rsidR="00CD3DDB" w:rsidRPr="00CD3DDB">
        <w:rPr>
          <w:rFonts w:ascii="Bookman Old Style" w:hAnsi="Bookman Old Style" w:cs="Arial"/>
          <w:lang w:val="es-ES_tradnl"/>
        </w:rPr>
      </w:r>
      <w:r w:rsidR="00CD3DDB" w:rsidRPr="00CD3DDB">
        <w:rPr>
          <w:rFonts w:ascii="Bookman Old Style" w:hAnsi="Bookman Old Style" w:cs="Arial"/>
          <w:lang w:val="es-ES_tradnl"/>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2</w:t>
      </w:r>
      <w:r w:rsidR="00CD3DDB" w:rsidRPr="00CD3DDB">
        <w:rPr>
          <w:rFonts w:ascii="Bookman Old Style" w:hAnsi="Bookman Old Style" w:cs="Arial"/>
          <w:lang w:val="es-ES_tradnl"/>
        </w:rPr>
        <w:fldChar w:fldCharType="end"/>
      </w:r>
      <w:r w:rsidR="00CD3DDB">
        <w:rPr>
          <w:rFonts w:ascii="Bookman Old Style" w:hAnsi="Bookman Old Style" w:cs="Arial"/>
          <w:lang w:val="es-ES_tradnl"/>
        </w:rPr>
        <w:t>.</w:t>
      </w:r>
    </w:p>
    <w:p w14:paraId="72E3E83E" w14:textId="7C10EDE5" w:rsidR="00D605D9" w:rsidRPr="00AF2987" w:rsidRDefault="005F5D91" w:rsidP="00BD5716">
      <w:pPr>
        <w:keepNext/>
        <w:adjustRightInd w:val="0"/>
        <w:spacing w:before="240"/>
        <w:ind w:left="0" w:right="23"/>
        <w:jc w:val="center"/>
        <w:rPr>
          <w:rFonts w:ascii="Bookman Old Style" w:hAnsi="Bookman Old Style"/>
          <w:b/>
        </w:rPr>
      </w:pPr>
      <w:bookmarkStart w:id="2" w:name="_Ref530160561"/>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2</w:t>
      </w:r>
      <w:r w:rsidRPr="005F5D91">
        <w:rPr>
          <w:rFonts w:ascii="Bookman Old Style" w:hAnsi="Bookman Old Style"/>
          <w:b/>
        </w:rPr>
        <w:fldChar w:fldCharType="end"/>
      </w:r>
      <w:bookmarkEnd w:id="2"/>
    </w:p>
    <w:tbl>
      <w:tblPr>
        <w:tblStyle w:val="Tablaconcuadrcula"/>
        <w:tblW w:w="0" w:type="auto"/>
        <w:jc w:val="center"/>
        <w:tblLook w:val="04A0" w:firstRow="1" w:lastRow="0" w:firstColumn="1" w:lastColumn="0" w:noHBand="0" w:noVBand="1"/>
      </w:tblPr>
      <w:tblGrid>
        <w:gridCol w:w="6232"/>
        <w:gridCol w:w="2835"/>
      </w:tblGrid>
      <w:tr w:rsidR="00D605D9" w14:paraId="29DE6295" w14:textId="77777777" w:rsidTr="00E41433">
        <w:trPr>
          <w:tblHeader/>
          <w:jc w:val="center"/>
        </w:trPr>
        <w:tc>
          <w:tcPr>
            <w:tcW w:w="6232" w:type="dxa"/>
            <w:shd w:val="clear" w:color="auto" w:fill="D9D9D9" w:themeFill="background1" w:themeFillShade="D9"/>
            <w:vAlign w:val="center"/>
          </w:tcPr>
          <w:p w14:paraId="2C517774" w14:textId="77777777" w:rsidR="00D605D9" w:rsidRPr="009A5A3F" w:rsidRDefault="00D605D9" w:rsidP="00BD5716">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Variable</w:t>
            </w:r>
          </w:p>
        </w:tc>
        <w:tc>
          <w:tcPr>
            <w:tcW w:w="2835" w:type="dxa"/>
            <w:shd w:val="clear" w:color="auto" w:fill="D9D9D9" w:themeFill="background1" w:themeFillShade="D9"/>
            <w:vAlign w:val="center"/>
          </w:tcPr>
          <w:p w14:paraId="4C606A64" w14:textId="77777777" w:rsidR="00D605D9" w:rsidRPr="009A5A3F" w:rsidRDefault="00D605D9" w:rsidP="00BD5716">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Valor reconocido</w:t>
            </w:r>
          </w:p>
        </w:tc>
      </w:tr>
      <w:tr w:rsidR="00D605D9" w14:paraId="564718A0" w14:textId="77777777" w:rsidTr="00230A8B">
        <w:trPr>
          <w:jc w:val="center"/>
        </w:trPr>
        <w:tc>
          <w:tcPr>
            <w:tcW w:w="6232" w:type="dxa"/>
          </w:tcPr>
          <w:p w14:paraId="5378C951" w14:textId="77777777" w:rsidR="00D605D9" w:rsidRPr="009A5A3F" w:rsidRDefault="00D605D9" w:rsidP="00BD5716">
            <w:pPr>
              <w:keepNext/>
              <w:adjustRightInd w:val="0"/>
              <w:ind w:left="0" w:right="23"/>
              <w:jc w:val="both"/>
              <w:rPr>
                <w:rFonts w:ascii="Bookman Old Style" w:hAnsi="Bookman Old Style"/>
                <w:sz w:val="22"/>
                <w:szCs w:val="22"/>
              </w:rPr>
            </w:pPr>
            <w:r w:rsidRPr="009A5A3F">
              <w:rPr>
                <w:rFonts w:ascii="Bookman Old Style" w:hAnsi="Bookman Old Style"/>
                <w:sz w:val="22"/>
                <w:szCs w:val="22"/>
              </w:rPr>
              <w:t>Inversión Existente (IE)</w:t>
            </w:r>
          </w:p>
        </w:tc>
        <w:tc>
          <w:tcPr>
            <w:tcW w:w="2835" w:type="dxa"/>
            <w:vAlign w:val="center"/>
          </w:tcPr>
          <w:p w14:paraId="5BD00470" w14:textId="77777777" w:rsidR="00D605D9" w:rsidRPr="009A5A3F" w:rsidRDefault="00D605D9" w:rsidP="00BD5716">
            <w:pPr>
              <w:keepNext/>
              <w:adjustRightInd w:val="0"/>
              <w:ind w:left="0" w:right="23"/>
              <w:jc w:val="center"/>
              <w:rPr>
                <w:rFonts w:ascii="Bookman Old Style" w:hAnsi="Bookman Old Style"/>
                <w:sz w:val="22"/>
                <w:szCs w:val="22"/>
              </w:rPr>
            </w:pPr>
            <w:r w:rsidRPr="009A5A3F">
              <w:rPr>
                <w:rFonts w:ascii="Bookman Old Style" w:hAnsi="Bookman Old Style"/>
                <w:sz w:val="22"/>
                <w:szCs w:val="22"/>
              </w:rPr>
              <w:t>17.137.116.888</w:t>
            </w:r>
          </w:p>
        </w:tc>
      </w:tr>
      <w:tr w:rsidR="00D605D9" w14:paraId="50C7E9EA" w14:textId="77777777" w:rsidTr="00230A8B">
        <w:trPr>
          <w:trHeight w:val="635"/>
          <w:jc w:val="center"/>
        </w:trPr>
        <w:tc>
          <w:tcPr>
            <w:tcW w:w="6232" w:type="dxa"/>
          </w:tcPr>
          <w:p w14:paraId="00888719" w14:textId="77777777" w:rsidR="00D605D9" w:rsidRPr="009A5A3F" w:rsidRDefault="00D605D9" w:rsidP="00BD5716">
            <w:pPr>
              <w:keepNext/>
              <w:adjustRightInd w:val="0"/>
              <w:ind w:left="0" w:right="23"/>
              <w:jc w:val="both"/>
              <w:rPr>
                <w:rFonts w:ascii="Bookman Old Style" w:hAnsi="Bookman Old Style"/>
                <w:sz w:val="22"/>
                <w:szCs w:val="22"/>
              </w:rPr>
            </w:pPr>
            <w:r w:rsidRPr="009A5A3F">
              <w:rPr>
                <w:rFonts w:ascii="Bookman Old Style" w:hAnsi="Bookman Old Style" w:cs="Arial"/>
                <w:sz w:val="22"/>
                <w:szCs w:val="22"/>
                <w:lang w:val="es-ES_tradnl"/>
              </w:rPr>
              <w:t>Inversión Programada en Nuevas Inversiones que fue reconocida y ejecutada en el período tarifario vigente (IPE)</w:t>
            </w:r>
          </w:p>
        </w:tc>
        <w:tc>
          <w:tcPr>
            <w:tcW w:w="2835" w:type="dxa"/>
            <w:vAlign w:val="center"/>
          </w:tcPr>
          <w:p w14:paraId="10B37CD0" w14:textId="77777777" w:rsidR="00D605D9" w:rsidRPr="009A5A3F" w:rsidRDefault="00D605D9" w:rsidP="00BD5716">
            <w:pPr>
              <w:keepNext/>
              <w:adjustRightInd w:val="0"/>
              <w:ind w:left="0" w:right="23"/>
              <w:jc w:val="center"/>
              <w:rPr>
                <w:rFonts w:ascii="Bookman Old Style" w:hAnsi="Bookman Old Style"/>
                <w:sz w:val="22"/>
                <w:szCs w:val="22"/>
              </w:rPr>
            </w:pPr>
            <w:r w:rsidRPr="009A5A3F">
              <w:rPr>
                <w:rFonts w:ascii="Bookman Old Style" w:hAnsi="Bookman Old Style"/>
                <w:sz w:val="22"/>
                <w:szCs w:val="22"/>
              </w:rPr>
              <w:t>23.634.677.670</w:t>
            </w:r>
          </w:p>
        </w:tc>
      </w:tr>
      <w:tr w:rsidR="00D605D9" w14:paraId="38B3DDE8" w14:textId="77777777" w:rsidTr="00230A8B">
        <w:trPr>
          <w:trHeight w:val="635"/>
          <w:jc w:val="center"/>
        </w:trPr>
        <w:tc>
          <w:tcPr>
            <w:tcW w:w="6232" w:type="dxa"/>
          </w:tcPr>
          <w:p w14:paraId="20659DC0" w14:textId="77777777" w:rsidR="00D605D9" w:rsidRPr="009A5A3F" w:rsidRDefault="00D605D9" w:rsidP="00BD5716">
            <w:pPr>
              <w:keepNext/>
              <w:adjustRightInd w:val="0"/>
              <w:ind w:left="0" w:right="23"/>
              <w:jc w:val="both"/>
              <w:rPr>
                <w:rFonts w:ascii="Bookman Old Style" w:hAnsi="Bookman Old Style" w:cs="Arial"/>
                <w:sz w:val="22"/>
                <w:szCs w:val="22"/>
                <w:lang w:val="es-ES_tradnl"/>
              </w:rPr>
            </w:pPr>
            <w:r w:rsidRPr="009A5A3F">
              <w:rPr>
                <w:rFonts w:ascii="Bookman Old Style" w:hAnsi="Bookman Old Style" w:cs="Arial"/>
                <w:sz w:val="22"/>
                <w:szCs w:val="22"/>
                <w:lang w:val="es-ES_tradnl"/>
              </w:rPr>
              <w:t>Inversión ejecutada durante el período tarifario vigente y no prevista en el Programa de Nuevas Inversiones (INPE)</w:t>
            </w:r>
          </w:p>
        </w:tc>
        <w:tc>
          <w:tcPr>
            <w:tcW w:w="2835" w:type="dxa"/>
            <w:vAlign w:val="center"/>
          </w:tcPr>
          <w:p w14:paraId="7561818C" w14:textId="77777777" w:rsidR="00D605D9" w:rsidRPr="009A5A3F" w:rsidRDefault="00D605D9" w:rsidP="00BD5716">
            <w:pPr>
              <w:keepNext/>
              <w:adjustRightInd w:val="0"/>
              <w:ind w:left="0" w:right="23"/>
              <w:jc w:val="center"/>
              <w:rPr>
                <w:rFonts w:ascii="Bookman Old Style" w:hAnsi="Bookman Old Style"/>
                <w:sz w:val="22"/>
                <w:szCs w:val="22"/>
              </w:rPr>
            </w:pPr>
            <w:r w:rsidRPr="009A5A3F">
              <w:rPr>
                <w:rFonts w:ascii="Bookman Old Style" w:hAnsi="Bookman Old Style"/>
                <w:sz w:val="22"/>
                <w:szCs w:val="22"/>
              </w:rPr>
              <w:t>775.882.920</w:t>
            </w:r>
          </w:p>
        </w:tc>
      </w:tr>
      <w:tr w:rsidR="00D605D9" w14:paraId="3733CD9F" w14:textId="77777777" w:rsidTr="00230A8B">
        <w:trPr>
          <w:jc w:val="center"/>
        </w:trPr>
        <w:tc>
          <w:tcPr>
            <w:tcW w:w="6232" w:type="dxa"/>
            <w:shd w:val="clear" w:color="auto" w:fill="F2F2F2" w:themeFill="background1" w:themeFillShade="F2"/>
          </w:tcPr>
          <w:p w14:paraId="6754E578" w14:textId="77777777" w:rsidR="00D605D9" w:rsidRPr="009A5A3F" w:rsidRDefault="00D605D9" w:rsidP="00BD5716">
            <w:pPr>
              <w:keepNext/>
              <w:adjustRightInd w:val="0"/>
              <w:ind w:left="0" w:right="23"/>
              <w:jc w:val="right"/>
              <w:rPr>
                <w:rFonts w:ascii="Bookman Old Style" w:hAnsi="Bookman Old Style"/>
                <w:b/>
                <w:sz w:val="22"/>
                <w:szCs w:val="22"/>
              </w:rPr>
            </w:pPr>
            <w:r w:rsidRPr="009A5A3F">
              <w:rPr>
                <w:rFonts w:ascii="Bookman Old Style" w:hAnsi="Bookman Old Style"/>
                <w:b/>
                <w:sz w:val="22"/>
                <w:szCs w:val="22"/>
              </w:rPr>
              <w:t>Total</w:t>
            </w:r>
          </w:p>
        </w:tc>
        <w:tc>
          <w:tcPr>
            <w:tcW w:w="2835" w:type="dxa"/>
            <w:shd w:val="clear" w:color="auto" w:fill="F2F2F2" w:themeFill="background1" w:themeFillShade="F2"/>
            <w:vAlign w:val="center"/>
          </w:tcPr>
          <w:p w14:paraId="3EF424C7" w14:textId="77777777" w:rsidR="00D605D9" w:rsidRPr="009A5A3F" w:rsidRDefault="00D605D9" w:rsidP="00BD5716">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41</w:t>
            </w:r>
            <w:r w:rsidR="00C80084" w:rsidRPr="009A5A3F">
              <w:rPr>
                <w:rFonts w:ascii="Bookman Old Style" w:hAnsi="Bookman Old Style"/>
                <w:b/>
                <w:sz w:val="22"/>
                <w:szCs w:val="22"/>
              </w:rPr>
              <w:t>.</w:t>
            </w:r>
            <w:r w:rsidRPr="009A5A3F">
              <w:rPr>
                <w:rFonts w:ascii="Bookman Old Style" w:hAnsi="Bookman Old Style"/>
                <w:b/>
                <w:sz w:val="22"/>
                <w:szCs w:val="22"/>
              </w:rPr>
              <w:t>547</w:t>
            </w:r>
            <w:r w:rsidR="00C80084" w:rsidRPr="009A5A3F">
              <w:rPr>
                <w:rFonts w:ascii="Bookman Old Style" w:hAnsi="Bookman Old Style"/>
                <w:b/>
                <w:sz w:val="22"/>
                <w:szCs w:val="22"/>
              </w:rPr>
              <w:t>.</w:t>
            </w:r>
            <w:r w:rsidRPr="009A5A3F">
              <w:rPr>
                <w:rFonts w:ascii="Bookman Old Style" w:hAnsi="Bookman Old Style"/>
                <w:b/>
                <w:sz w:val="22"/>
                <w:szCs w:val="22"/>
              </w:rPr>
              <w:t>677</w:t>
            </w:r>
            <w:r w:rsidR="00C80084" w:rsidRPr="009A5A3F">
              <w:rPr>
                <w:rFonts w:ascii="Bookman Old Style" w:hAnsi="Bookman Old Style"/>
                <w:b/>
                <w:sz w:val="22"/>
                <w:szCs w:val="22"/>
              </w:rPr>
              <w:t>.</w:t>
            </w:r>
            <w:r w:rsidRPr="009A5A3F">
              <w:rPr>
                <w:rFonts w:ascii="Bookman Old Style" w:hAnsi="Bookman Old Style"/>
                <w:b/>
                <w:sz w:val="22"/>
                <w:szCs w:val="22"/>
              </w:rPr>
              <w:t>478</w:t>
            </w:r>
          </w:p>
        </w:tc>
      </w:tr>
    </w:tbl>
    <w:p w14:paraId="596412BE" w14:textId="77777777" w:rsidR="0041553C" w:rsidRPr="0041553C" w:rsidRDefault="0041553C" w:rsidP="0041553C">
      <w:pPr>
        <w:adjustRightInd w:val="0"/>
        <w:spacing w:after="240"/>
        <w:ind w:left="0" w:right="23"/>
        <w:jc w:val="center"/>
        <w:rPr>
          <w:rFonts w:ascii="Bookman Old Style" w:hAnsi="Bookman Old Style"/>
          <w:sz w:val="20"/>
          <w:szCs w:val="20"/>
        </w:rPr>
      </w:pPr>
      <w:r w:rsidRPr="0041553C">
        <w:rPr>
          <w:rFonts w:ascii="Bookman Old Style" w:hAnsi="Bookman Old Style"/>
          <w:sz w:val="20"/>
          <w:szCs w:val="20"/>
        </w:rPr>
        <w:t>Cifras en pesos de diciembre de 2014</w:t>
      </w:r>
    </w:p>
    <w:p w14:paraId="6F2FF5E3" w14:textId="77777777" w:rsidR="0090058D" w:rsidRDefault="004900AD" w:rsidP="00144D54">
      <w:pPr>
        <w:adjustRightInd w:val="0"/>
        <w:spacing w:before="240" w:after="240"/>
        <w:ind w:left="0" w:right="23"/>
        <w:jc w:val="both"/>
        <w:rPr>
          <w:rFonts w:ascii="Bookman Old Style" w:hAnsi="Bookman Old Style"/>
        </w:rPr>
      </w:pPr>
      <w:r>
        <w:rPr>
          <w:rFonts w:ascii="Bookman Old Style" w:hAnsi="Bookman Old Style"/>
        </w:rPr>
        <w:lastRenderedPageBreak/>
        <w:t xml:space="preserve">Adicionalmente, </w:t>
      </w:r>
      <w:r w:rsidR="00144D54">
        <w:rPr>
          <w:rFonts w:ascii="Bookman Old Style" w:hAnsi="Bookman Old Style"/>
        </w:rPr>
        <w:t xml:space="preserve">la empresa </w:t>
      </w:r>
      <w:r>
        <w:rPr>
          <w:rFonts w:ascii="Bookman Old Style" w:hAnsi="Bookman Old Style"/>
        </w:rPr>
        <w:t>manifiesta que en el Documento CREG 022 de 2018</w:t>
      </w:r>
      <w:r w:rsidR="00144D54">
        <w:rPr>
          <w:rStyle w:val="Refdenotaalpie"/>
          <w:rFonts w:ascii="Bookman Old Style" w:hAnsi="Bookman Old Style"/>
        </w:rPr>
        <w:footnoteReference w:id="1"/>
      </w:r>
      <w:r>
        <w:rPr>
          <w:rFonts w:ascii="Bookman Old Style" w:hAnsi="Bookman Old Style"/>
        </w:rPr>
        <w:t xml:space="preserve"> se expone </w:t>
      </w:r>
      <w:r w:rsidR="007327FD">
        <w:rPr>
          <w:rFonts w:ascii="Bookman Old Style" w:hAnsi="Bookman Old Style"/>
        </w:rPr>
        <w:t>que la</w:t>
      </w:r>
      <w:r w:rsidR="00144D54">
        <w:rPr>
          <w:rFonts w:ascii="Bookman Old Style" w:hAnsi="Bookman Old Style"/>
        </w:rPr>
        <w:t xml:space="preserve"> IE aprobada es diferente a la solicitada por la empresa ya que esta última difiere de la IE aprobada</w:t>
      </w:r>
      <w:r w:rsidR="00272DC3">
        <w:rPr>
          <w:rFonts w:ascii="Bookman Old Style" w:hAnsi="Bookman Old Style"/>
        </w:rPr>
        <w:t xml:space="preserve"> </w:t>
      </w:r>
      <w:r w:rsidR="00144D54">
        <w:rPr>
          <w:rFonts w:ascii="Bookman Old Style" w:hAnsi="Bookman Old Style"/>
        </w:rPr>
        <w:t xml:space="preserve">para GASES DE LA GUAJIRA S.A. E.S.P. </w:t>
      </w:r>
      <w:r w:rsidR="00272DC3">
        <w:rPr>
          <w:rFonts w:ascii="Bookman Old Style" w:hAnsi="Bookman Old Style"/>
        </w:rPr>
        <w:t xml:space="preserve">en el numeral </w:t>
      </w:r>
      <w:r w:rsidRPr="00272DC3">
        <w:rPr>
          <w:rFonts w:ascii="Bookman Old Style" w:hAnsi="Bookman Old Style"/>
        </w:rPr>
        <w:t>5.9 del Anexo 5 de la Resolución CREG 202 de 2013</w:t>
      </w:r>
      <w:r w:rsidR="00144D54">
        <w:rPr>
          <w:rFonts w:ascii="Bookman Old Style" w:hAnsi="Bookman Old Style"/>
        </w:rPr>
        <w:t xml:space="preserve">. De igual forma, manifiesta que en el </w:t>
      </w:r>
      <w:r w:rsidR="007C2D69">
        <w:rPr>
          <w:rFonts w:ascii="Bookman Old Style" w:hAnsi="Bookman Old Style"/>
        </w:rPr>
        <w:t>mismo documento</w:t>
      </w:r>
      <w:r w:rsidR="00144D54">
        <w:rPr>
          <w:rFonts w:ascii="Bookman Old Style" w:hAnsi="Bookman Old Style"/>
        </w:rPr>
        <w:t xml:space="preserve"> no se presenta ningún argumento para explicar las diferencias entre la IPE y la INPE reconocida y la solicitada por la empresa.</w:t>
      </w:r>
    </w:p>
    <w:p w14:paraId="1DF8F0C4" w14:textId="07AF186E" w:rsidR="00E2233B" w:rsidRDefault="0041553C" w:rsidP="00E3333E">
      <w:pPr>
        <w:adjustRightInd w:val="0"/>
        <w:spacing w:before="240" w:after="240"/>
        <w:ind w:left="0" w:right="23"/>
        <w:jc w:val="both"/>
        <w:rPr>
          <w:rFonts w:ascii="Bookman Old Style" w:hAnsi="Bookman Old Style"/>
        </w:rPr>
      </w:pPr>
      <w:r>
        <w:rPr>
          <w:rFonts w:ascii="Bookman Old Style" w:hAnsi="Bookman Old Style"/>
        </w:rPr>
        <w:t xml:space="preserve">Conforme a lo anterior, el recurrente señala que la Comisión no aceptó la totalidad de los valores reportados por la empresa para IE, IPE e INPE y reconoció una inversión menor como se detalla </w:t>
      </w:r>
      <w:r w:rsidR="00E2233B">
        <w:rPr>
          <w:rFonts w:ascii="Bookman Old Style" w:hAnsi="Bookman Old Style"/>
        </w:rPr>
        <w:t>en</w:t>
      </w:r>
      <w:r w:rsidR="00813184" w:rsidRPr="00813184">
        <w:rPr>
          <w:rFonts w:ascii="Bookman Old Style" w:hAnsi="Bookman Old Style"/>
        </w:rPr>
        <w:t xml:space="preserve"> el </w:t>
      </w:r>
      <w:r w:rsidR="00813184" w:rsidRPr="00813184">
        <w:rPr>
          <w:rFonts w:ascii="Bookman Old Style" w:hAnsi="Bookman Old Style"/>
        </w:rPr>
        <w:fldChar w:fldCharType="begin"/>
      </w:r>
      <w:r w:rsidR="00813184" w:rsidRPr="00813184">
        <w:rPr>
          <w:rFonts w:ascii="Bookman Old Style" w:hAnsi="Bookman Old Style"/>
        </w:rPr>
        <w:instrText xml:space="preserve"> REF _Ref530123632 \h  \* MERGEFORMAT </w:instrText>
      </w:r>
      <w:r w:rsidR="00813184" w:rsidRPr="00813184">
        <w:rPr>
          <w:rFonts w:ascii="Bookman Old Style" w:hAnsi="Bookman Old Style"/>
        </w:rPr>
      </w:r>
      <w:r w:rsidR="00813184" w:rsidRPr="00813184">
        <w:rPr>
          <w:rFonts w:ascii="Bookman Old Style" w:hAnsi="Bookman Old Style"/>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3</w:t>
      </w:r>
      <w:r w:rsidR="00813184" w:rsidRPr="00813184">
        <w:rPr>
          <w:rFonts w:ascii="Bookman Old Style" w:hAnsi="Bookman Old Style"/>
        </w:rPr>
        <w:fldChar w:fldCharType="end"/>
      </w:r>
      <w:r w:rsidR="00E2233B">
        <w:rPr>
          <w:rFonts w:ascii="Bookman Old Style" w:hAnsi="Bookman Old Style"/>
        </w:rPr>
        <w:t>, lo que implica una afectación importante en los ingresos de la empresa ya que los cargos de distribución transitorios no remunerarían la totalidad de la inversión realizada por la empresa.</w:t>
      </w:r>
    </w:p>
    <w:p w14:paraId="723946DF" w14:textId="45722544" w:rsidR="00AF2987" w:rsidRPr="00E2233B" w:rsidRDefault="005F5D91" w:rsidP="005F5D91">
      <w:pPr>
        <w:keepNext/>
        <w:adjustRightInd w:val="0"/>
        <w:spacing w:before="240"/>
        <w:ind w:left="0" w:right="23"/>
        <w:jc w:val="center"/>
        <w:rPr>
          <w:rFonts w:ascii="Bookman Old Style" w:hAnsi="Bookman Old Style"/>
          <w:b/>
        </w:rPr>
      </w:pPr>
      <w:bookmarkStart w:id="3" w:name="_Ref530123632"/>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3</w:t>
      </w:r>
      <w:r w:rsidRPr="005F5D91">
        <w:rPr>
          <w:rFonts w:ascii="Bookman Old Style" w:hAnsi="Bookman Old Style"/>
          <w:b/>
        </w:rPr>
        <w:fldChar w:fldCharType="end"/>
      </w:r>
      <w:bookmarkEnd w:id="3"/>
    </w:p>
    <w:tbl>
      <w:tblPr>
        <w:tblStyle w:val="Tablaconcuadrcula"/>
        <w:tblW w:w="0" w:type="auto"/>
        <w:jc w:val="center"/>
        <w:tblLook w:val="04A0" w:firstRow="1" w:lastRow="0" w:firstColumn="1" w:lastColumn="0" w:noHBand="0" w:noVBand="1"/>
      </w:tblPr>
      <w:tblGrid>
        <w:gridCol w:w="1413"/>
        <w:gridCol w:w="2644"/>
        <w:gridCol w:w="2644"/>
        <w:gridCol w:w="2645"/>
      </w:tblGrid>
      <w:tr w:rsidR="00E2233B" w:rsidRPr="00AF2987" w14:paraId="0691BB43" w14:textId="77777777" w:rsidTr="00E41433">
        <w:trPr>
          <w:tblHeader/>
          <w:jc w:val="center"/>
        </w:trPr>
        <w:tc>
          <w:tcPr>
            <w:tcW w:w="1413" w:type="dxa"/>
            <w:shd w:val="clear" w:color="auto" w:fill="D9D9D9" w:themeFill="background1" w:themeFillShade="D9"/>
            <w:vAlign w:val="center"/>
          </w:tcPr>
          <w:p w14:paraId="1A60D7A5" w14:textId="77777777" w:rsidR="0041553C" w:rsidRPr="009A5A3F" w:rsidRDefault="0041553C" w:rsidP="00E41433">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Variable</w:t>
            </w:r>
          </w:p>
        </w:tc>
        <w:tc>
          <w:tcPr>
            <w:tcW w:w="2644" w:type="dxa"/>
            <w:shd w:val="clear" w:color="auto" w:fill="D9D9D9" w:themeFill="background1" w:themeFillShade="D9"/>
          </w:tcPr>
          <w:p w14:paraId="103D8785" w14:textId="77777777" w:rsidR="0041553C" w:rsidRPr="009A5A3F" w:rsidRDefault="0041553C" w:rsidP="00E41433">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Valor solicitado</w:t>
            </w:r>
          </w:p>
        </w:tc>
        <w:tc>
          <w:tcPr>
            <w:tcW w:w="2644" w:type="dxa"/>
            <w:shd w:val="clear" w:color="auto" w:fill="D9D9D9" w:themeFill="background1" w:themeFillShade="D9"/>
          </w:tcPr>
          <w:p w14:paraId="2384C419" w14:textId="77777777" w:rsidR="0041553C" w:rsidRPr="009A5A3F" w:rsidRDefault="00E2233B" w:rsidP="00E41433">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Valor reconocido</w:t>
            </w:r>
          </w:p>
        </w:tc>
        <w:tc>
          <w:tcPr>
            <w:tcW w:w="2645" w:type="dxa"/>
            <w:shd w:val="clear" w:color="auto" w:fill="D9D9D9" w:themeFill="background1" w:themeFillShade="D9"/>
            <w:vAlign w:val="center"/>
          </w:tcPr>
          <w:p w14:paraId="3763B133" w14:textId="77777777" w:rsidR="0041553C" w:rsidRPr="009A5A3F" w:rsidRDefault="00E2233B" w:rsidP="00E41433">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Diferencia</w:t>
            </w:r>
          </w:p>
        </w:tc>
      </w:tr>
      <w:tr w:rsidR="00E2233B" w14:paraId="4DB01225" w14:textId="77777777" w:rsidTr="00E2233B">
        <w:trPr>
          <w:jc w:val="center"/>
        </w:trPr>
        <w:tc>
          <w:tcPr>
            <w:tcW w:w="1413" w:type="dxa"/>
          </w:tcPr>
          <w:p w14:paraId="1FC9A2A1" w14:textId="77777777" w:rsidR="00E2233B" w:rsidRPr="009A5A3F" w:rsidRDefault="00E2233B" w:rsidP="00E2233B">
            <w:pPr>
              <w:adjustRightInd w:val="0"/>
              <w:ind w:left="0" w:right="23"/>
              <w:jc w:val="both"/>
              <w:rPr>
                <w:rFonts w:ascii="Bookman Old Style" w:hAnsi="Bookman Old Style"/>
                <w:sz w:val="22"/>
                <w:szCs w:val="22"/>
              </w:rPr>
            </w:pPr>
            <w:r w:rsidRPr="009A5A3F">
              <w:rPr>
                <w:rFonts w:ascii="Bookman Old Style" w:hAnsi="Bookman Old Style"/>
                <w:sz w:val="22"/>
                <w:szCs w:val="22"/>
              </w:rPr>
              <w:t>IE</w:t>
            </w:r>
          </w:p>
        </w:tc>
        <w:tc>
          <w:tcPr>
            <w:tcW w:w="2644" w:type="dxa"/>
            <w:vAlign w:val="center"/>
          </w:tcPr>
          <w:p w14:paraId="1570B130" w14:textId="77777777" w:rsidR="00E2233B" w:rsidRPr="009A5A3F" w:rsidRDefault="00E2233B" w:rsidP="00E2233B">
            <w:pPr>
              <w:adjustRightInd w:val="0"/>
              <w:ind w:left="0" w:right="23"/>
              <w:jc w:val="center"/>
              <w:rPr>
                <w:rFonts w:ascii="Bookman Old Style" w:hAnsi="Bookman Old Style"/>
                <w:sz w:val="22"/>
                <w:szCs w:val="22"/>
              </w:rPr>
            </w:pPr>
            <w:r w:rsidRPr="009A5A3F">
              <w:rPr>
                <w:rFonts w:ascii="Bookman Old Style" w:hAnsi="Bookman Old Style"/>
                <w:sz w:val="22"/>
                <w:szCs w:val="22"/>
              </w:rPr>
              <w:t>22.119.041.630</w:t>
            </w:r>
          </w:p>
        </w:tc>
        <w:tc>
          <w:tcPr>
            <w:tcW w:w="2644" w:type="dxa"/>
            <w:vAlign w:val="center"/>
          </w:tcPr>
          <w:p w14:paraId="1F4A48D8" w14:textId="77777777" w:rsidR="00E2233B" w:rsidRPr="009A5A3F" w:rsidRDefault="00E2233B" w:rsidP="00E2233B">
            <w:pPr>
              <w:adjustRightInd w:val="0"/>
              <w:ind w:left="0" w:right="23"/>
              <w:jc w:val="center"/>
              <w:rPr>
                <w:rFonts w:ascii="Bookman Old Style" w:hAnsi="Bookman Old Style"/>
                <w:sz w:val="22"/>
                <w:szCs w:val="22"/>
              </w:rPr>
            </w:pPr>
            <w:r w:rsidRPr="009A5A3F">
              <w:rPr>
                <w:rFonts w:ascii="Bookman Old Style" w:hAnsi="Bookman Old Style"/>
                <w:sz w:val="22"/>
                <w:szCs w:val="22"/>
              </w:rPr>
              <w:t>17.137.116.888</w:t>
            </w:r>
          </w:p>
        </w:tc>
        <w:tc>
          <w:tcPr>
            <w:tcW w:w="2645" w:type="dxa"/>
            <w:vAlign w:val="center"/>
          </w:tcPr>
          <w:p w14:paraId="7FD9481A" w14:textId="77777777" w:rsidR="00E2233B" w:rsidRPr="009A5A3F" w:rsidRDefault="00E2233B" w:rsidP="00E2233B">
            <w:pPr>
              <w:adjustRightInd w:val="0"/>
              <w:ind w:left="0" w:right="23"/>
              <w:jc w:val="center"/>
              <w:rPr>
                <w:rFonts w:ascii="Bookman Old Style" w:hAnsi="Bookman Old Style"/>
                <w:sz w:val="22"/>
                <w:szCs w:val="22"/>
              </w:rPr>
            </w:pPr>
            <w:r w:rsidRPr="009A5A3F">
              <w:rPr>
                <w:rFonts w:ascii="Bookman Old Style" w:hAnsi="Bookman Old Style"/>
                <w:sz w:val="22"/>
                <w:szCs w:val="22"/>
              </w:rPr>
              <w:t>-4.981.924.742</w:t>
            </w:r>
          </w:p>
        </w:tc>
      </w:tr>
      <w:tr w:rsidR="00E2233B" w14:paraId="5B57D938" w14:textId="77777777" w:rsidTr="00E2233B">
        <w:trPr>
          <w:trHeight w:val="70"/>
          <w:jc w:val="center"/>
        </w:trPr>
        <w:tc>
          <w:tcPr>
            <w:tcW w:w="1413" w:type="dxa"/>
          </w:tcPr>
          <w:p w14:paraId="76B4E34A" w14:textId="77777777" w:rsidR="00E2233B" w:rsidRPr="009A5A3F" w:rsidRDefault="00E2233B" w:rsidP="00E2233B">
            <w:pPr>
              <w:adjustRightInd w:val="0"/>
              <w:ind w:left="0" w:right="23"/>
              <w:jc w:val="both"/>
              <w:rPr>
                <w:rFonts w:ascii="Bookman Old Style" w:hAnsi="Bookman Old Style"/>
                <w:sz w:val="22"/>
                <w:szCs w:val="22"/>
              </w:rPr>
            </w:pPr>
            <w:r w:rsidRPr="009A5A3F">
              <w:rPr>
                <w:rFonts w:ascii="Bookman Old Style" w:hAnsi="Bookman Old Style"/>
                <w:sz w:val="22"/>
                <w:szCs w:val="22"/>
              </w:rPr>
              <w:t>IPE</w:t>
            </w:r>
          </w:p>
        </w:tc>
        <w:tc>
          <w:tcPr>
            <w:tcW w:w="2644" w:type="dxa"/>
            <w:vAlign w:val="center"/>
          </w:tcPr>
          <w:p w14:paraId="14808386" w14:textId="77777777" w:rsidR="00E2233B" w:rsidRPr="009A5A3F" w:rsidRDefault="00E2233B" w:rsidP="00E2233B">
            <w:pPr>
              <w:adjustRightInd w:val="0"/>
              <w:ind w:left="0" w:right="23"/>
              <w:jc w:val="center"/>
              <w:rPr>
                <w:rFonts w:ascii="Bookman Old Style" w:hAnsi="Bookman Old Style"/>
                <w:sz w:val="22"/>
                <w:szCs w:val="22"/>
              </w:rPr>
            </w:pPr>
            <w:r w:rsidRPr="009A5A3F">
              <w:rPr>
                <w:rFonts w:ascii="Bookman Old Style" w:hAnsi="Bookman Old Style"/>
                <w:sz w:val="22"/>
                <w:szCs w:val="22"/>
              </w:rPr>
              <w:t>25.128.194.054</w:t>
            </w:r>
          </w:p>
        </w:tc>
        <w:tc>
          <w:tcPr>
            <w:tcW w:w="2644" w:type="dxa"/>
            <w:vAlign w:val="center"/>
          </w:tcPr>
          <w:p w14:paraId="2142660D" w14:textId="77777777" w:rsidR="00E2233B" w:rsidRPr="009A5A3F" w:rsidRDefault="00E2233B" w:rsidP="00E2233B">
            <w:pPr>
              <w:adjustRightInd w:val="0"/>
              <w:ind w:left="0" w:right="23"/>
              <w:jc w:val="center"/>
              <w:rPr>
                <w:rFonts w:ascii="Bookman Old Style" w:hAnsi="Bookman Old Style"/>
                <w:sz w:val="22"/>
                <w:szCs w:val="22"/>
              </w:rPr>
            </w:pPr>
            <w:r w:rsidRPr="009A5A3F">
              <w:rPr>
                <w:rFonts w:ascii="Bookman Old Style" w:hAnsi="Bookman Old Style"/>
                <w:sz w:val="22"/>
                <w:szCs w:val="22"/>
              </w:rPr>
              <w:t>23.634.677.670</w:t>
            </w:r>
          </w:p>
        </w:tc>
        <w:tc>
          <w:tcPr>
            <w:tcW w:w="2645" w:type="dxa"/>
            <w:vAlign w:val="center"/>
          </w:tcPr>
          <w:p w14:paraId="0B51C74F" w14:textId="77777777" w:rsidR="00E2233B" w:rsidRPr="009A5A3F" w:rsidRDefault="00E2233B" w:rsidP="00E2233B">
            <w:pPr>
              <w:adjustRightInd w:val="0"/>
              <w:ind w:left="0" w:right="23"/>
              <w:jc w:val="center"/>
              <w:rPr>
                <w:rFonts w:ascii="Bookman Old Style" w:hAnsi="Bookman Old Style"/>
                <w:sz w:val="22"/>
                <w:szCs w:val="22"/>
              </w:rPr>
            </w:pPr>
            <w:r w:rsidRPr="009A5A3F">
              <w:rPr>
                <w:rFonts w:ascii="Bookman Old Style" w:hAnsi="Bookman Old Style"/>
                <w:sz w:val="22"/>
                <w:szCs w:val="22"/>
              </w:rPr>
              <w:t>-1.493.516.384</w:t>
            </w:r>
          </w:p>
        </w:tc>
      </w:tr>
      <w:tr w:rsidR="00E2233B" w14:paraId="0561789E" w14:textId="77777777" w:rsidTr="00E2233B">
        <w:trPr>
          <w:trHeight w:val="70"/>
          <w:jc w:val="center"/>
        </w:trPr>
        <w:tc>
          <w:tcPr>
            <w:tcW w:w="1413" w:type="dxa"/>
          </w:tcPr>
          <w:p w14:paraId="54352A09" w14:textId="77777777" w:rsidR="00E2233B" w:rsidRPr="009A5A3F" w:rsidRDefault="00E2233B" w:rsidP="00E2233B">
            <w:pPr>
              <w:adjustRightInd w:val="0"/>
              <w:ind w:left="0" w:right="23"/>
              <w:jc w:val="both"/>
              <w:rPr>
                <w:rFonts w:ascii="Bookman Old Style" w:hAnsi="Bookman Old Style" w:cs="Arial"/>
                <w:sz w:val="22"/>
                <w:szCs w:val="22"/>
                <w:lang w:val="es-ES_tradnl"/>
              </w:rPr>
            </w:pPr>
            <w:r w:rsidRPr="009A5A3F">
              <w:rPr>
                <w:rFonts w:ascii="Bookman Old Style" w:hAnsi="Bookman Old Style" w:cs="Arial"/>
                <w:sz w:val="22"/>
                <w:szCs w:val="22"/>
                <w:lang w:val="es-ES_tradnl"/>
              </w:rPr>
              <w:t>INPE</w:t>
            </w:r>
          </w:p>
        </w:tc>
        <w:tc>
          <w:tcPr>
            <w:tcW w:w="2644" w:type="dxa"/>
          </w:tcPr>
          <w:p w14:paraId="169A7C4E" w14:textId="77777777" w:rsidR="00E2233B" w:rsidRPr="009A5A3F" w:rsidRDefault="003E5B84" w:rsidP="00E2233B">
            <w:pPr>
              <w:adjustRightInd w:val="0"/>
              <w:ind w:left="0" w:right="23"/>
              <w:jc w:val="center"/>
              <w:rPr>
                <w:rFonts w:ascii="Bookman Old Style" w:hAnsi="Bookman Old Style"/>
                <w:sz w:val="22"/>
                <w:szCs w:val="22"/>
              </w:rPr>
            </w:pPr>
            <w:r w:rsidRPr="009A5A3F">
              <w:rPr>
                <w:rFonts w:ascii="Bookman Old Style" w:hAnsi="Bookman Old Style"/>
                <w:sz w:val="22"/>
                <w:szCs w:val="22"/>
              </w:rPr>
              <w:t>-</w:t>
            </w:r>
          </w:p>
        </w:tc>
        <w:tc>
          <w:tcPr>
            <w:tcW w:w="2644" w:type="dxa"/>
            <w:vAlign w:val="center"/>
          </w:tcPr>
          <w:p w14:paraId="3F9F786E" w14:textId="77777777" w:rsidR="00E2233B" w:rsidRPr="009A5A3F" w:rsidRDefault="00E2233B" w:rsidP="00E2233B">
            <w:pPr>
              <w:adjustRightInd w:val="0"/>
              <w:ind w:left="0" w:right="23"/>
              <w:jc w:val="center"/>
              <w:rPr>
                <w:rFonts w:ascii="Bookman Old Style" w:hAnsi="Bookman Old Style"/>
                <w:sz w:val="22"/>
                <w:szCs w:val="22"/>
              </w:rPr>
            </w:pPr>
            <w:r w:rsidRPr="009A5A3F">
              <w:rPr>
                <w:rFonts w:ascii="Bookman Old Style" w:hAnsi="Bookman Old Style"/>
                <w:sz w:val="22"/>
                <w:szCs w:val="22"/>
              </w:rPr>
              <w:t>775.882.920</w:t>
            </w:r>
          </w:p>
        </w:tc>
        <w:tc>
          <w:tcPr>
            <w:tcW w:w="2645" w:type="dxa"/>
            <w:vAlign w:val="center"/>
          </w:tcPr>
          <w:p w14:paraId="63DBE15C" w14:textId="77777777" w:rsidR="00E2233B" w:rsidRPr="009A5A3F" w:rsidRDefault="00E2233B" w:rsidP="00E2233B">
            <w:pPr>
              <w:adjustRightInd w:val="0"/>
              <w:ind w:left="0" w:right="23"/>
              <w:jc w:val="center"/>
              <w:rPr>
                <w:rFonts w:ascii="Bookman Old Style" w:hAnsi="Bookman Old Style"/>
                <w:sz w:val="22"/>
                <w:szCs w:val="22"/>
              </w:rPr>
            </w:pPr>
            <w:r w:rsidRPr="009A5A3F">
              <w:rPr>
                <w:rFonts w:ascii="Bookman Old Style" w:hAnsi="Bookman Old Style"/>
                <w:sz w:val="22"/>
                <w:szCs w:val="22"/>
              </w:rPr>
              <w:t>775.882.920</w:t>
            </w:r>
          </w:p>
        </w:tc>
      </w:tr>
      <w:tr w:rsidR="00E2233B" w:rsidRPr="00A64305" w14:paraId="359037A0" w14:textId="77777777" w:rsidTr="00E2233B">
        <w:trPr>
          <w:jc w:val="center"/>
        </w:trPr>
        <w:tc>
          <w:tcPr>
            <w:tcW w:w="1413" w:type="dxa"/>
            <w:shd w:val="clear" w:color="auto" w:fill="F2F2F2" w:themeFill="background1" w:themeFillShade="F2"/>
          </w:tcPr>
          <w:p w14:paraId="075CF1FC" w14:textId="77777777" w:rsidR="00E2233B" w:rsidRPr="009A5A3F" w:rsidRDefault="00E2233B" w:rsidP="00E2233B">
            <w:pPr>
              <w:adjustRightInd w:val="0"/>
              <w:ind w:left="0" w:right="23"/>
              <w:jc w:val="right"/>
              <w:rPr>
                <w:rFonts w:ascii="Bookman Old Style" w:hAnsi="Bookman Old Style"/>
                <w:b/>
                <w:sz w:val="22"/>
                <w:szCs w:val="22"/>
              </w:rPr>
            </w:pPr>
            <w:r w:rsidRPr="009A5A3F">
              <w:rPr>
                <w:rFonts w:ascii="Bookman Old Style" w:hAnsi="Bookman Old Style"/>
                <w:b/>
                <w:sz w:val="22"/>
                <w:szCs w:val="22"/>
              </w:rPr>
              <w:t>Total</w:t>
            </w:r>
          </w:p>
        </w:tc>
        <w:tc>
          <w:tcPr>
            <w:tcW w:w="2644" w:type="dxa"/>
            <w:shd w:val="clear" w:color="auto" w:fill="F2F2F2" w:themeFill="background1" w:themeFillShade="F2"/>
          </w:tcPr>
          <w:p w14:paraId="13BC06F3" w14:textId="77777777" w:rsidR="00E2233B" w:rsidRPr="009A5A3F" w:rsidRDefault="00E2233B" w:rsidP="00E2233B">
            <w:pPr>
              <w:adjustRightInd w:val="0"/>
              <w:ind w:left="0" w:right="23"/>
              <w:jc w:val="center"/>
              <w:rPr>
                <w:rFonts w:ascii="Bookman Old Style" w:hAnsi="Bookman Old Style"/>
                <w:b/>
                <w:sz w:val="22"/>
                <w:szCs w:val="22"/>
              </w:rPr>
            </w:pPr>
            <w:r w:rsidRPr="009A5A3F">
              <w:rPr>
                <w:rFonts w:ascii="Bookman Old Style" w:hAnsi="Bookman Old Style"/>
                <w:b/>
                <w:sz w:val="22"/>
                <w:szCs w:val="22"/>
              </w:rPr>
              <w:t>47.247.235.684</w:t>
            </w:r>
          </w:p>
        </w:tc>
        <w:tc>
          <w:tcPr>
            <w:tcW w:w="2644" w:type="dxa"/>
            <w:shd w:val="clear" w:color="auto" w:fill="F2F2F2" w:themeFill="background1" w:themeFillShade="F2"/>
            <w:vAlign w:val="center"/>
          </w:tcPr>
          <w:p w14:paraId="2F6346CF" w14:textId="77777777" w:rsidR="00E2233B" w:rsidRPr="009A5A3F" w:rsidRDefault="00E2233B" w:rsidP="00E2233B">
            <w:pPr>
              <w:adjustRightInd w:val="0"/>
              <w:ind w:left="0" w:right="23"/>
              <w:jc w:val="center"/>
              <w:rPr>
                <w:rFonts w:ascii="Bookman Old Style" w:hAnsi="Bookman Old Style"/>
                <w:b/>
                <w:sz w:val="22"/>
                <w:szCs w:val="22"/>
              </w:rPr>
            </w:pPr>
            <w:r w:rsidRPr="009A5A3F">
              <w:rPr>
                <w:rFonts w:ascii="Bookman Old Style" w:hAnsi="Bookman Old Style"/>
                <w:b/>
                <w:sz w:val="22"/>
                <w:szCs w:val="22"/>
              </w:rPr>
              <w:t>41.547.677.478</w:t>
            </w:r>
          </w:p>
        </w:tc>
        <w:tc>
          <w:tcPr>
            <w:tcW w:w="2645" w:type="dxa"/>
            <w:shd w:val="clear" w:color="auto" w:fill="F2F2F2" w:themeFill="background1" w:themeFillShade="F2"/>
            <w:vAlign w:val="center"/>
          </w:tcPr>
          <w:p w14:paraId="0EA04553" w14:textId="77777777" w:rsidR="00E2233B" w:rsidRPr="009A5A3F" w:rsidRDefault="00E2233B" w:rsidP="00E2233B">
            <w:pPr>
              <w:adjustRightInd w:val="0"/>
              <w:ind w:left="0" w:right="23"/>
              <w:jc w:val="center"/>
              <w:rPr>
                <w:rFonts w:ascii="Bookman Old Style" w:hAnsi="Bookman Old Style"/>
                <w:b/>
                <w:sz w:val="22"/>
                <w:szCs w:val="22"/>
              </w:rPr>
            </w:pPr>
            <w:r w:rsidRPr="009A5A3F">
              <w:rPr>
                <w:rFonts w:ascii="Bookman Old Style" w:hAnsi="Bookman Old Style"/>
                <w:b/>
                <w:sz w:val="22"/>
                <w:szCs w:val="22"/>
              </w:rPr>
              <w:t>-5.699.558.206</w:t>
            </w:r>
          </w:p>
        </w:tc>
      </w:tr>
    </w:tbl>
    <w:p w14:paraId="78B2D0FC" w14:textId="77777777" w:rsidR="00E3333E" w:rsidRPr="0041553C" w:rsidRDefault="0041553C" w:rsidP="0041553C">
      <w:pPr>
        <w:adjustRightInd w:val="0"/>
        <w:spacing w:after="240"/>
        <w:ind w:left="0" w:right="23"/>
        <w:jc w:val="center"/>
        <w:rPr>
          <w:rFonts w:ascii="Bookman Old Style" w:hAnsi="Bookman Old Style"/>
          <w:sz w:val="20"/>
          <w:szCs w:val="20"/>
        </w:rPr>
      </w:pPr>
      <w:r w:rsidRPr="0041553C">
        <w:rPr>
          <w:rFonts w:ascii="Bookman Old Style" w:hAnsi="Bookman Old Style"/>
          <w:sz w:val="20"/>
          <w:szCs w:val="20"/>
        </w:rPr>
        <w:t>Cifras en pesos de diciembre de 2014</w:t>
      </w:r>
    </w:p>
    <w:p w14:paraId="7F0847E8" w14:textId="77777777" w:rsidR="00E35ABE" w:rsidRDefault="00E41433" w:rsidP="00E41433">
      <w:pPr>
        <w:adjustRightInd w:val="0"/>
        <w:spacing w:before="240" w:after="240"/>
        <w:ind w:left="0" w:right="23"/>
        <w:jc w:val="both"/>
        <w:rPr>
          <w:rFonts w:ascii="Bookman Old Style" w:hAnsi="Bookman Old Style"/>
        </w:rPr>
      </w:pPr>
      <w:r w:rsidRPr="00E41433">
        <w:rPr>
          <w:rFonts w:ascii="Bookman Old Style" w:hAnsi="Bookman Old Style"/>
        </w:rPr>
        <w:t xml:space="preserve">Adicional a lo expuesto en el </w:t>
      </w:r>
      <w:r w:rsidR="00E35ABE">
        <w:rPr>
          <w:rFonts w:ascii="Bookman Old Style" w:hAnsi="Bookman Old Style"/>
        </w:rPr>
        <w:t>recurso de reposición</w:t>
      </w:r>
      <w:r>
        <w:rPr>
          <w:rFonts w:ascii="Bookman Old Style" w:hAnsi="Bookman Old Style"/>
        </w:rPr>
        <w:t xml:space="preserve">, </w:t>
      </w:r>
      <w:r w:rsidR="00E35ABE">
        <w:rPr>
          <w:rFonts w:ascii="Bookman Old Style" w:hAnsi="Bookman Old Style"/>
        </w:rPr>
        <w:t>la empresa manifiesta lo siguiente con respecto a la IE, a la IPE y a la INPE</w:t>
      </w:r>
      <w:r w:rsidR="005F5D91">
        <w:rPr>
          <w:rFonts w:ascii="Bookman Old Style" w:hAnsi="Bookman Old Style"/>
        </w:rPr>
        <w:t xml:space="preserve"> en el estudio remitido med</w:t>
      </w:r>
      <w:r w:rsidR="00BD5716">
        <w:rPr>
          <w:rFonts w:ascii="Bookman Old Style" w:hAnsi="Bookman Old Style"/>
        </w:rPr>
        <w:t>iante el radicado E-2018-006297.</w:t>
      </w:r>
    </w:p>
    <w:p w14:paraId="7BBB92ED" w14:textId="77777777" w:rsidR="00E35ABE" w:rsidRPr="00E35ABE" w:rsidRDefault="00E35ABE" w:rsidP="00E35ABE">
      <w:pPr>
        <w:pStyle w:val="Ttulo5"/>
        <w:numPr>
          <w:ilvl w:val="0"/>
          <w:numId w:val="4"/>
        </w:numPr>
        <w:spacing w:before="360" w:after="240"/>
        <w:ind w:left="567" w:hanging="567"/>
        <w:jc w:val="both"/>
        <w:rPr>
          <w:rFonts w:ascii="Bookman Old Style" w:eastAsia="Calibri" w:hAnsi="Bookman Old Style"/>
          <w:sz w:val="24"/>
          <w:szCs w:val="24"/>
          <w:lang w:eastAsia="es-CO"/>
        </w:rPr>
      </w:pPr>
      <w:r w:rsidRPr="00E35ABE">
        <w:rPr>
          <w:rFonts w:ascii="Bookman Old Style" w:eastAsia="Calibri" w:hAnsi="Bookman Old Style"/>
          <w:sz w:val="24"/>
          <w:szCs w:val="24"/>
          <w:lang w:eastAsia="es-CO"/>
        </w:rPr>
        <w:t>Inversión Existente (IE)</w:t>
      </w:r>
    </w:p>
    <w:p w14:paraId="660093D8" w14:textId="77777777" w:rsidR="00E35ABE" w:rsidRPr="00AB429E" w:rsidRDefault="002B5482" w:rsidP="00E41433">
      <w:pPr>
        <w:adjustRightInd w:val="0"/>
        <w:spacing w:before="240" w:after="240"/>
        <w:ind w:left="0" w:right="23"/>
        <w:jc w:val="both"/>
        <w:rPr>
          <w:rFonts w:ascii="Bookman Old Style" w:hAnsi="Bookman Old Style"/>
        </w:rPr>
      </w:pPr>
      <w:r>
        <w:rPr>
          <w:rFonts w:ascii="Bookman Old Style" w:hAnsi="Bookman Old Style"/>
        </w:rPr>
        <w:t>Señala GASES DE LA GUAJIRA S.A. E.S.P. que d</w:t>
      </w:r>
      <w:r w:rsidR="00AB429E" w:rsidRPr="00AB429E">
        <w:rPr>
          <w:rFonts w:ascii="Bookman Old Style" w:hAnsi="Bookman Old Style"/>
        </w:rPr>
        <w:t>e acuerdo con</w:t>
      </w:r>
      <w:r w:rsidR="00AB429E">
        <w:rPr>
          <w:rFonts w:ascii="Bookman Old Style" w:hAnsi="Bookman Old Style"/>
        </w:rPr>
        <w:t xml:space="preserve"> lo establecido en</w:t>
      </w:r>
      <w:r w:rsidR="00AB429E" w:rsidRPr="00AB429E">
        <w:rPr>
          <w:rFonts w:ascii="Bookman Old Style" w:hAnsi="Bookman Old Style"/>
        </w:rPr>
        <w:t xml:space="preserve"> la Resolución </w:t>
      </w:r>
      <w:r w:rsidR="00AB429E">
        <w:rPr>
          <w:rFonts w:ascii="Bookman Old Style" w:hAnsi="Bookman Old Style"/>
        </w:rPr>
        <w:t xml:space="preserve">CREG </w:t>
      </w:r>
      <w:r w:rsidR="00AB429E" w:rsidRPr="00AB429E">
        <w:rPr>
          <w:rFonts w:ascii="Bookman Old Style" w:hAnsi="Bookman Old Style"/>
        </w:rPr>
        <w:t xml:space="preserve">202 de 2013, la tarifa para el nuevo periodo tarifario incluye la inversión existente </w:t>
      </w:r>
      <w:r w:rsidR="00AB429E">
        <w:rPr>
          <w:rFonts w:ascii="Bookman Old Style" w:hAnsi="Bookman Old Style"/>
        </w:rPr>
        <w:t>en la última revisión tarifaria, e</w:t>
      </w:r>
      <w:r w:rsidR="00AB429E" w:rsidRPr="00AB429E">
        <w:rPr>
          <w:rFonts w:ascii="Bookman Old Style" w:hAnsi="Bookman Old Style"/>
        </w:rPr>
        <w:t xml:space="preserve">s decir, la aprobada por el regulador mediante Resolución </w:t>
      </w:r>
      <w:r w:rsidR="00AB429E">
        <w:rPr>
          <w:rFonts w:ascii="Bookman Old Style" w:hAnsi="Bookman Old Style"/>
        </w:rPr>
        <w:t>CREG 0</w:t>
      </w:r>
      <w:r w:rsidR="00AB429E" w:rsidRPr="00AB429E">
        <w:rPr>
          <w:rFonts w:ascii="Bookman Old Style" w:hAnsi="Bookman Old Style"/>
        </w:rPr>
        <w:t>27 de 2004</w:t>
      </w:r>
      <w:r w:rsidR="00AB429E" w:rsidRPr="00AB429E">
        <w:rPr>
          <w:rStyle w:val="Refdenotaalpie"/>
          <w:rFonts w:ascii="Bookman Old Style" w:hAnsi="Bookman Old Style"/>
        </w:rPr>
        <w:footnoteReference w:id="2"/>
      </w:r>
      <w:r w:rsidR="00AB429E" w:rsidRPr="00AB429E">
        <w:rPr>
          <w:rFonts w:ascii="Bookman Old Style" w:hAnsi="Bookman Old Style"/>
        </w:rPr>
        <w:t>.</w:t>
      </w:r>
    </w:p>
    <w:p w14:paraId="3F34A826" w14:textId="412739DA" w:rsidR="00E35ABE" w:rsidRDefault="002B5482" w:rsidP="00E41433">
      <w:pPr>
        <w:adjustRightInd w:val="0"/>
        <w:spacing w:before="240" w:after="240"/>
        <w:ind w:left="0" w:right="23"/>
        <w:jc w:val="both"/>
        <w:rPr>
          <w:rFonts w:ascii="Bookman Old Style" w:hAnsi="Bookman Old Style"/>
        </w:rPr>
      </w:pPr>
      <w:r>
        <w:rPr>
          <w:rFonts w:ascii="Bookman Old Style" w:hAnsi="Bookman Old Style"/>
        </w:rPr>
        <w:t xml:space="preserve">La empresa indica que de un análisis comparativo de las cantidades de tubería aprobadas mediante </w:t>
      </w:r>
      <w:r w:rsidRPr="00AB429E">
        <w:rPr>
          <w:rFonts w:ascii="Bookman Old Style" w:hAnsi="Bookman Old Style"/>
        </w:rPr>
        <w:t xml:space="preserve">Resolución </w:t>
      </w:r>
      <w:r>
        <w:rPr>
          <w:rFonts w:ascii="Bookman Old Style" w:hAnsi="Bookman Old Style"/>
        </w:rPr>
        <w:t>CREG 0</w:t>
      </w:r>
      <w:r w:rsidRPr="00AB429E">
        <w:rPr>
          <w:rFonts w:ascii="Bookman Old Style" w:hAnsi="Bookman Old Style"/>
        </w:rPr>
        <w:t>27 de 2004</w:t>
      </w:r>
      <w:r>
        <w:rPr>
          <w:rFonts w:ascii="Bookman Old Style" w:hAnsi="Bookman Old Style"/>
        </w:rPr>
        <w:t xml:space="preserve"> y las aprobadas mediante Resolución CREG 027 de 2018, se evidencia que la CREG cometió un error</w:t>
      </w:r>
      <w:r w:rsidR="00323CA3" w:rsidRPr="00323CA3">
        <w:rPr>
          <w:rFonts w:ascii="Bookman Old Style" w:hAnsi="Bookman Old Style"/>
        </w:rPr>
        <w:t xml:space="preserve"> </w:t>
      </w:r>
      <w:r w:rsidR="00323CA3">
        <w:rPr>
          <w:rFonts w:ascii="Bookman Old Style" w:hAnsi="Bookman Old Style"/>
        </w:rPr>
        <w:t>en las cantidades de tubería de diámetro inferior a 3 pulgadas, dado que se excluyó un total de 38,6 km de la Inversión Existente como s</w:t>
      </w:r>
      <w:r>
        <w:rPr>
          <w:rFonts w:ascii="Bookman Old Style" w:hAnsi="Bookman Old Style"/>
        </w:rPr>
        <w:t xml:space="preserve">e muestra en </w:t>
      </w:r>
      <w:r w:rsidR="00813184" w:rsidRPr="00813184">
        <w:rPr>
          <w:rFonts w:ascii="Bookman Old Style" w:hAnsi="Bookman Old Style"/>
        </w:rPr>
        <w:fldChar w:fldCharType="begin"/>
      </w:r>
      <w:r w:rsidR="00813184" w:rsidRPr="00813184">
        <w:rPr>
          <w:rFonts w:ascii="Bookman Old Style" w:hAnsi="Bookman Old Style"/>
        </w:rPr>
        <w:instrText xml:space="preserve"> REF _Ref530123660 \h  \* MERGEFORMAT </w:instrText>
      </w:r>
      <w:r w:rsidR="00813184" w:rsidRPr="00813184">
        <w:rPr>
          <w:rFonts w:ascii="Bookman Old Style" w:hAnsi="Bookman Old Style"/>
        </w:rPr>
      </w:r>
      <w:r w:rsidR="00813184" w:rsidRPr="00813184">
        <w:rPr>
          <w:rFonts w:ascii="Bookman Old Style" w:hAnsi="Bookman Old Style"/>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4</w:t>
      </w:r>
      <w:r w:rsidR="00813184" w:rsidRPr="00813184">
        <w:rPr>
          <w:rFonts w:ascii="Bookman Old Style" w:hAnsi="Bookman Old Style"/>
        </w:rPr>
        <w:fldChar w:fldCharType="end"/>
      </w:r>
      <w:r w:rsidR="00813184" w:rsidRPr="00813184">
        <w:rPr>
          <w:rFonts w:ascii="Bookman Old Style" w:hAnsi="Bookman Old Style"/>
        </w:rPr>
        <w:t>.</w:t>
      </w:r>
    </w:p>
    <w:p w14:paraId="62239C1C" w14:textId="3B5B9422" w:rsidR="00323CA3" w:rsidRPr="00E2233B" w:rsidRDefault="00323CA3" w:rsidP="00323CA3">
      <w:pPr>
        <w:keepNext/>
        <w:adjustRightInd w:val="0"/>
        <w:spacing w:before="240"/>
        <w:ind w:left="0" w:right="23"/>
        <w:jc w:val="center"/>
        <w:rPr>
          <w:rFonts w:ascii="Bookman Old Style" w:hAnsi="Bookman Old Style"/>
          <w:b/>
        </w:rPr>
      </w:pPr>
      <w:bookmarkStart w:id="4" w:name="_Ref530123660"/>
      <w:r w:rsidRPr="005F5D91">
        <w:rPr>
          <w:rFonts w:ascii="Bookman Old Style" w:hAnsi="Bookman Old Style"/>
          <w:b/>
        </w:rPr>
        <w:lastRenderedPageBreak/>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4</w:t>
      </w:r>
      <w:r w:rsidRPr="005F5D91">
        <w:rPr>
          <w:rFonts w:ascii="Bookman Old Style" w:hAnsi="Bookman Old Style"/>
          <w:b/>
        </w:rPr>
        <w:fldChar w:fldCharType="end"/>
      </w:r>
      <w:bookmarkEnd w:id="4"/>
    </w:p>
    <w:tbl>
      <w:tblPr>
        <w:tblStyle w:val="Tablaconcuadrcula"/>
        <w:tblW w:w="0" w:type="auto"/>
        <w:jc w:val="center"/>
        <w:tblLook w:val="04A0" w:firstRow="1" w:lastRow="0" w:firstColumn="1" w:lastColumn="0" w:noHBand="0" w:noVBand="1"/>
      </w:tblPr>
      <w:tblGrid>
        <w:gridCol w:w="4106"/>
        <w:gridCol w:w="1746"/>
        <w:gridCol w:w="1747"/>
        <w:gridCol w:w="1747"/>
      </w:tblGrid>
      <w:tr w:rsidR="00323CA3" w:rsidRPr="00AF2987" w14:paraId="0D025931" w14:textId="77777777" w:rsidTr="00780394">
        <w:trPr>
          <w:tblHeader/>
          <w:jc w:val="center"/>
        </w:trPr>
        <w:tc>
          <w:tcPr>
            <w:tcW w:w="4106" w:type="dxa"/>
            <w:shd w:val="clear" w:color="auto" w:fill="D9D9D9" w:themeFill="background1" w:themeFillShade="D9"/>
            <w:vAlign w:val="center"/>
          </w:tcPr>
          <w:p w14:paraId="0B28C401" w14:textId="77777777" w:rsidR="00323CA3" w:rsidRPr="009A5A3F" w:rsidRDefault="00323CA3" w:rsidP="00780394">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Unidad constructiva</w:t>
            </w:r>
          </w:p>
        </w:tc>
        <w:tc>
          <w:tcPr>
            <w:tcW w:w="1746" w:type="dxa"/>
            <w:shd w:val="clear" w:color="auto" w:fill="D9D9D9" w:themeFill="background1" w:themeFillShade="D9"/>
          </w:tcPr>
          <w:p w14:paraId="35F40812" w14:textId="77777777" w:rsidR="00323CA3" w:rsidRPr="009A5A3F" w:rsidRDefault="00323CA3" w:rsidP="00780394">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Res. CREG 027 de 2004</w:t>
            </w:r>
          </w:p>
        </w:tc>
        <w:tc>
          <w:tcPr>
            <w:tcW w:w="1747" w:type="dxa"/>
            <w:shd w:val="clear" w:color="auto" w:fill="D9D9D9" w:themeFill="background1" w:themeFillShade="D9"/>
          </w:tcPr>
          <w:p w14:paraId="6DE66CBC" w14:textId="77777777" w:rsidR="00323CA3" w:rsidRPr="009A5A3F" w:rsidRDefault="00323CA3" w:rsidP="00780394">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Res. CREG 027 de 2018</w:t>
            </w:r>
          </w:p>
        </w:tc>
        <w:tc>
          <w:tcPr>
            <w:tcW w:w="1747" w:type="dxa"/>
            <w:shd w:val="clear" w:color="auto" w:fill="D9D9D9" w:themeFill="background1" w:themeFillShade="D9"/>
            <w:vAlign w:val="center"/>
          </w:tcPr>
          <w:p w14:paraId="3BE64C1A" w14:textId="77777777" w:rsidR="00323CA3" w:rsidRPr="009A5A3F" w:rsidRDefault="00323CA3" w:rsidP="00780394">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Diferencia</w:t>
            </w:r>
          </w:p>
        </w:tc>
      </w:tr>
      <w:tr w:rsidR="00323CA3" w14:paraId="4D02C235" w14:textId="77777777" w:rsidTr="00780394">
        <w:trPr>
          <w:jc w:val="center"/>
        </w:trPr>
        <w:tc>
          <w:tcPr>
            <w:tcW w:w="4106" w:type="dxa"/>
          </w:tcPr>
          <w:p w14:paraId="2E2454D0" w14:textId="77777777" w:rsidR="00323CA3" w:rsidRPr="009A5A3F" w:rsidRDefault="00323CA3" w:rsidP="00780394">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1/2”</w:t>
            </w:r>
          </w:p>
        </w:tc>
        <w:tc>
          <w:tcPr>
            <w:tcW w:w="1746" w:type="dxa"/>
            <w:vAlign w:val="center"/>
          </w:tcPr>
          <w:p w14:paraId="42D68940"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689,8</w:t>
            </w:r>
          </w:p>
        </w:tc>
        <w:tc>
          <w:tcPr>
            <w:tcW w:w="1747" w:type="dxa"/>
            <w:vAlign w:val="center"/>
          </w:tcPr>
          <w:p w14:paraId="3B5C4659"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657,2</w:t>
            </w:r>
          </w:p>
        </w:tc>
        <w:tc>
          <w:tcPr>
            <w:tcW w:w="1747" w:type="dxa"/>
            <w:vAlign w:val="center"/>
          </w:tcPr>
          <w:p w14:paraId="5E03A5F6"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-32,6</w:t>
            </w:r>
          </w:p>
        </w:tc>
      </w:tr>
      <w:tr w:rsidR="00323CA3" w14:paraId="07FB4A9D" w14:textId="77777777" w:rsidTr="00780394">
        <w:trPr>
          <w:jc w:val="center"/>
        </w:trPr>
        <w:tc>
          <w:tcPr>
            <w:tcW w:w="4106" w:type="dxa"/>
          </w:tcPr>
          <w:p w14:paraId="7DE13E0C" w14:textId="77777777" w:rsidR="00323CA3" w:rsidRPr="009A5A3F" w:rsidRDefault="00323CA3" w:rsidP="00780394">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3/4”</w:t>
            </w:r>
          </w:p>
        </w:tc>
        <w:tc>
          <w:tcPr>
            <w:tcW w:w="1746" w:type="dxa"/>
            <w:vAlign w:val="center"/>
          </w:tcPr>
          <w:p w14:paraId="4516478C"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142,9</w:t>
            </w:r>
          </w:p>
        </w:tc>
        <w:tc>
          <w:tcPr>
            <w:tcW w:w="1747" w:type="dxa"/>
            <w:vAlign w:val="center"/>
          </w:tcPr>
          <w:p w14:paraId="02C3A300"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142,5</w:t>
            </w:r>
          </w:p>
        </w:tc>
        <w:tc>
          <w:tcPr>
            <w:tcW w:w="1747" w:type="dxa"/>
            <w:vAlign w:val="center"/>
          </w:tcPr>
          <w:p w14:paraId="2650E203"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-0,4</w:t>
            </w:r>
          </w:p>
        </w:tc>
      </w:tr>
      <w:tr w:rsidR="00323CA3" w14:paraId="505882FD" w14:textId="77777777" w:rsidTr="00780394">
        <w:trPr>
          <w:jc w:val="center"/>
        </w:trPr>
        <w:tc>
          <w:tcPr>
            <w:tcW w:w="4106" w:type="dxa"/>
          </w:tcPr>
          <w:p w14:paraId="4E6A1205" w14:textId="77777777" w:rsidR="00323CA3" w:rsidRPr="009A5A3F" w:rsidRDefault="00323CA3" w:rsidP="00780394">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1”</w:t>
            </w:r>
          </w:p>
        </w:tc>
        <w:tc>
          <w:tcPr>
            <w:tcW w:w="1746" w:type="dxa"/>
            <w:vAlign w:val="center"/>
          </w:tcPr>
          <w:p w14:paraId="5642315E"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26,7</w:t>
            </w:r>
          </w:p>
        </w:tc>
        <w:tc>
          <w:tcPr>
            <w:tcW w:w="1747" w:type="dxa"/>
            <w:vAlign w:val="center"/>
          </w:tcPr>
          <w:p w14:paraId="446CBE09"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21,6</w:t>
            </w:r>
          </w:p>
        </w:tc>
        <w:tc>
          <w:tcPr>
            <w:tcW w:w="1747" w:type="dxa"/>
            <w:vAlign w:val="center"/>
          </w:tcPr>
          <w:p w14:paraId="1AC345C6"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-5,1</w:t>
            </w:r>
          </w:p>
        </w:tc>
      </w:tr>
      <w:tr w:rsidR="00323CA3" w14:paraId="11D27FD9" w14:textId="77777777" w:rsidTr="00780394">
        <w:trPr>
          <w:jc w:val="center"/>
        </w:trPr>
        <w:tc>
          <w:tcPr>
            <w:tcW w:w="4106" w:type="dxa"/>
          </w:tcPr>
          <w:p w14:paraId="6EA5F761" w14:textId="77777777" w:rsidR="00323CA3" w:rsidRPr="009A5A3F" w:rsidRDefault="00323CA3" w:rsidP="00780394">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2”</w:t>
            </w:r>
          </w:p>
        </w:tc>
        <w:tc>
          <w:tcPr>
            <w:tcW w:w="1746" w:type="dxa"/>
            <w:vAlign w:val="center"/>
          </w:tcPr>
          <w:p w14:paraId="70102B69"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41</w:t>
            </w:r>
          </w:p>
        </w:tc>
        <w:tc>
          <w:tcPr>
            <w:tcW w:w="1747" w:type="dxa"/>
            <w:vAlign w:val="center"/>
          </w:tcPr>
          <w:p w14:paraId="375E5FFE"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40,5</w:t>
            </w:r>
          </w:p>
        </w:tc>
        <w:tc>
          <w:tcPr>
            <w:tcW w:w="1747" w:type="dxa"/>
            <w:vAlign w:val="center"/>
          </w:tcPr>
          <w:p w14:paraId="3A956F10"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-0,5</w:t>
            </w:r>
          </w:p>
        </w:tc>
      </w:tr>
      <w:tr w:rsidR="00323CA3" w14:paraId="193EC419" w14:textId="77777777" w:rsidTr="00780394">
        <w:trPr>
          <w:jc w:val="center"/>
        </w:trPr>
        <w:tc>
          <w:tcPr>
            <w:tcW w:w="4106" w:type="dxa"/>
          </w:tcPr>
          <w:p w14:paraId="537F62CD" w14:textId="77777777" w:rsidR="00323CA3" w:rsidRPr="009A5A3F" w:rsidRDefault="00323CA3" w:rsidP="00780394">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3”</w:t>
            </w:r>
          </w:p>
        </w:tc>
        <w:tc>
          <w:tcPr>
            <w:tcW w:w="1746" w:type="dxa"/>
            <w:vAlign w:val="center"/>
          </w:tcPr>
          <w:p w14:paraId="58FE2A70"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10,4</w:t>
            </w:r>
          </w:p>
        </w:tc>
        <w:tc>
          <w:tcPr>
            <w:tcW w:w="1747" w:type="dxa"/>
            <w:vAlign w:val="center"/>
          </w:tcPr>
          <w:p w14:paraId="29AEEDF8"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10,4</w:t>
            </w:r>
          </w:p>
        </w:tc>
        <w:tc>
          <w:tcPr>
            <w:tcW w:w="1747" w:type="dxa"/>
            <w:vAlign w:val="center"/>
          </w:tcPr>
          <w:p w14:paraId="36EC106C"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0</w:t>
            </w:r>
          </w:p>
        </w:tc>
      </w:tr>
      <w:tr w:rsidR="00323CA3" w14:paraId="1205B1CB" w14:textId="77777777" w:rsidTr="00780394">
        <w:trPr>
          <w:trHeight w:val="70"/>
          <w:jc w:val="center"/>
        </w:trPr>
        <w:tc>
          <w:tcPr>
            <w:tcW w:w="4106" w:type="dxa"/>
          </w:tcPr>
          <w:p w14:paraId="17F5A3CA" w14:textId="77777777" w:rsidR="00323CA3" w:rsidRPr="009A5A3F" w:rsidRDefault="00323CA3" w:rsidP="00780394">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4”</w:t>
            </w:r>
          </w:p>
        </w:tc>
        <w:tc>
          <w:tcPr>
            <w:tcW w:w="1746" w:type="dxa"/>
            <w:vAlign w:val="center"/>
          </w:tcPr>
          <w:p w14:paraId="45993268"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11,9</w:t>
            </w:r>
          </w:p>
        </w:tc>
        <w:tc>
          <w:tcPr>
            <w:tcW w:w="1747" w:type="dxa"/>
            <w:vAlign w:val="center"/>
          </w:tcPr>
          <w:p w14:paraId="212F9833"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11,9</w:t>
            </w:r>
          </w:p>
        </w:tc>
        <w:tc>
          <w:tcPr>
            <w:tcW w:w="1747" w:type="dxa"/>
            <w:vAlign w:val="center"/>
          </w:tcPr>
          <w:p w14:paraId="39EE9CE4" w14:textId="77777777" w:rsidR="00323CA3" w:rsidRPr="009A5A3F" w:rsidRDefault="00323CA3" w:rsidP="00780394">
            <w:pPr>
              <w:adjustRightInd w:val="0"/>
              <w:ind w:left="0" w:right="23"/>
              <w:jc w:val="center"/>
              <w:rPr>
                <w:rFonts w:ascii="Bookman Old Style" w:hAnsi="Bookman Old Style"/>
                <w:sz w:val="22"/>
                <w:szCs w:val="22"/>
              </w:rPr>
            </w:pPr>
            <w:r w:rsidRPr="009A5A3F">
              <w:rPr>
                <w:rFonts w:ascii="Bookman Old Style" w:hAnsi="Bookman Old Style"/>
                <w:sz w:val="22"/>
                <w:szCs w:val="22"/>
              </w:rPr>
              <w:t>0</w:t>
            </w:r>
          </w:p>
        </w:tc>
      </w:tr>
      <w:tr w:rsidR="00323CA3" w:rsidRPr="00A64305" w14:paraId="7796030E" w14:textId="77777777" w:rsidTr="00780394">
        <w:trPr>
          <w:jc w:val="center"/>
        </w:trPr>
        <w:tc>
          <w:tcPr>
            <w:tcW w:w="4106" w:type="dxa"/>
            <w:shd w:val="clear" w:color="auto" w:fill="F2F2F2" w:themeFill="background1" w:themeFillShade="F2"/>
          </w:tcPr>
          <w:p w14:paraId="7F827FD9" w14:textId="77777777" w:rsidR="00323CA3" w:rsidRPr="009A5A3F" w:rsidRDefault="00323CA3" w:rsidP="00780394">
            <w:pPr>
              <w:adjustRightInd w:val="0"/>
              <w:ind w:left="0" w:right="23"/>
              <w:jc w:val="right"/>
              <w:rPr>
                <w:rFonts w:ascii="Bookman Old Style" w:hAnsi="Bookman Old Style"/>
                <w:b/>
                <w:sz w:val="22"/>
                <w:szCs w:val="22"/>
              </w:rPr>
            </w:pPr>
            <w:r w:rsidRPr="009A5A3F">
              <w:rPr>
                <w:rFonts w:ascii="Bookman Old Style" w:hAnsi="Bookman Old Style"/>
                <w:b/>
                <w:sz w:val="22"/>
                <w:szCs w:val="22"/>
              </w:rPr>
              <w:t>Total</w:t>
            </w:r>
          </w:p>
        </w:tc>
        <w:tc>
          <w:tcPr>
            <w:tcW w:w="1746" w:type="dxa"/>
            <w:shd w:val="clear" w:color="auto" w:fill="F2F2F2" w:themeFill="background1" w:themeFillShade="F2"/>
          </w:tcPr>
          <w:p w14:paraId="4C6FB67F" w14:textId="77777777" w:rsidR="00323CA3" w:rsidRPr="009A5A3F" w:rsidRDefault="00323CA3" w:rsidP="00780394">
            <w:pPr>
              <w:adjustRightInd w:val="0"/>
              <w:ind w:left="0" w:right="23"/>
              <w:jc w:val="center"/>
              <w:rPr>
                <w:rFonts w:ascii="Bookman Old Style" w:hAnsi="Bookman Old Style"/>
                <w:b/>
                <w:sz w:val="22"/>
                <w:szCs w:val="22"/>
              </w:rPr>
            </w:pPr>
            <w:r w:rsidRPr="009A5A3F">
              <w:rPr>
                <w:rFonts w:ascii="Bookman Old Style" w:hAnsi="Bookman Old Style"/>
                <w:b/>
                <w:sz w:val="22"/>
                <w:szCs w:val="22"/>
              </w:rPr>
              <w:t>922,7</w:t>
            </w:r>
          </w:p>
        </w:tc>
        <w:tc>
          <w:tcPr>
            <w:tcW w:w="1747" w:type="dxa"/>
            <w:shd w:val="clear" w:color="auto" w:fill="F2F2F2" w:themeFill="background1" w:themeFillShade="F2"/>
            <w:vAlign w:val="center"/>
          </w:tcPr>
          <w:p w14:paraId="74B8F9FB" w14:textId="77777777" w:rsidR="00323CA3" w:rsidRPr="009A5A3F" w:rsidRDefault="00323CA3" w:rsidP="00780394">
            <w:pPr>
              <w:adjustRightInd w:val="0"/>
              <w:ind w:left="0" w:right="23"/>
              <w:jc w:val="center"/>
              <w:rPr>
                <w:rFonts w:ascii="Bookman Old Style" w:hAnsi="Bookman Old Style"/>
                <w:b/>
                <w:sz w:val="22"/>
                <w:szCs w:val="22"/>
              </w:rPr>
            </w:pPr>
            <w:r w:rsidRPr="009A5A3F">
              <w:rPr>
                <w:rFonts w:ascii="Bookman Old Style" w:hAnsi="Bookman Old Style"/>
                <w:b/>
                <w:sz w:val="22"/>
                <w:szCs w:val="22"/>
              </w:rPr>
              <w:t>884,1</w:t>
            </w:r>
          </w:p>
        </w:tc>
        <w:tc>
          <w:tcPr>
            <w:tcW w:w="1747" w:type="dxa"/>
            <w:shd w:val="clear" w:color="auto" w:fill="F2F2F2" w:themeFill="background1" w:themeFillShade="F2"/>
            <w:vAlign w:val="center"/>
          </w:tcPr>
          <w:p w14:paraId="775AF5D6" w14:textId="77777777" w:rsidR="00323CA3" w:rsidRPr="009A5A3F" w:rsidRDefault="00323CA3" w:rsidP="00780394">
            <w:pPr>
              <w:adjustRightInd w:val="0"/>
              <w:ind w:left="0" w:right="23"/>
              <w:jc w:val="center"/>
              <w:rPr>
                <w:rFonts w:ascii="Bookman Old Style" w:hAnsi="Bookman Old Style"/>
                <w:b/>
                <w:sz w:val="22"/>
                <w:szCs w:val="22"/>
              </w:rPr>
            </w:pPr>
            <w:r w:rsidRPr="009A5A3F">
              <w:rPr>
                <w:rFonts w:ascii="Bookman Old Style" w:hAnsi="Bookman Old Style"/>
                <w:b/>
                <w:sz w:val="22"/>
                <w:szCs w:val="22"/>
              </w:rPr>
              <w:t>-38,6</w:t>
            </w:r>
          </w:p>
        </w:tc>
      </w:tr>
    </w:tbl>
    <w:p w14:paraId="51003B14" w14:textId="295E7A6F" w:rsidR="002B5482" w:rsidRDefault="00E95C8C" w:rsidP="00E41433">
      <w:pPr>
        <w:adjustRightInd w:val="0"/>
        <w:spacing w:before="240" w:after="240"/>
        <w:ind w:left="0" w:right="23"/>
        <w:jc w:val="both"/>
        <w:rPr>
          <w:rFonts w:ascii="Bookman Old Style" w:hAnsi="Bookman Old Style"/>
        </w:rPr>
      </w:pPr>
      <w:r>
        <w:rPr>
          <w:rFonts w:ascii="Bookman Old Style" w:hAnsi="Bookman Old Style"/>
        </w:rPr>
        <w:t>De igual forma, la empresa manifiesta que la determinación de la Inversión Existente en el año 2002 se realizó utilizando información cartogr</w:t>
      </w:r>
      <w:r w:rsidR="002A7FD7">
        <w:rPr>
          <w:rFonts w:ascii="Bookman Old Style" w:hAnsi="Bookman Old Style"/>
        </w:rPr>
        <w:t>áfica, mientras que la metodología de la Resolución CREG 202 de 2013 prevé que la inversión sea inventariada mediante georreferenciación. Este cambio de metodología gener</w:t>
      </w:r>
      <w:r w:rsidR="00743F6E">
        <w:rPr>
          <w:rFonts w:ascii="Bookman Old Style" w:hAnsi="Bookman Old Style"/>
        </w:rPr>
        <w:t>a</w:t>
      </w:r>
      <w:r w:rsidR="002A7FD7">
        <w:rPr>
          <w:rFonts w:ascii="Bookman Old Style" w:hAnsi="Bookman Old Style"/>
        </w:rPr>
        <w:t xml:space="preserve"> que la Inversión Existente presentara diferencias con respecto a la del periodo tarifario anterior como se muestra en </w:t>
      </w:r>
      <w:r w:rsidR="00813184">
        <w:rPr>
          <w:rFonts w:ascii="Bookman Old Style" w:hAnsi="Bookman Old Style"/>
        </w:rPr>
        <w:t xml:space="preserve">el </w:t>
      </w:r>
      <w:r w:rsidR="00813184" w:rsidRPr="00813184">
        <w:rPr>
          <w:rFonts w:ascii="Bookman Old Style" w:hAnsi="Bookman Old Style"/>
        </w:rPr>
        <w:fldChar w:fldCharType="begin"/>
      </w:r>
      <w:r w:rsidR="00813184" w:rsidRPr="00813184">
        <w:rPr>
          <w:rFonts w:ascii="Bookman Old Style" w:hAnsi="Bookman Old Style"/>
        </w:rPr>
        <w:instrText xml:space="preserve"> REF _Ref530123681 \h  \* MERGEFORMAT </w:instrText>
      </w:r>
      <w:r w:rsidR="00813184" w:rsidRPr="00813184">
        <w:rPr>
          <w:rFonts w:ascii="Bookman Old Style" w:hAnsi="Bookman Old Style"/>
        </w:rPr>
      </w:r>
      <w:r w:rsidR="00813184" w:rsidRPr="00813184">
        <w:rPr>
          <w:rFonts w:ascii="Bookman Old Style" w:hAnsi="Bookman Old Style"/>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5</w:t>
      </w:r>
      <w:r w:rsidR="00813184" w:rsidRPr="00813184">
        <w:rPr>
          <w:rFonts w:ascii="Bookman Old Style" w:hAnsi="Bookman Old Style"/>
        </w:rPr>
        <w:fldChar w:fldCharType="end"/>
      </w:r>
      <w:r w:rsidR="00813184" w:rsidRPr="00813184">
        <w:rPr>
          <w:rFonts w:ascii="Bookman Old Style" w:hAnsi="Bookman Old Style"/>
        </w:rPr>
        <w:t>.</w:t>
      </w:r>
    </w:p>
    <w:p w14:paraId="10E74603" w14:textId="3DBD33EA" w:rsidR="002A7FD7" w:rsidRPr="00E2233B" w:rsidRDefault="005F5D91" w:rsidP="005F5D91">
      <w:pPr>
        <w:keepNext/>
        <w:adjustRightInd w:val="0"/>
        <w:spacing w:before="240"/>
        <w:ind w:left="0" w:right="23"/>
        <w:jc w:val="center"/>
        <w:rPr>
          <w:rFonts w:ascii="Bookman Old Style" w:hAnsi="Bookman Old Style"/>
          <w:b/>
        </w:rPr>
      </w:pPr>
      <w:bookmarkStart w:id="5" w:name="_Ref530123681"/>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5</w:t>
      </w:r>
      <w:r w:rsidRPr="005F5D91">
        <w:rPr>
          <w:rFonts w:ascii="Bookman Old Style" w:hAnsi="Bookman Old Style"/>
          <w:b/>
        </w:rPr>
        <w:fldChar w:fldCharType="end"/>
      </w:r>
      <w:bookmarkEnd w:id="5"/>
    </w:p>
    <w:tbl>
      <w:tblPr>
        <w:tblStyle w:val="Tablaconcuadrcula"/>
        <w:tblW w:w="0" w:type="auto"/>
        <w:jc w:val="center"/>
        <w:tblLook w:val="04A0" w:firstRow="1" w:lastRow="0" w:firstColumn="1" w:lastColumn="0" w:noHBand="0" w:noVBand="1"/>
      </w:tblPr>
      <w:tblGrid>
        <w:gridCol w:w="4106"/>
        <w:gridCol w:w="1746"/>
        <w:gridCol w:w="1747"/>
        <w:gridCol w:w="1747"/>
      </w:tblGrid>
      <w:tr w:rsidR="002A7FD7" w:rsidRPr="00AF2987" w14:paraId="4E98389F" w14:textId="77777777" w:rsidTr="002A7FD7">
        <w:trPr>
          <w:tblHeader/>
          <w:jc w:val="center"/>
        </w:trPr>
        <w:tc>
          <w:tcPr>
            <w:tcW w:w="4106" w:type="dxa"/>
            <w:shd w:val="clear" w:color="auto" w:fill="D9D9D9" w:themeFill="background1" w:themeFillShade="D9"/>
            <w:vAlign w:val="center"/>
          </w:tcPr>
          <w:p w14:paraId="1375891B" w14:textId="77777777" w:rsidR="002A7FD7" w:rsidRPr="009A5A3F" w:rsidRDefault="002A7FD7" w:rsidP="002A7FD7">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Unidad constructiva</w:t>
            </w:r>
          </w:p>
        </w:tc>
        <w:tc>
          <w:tcPr>
            <w:tcW w:w="1746" w:type="dxa"/>
            <w:shd w:val="clear" w:color="auto" w:fill="D9D9D9" w:themeFill="background1" w:themeFillShade="D9"/>
            <w:vAlign w:val="center"/>
          </w:tcPr>
          <w:p w14:paraId="1F198423" w14:textId="77777777" w:rsidR="002A7FD7" w:rsidRPr="009A5A3F" w:rsidRDefault="002A7FD7" w:rsidP="002A7FD7">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Res. CREG 027 de 2004</w:t>
            </w:r>
          </w:p>
        </w:tc>
        <w:tc>
          <w:tcPr>
            <w:tcW w:w="1747" w:type="dxa"/>
            <w:shd w:val="clear" w:color="auto" w:fill="D9D9D9" w:themeFill="background1" w:themeFillShade="D9"/>
            <w:vAlign w:val="center"/>
          </w:tcPr>
          <w:p w14:paraId="30EEF674" w14:textId="77777777" w:rsidR="002A7FD7" w:rsidRPr="009A5A3F" w:rsidRDefault="002A7FD7" w:rsidP="002A7FD7">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IE solicitud tarifaria</w:t>
            </w:r>
          </w:p>
        </w:tc>
        <w:tc>
          <w:tcPr>
            <w:tcW w:w="1747" w:type="dxa"/>
            <w:shd w:val="clear" w:color="auto" w:fill="D9D9D9" w:themeFill="background1" w:themeFillShade="D9"/>
            <w:vAlign w:val="center"/>
          </w:tcPr>
          <w:p w14:paraId="5A717B68" w14:textId="77777777" w:rsidR="002A7FD7" w:rsidRPr="009A5A3F" w:rsidRDefault="002A7FD7" w:rsidP="002A7FD7">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Diferencia</w:t>
            </w:r>
          </w:p>
        </w:tc>
      </w:tr>
      <w:tr w:rsidR="002A7FD7" w14:paraId="285BC2BE" w14:textId="77777777" w:rsidTr="002A7FD7">
        <w:trPr>
          <w:jc w:val="center"/>
        </w:trPr>
        <w:tc>
          <w:tcPr>
            <w:tcW w:w="4106" w:type="dxa"/>
          </w:tcPr>
          <w:p w14:paraId="40C0FE8F" w14:textId="77777777" w:rsidR="002A7FD7" w:rsidRPr="009A5A3F" w:rsidRDefault="002A7FD7" w:rsidP="00743F6E">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alta densidad ZV-160</w:t>
            </w:r>
          </w:p>
        </w:tc>
        <w:tc>
          <w:tcPr>
            <w:tcW w:w="1746" w:type="dxa"/>
            <w:vAlign w:val="center"/>
          </w:tcPr>
          <w:p w14:paraId="46F282C6" w14:textId="77777777" w:rsidR="002A7FD7" w:rsidRPr="009A5A3F" w:rsidRDefault="00EF7474" w:rsidP="00743F6E">
            <w:pPr>
              <w:adjustRightInd w:val="0"/>
              <w:ind w:left="0" w:right="23"/>
              <w:jc w:val="center"/>
              <w:rPr>
                <w:rFonts w:ascii="Bookman Old Style" w:hAnsi="Bookman Old Style"/>
                <w:sz w:val="22"/>
                <w:szCs w:val="22"/>
              </w:rPr>
            </w:pPr>
            <w:r>
              <w:rPr>
                <w:rFonts w:ascii="Bookman Old Style" w:hAnsi="Bookman Old Style"/>
                <w:sz w:val="22"/>
                <w:szCs w:val="22"/>
              </w:rPr>
              <w:t>-</w:t>
            </w:r>
          </w:p>
        </w:tc>
        <w:tc>
          <w:tcPr>
            <w:tcW w:w="1747" w:type="dxa"/>
            <w:vAlign w:val="center"/>
          </w:tcPr>
          <w:p w14:paraId="608FC310" w14:textId="77777777" w:rsidR="002A7FD7" w:rsidRPr="009A5A3F" w:rsidRDefault="00EF7474" w:rsidP="00743F6E">
            <w:pPr>
              <w:adjustRightInd w:val="0"/>
              <w:ind w:left="0" w:right="23"/>
              <w:jc w:val="center"/>
              <w:rPr>
                <w:rFonts w:ascii="Bookman Old Style" w:hAnsi="Bookman Old Style"/>
                <w:sz w:val="22"/>
                <w:szCs w:val="22"/>
              </w:rPr>
            </w:pPr>
            <w:r>
              <w:rPr>
                <w:rFonts w:ascii="Bookman Old Style" w:hAnsi="Bookman Old Style"/>
                <w:sz w:val="22"/>
                <w:szCs w:val="22"/>
              </w:rPr>
              <w:t>5,7</w:t>
            </w:r>
          </w:p>
        </w:tc>
        <w:tc>
          <w:tcPr>
            <w:tcW w:w="1747" w:type="dxa"/>
            <w:vAlign w:val="center"/>
          </w:tcPr>
          <w:p w14:paraId="063B348D" w14:textId="77777777" w:rsidR="002A7FD7" w:rsidRPr="009A5A3F" w:rsidRDefault="002A7FD7" w:rsidP="00743F6E">
            <w:pPr>
              <w:adjustRightInd w:val="0"/>
              <w:ind w:left="0" w:right="23"/>
              <w:jc w:val="center"/>
              <w:rPr>
                <w:rFonts w:ascii="Bookman Old Style" w:hAnsi="Bookman Old Style"/>
                <w:sz w:val="22"/>
                <w:szCs w:val="22"/>
              </w:rPr>
            </w:pPr>
            <w:r w:rsidRPr="009A5A3F">
              <w:rPr>
                <w:rFonts w:ascii="Bookman Old Style" w:hAnsi="Bookman Old Style"/>
                <w:sz w:val="22"/>
                <w:szCs w:val="22"/>
              </w:rPr>
              <w:t>-5,7</w:t>
            </w:r>
          </w:p>
        </w:tc>
      </w:tr>
      <w:tr w:rsidR="002A7FD7" w14:paraId="781A6C2E" w14:textId="77777777" w:rsidTr="002A7FD7">
        <w:trPr>
          <w:jc w:val="center"/>
        </w:trPr>
        <w:tc>
          <w:tcPr>
            <w:tcW w:w="4106" w:type="dxa"/>
          </w:tcPr>
          <w:p w14:paraId="634AAB5E" w14:textId="77777777" w:rsidR="002A7FD7" w:rsidRPr="009A5A3F" w:rsidRDefault="002A7FD7" w:rsidP="00743F6E">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alta densidad ZV-63</w:t>
            </w:r>
          </w:p>
        </w:tc>
        <w:tc>
          <w:tcPr>
            <w:tcW w:w="1746" w:type="dxa"/>
            <w:vAlign w:val="center"/>
          </w:tcPr>
          <w:p w14:paraId="429D25C4" w14:textId="77777777" w:rsidR="002A7FD7" w:rsidRPr="009A5A3F" w:rsidRDefault="00EF7474" w:rsidP="00743F6E">
            <w:pPr>
              <w:adjustRightInd w:val="0"/>
              <w:ind w:left="0" w:right="23"/>
              <w:jc w:val="center"/>
              <w:rPr>
                <w:rFonts w:ascii="Bookman Old Style" w:hAnsi="Bookman Old Style"/>
                <w:sz w:val="22"/>
                <w:szCs w:val="22"/>
              </w:rPr>
            </w:pPr>
            <w:r>
              <w:rPr>
                <w:rFonts w:ascii="Bookman Old Style" w:hAnsi="Bookman Old Style"/>
                <w:sz w:val="22"/>
                <w:szCs w:val="22"/>
              </w:rPr>
              <w:t>-</w:t>
            </w:r>
          </w:p>
        </w:tc>
        <w:tc>
          <w:tcPr>
            <w:tcW w:w="1747" w:type="dxa"/>
            <w:vAlign w:val="center"/>
          </w:tcPr>
          <w:p w14:paraId="21BEAA45" w14:textId="77777777" w:rsidR="002A7FD7" w:rsidRPr="009A5A3F" w:rsidRDefault="002A7FD7" w:rsidP="00743F6E">
            <w:pPr>
              <w:adjustRightInd w:val="0"/>
              <w:ind w:left="0" w:right="23"/>
              <w:jc w:val="center"/>
              <w:rPr>
                <w:rFonts w:ascii="Bookman Old Style" w:hAnsi="Bookman Old Style"/>
                <w:sz w:val="22"/>
                <w:szCs w:val="22"/>
              </w:rPr>
            </w:pPr>
            <w:r w:rsidRPr="009A5A3F">
              <w:rPr>
                <w:rFonts w:ascii="Bookman Old Style" w:hAnsi="Bookman Old Style"/>
                <w:sz w:val="22"/>
                <w:szCs w:val="22"/>
              </w:rPr>
              <w:t>0,3</w:t>
            </w:r>
          </w:p>
        </w:tc>
        <w:tc>
          <w:tcPr>
            <w:tcW w:w="1747" w:type="dxa"/>
            <w:vAlign w:val="center"/>
          </w:tcPr>
          <w:p w14:paraId="2A96D948" w14:textId="77777777" w:rsidR="002A7FD7" w:rsidRPr="009A5A3F" w:rsidRDefault="002A7FD7" w:rsidP="00743F6E">
            <w:pPr>
              <w:adjustRightInd w:val="0"/>
              <w:ind w:left="0" w:right="23"/>
              <w:jc w:val="center"/>
              <w:rPr>
                <w:rFonts w:ascii="Bookman Old Style" w:hAnsi="Bookman Old Style"/>
                <w:sz w:val="22"/>
                <w:szCs w:val="22"/>
              </w:rPr>
            </w:pPr>
            <w:r w:rsidRPr="009A5A3F">
              <w:rPr>
                <w:rFonts w:ascii="Bookman Old Style" w:hAnsi="Bookman Old Style"/>
                <w:sz w:val="22"/>
                <w:szCs w:val="22"/>
              </w:rPr>
              <w:t>-0,3</w:t>
            </w:r>
          </w:p>
        </w:tc>
      </w:tr>
      <w:tr w:rsidR="002A7FD7" w14:paraId="2208DC48" w14:textId="77777777" w:rsidTr="002A7FD7">
        <w:trPr>
          <w:jc w:val="center"/>
        </w:trPr>
        <w:tc>
          <w:tcPr>
            <w:tcW w:w="4106" w:type="dxa"/>
          </w:tcPr>
          <w:p w14:paraId="28B5166D" w14:textId="77777777" w:rsidR="002A7FD7" w:rsidRPr="009A5A3F" w:rsidRDefault="002A7FD7" w:rsidP="00743F6E">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alta densidad ZV-90</w:t>
            </w:r>
          </w:p>
        </w:tc>
        <w:tc>
          <w:tcPr>
            <w:tcW w:w="1746" w:type="dxa"/>
            <w:vAlign w:val="center"/>
          </w:tcPr>
          <w:p w14:paraId="462A14DC" w14:textId="77777777" w:rsidR="002A7FD7" w:rsidRPr="009A5A3F" w:rsidRDefault="00EF7474" w:rsidP="00743F6E">
            <w:pPr>
              <w:adjustRightInd w:val="0"/>
              <w:ind w:left="0" w:right="23"/>
              <w:jc w:val="center"/>
              <w:rPr>
                <w:rFonts w:ascii="Bookman Old Style" w:hAnsi="Bookman Old Style"/>
                <w:sz w:val="22"/>
                <w:szCs w:val="22"/>
              </w:rPr>
            </w:pPr>
            <w:r>
              <w:rPr>
                <w:rFonts w:ascii="Bookman Old Style" w:hAnsi="Bookman Old Style"/>
                <w:sz w:val="22"/>
                <w:szCs w:val="22"/>
              </w:rPr>
              <w:t>-</w:t>
            </w:r>
          </w:p>
        </w:tc>
        <w:tc>
          <w:tcPr>
            <w:tcW w:w="1747" w:type="dxa"/>
            <w:vAlign w:val="center"/>
          </w:tcPr>
          <w:p w14:paraId="576F1DC7" w14:textId="77777777" w:rsidR="002A7FD7" w:rsidRPr="009A5A3F" w:rsidRDefault="00EF7474" w:rsidP="00743F6E">
            <w:pPr>
              <w:adjustRightInd w:val="0"/>
              <w:ind w:left="0" w:right="23"/>
              <w:jc w:val="center"/>
              <w:rPr>
                <w:rFonts w:ascii="Bookman Old Style" w:hAnsi="Bookman Old Style"/>
                <w:sz w:val="22"/>
                <w:szCs w:val="22"/>
              </w:rPr>
            </w:pPr>
            <w:r>
              <w:rPr>
                <w:rFonts w:ascii="Bookman Old Style" w:hAnsi="Bookman Old Style"/>
                <w:sz w:val="22"/>
                <w:szCs w:val="22"/>
              </w:rPr>
              <w:t>1,5</w:t>
            </w:r>
          </w:p>
        </w:tc>
        <w:tc>
          <w:tcPr>
            <w:tcW w:w="1747" w:type="dxa"/>
            <w:vAlign w:val="center"/>
          </w:tcPr>
          <w:p w14:paraId="5CD63DAC" w14:textId="77777777" w:rsidR="002A7FD7" w:rsidRPr="009A5A3F" w:rsidRDefault="002A7FD7" w:rsidP="00743F6E">
            <w:pPr>
              <w:adjustRightInd w:val="0"/>
              <w:ind w:left="0" w:right="23"/>
              <w:jc w:val="center"/>
              <w:rPr>
                <w:rFonts w:ascii="Bookman Old Style" w:hAnsi="Bookman Old Style"/>
                <w:sz w:val="22"/>
                <w:szCs w:val="22"/>
              </w:rPr>
            </w:pPr>
            <w:r w:rsidRPr="009A5A3F">
              <w:rPr>
                <w:rFonts w:ascii="Bookman Old Style" w:hAnsi="Bookman Old Style"/>
                <w:sz w:val="22"/>
                <w:szCs w:val="22"/>
              </w:rPr>
              <w:t>-1,5</w:t>
            </w:r>
          </w:p>
        </w:tc>
      </w:tr>
      <w:tr w:rsidR="002A7FD7" w14:paraId="49D16A2C" w14:textId="77777777" w:rsidTr="002A7FD7">
        <w:trPr>
          <w:jc w:val="center"/>
        </w:trPr>
        <w:tc>
          <w:tcPr>
            <w:tcW w:w="4106" w:type="dxa"/>
          </w:tcPr>
          <w:p w14:paraId="48F7861B" w14:textId="77777777" w:rsidR="002A7FD7" w:rsidRPr="009A5A3F" w:rsidRDefault="002A7FD7" w:rsidP="002A7FD7">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1/2”</w:t>
            </w:r>
          </w:p>
        </w:tc>
        <w:tc>
          <w:tcPr>
            <w:tcW w:w="1746" w:type="dxa"/>
            <w:vAlign w:val="center"/>
          </w:tcPr>
          <w:p w14:paraId="5AE08C61"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689,8</w:t>
            </w:r>
          </w:p>
        </w:tc>
        <w:tc>
          <w:tcPr>
            <w:tcW w:w="1747" w:type="dxa"/>
            <w:vAlign w:val="center"/>
          </w:tcPr>
          <w:p w14:paraId="73764585"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689,4</w:t>
            </w:r>
          </w:p>
        </w:tc>
        <w:tc>
          <w:tcPr>
            <w:tcW w:w="1747" w:type="dxa"/>
            <w:vAlign w:val="center"/>
          </w:tcPr>
          <w:p w14:paraId="1B55E8D1"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0,4</w:t>
            </w:r>
          </w:p>
        </w:tc>
      </w:tr>
      <w:tr w:rsidR="002A7FD7" w14:paraId="48D3F59A" w14:textId="77777777" w:rsidTr="002A7FD7">
        <w:trPr>
          <w:jc w:val="center"/>
        </w:trPr>
        <w:tc>
          <w:tcPr>
            <w:tcW w:w="4106" w:type="dxa"/>
          </w:tcPr>
          <w:p w14:paraId="01E3086F" w14:textId="77777777" w:rsidR="002A7FD7" w:rsidRPr="009A5A3F" w:rsidRDefault="002A7FD7" w:rsidP="002A7FD7">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3/4”</w:t>
            </w:r>
          </w:p>
        </w:tc>
        <w:tc>
          <w:tcPr>
            <w:tcW w:w="1746" w:type="dxa"/>
            <w:vAlign w:val="center"/>
          </w:tcPr>
          <w:p w14:paraId="7DC733C2"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142,9</w:t>
            </w:r>
          </w:p>
        </w:tc>
        <w:tc>
          <w:tcPr>
            <w:tcW w:w="1747" w:type="dxa"/>
            <w:vAlign w:val="center"/>
          </w:tcPr>
          <w:p w14:paraId="5E19847A"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146,3</w:t>
            </w:r>
          </w:p>
        </w:tc>
        <w:tc>
          <w:tcPr>
            <w:tcW w:w="1747" w:type="dxa"/>
            <w:vAlign w:val="center"/>
          </w:tcPr>
          <w:p w14:paraId="13FC1590"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-3,4</w:t>
            </w:r>
          </w:p>
        </w:tc>
      </w:tr>
      <w:tr w:rsidR="002A7FD7" w14:paraId="48198103" w14:textId="77777777" w:rsidTr="002A7FD7">
        <w:trPr>
          <w:jc w:val="center"/>
        </w:trPr>
        <w:tc>
          <w:tcPr>
            <w:tcW w:w="4106" w:type="dxa"/>
          </w:tcPr>
          <w:p w14:paraId="0681E8F2" w14:textId="77777777" w:rsidR="002A7FD7" w:rsidRPr="009A5A3F" w:rsidRDefault="002A7FD7" w:rsidP="002A7FD7">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1”</w:t>
            </w:r>
          </w:p>
        </w:tc>
        <w:tc>
          <w:tcPr>
            <w:tcW w:w="1746" w:type="dxa"/>
            <w:vAlign w:val="center"/>
          </w:tcPr>
          <w:p w14:paraId="40D230C7"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26,7</w:t>
            </w:r>
          </w:p>
        </w:tc>
        <w:tc>
          <w:tcPr>
            <w:tcW w:w="1747" w:type="dxa"/>
            <w:vAlign w:val="center"/>
          </w:tcPr>
          <w:p w14:paraId="5AA62A38"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26,2</w:t>
            </w:r>
          </w:p>
        </w:tc>
        <w:tc>
          <w:tcPr>
            <w:tcW w:w="1747" w:type="dxa"/>
            <w:vAlign w:val="center"/>
          </w:tcPr>
          <w:p w14:paraId="33AE7DB6"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0,5</w:t>
            </w:r>
          </w:p>
        </w:tc>
      </w:tr>
      <w:tr w:rsidR="002A7FD7" w14:paraId="2EC1F7BD" w14:textId="77777777" w:rsidTr="002A7FD7">
        <w:trPr>
          <w:jc w:val="center"/>
        </w:trPr>
        <w:tc>
          <w:tcPr>
            <w:tcW w:w="4106" w:type="dxa"/>
          </w:tcPr>
          <w:p w14:paraId="15773E63" w14:textId="77777777" w:rsidR="002A7FD7" w:rsidRPr="009A5A3F" w:rsidRDefault="002A7FD7" w:rsidP="002A7FD7">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2”</w:t>
            </w:r>
          </w:p>
        </w:tc>
        <w:tc>
          <w:tcPr>
            <w:tcW w:w="1746" w:type="dxa"/>
            <w:vAlign w:val="center"/>
          </w:tcPr>
          <w:p w14:paraId="1AA11DD4"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41</w:t>
            </w:r>
            <w:r w:rsidR="00EF7474">
              <w:rPr>
                <w:rFonts w:ascii="Bookman Old Style" w:hAnsi="Bookman Old Style"/>
                <w:sz w:val="22"/>
                <w:szCs w:val="22"/>
              </w:rPr>
              <w:t>,0</w:t>
            </w:r>
          </w:p>
        </w:tc>
        <w:tc>
          <w:tcPr>
            <w:tcW w:w="1747" w:type="dxa"/>
            <w:vAlign w:val="center"/>
          </w:tcPr>
          <w:p w14:paraId="32021AE5"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44,8</w:t>
            </w:r>
          </w:p>
        </w:tc>
        <w:tc>
          <w:tcPr>
            <w:tcW w:w="1747" w:type="dxa"/>
            <w:vAlign w:val="center"/>
          </w:tcPr>
          <w:p w14:paraId="15CE849B"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-3,8</w:t>
            </w:r>
          </w:p>
        </w:tc>
      </w:tr>
      <w:tr w:rsidR="002A7FD7" w14:paraId="65522BAC" w14:textId="77777777" w:rsidTr="002A7FD7">
        <w:trPr>
          <w:jc w:val="center"/>
        </w:trPr>
        <w:tc>
          <w:tcPr>
            <w:tcW w:w="4106" w:type="dxa"/>
          </w:tcPr>
          <w:p w14:paraId="6249E7CC" w14:textId="77777777" w:rsidR="002A7FD7" w:rsidRPr="009A5A3F" w:rsidRDefault="002A7FD7" w:rsidP="002A7FD7">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3”</w:t>
            </w:r>
          </w:p>
        </w:tc>
        <w:tc>
          <w:tcPr>
            <w:tcW w:w="1746" w:type="dxa"/>
            <w:vAlign w:val="center"/>
          </w:tcPr>
          <w:p w14:paraId="484E6AA8"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10,4</w:t>
            </w:r>
          </w:p>
        </w:tc>
        <w:tc>
          <w:tcPr>
            <w:tcW w:w="1747" w:type="dxa"/>
            <w:vAlign w:val="center"/>
          </w:tcPr>
          <w:p w14:paraId="035E77F1"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13,7</w:t>
            </w:r>
          </w:p>
        </w:tc>
        <w:tc>
          <w:tcPr>
            <w:tcW w:w="1747" w:type="dxa"/>
            <w:vAlign w:val="center"/>
          </w:tcPr>
          <w:p w14:paraId="5A2C01E9"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-3,3</w:t>
            </w:r>
          </w:p>
        </w:tc>
      </w:tr>
      <w:tr w:rsidR="002A7FD7" w14:paraId="2F97A715" w14:textId="77777777" w:rsidTr="002A7FD7">
        <w:trPr>
          <w:trHeight w:val="70"/>
          <w:jc w:val="center"/>
        </w:trPr>
        <w:tc>
          <w:tcPr>
            <w:tcW w:w="4106" w:type="dxa"/>
          </w:tcPr>
          <w:p w14:paraId="1C625222" w14:textId="77777777" w:rsidR="002A7FD7" w:rsidRPr="009A5A3F" w:rsidRDefault="002A7FD7" w:rsidP="002A7FD7">
            <w:pPr>
              <w:adjustRightInd w:val="0"/>
              <w:ind w:left="0" w:right="23"/>
              <w:jc w:val="both"/>
              <w:rPr>
                <w:rFonts w:ascii="Bookman Old Style" w:hAnsi="Bookman Old Style"/>
                <w:sz w:val="22"/>
                <w:szCs w:val="22"/>
              </w:rPr>
            </w:pPr>
            <w:r w:rsidRPr="009A5A3F">
              <w:rPr>
                <w:rFonts w:ascii="Bookman Old Style" w:hAnsi="Bookman Old Style"/>
                <w:sz w:val="22"/>
                <w:szCs w:val="22"/>
              </w:rPr>
              <w:t>Polietileno de 4”</w:t>
            </w:r>
          </w:p>
        </w:tc>
        <w:tc>
          <w:tcPr>
            <w:tcW w:w="1746" w:type="dxa"/>
            <w:vAlign w:val="center"/>
          </w:tcPr>
          <w:p w14:paraId="02F5A45E"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11,9</w:t>
            </w:r>
          </w:p>
        </w:tc>
        <w:tc>
          <w:tcPr>
            <w:tcW w:w="1747" w:type="dxa"/>
            <w:vAlign w:val="center"/>
          </w:tcPr>
          <w:p w14:paraId="24AF5E9A"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10,5</w:t>
            </w:r>
          </w:p>
        </w:tc>
        <w:tc>
          <w:tcPr>
            <w:tcW w:w="1747" w:type="dxa"/>
            <w:vAlign w:val="center"/>
          </w:tcPr>
          <w:p w14:paraId="76CCF31D" w14:textId="77777777" w:rsidR="002A7FD7" w:rsidRPr="009A5A3F" w:rsidRDefault="002A7FD7" w:rsidP="002A7FD7">
            <w:pPr>
              <w:adjustRightInd w:val="0"/>
              <w:ind w:left="0" w:right="23"/>
              <w:jc w:val="center"/>
              <w:rPr>
                <w:rFonts w:ascii="Bookman Old Style" w:hAnsi="Bookman Old Style"/>
                <w:sz w:val="22"/>
                <w:szCs w:val="22"/>
              </w:rPr>
            </w:pPr>
            <w:r w:rsidRPr="009A5A3F">
              <w:rPr>
                <w:rFonts w:ascii="Bookman Old Style" w:hAnsi="Bookman Old Style"/>
                <w:sz w:val="22"/>
                <w:szCs w:val="22"/>
              </w:rPr>
              <w:t>1,4</w:t>
            </w:r>
          </w:p>
        </w:tc>
      </w:tr>
      <w:tr w:rsidR="002A7FD7" w:rsidRPr="00A64305" w14:paraId="13461755" w14:textId="77777777" w:rsidTr="002A7FD7">
        <w:trPr>
          <w:jc w:val="center"/>
        </w:trPr>
        <w:tc>
          <w:tcPr>
            <w:tcW w:w="4106" w:type="dxa"/>
            <w:shd w:val="clear" w:color="auto" w:fill="F2F2F2" w:themeFill="background1" w:themeFillShade="F2"/>
          </w:tcPr>
          <w:p w14:paraId="67F19ABB" w14:textId="77777777" w:rsidR="002A7FD7" w:rsidRPr="009A5A3F" w:rsidRDefault="002A7FD7" w:rsidP="002A7FD7">
            <w:pPr>
              <w:adjustRightInd w:val="0"/>
              <w:ind w:left="0" w:right="23"/>
              <w:jc w:val="right"/>
              <w:rPr>
                <w:rFonts w:ascii="Bookman Old Style" w:hAnsi="Bookman Old Style"/>
                <w:b/>
                <w:sz w:val="22"/>
                <w:szCs w:val="22"/>
              </w:rPr>
            </w:pPr>
            <w:r w:rsidRPr="009A5A3F">
              <w:rPr>
                <w:rFonts w:ascii="Bookman Old Style" w:hAnsi="Bookman Old Style"/>
                <w:b/>
                <w:sz w:val="22"/>
                <w:szCs w:val="22"/>
              </w:rPr>
              <w:t>Total</w:t>
            </w:r>
          </w:p>
        </w:tc>
        <w:tc>
          <w:tcPr>
            <w:tcW w:w="1746" w:type="dxa"/>
            <w:shd w:val="clear" w:color="auto" w:fill="F2F2F2" w:themeFill="background1" w:themeFillShade="F2"/>
          </w:tcPr>
          <w:p w14:paraId="3AC9EA6D" w14:textId="77777777" w:rsidR="002A7FD7" w:rsidRPr="009A5A3F" w:rsidRDefault="002A7FD7" w:rsidP="002A7FD7">
            <w:pPr>
              <w:adjustRightInd w:val="0"/>
              <w:ind w:left="0" w:right="23"/>
              <w:jc w:val="center"/>
              <w:rPr>
                <w:rFonts w:ascii="Bookman Old Style" w:hAnsi="Bookman Old Style"/>
                <w:b/>
                <w:sz w:val="22"/>
                <w:szCs w:val="22"/>
              </w:rPr>
            </w:pPr>
            <w:r w:rsidRPr="009A5A3F">
              <w:rPr>
                <w:rFonts w:ascii="Bookman Old Style" w:hAnsi="Bookman Old Style"/>
                <w:b/>
                <w:sz w:val="22"/>
                <w:szCs w:val="22"/>
              </w:rPr>
              <w:t>922,7</w:t>
            </w:r>
          </w:p>
        </w:tc>
        <w:tc>
          <w:tcPr>
            <w:tcW w:w="1747" w:type="dxa"/>
            <w:shd w:val="clear" w:color="auto" w:fill="F2F2F2" w:themeFill="background1" w:themeFillShade="F2"/>
            <w:vAlign w:val="center"/>
          </w:tcPr>
          <w:p w14:paraId="6F33200D" w14:textId="77777777" w:rsidR="002A7FD7" w:rsidRPr="009A5A3F" w:rsidRDefault="002A7FD7" w:rsidP="002A7FD7">
            <w:pPr>
              <w:adjustRightInd w:val="0"/>
              <w:ind w:left="0" w:right="23"/>
              <w:jc w:val="center"/>
              <w:rPr>
                <w:rFonts w:ascii="Bookman Old Style" w:hAnsi="Bookman Old Style"/>
                <w:b/>
                <w:sz w:val="22"/>
                <w:szCs w:val="22"/>
              </w:rPr>
            </w:pPr>
            <w:r w:rsidRPr="009A5A3F">
              <w:rPr>
                <w:rFonts w:ascii="Bookman Old Style" w:hAnsi="Bookman Old Style"/>
                <w:b/>
                <w:sz w:val="22"/>
                <w:szCs w:val="22"/>
              </w:rPr>
              <w:t>938,6</w:t>
            </w:r>
          </w:p>
        </w:tc>
        <w:tc>
          <w:tcPr>
            <w:tcW w:w="1747" w:type="dxa"/>
            <w:shd w:val="clear" w:color="auto" w:fill="F2F2F2" w:themeFill="background1" w:themeFillShade="F2"/>
            <w:vAlign w:val="center"/>
          </w:tcPr>
          <w:p w14:paraId="1761855E" w14:textId="77777777" w:rsidR="002A7FD7" w:rsidRPr="009A5A3F" w:rsidRDefault="002A7FD7" w:rsidP="002A7FD7">
            <w:pPr>
              <w:adjustRightInd w:val="0"/>
              <w:ind w:left="0" w:right="23"/>
              <w:jc w:val="center"/>
              <w:rPr>
                <w:rFonts w:ascii="Bookman Old Style" w:hAnsi="Bookman Old Style"/>
                <w:b/>
                <w:sz w:val="22"/>
                <w:szCs w:val="22"/>
              </w:rPr>
            </w:pPr>
            <w:r w:rsidRPr="009A5A3F">
              <w:rPr>
                <w:rFonts w:ascii="Bookman Old Style" w:hAnsi="Bookman Old Style"/>
                <w:b/>
                <w:sz w:val="22"/>
                <w:szCs w:val="22"/>
              </w:rPr>
              <w:t>-15,9</w:t>
            </w:r>
          </w:p>
        </w:tc>
      </w:tr>
    </w:tbl>
    <w:p w14:paraId="02F9C37E" w14:textId="3B84645C" w:rsidR="009211EF" w:rsidRDefault="004163FE" w:rsidP="00743F6E">
      <w:pPr>
        <w:adjustRightInd w:val="0"/>
        <w:spacing w:before="240" w:after="240"/>
        <w:ind w:left="0" w:right="23"/>
        <w:jc w:val="both"/>
        <w:rPr>
          <w:rFonts w:ascii="Bookman Old Style" w:hAnsi="Bookman Old Style"/>
        </w:rPr>
      </w:pPr>
      <w:r>
        <w:rPr>
          <w:rFonts w:ascii="Bookman Old Style" w:hAnsi="Bookman Old Style"/>
        </w:rPr>
        <w:t>L</w:t>
      </w:r>
      <w:r w:rsidR="00743F6E">
        <w:rPr>
          <w:rFonts w:ascii="Bookman Old Style" w:hAnsi="Bookman Old Style"/>
        </w:rPr>
        <w:t>a empresa indica</w:t>
      </w:r>
      <w:r>
        <w:rPr>
          <w:rFonts w:ascii="Bookman Old Style" w:hAnsi="Bookman Old Style"/>
        </w:rPr>
        <w:t xml:space="preserve"> además</w:t>
      </w:r>
      <w:r w:rsidR="00743F6E">
        <w:rPr>
          <w:rFonts w:ascii="Bookman Old Style" w:hAnsi="Bookman Old Style"/>
        </w:rPr>
        <w:t xml:space="preserve"> que el cambio de metodología para la determinación de la Inversión Existente arroja información más precisa en relación al tipo de unidad constructiva utilizada, lo cual permitió identificar que las unidades constructivas aprobadas mediante Resolución CREG 027 de 2004 presentan diferencias con respecto a las unidades constructivas que efectivamente con</w:t>
      </w:r>
      <w:r w:rsidR="00AF63A0">
        <w:rPr>
          <w:rFonts w:ascii="Bookman Old Style" w:hAnsi="Bookman Old Style"/>
        </w:rPr>
        <w:t xml:space="preserve">stituyen la Inversión Existente. </w:t>
      </w:r>
      <w:r w:rsidR="00A81E0B">
        <w:rPr>
          <w:rFonts w:ascii="Bookman Old Style" w:hAnsi="Bookman Old Style"/>
        </w:rPr>
        <w:t xml:space="preserve">El </w:t>
      </w:r>
      <w:r w:rsidR="00A81E0B" w:rsidRPr="00A81E0B">
        <w:rPr>
          <w:rFonts w:ascii="Bookman Old Style" w:hAnsi="Bookman Old Style"/>
        </w:rPr>
        <w:fldChar w:fldCharType="begin"/>
      </w:r>
      <w:r w:rsidR="00A81E0B" w:rsidRPr="00A81E0B">
        <w:rPr>
          <w:rFonts w:ascii="Bookman Old Style" w:hAnsi="Bookman Old Style"/>
        </w:rPr>
        <w:instrText xml:space="preserve"> REF _Ref530123720 \h  \* MERGEFORMAT </w:instrText>
      </w:r>
      <w:r w:rsidR="00A81E0B" w:rsidRPr="00A81E0B">
        <w:rPr>
          <w:rFonts w:ascii="Bookman Old Style" w:hAnsi="Bookman Old Style"/>
        </w:rPr>
      </w:r>
      <w:r w:rsidR="00A81E0B" w:rsidRPr="00A81E0B">
        <w:rPr>
          <w:rFonts w:ascii="Bookman Old Style" w:hAnsi="Bookman Old Style"/>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6</w:t>
      </w:r>
      <w:r w:rsidR="00A81E0B" w:rsidRPr="00A81E0B">
        <w:rPr>
          <w:rFonts w:ascii="Bookman Old Style" w:hAnsi="Bookman Old Style"/>
        </w:rPr>
        <w:fldChar w:fldCharType="end"/>
      </w:r>
      <w:r w:rsidR="00AF63A0">
        <w:rPr>
          <w:rFonts w:ascii="Bookman Old Style" w:hAnsi="Bookman Old Style"/>
        </w:rPr>
        <w:t xml:space="preserve"> muestra las diferencias entre la Inversión Existente solicitada, la aprobada por la CREG y la contenida en el numeral 5.9 del Anexo 5 de la Resolución CREG 202 de 2013:</w:t>
      </w:r>
    </w:p>
    <w:p w14:paraId="42CD614F" w14:textId="2B7A2EB6" w:rsidR="00AF63A0" w:rsidRPr="00E2233B" w:rsidRDefault="005F5D91" w:rsidP="005F5D91">
      <w:pPr>
        <w:keepNext/>
        <w:adjustRightInd w:val="0"/>
        <w:spacing w:before="240"/>
        <w:ind w:left="0" w:right="23"/>
        <w:jc w:val="center"/>
        <w:rPr>
          <w:rFonts w:ascii="Bookman Old Style" w:hAnsi="Bookman Old Style"/>
          <w:b/>
        </w:rPr>
      </w:pPr>
      <w:bookmarkStart w:id="6" w:name="_Ref530123720"/>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6</w:t>
      </w:r>
      <w:r w:rsidRPr="005F5D91">
        <w:rPr>
          <w:rFonts w:ascii="Bookman Old Style" w:hAnsi="Bookman Old Style"/>
          <w:b/>
        </w:rPr>
        <w:fldChar w:fldCharType="end"/>
      </w:r>
      <w:bookmarkEnd w:id="6"/>
    </w:p>
    <w:tbl>
      <w:tblPr>
        <w:tblStyle w:val="Tablaconcuadrcula"/>
        <w:tblW w:w="0" w:type="auto"/>
        <w:jc w:val="center"/>
        <w:tblLook w:val="04A0" w:firstRow="1" w:lastRow="0" w:firstColumn="1" w:lastColumn="0" w:noHBand="0" w:noVBand="1"/>
      </w:tblPr>
      <w:tblGrid>
        <w:gridCol w:w="1989"/>
        <w:gridCol w:w="1746"/>
        <w:gridCol w:w="1747"/>
        <w:gridCol w:w="1747"/>
      </w:tblGrid>
      <w:tr w:rsidR="00AF63A0" w:rsidRPr="00AF2987" w14:paraId="0EBA322B" w14:textId="77777777" w:rsidTr="00101F4F">
        <w:trPr>
          <w:tblHeader/>
          <w:jc w:val="center"/>
        </w:trPr>
        <w:tc>
          <w:tcPr>
            <w:tcW w:w="1989" w:type="dxa"/>
            <w:shd w:val="clear" w:color="auto" w:fill="D9D9D9" w:themeFill="background1" w:themeFillShade="D9"/>
            <w:vAlign w:val="center"/>
          </w:tcPr>
          <w:p w14:paraId="5C1AF7CE" w14:textId="77777777" w:rsidR="00AF63A0" w:rsidRPr="00C576A1" w:rsidRDefault="00AF63A0" w:rsidP="00B74686">
            <w:pPr>
              <w:keepNext/>
              <w:adjustRightInd w:val="0"/>
              <w:ind w:left="0" w:right="23"/>
              <w:jc w:val="center"/>
              <w:rPr>
                <w:rFonts w:ascii="Bookman Old Style" w:hAnsi="Bookman Old Style"/>
                <w:b/>
                <w:sz w:val="22"/>
                <w:szCs w:val="22"/>
              </w:rPr>
            </w:pPr>
            <w:r w:rsidRPr="00C576A1">
              <w:rPr>
                <w:rFonts w:ascii="Bookman Old Style" w:hAnsi="Bookman Old Style"/>
                <w:b/>
                <w:sz w:val="22"/>
                <w:szCs w:val="22"/>
              </w:rPr>
              <w:t>Unidad constructiva</w:t>
            </w:r>
          </w:p>
        </w:tc>
        <w:tc>
          <w:tcPr>
            <w:tcW w:w="1746" w:type="dxa"/>
            <w:shd w:val="clear" w:color="auto" w:fill="D9D9D9" w:themeFill="background1" w:themeFillShade="D9"/>
            <w:vAlign w:val="center"/>
          </w:tcPr>
          <w:p w14:paraId="11A17E18" w14:textId="77777777" w:rsidR="00AF63A0" w:rsidRPr="00C576A1" w:rsidRDefault="00AF63A0" w:rsidP="00B74686">
            <w:pPr>
              <w:keepNext/>
              <w:adjustRightInd w:val="0"/>
              <w:ind w:left="0" w:right="23"/>
              <w:jc w:val="center"/>
              <w:rPr>
                <w:rFonts w:ascii="Bookman Old Style" w:hAnsi="Bookman Old Style"/>
                <w:b/>
                <w:sz w:val="22"/>
                <w:szCs w:val="22"/>
              </w:rPr>
            </w:pPr>
            <w:r w:rsidRPr="00C576A1">
              <w:rPr>
                <w:rFonts w:ascii="Bookman Old Style" w:hAnsi="Bookman Old Style"/>
                <w:b/>
                <w:sz w:val="22"/>
                <w:szCs w:val="22"/>
              </w:rPr>
              <w:t>Solicitud tarifaria</w:t>
            </w:r>
          </w:p>
        </w:tc>
        <w:tc>
          <w:tcPr>
            <w:tcW w:w="1747" w:type="dxa"/>
            <w:shd w:val="clear" w:color="auto" w:fill="D9D9D9" w:themeFill="background1" w:themeFillShade="D9"/>
            <w:vAlign w:val="center"/>
          </w:tcPr>
          <w:p w14:paraId="7B6F138A" w14:textId="77777777" w:rsidR="00AF63A0" w:rsidRPr="00C576A1" w:rsidRDefault="00AF63A0" w:rsidP="00B74686">
            <w:pPr>
              <w:keepNext/>
              <w:adjustRightInd w:val="0"/>
              <w:ind w:left="0" w:right="23"/>
              <w:jc w:val="center"/>
              <w:rPr>
                <w:rFonts w:ascii="Bookman Old Style" w:hAnsi="Bookman Old Style"/>
                <w:b/>
                <w:sz w:val="22"/>
                <w:szCs w:val="22"/>
              </w:rPr>
            </w:pPr>
            <w:r w:rsidRPr="00C576A1">
              <w:rPr>
                <w:rFonts w:ascii="Bookman Old Style" w:hAnsi="Bookman Old Style"/>
                <w:b/>
                <w:sz w:val="22"/>
                <w:szCs w:val="22"/>
              </w:rPr>
              <w:t>Aprobada</w:t>
            </w:r>
          </w:p>
        </w:tc>
        <w:tc>
          <w:tcPr>
            <w:tcW w:w="1747" w:type="dxa"/>
            <w:shd w:val="clear" w:color="auto" w:fill="D9D9D9" w:themeFill="background1" w:themeFillShade="D9"/>
            <w:vAlign w:val="center"/>
          </w:tcPr>
          <w:p w14:paraId="6F4D9781" w14:textId="77777777" w:rsidR="00AF63A0" w:rsidRPr="00C576A1" w:rsidRDefault="00AF63A0" w:rsidP="00B74686">
            <w:pPr>
              <w:keepNext/>
              <w:adjustRightInd w:val="0"/>
              <w:ind w:left="0" w:right="23"/>
              <w:jc w:val="center"/>
              <w:rPr>
                <w:rFonts w:ascii="Bookman Old Style" w:hAnsi="Bookman Old Style"/>
                <w:b/>
                <w:sz w:val="22"/>
                <w:szCs w:val="22"/>
              </w:rPr>
            </w:pPr>
            <w:r w:rsidRPr="00C576A1">
              <w:rPr>
                <w:rFonts w:ascii="Bookman Old Style" w:hAnsi="Bookman Old Style"/>
                <w:b/>
                <w:sz w:val="22"/>
                <w:szCs w:val="22"/>
              </w:rPr>
              <w:t>Res. CREG 202 de 2013</w:t>
            </w:r>
          </w:p>
        </w:tc>
      </w:tr>
      <w:tr w:rsidR="00AF63A0" w14:paraId="2965197E" w14:textId="77777777" w:rsidTr="00101F4F">
        <w:trPr>
          <w:jc w:val="center"/>
        </w:trPr>
        <w:tc>
          <w:tcPr>
            <w:tcW w:w="1989" w:type="dxa"/>
          </w:tcPr>
          <w:p w14:paraId="18234A4E"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TPE1/2AS</w:t>
            </w:r>
          </w:p>
        </w:tc>
        <w:tc>
          <w:tcPr>
            <w:tcW w:w="1746" w:type="dxa"/>
            <w:vAlign w:val="center"/>
          </w:tcPr>
          <w:p w14:paraId="1CE64C0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0,26</w:t>
            </w:r>
          </w:p>
        </w:tc>
        <w:tc>
          <w:tcPr>
            <w:tcW w:w="1747" w:type="dxa"/>
            <w:vAlign w:val="center"/>
          </w:tcPr>
          <w:p w14:paraId="49FFA380"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6F30421C"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47D664C5" w14:textId="77777777" w:rsidTr="00101F4F">
        <w:trPr>
          <w:jc w:val="center"/>
        </w:trPr>
        <w:tc>
          <w:tcPr>
            <w:tcW w:w="1989" w:type="dxa"/>
          </w:tcPr>
          <w:p w14:paraId="268FD137"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TPE1/2CO</w:t>
            </w:r>
          </w:p>
        </w:tc>
        <w:tc>
          <w:tcPr>
            <w:tcW w:w="1746" w:type="dxa"/>
            <w:vAlign w:val="center"/>
          </w:tcPr>
          <w:p w14:paraId="7659E7AB"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207,95</w:t>
            </w:r>
          </w:p>
        </w:tc>
        <w:tc>
          <w:tcPr>
            <w:tcW w:w="1747" w:type="dxa"/>
            <w:vAlign w:val="center"/>
          </w:tcPr>
          <w:p w14:paraId="72199044"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657,2</w:t>
            </w:r>
          </w:p>
        </w:tc>
        <w:tc>
          <w:tcPr>
            <w:tcW w:w="1747" w:type="dxa"/>
            <w:vAlign w:val="center"/>
          </w:tcPr>
          <w:p w14:paraId="59C0785D"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689,8</w:t>
            </w:r>
          </w:p>
        </w:tc>
      </w:tr>
      <w:tr w:rsidR="00AF63A0" w14:paraId="2A0CD034" w14:textId="77777777" w:rsidTr="00101F4F">
        <w:trPr>
          <w:jc w:val="center"/>
        </w:trPr>
        <w:tc>
          <w:tcPr>
            <w:tcW w:w="1989" w:type="dxa"/>
          </w:tcPr>
          <w:p w14:paraId="06E4C35E"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TPE1/2TA</w:t>
            </w:r>
          </w:p>
        </w:tc>
        <w:tc>
          <w:tcPr>
            <w:tcW w:w="1746" w:type="dxa"/>
            <w:vAlign w:val="center"/>
          </w:tcPr>
          <w:p w14:paraId="1127B2E9"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52,83</w:t>
            </w:r>
          </w:p>
        </w:tc>
        <w:tc>
          <w:tcPr>
            <w:tcW w:w="1747" w:type="dxa"/>
            <w:vAlign w:val="center"/>
          </w:tcPr>
          <w:p w14:paraId="3B074C3E"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2204B7D3"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17A8CFB9" w14:textId="77777777" w:rsidTr="00101F4F">
        <w:trPr>
          <w:jc w:val="center"/>
        </w:trPr>
        <w:tc>
          <w:tcPr>
            <w:tcW w:w="1989" w:type="dxa"/>
          </w:tcPr>
          <w:p w14:paraId="489C175C"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TPE1/2ZV</w:t>
            </w:r>
          </w:p>
        </w:tc>
        <w:tc>
          <w:tcPr>
            <w:tcW w:w="1746" w:type="dxa"/>
            <w:vAlign w:val="center"/>
          </w:tcPr>
          <w:p w14:paraId="2738EE4E"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428,36</w:t>
            </w:r>
          </w:p>
        </w:tc>
        <w:tc>
          <w:tcPr>
            <w:tcW w:w="1747" w:type="dxa"/>
            <w:vAlign w:val="center"/>
          </w:tcPr>
          <w:p w14:paraId="4E1ADD8F"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77B28BC4"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730BD8FD" w14:textId="77777777" w:rsidTr="00101F4F">
        <w:trPr>
          <w:jc w:val="center"/>
        </w:trPr>
        <w:tc>
          <w:tcPr>
            <w:tcW w:w="1989" w:type="dxa"/>
          </w:tcPr>
          <w:p w14:paraId="4235A6E0"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TPE100-160ZV</w:t>
            </w:r>
          </w:p>
        </w:tc>
        <w:tc>
          <w:tcPr>
            <w:tcW w:w="1746" w:type="dxa"/>
            <w:vAlign w:val="center"/>
          </w:tcPr>
          <w:p w14:paraId="1F4FC1D5"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5,69</w:t>
            </w:r>
          </w:p>
        </w:tc>
        <w:tc>
          <w:tcPr>
            <w:tcW w:w="1747" w:type="dxa"/>
            <w:vAlign w:val="center"/>
          </w:tcPr>
          <w:p w14:paraId="51CBD5C7"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13D5257D"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68E7832B" w14:textId="77777777" w:rsidTr="00101F4F">
        <w:trPr>
          <w:jc w:val="center"/>
        </w:trPr>
        <w:tc>
          <w:tcPr>
            <w:tcW w:w="1989" w:type="dxa"/>
          </w:tcPr>
          <w:p w14:paraId="28906509"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lastRenderedPageBreak/>
              <w:t>TPE100-63ZV</w:t>
            </w:r>
          </w:p>
        </w:tc>
        <w:tc>
          <w:tcPr>
            <w:tcW w:w="1746" w:type="dxa"/>
            <w:vAlign w:val="center"/>
          </w:tcPr>
          <w:p w14:paraId="4680DF50"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0,34</w:t>
            </w:r>
          </w:p>
        </w:tc>
        <w:tc>
          <w:tcPr>
            <w:tcW w:w="1747" w:type="dxa"/>
            <w:vAlign w:val="center"/>
          </w:tcPr>
          <w:p w14:paraId="5903E01F"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04B9D9DC"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201466FA" w14:textId="77777777" w:rsidTr="00101F4F">
        <w:trPr>
          <w:jc w:val="center"/>
        </w:trPr>
        <w:tc>
          <w:tcPr>
            <w:tcW w:w="1989" w:type="dxa"/>
          </w:tcPr>
          <w:p w14:paraId="149FF5F2"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TPE100-90ZV</w:t>
            </w:r>
          </w:p>
        </w:tc>
        <w:tc>
          <w:tcPr>
            <w:tcW w:w="1746" w:type="dxa"/>
            <w:vAlign w:val="center"/>
          </w:tcPr>
          <w:p w14:paraId="57AAF8EA"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1,54</w:t>
            </w:r>
          </w:p>
        </w:tc>
        <w:tc>
          <w:tcPr>
            <w:tcW w:w="1747" w:type="dxa"/>
            <w:vAlign w:val="center"/>
          </w:tcPr>
          <w:p w14:paraId="551C051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2EFC4CA0"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7373A3E6" w14:textId="77777777" w:rsidTr="00101F4F">
        <w:trPr>
          <w:jc w:val="center"/>
        </w:trPr>
        <w:tc>
          <w:tcPr>
            <w:tcW w:w="1989" w:type="dxa"/>
          </w:tcPr>
          <w:p w14:paraId="49BF37EC"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TPE1AS</w:t>
            </w:r>
          </w:p>
        </w:tc>
        <w:tc>
          <w:tcPr>
            <w:tcW w:w="1746" w:type="dxa"/>
            <w:vAlign w:val="center"/>
          </w:tcPr>
          <w:p w14:paraId="47D12DED"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0,01</w:t>
            </w:r>
          </w:p>
        </w:tc>
        <w:tc>
          <w:tcPr>
            <w:tcW w:w="1747" w:type="dxa"/>
            <w:vAlign w:val="center"/>
          </w:tcPr>
          <w:p w14:paraId="3EDBCB1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110B2413"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1A2F439D" w14:textId="77777777" w:rsidTr="00101F4F">
        <w:trPr>
          <w:jc w:val="center"/>
        </w:trPr>
        <w:tc>
          <w:tcPr>
            <w:tcW w:w="1989" w:type="dxa"/>
          </w:tcPr>
          <w:p w14:paraId="366394D5"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TPE1CO</w:t>
            </w:r>
          </w:p>
        </w:tc>
        <w:tc>
          <w:tcPr>
            <w:tcW w:w="1746" w:type="dxa"/>
            <w:vAlign w:val="center"/>
          </w:tcPr>
          <w:p w14:paraId="255186F9"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3,54</w:t>
            </w:r>
          </w:p>
        </w:tc>
        <w:tc>
          <w:tcPr>
            <w:tcW w:w="1747" w:type="dxa"/>
            <w:vAlign w:val="center"/>
          </w:tcPr>
          <w:p w14:paraId="43B3BEE5"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21,6</w:t>
            </w:r>
          </w:p>
        </w:tc>
        <w:tc>
          <w:tcPr>
            <w:tcW w:w="1747" w:type="dxa"/>
            <w:vAlign w:val="center"/>
          </w:tcPr>
          <w:p w14:paraId="61AF391F"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26,70</w:t>
            </w:r>
          </w:p>
        </w:tc>
      </w:tr>
      <w:tr w:rsidR="00AF63A0" w14:paraId="53AE62B5" w14:textId="77777777" w:rsidTr="00101F4F">
        <w:trPr>
          <w:jc w:val="center"/>
        </w:trPr>
        <w:tc>
          <w:tcPr>
            <w:tcW w:w="1989" w:type="dxa"/>
          </w:tcPr>
          <w:p w14:paraId="2241A059"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TPE1TA</w:t>
            </w:r>
          </w:p>
        </w:tc>
        <w:tc>
          <w:tcPr>
            <w:tcW w:w="1746" w:type="dxa"/>
            <w:vAlign w:val="center"/>
          </w:tcPr>
          <w:p w14:paraId="4AB146A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1,30</w:t>
            </w:r>
          </w:p>
        </w:tc>
        <w:tc>
          <w:tcPr>
            <w:tcW w:w="1747" w:type="dxa"/>
            <w:vAlign w:val="center"/>
          </w:tcPr>
          <w:p w14:paraId="0DF06A15"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5B22734E"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206F0F84" w14:textId="77777777" w:rsidTr="00101F4F">
        <w:trPr>
          <w:jc w:val="center"/>
        </w:trPr>
        <w:tc>
          <w:tcPr>
            <w:tcW w:w="1989" w:type="dxa"/>
          </w:tcPr>
          <w:p w14:paraId="640D9EC1"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TPE1ZV</w:t>
            </w:r>
          </w:p>
        </w:tc>
        <w:tc>
          <w:tcPr>
            <w:tcW w:w="1746" w:type="dxa"/>
            <w:vAlign w:val="center"/>
          </w:tcPr>
          <w:p w14:paraId="79904C9E"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21,36</w:t>
            </w:r>
          </w:p>
        </w:tc>
        <w:tc>
          <w:tcPr>
            <w:tcW w:w="1747" w:type="dxa"/>
            <w:vAlign w:val="center"/>
          </w:tcPr>
          <w:p w14:paraId="2FD848ED"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17728BEF"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4F0408E9" w14:textId="77777777" w:rsidTr="00101F4F">
        <w:trPr>
          <w:jc w:val="center"/>
        </w:trPr>
        <w:tc>
          <w:tcPr>
            <w:tcW w:w="1989" w:type="dxa"/>
          </w:tcPr>
          <w:p w14:paraId="5FB2FD90"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TPE2AS</w:t>
            </w:r>
          </w:p>
        </w:tc>
        <w:tc>
          <w:tcPr>
            <w:tcW w:w="1746" w:type="dxa"/>
            <w:vAlign w:val="center"/>
          </w:tcPr>
          <w:p w14:paraId="70B66982"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1,87</w:t>
            </w:r>
          </w:p>
        </w:tc>
        <w:tc>
          <w:tcPr>
            <w:tcW w:w="1747" w:type="dxa"/>
            <w:vAlign w:val="center"/>
          </w:tcPr>
          <w:p w14:paraId="20FA852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40,5</w:t>
            </w:r>
          </w:p>
        </w:tc>
        <w:tc>
          <w:tcPr>
            <w:tcW w:w="1747" w:type="dxa"/>
            <w:vAlign w:val="center"/>
          </w:tcPr>
          <w:p w14:paraId="45D31CC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41,0</w:t>
            </w:r>
          </w:p>
        </w:tc>
      </w:tr>
      <w:tr w:rsidR="00AF63A0" w14:paraId="7BCC2892" w14:textId="77777777" w:rsidTr="00101F4F">
        <w:trPr>
          <w:jc w:val="center"/>
        </w:trPr>
        <w:tc>
          <w:tcPr>
            <w:tcW w:w="1989" w:type="dxa"/>
          </w:tcPr>
          <w:p w14:paraId="68D6ADD5"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TPE2CO</w:t>
            </w:r>
          </w:p>
        </w:tc>
        <w:tc>
          <w:tcPr>
            <w:tcW w:w="1746" w:type="dxa"/>
            <w:vAlign w:val="center"/>
          </w:tcPr>
          <w:p w14:paraId="0ED7A065"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10,69</w:t>
            </w:r>
          </w:p>
        </w:tc>
        <w:tc>
          <w:tcPr>
            <w:tcW w:w="1747" w:type="dxa"/>
            <w:vAlign w:val="center"/>
          </w:tcPr>
          <w:p w14:paraId="0130F845"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4EB11DAC"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368F9584" w14:textId="77777777" w:rsidTr="00101F4F">
        <w:trPr>
          <w:jc w:val="center"/>
        </w:trPr>
        <w:tc>
          <w:tcPr>
            <w:tcW w:w="1989" w:type="dxa"/>
          </w:tcPr>
          <w:p w14:paraId="623D7394"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TPE2TA</w:t>
            </w:r>
          </w:p>
        </w:tc>
        <w:tc>
          <w:tcPr>
            <w:tcW w:w="1746" w:type="dxa"/>
            <w:vAlign w:val="center"/>
          </w:tcPr>
          <w:p w14:paraId="6A87EF6C"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2,56</w:t>
            </w:r>
          </w:p>
        </w:tc>
        <w:tc>
          <w:tcPr>
            <w:tcW w:w="1747" w:type="dxa"/>
            <w:vAlign w:val="center"/>
          </w:tcPr>
          <w:p w14:paraId="7BF8E955"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171C5FB0"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1400EA43" w14:textId="77777777" w:rsidTr="00101F4F">
        <w:trPr>
          <w:jc w:val="center"/>
        </w:trPr>
        <w:tc>
          <w:tcPr>
            <w:tcW w:w="1989" w:type="dxa"/>
          </w:tcPr>
          <w:p w14:paraId="3D67B3BB"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TPE2ZV</w:t>
            </w:r>
          </w:p>
        </w:tc>
        <w:tc>
          <w:tcPr>
            <w:tcW w:w="1746" w:type="dxa"/>
            <w:vAlign w:val="center"/>
          </w:tcPr>
          <w:p w14:paraId="4E66F169"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29,71</w:t>
            </w:r>
          </w:p>
        </w:tc>
        <w:tc>
          <w:tcPr>
            <w:tcW w:w="1747" w:type="dxa"/>
            <w:vAlign w:val="center"/>
          </w:tcPr>
          <w:p w14:paraId="5E48393C"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13C8A8D0"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4B48E689" w14:textId="77777777" w:rsidTr="00101F4F">
        <w:trPr>
          <w:jc w:val="center"/>
        </w:trPr>
        <w:tc>
          <w:tcPr>
            <w:tcW w:w="1989" w:type="dxa"/>
          </w:tcPr>
          <w:p w14:paraId="0227D6BF"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TPE3/4AS</w:t>
            </w:r>
          </w:p>
        </w:tc>
        <w:tc>
          <w:tcPr>
            <w:tcW w:w="1746" w:type="dxa"/>
            <w:vAlign w:val="center"/>
          </w:tcPr>
          <w:p w14:paraId="4D661F06"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3,31</w:t>
            </w:r>
          </w:p>
        </w:tc>
        <w:tc>
          <w:tcPr>
            <w:tcW w:w="1747" w:type="dxa"/>
            <w:vAlign w:val="center"/>
          </w:tcPr>
          <w:p w14:paraId="61C10784"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454A37BB"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6FC5CE7D" w14:textId="77777777" w:rsidTr="00101F4F">
        <w:trPr>
          <w:jc w:val="center"/>
        </w:trPr>
        <w:tc>
          <w:tcPr>
            <w:tcW w:w="1989" w:type="dxa"/>
          </w:tcPr>
          <w:p w14:paraId="46C0FB4C"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TPE3/4CO</w:t>
            </w:r>
          </w:p>
        </w:tc>
        <w:tc>
          <w:tcPr>
            <w:tcW w:w="1746" w:type="dxa"/>
            <w:vAlign w:val="center"/>
          </w:tcPr>
          <w:p w14:paraId="7475712A"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53,64</w:t>
            </w:r>
          </w:p>
        </w:tc>
        <w:tc>
          <w:tcPr>
            <w:tcW w:w="1747" w:type="dxa"/>
            <w:vAlign w:val="center"/>
          </w:tcPr>
          <w:p w14:paraId="5883614D"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142,5</w:t>
            </w:r>
          </w:p>
        </w:tc>
        <w:tc>
          <w:tcPr>
            <w:tcW w:w="1747" w:type="dxa"/>
            <w:vAlign w:val="center"/>
          </w:tcPr>
          <w:p w14:paraId="4338A95B"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142,9</w:t>
            </w:r>
          </w:p>
        </w:tc>
      </w:tr>
      <w:tr w:rsidR="00AF63A0" w14:paraId="5D9D9E5E" w14:textId="77777777" w:rsidTr="00101F4F">
        <w:trPr>
          <w:jc w:val="center"/>
        </w:trPr>
        <w:tc>
          <w:tcPr>
            <w:tcW w:w="1989" w:type="dxa"/>
          </w:tcPr>
          <w:p w14:paraId="128F87BA"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TPE3/4TA</w:t>
            </w:r>
          </w:p>
        </w:tc>
        <w:tc>
          <w:tcPr>
            <w:tcW w:w="1746" w:type="dxa"/>
            <w:vAlign w:val="center"/>
          </w:tcPr>
          <w:p w14:paraId="275696DB"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7,60</w:t>
            </w:r>
          </w:p>
        </w:tc>
        <w:tc>
          <w:tcPr>
            <w:tcW w:w="1747" w:type="dxa"/>
            <w:vAlign w:val="center"/>
          </w:tcPr>
          <w:p w14:paraId="3FE61072"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7811CACA"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07A695AE" w14:textId="77777777" w:rsidTr="00101F4F">
        <w:trPr>
          <w:trHeight w:val="70"/>
          <w:jc w:val="center"/>
        </w:trPr>
        <w:tc>
          <w:tcPr>
            <w:tcW w:w="1989" w:type="dxa"/>
          </w:tcPr>
          <w:p w14:paraId="02D16713"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TPE3/4ZV</w:t>
            </w:r>
          </w:p>
        </w:tc>
        <w:tc>
          <w:tcPr>
            <w:tcW w:w="1746" w:type="dxa"/>
            <w:vAlign w:val="center"/>
          </w:tcPr>
          <w:p w14:paraId="366BFF19"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81,76</w:t>
            </w:r>
          </w:p>
        </w:tc>
        <w:tc>
          <w:tcPr>
            <w:tcW w:w="1747" w:type="dxa"/>
            <w:vAlign w:val="center"/>
          </w:tcPr>
          <w:p w14:paraId="68262897"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1AF016C7"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67A7152C" w14:textId="77777777" w:rsidTr="00101F4F">
        <w:trPr>
          <w:trHeight w:val="70"/>
          <w:jc w:val="center"/>
        </w:trPr>
        <w:tc>
          <w:tcPr>
            <w:tcW w:w="1989" w:type="dxa"/>
          </w:tcPr>
          <w:p w14:paraId="1CC8EF55"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TPE3AS</w:t>
            </w:r>
          </w:p>
        </w:tc>
        <w:tc>
          <w:tcPr>
            <w:tcW w:w="1746" w:type="dxa"/>
            <w:vAlign w:val="center"/>
          </w:tcPr>
          <w:p w14:paraId="63924F6B"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0,08</w:t>
            </w:r>
          </w:p>
        </w:tc>
        <w:tc>
          <w:tcPr>
            <w:tcW w:w="1747" w:type="dxa"/>
            <w:vAlign w:val="center"/>
          </w:tcPr>
          <w:p w14:paraId="7EFD96E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10,4</w:t>
            </w:r>
          </w:p>
        </w:tc>
        <w:tc>
          <w:tcPr>
            <w:tcW w:w="1747" w:type="dxa"/>
            <w:vAlign w:val="center"/>
          </w:tcPr>
          <w:p w14:paraId="619336B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10,4</w:t>
            </w:r>
          </w:p>
        </w:tc>
      </w:tr>
      <w:tr w:rsidR="00AF63A0" w14:paraId="48B7F3EB" w14:textId="77777777" w:rsidTr="00101F4F">
        <w:trPr>
          <w:trHeight w:val="70"/>
          <w:jc w:val="center"/>
        </w:trPr>
        <w:tc>
          <w:tcPr>
            <w:tcW w:w="1989" w:type="dxa"/>
          </w:tcPr>
          <w:p w14:paraId="0FE41B25"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TPE3CO</w:t>
            </w:r>
          </w:p>
        </w:tc>
        <w:tc>
          <w:tcPr>
            <w:tcW w:w="1746" w:type="dxa"/>
            <w:vAlign w:val="center"/>
          </w:tcPr>
          <w:p w14:paraId="3CF20BF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2,28</w:t>
            </w:r>
          </w:p>
        </w:tc>
        <w:tc>
          <w:tcPr>
            <w:tcW w:w="1747" w:type="dxa"/>
            <w:vAlign w:val="center"/>
          </w:tcPr>
          <w:p w14:paraId="2CC2056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2A56383B"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50477679" w14:textId="77777777" w:rsidTr="00101F4F">
        <w:trPr>
          <w:trHeight w:val="70"/>
          <w:jc w:val="center"/>
        </w:trPr>
        <w:tc>
          <w:tcPr>
            <w:tcW w:w="1989" w:type="dxa"/>
          </w:tcPr>
          <w:p w14:paraId="541558F5"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TPE3TA</w:t>
            </w:r>
          </w:p>
        </w:tc>
        <w:tc>
          <w:tcPr>
            <w:tcW w:w="1746" w:type="dxa"/>
            <w:vAlign w:val="center"/>
          </w:tcPr>
          <w:p w14:paraId="52029FFF"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0,64</w:t>
            </w:r>
          </w:p>
        </w:tc>
        <w:tc>
          <w:tcPr>
            <w:tcW w:w="1747" w:type="dxa"/>
            <w:vAlign w:val="center"/>
          </w:tcPr>
          <w:p w14:paraId="49C0D02E"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04FF46B0"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485273CC" w14:textId="77777777" w:rsidTr="00101F4F">
        <w:trPr>
          <w:trHeight w:val="70"/>
          <w:jc w:val="center"/>
        </w:trPr>
        <w:tc>
          <w:tcPr>
            <w:tcW w:w="1989" w:type="dxa"/>
          </w:tcPr>
          <w:p w14:paraId="6098E40F"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TPE3ZV</w:t>
            </w:r>
          </w:p>
        </w:tc>
        <w:tc>
          <w:tcPr>
            <w:tcW w:w="1746" w:type="dxa"/>
            <w:vAlign w:val="center"/>
          </w:tcPr>
          <w:p w14:paraId="64720710"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10,75</w:t>
            </w:r>
          </w:p>
        </w:tc>
        <w:tc>
          <w:tcPr>
            <w:tcW w:w="1747" w:type="dxa"/>
            <w:vAlign w:val="center"/>
          </w:tcPr>
          <w:p w14:paraId="0585D512"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7A4BC85C"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6B763A6A" w14:textId="77777777" w:rsidTr="00101F4F">
        <w:trPr>
          <w:trHeight w:val="70"/>
          <w:jc w:val="center"/>
        </w:trPr>
        <w:tc>
          <w:tcPr>
            <w:tcW w:w="1989" w:type="dxa"/>
          </w:tcPr>
          <w:p w14:paraId="1E31350C"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TPE4AS</w:t>
            </w:r>
          </w:p>
        </w:tc>
        <w:tc>
          <w:tcPr>
            <w:tcW w:w="1746" w:type="dxa"/>
            <w:vAlign w:val="center"/>
          </w:tcPr>
          <w:p w14:paraId="60CCE254"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0,02</w:t>
            </w:r>
          </w:p>
        </w:tc>
        <w:tc>
          <w:tcPr>
            <w:tcW w:w="1747" w:type="dxa"/>
            <w:vAlign w:val="center"/>
          </w:tcPr>
          <w:p w14:paraId="2F13899B"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11,9</w:t>
            </w:r>
          </w:p>
        </w:tc>
        <w:tc>
          <w:tcPr>
            <w:tcW w:w="1747" w:type="dxa"/>
            <w:vAlign w:val="center"/>
          </w:tcPr>
          <w:p w14:paraId="1B92D807"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11,9</w:t>
            </w:r>
          </w:p>
        </w:tc>
      </w:tr>
      <w:tr w:rsidR="00AF63A0" w14:paraId="16B87B0C" w14:textId="77777777" w:rsidTr="00101F4F">
        <w:trPr>
          <w:trHeight w:val="70"/>
          <w:jc w:val="center"/>
        </w:trPr>
        <w:tc>
          <w:tcPr>
            <w:tcW w:w="1989" w:type="dxa"/>
          </w:tcPr>
          <w:p w14:paraId="31ABE55A"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TPE4CO</w:t>
            </w:r>
          </w:p>
        </w:tc>
        <w:tc>
          <w:tcPr>
            <w:tcW w:w="1746" w:type="dxa"/>
            <w:vAlign w:val="center"/>
          </w:tcPr>
          <w:p w14:paraId="2A8A7674"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3,19</w:t>
            </w:r>
          </w:p>
        </w:tc>
        <w:tc>
          <w:tcPr>
            <w:tcW w:w="1747" w:type="dxa"/>
            <w:vAlign w:val="center"/>
          </w:tcPr>
          <w:p w14:paraId="1CEF01EE"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1829CD5F"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1469EFAF" w14:textId="77777777" w:rsidTr="00101F4F">
        <w:trPr>
          <w:trHeight w:val="70"/>
          <w:jc w:val="center"/>
        </w:trPr>
        <w:tc>
          <w:tcPr>
            <w:tcW w:w="1989" w:type="dxa"/>
          </w:tcPr>
          <w:p w14:paraId="3E55446A"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TPE4TA</w:t>
            </w:r>
          </w:p>
        </w:tc>
        <w:tc>
          <w:tcPr>
            <w:tcW w:w="1746" w:type="dxa"/>
            <w:vAlign w:val="center"/>
          </w:tcPr>
          <w:p w14:paraId="682E742B"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0,11</w:t>
            </w:r>
          </w:p>
        </w:tc>
        <w:tc>
          <w:tcPr>
            <w:tcW w:w="1747" w:type="dxa"/>
            <w:vAlign w:val="center"/>
          </w:tcPr>
          <w:p w14:paraId="592B7168"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72AA902C"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14:paraId="591E2374" w14:textId="77777777" w:rsidTr="00101F4F">
        <w:trPr>
          <w:trHeight w:val="70"/>
          <w:jc w:val="center"/>
        </w:trPr>
        <w:tc>
          <w:tcPr>
            <w:tcW w:w="1989" w:type="dxa"/>
          </w:tcPr>
          <w:p w14:paraId="3F1CBE41" w14:textId="77777777" w:rsidR="00AF63A0" w:rsidRPr="00C576A1" w:rsidRDefault="00AF63A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TPE4ZV</w:t>
            </w:r>
          </w:p>
        </w:tc>
        <w:tc>
          <w:tcPr>
            <w:tcW w:w="1746" w:type="dxa"/>
            <w:vAlign w:val="center"/>
          </w:tcPr>
          <w:p w14:paraId="4CBB877F"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7,19</w:t>
            </w:r>
          </w:p>
        </w:tc>
        <w:tc>
          <w:tcPr>
            <w:tcW w:w="1747" w:type="dxa"/>
            <w:vAlign w:val="center"/>
          </w:tcPr>
          <w:p w14:paraId="514A02B4"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c>
          <w:tcPr>
            <w:tcW w:w="1747" w:type="dxa"/>
            <w:vAlign w:val="center"/>
          </w:tcPr>
          <w:p w14:paraId="1F569EFD" w14:textId="77777777" w:rsidR="00AF63A0" w:rsidRPr="00C576A1" w:rsidRDefault="00E232C1"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w:t>
            </w:r>
          </w:p>
        </w:tc>
      </w:tr>
      <w:tr w:rsidR="00AF63A0" w:rsidRPr="00A64305" w14:paraId="522A1181" w14:textId="77777777" w:rsidTr="00101F4F">
        <w:trPr>
          <w:jc w:val="center"/>
        </w:trPr>
        <w:tc>
          <w:tcPr>
            <w:tcW w:w="1989" w:type="dxa"/>
            <w:shd w:val="clear" w:color="auto" w:fill="F2F2F2" w:themeFill="background1" w:themeFillShade="F2"/>
          </w:tcPr>
          <w:p w14:paraId="74430748" w14:textId="77777777" w:rsidR="00AF63A0" w:rsidRPr="00C576A1" w:rsidRDefault="00AF63A0" w:rsidP="00B74686">
            <w:pPr>
              <w:adjustRightInd w:val="0"/>
              <w:ind w:left="0" w:right="23"/>
              <w:jc w:val="right"/>
              <w:rPr>
                <w:rFonts w:ascii="Bookman Old Style" w:hAnsi="Bookman Old Style"/>
                <w:b/>
                <w:sz w:val="22"/>
                <w:szCs w:val="22"/>
              </w:rPr>
            </w:pPr>
            <w:r w:rsidRPr="00C576A1">
              <w:rPr>
                <w:rFonts w:ascii="Bookman Old Style" w:hAnsi="Bookman Old Style"/>
                <w:b/>
                <w:sz w:val="22"/>
                <w:szCs w:val="22"/>
              </w:rPr>
              <w:t>Total</w:t>
            </w:r>
          </w:p>
        </w:tc>
        <w:tc>
          <w:tcPr>
            <w:tcW w:w="1746" w:type="dxa"/>
            <w:shd w:val="clear" w:color="auto" w:fill="F2F2F2" w:themeFill="background1" w:themeFillShade="F2"/>
          </w:tcPr>
          <w:p w14:paraId="4A7B55CF" w14:textId="77777777" w:rsidR="00AF63A0" w:rsidRPr="00C576A1" w:rsidRDefault="00E232C1" w:rsidP="00B74686">
            <w:pPr>
              <w:adjustRightInd w:val="0"/>
              <w:ind w:left="0" w:right="23"/>
              <w:jc w:val="center"/>
              <w:rPr>
                <w:rFonts w:ascii="Bookman Old Style" w:hAnsi="Bookman Old Style"/>
                <w:b/>
                <w:sz w:val="22"/>
                <w:szCs w:val="22"/>
              </w:rPr>
            </w:pPr>
            <w:r w:rsidRPr="00C576A1">
              <w:rPr>
                <w:rFonts w:ascii="Bookman Old Style" w:hAnsi="Bookman Old Style"/>
                <w:b/>
                <w:sz w:val="22"/>
                <w:szCs w:val="22"/>
              </w:rPr>
              <w:t>938,56</w:t>
            </w:r>
          </w:p>
        </w:tc>
        <w:tc>
          <w:tcPr>
            <w:tcW w:w="1747" w:type="dxa"/>
            <w:shd w:val="clear" w:color="auto" w:fill="F2F2F2" w:themeFill="background1" w:themeFillShade="F2"/>
            <w:vAlign w:val="center"/>
          </w:tcPr>
          <w:p w14:paraId="7897BB64" w14:textId="77777777" w:rsidR="00AF63A0" w:rsidRPr="00C576A1" w:rsidRDefault="00E232C1" w:rsidP="00B74686">
            <w:pPr>
              <w:adjustRightInd w:val="0"/>
              <w:ind w:left="0" w:right="23"/>
              <w:jc w:val="center"/>
              <w:rPr>
                <w:rFonts w:ascii="Bookman Old Style" w:hAnsi="Bookman Old Style"/>
                <w:b/>
                <w:sz w:val="22"/>
                <w:szCs w:val="22"/>
              </w:rPr>
            </w:pPr>
            <w:r w:rsidRPr="00C576A1">
              <w:rPr>
                <w:rFonts w:ascii="Bookman Old Style" w:hAnsi="Bookman Old Style"/>
                <w:b/>
                <w:sz w:val="22"/>
                <w:szCs w:val="22"/>
              </w:rPr>
              <w:t>884,10</w:t>
            </w:r>
          </w:p>
        </w:tc>
        <w:tc>
          <w:tcPr>
            <w:tcW w:w="1747" w:type="dxa"/>
            <w:shd w:val="clear" w:color="auto" w:fill="F2F2F2" w:themeFill="background1" w:themeFillShade="F2"/>
            <w:vAlign w:val="center"/>
          </w:tcPr>
          <w:p w14:paraId="6FFCD952" w14:textId="77777777" w:rsidR="00AF63A0" w:rsidRPr="00C576A1" w:rsidRDefault="00E232C1" w:rsidP="00B74686">
            <w:pPr>
              <w:adjustRightInd w:val="0"/>
              <w:ind w:left="0" w:right="23"/>
              <w:jc w:val="center"/>
              <w:rPr>
                <w:rFonts w:ascii="Bookman Old Style" w:hAnsi="Bookman Old Style"/>
                <w:b/>
                <w:sz w:val="22"/>
                <w:szCs w:val="22"/>
              </w:rPr>
            </w:pPr>
            <w:r w:rsidRPr="00C576A1">
              <w:rPr>
                <w:rFonts w:ascii="Bookman Old Style" w:hAnsi="Bookman Old Style"/>
                <w:b/>
                <w:sz w:val="22"/>
                <w:szCs w:val="22"/>
              </w:rPr>
              <w:t>922,70</w:t>
            </w:r>
          </w:p>
        </w:tc>
      </w:tr>
    </w:tbl>
    <w:p w14:paraId="32EE5F4D" w14:textId="77777777" w:rsidR="009211EF" w:rsidRPr="00366E5B" w:rsidRDefault="00366E5B" w:rsidP="00366E5B">
      <w:pPr>
        <w:pStyle w:val="Ttulo5"/>
        <w:numPr>
          <w:ilvl w:val="0"/>
          <w:numId w:val="4"/>
        </w:numPr>
        <w:spacing w:before="360" w:after="240"/>
        <w:ind w:left="567" w:hanging="567"/>
        <w:jc w:val="both"/>
        <w:rPr>
          <w:rFonts w:ascii="Bookman Old Style" w:eastAsia="Calibri" w:hAnsi="Bookman Old Style"/>
          <w:sz w:val="24"/>
          <w:szCs w:val="24"/>
          <w:lang w:eastAsia="es-CO"/>
        </w:rPr>
      </w:pPr>
      <w:r w:rsidRPr="00366E5B">
        <w:rPr>
          <w:rFonts w:ascii="Bookman Old Style" w:eastAsia="Calibri" w:hAnsi="Bookman Old Style"/>
          <w:sz w:val="24"/>
          <w:szCs w:val="24"/>
          <w:lang w:eastAsia="es-CO"/>
        </w:rPr>
        <w:t>Inversión Programada en Nuevas Inversiones que fue reconocida y ejecutada en el período tarifario vigente (IPE) e Inversión ejecutada durante el período tarifario vigente y no prevista en el Programa de Nuevas Inversiones (INPE)</w:t>
      </w:r>
    </w:p>
    <w:p w14:paraId="7DCAD3DA" w14:textId="1B74FE4C" w:rsidR="00366E5B" w:rsidRDefault="00F52070" w:rsidP="00242207">
      <w:pPr>
        <w:adjustRightInd w:val="0"/>
        <w:spacing w:before="240"/>
        <w:ind w:left="0" w:right="23"/>
        <w:jc w:val="both"/>
        <w:rPr>
          <w:rFonts w:ascii="Bookman Old Style" w:hAnsi="Bookman Old Style"/>
        </w:rPr>
      </w:pPr>
      <w:r>
        <w:rPr>
          <w:rFonts w:ascii="Bookman Old Style" w:hAnsi="Bookman Old Style"/>
        </w:rPr>
        <w:t xml:space="preserve">Señala el recurrente que la IPE y la INPE aprobada en la Resolución CREG 027 de 2018 difiere de la solicitada por la empresa como se muestra en </w:t>
      </w:r>
      <w:r w:rsidR="00242207">
        <w:rPr>
          <w:rFonts w:ascii="Bookman Old Style" w:hAnsi="Bookman Old Style"/>
        </w:rPr>
        <w:t>el Cuadro 7.</w:t>
      </w:r>
    </w:p>
    <w:p w14:paraId="724C7476" w14:textId="77777777" w:rsidR="00242207" w:rsidRDefault="00242207" w:rsidP="00242207">
      <w:pPr>
        <w:adjustRightInd w:val="0"/>
        <w:ind w:left="0" w:right="23"/>
        <w:jc w:val="both"/>
        <w:rPr>
          <w:rFonts w:ascii="Bookman Old Style" w:hAnsi="Bookman Old Style"/>
        </w:rPr>
      </w:pPr>
    </w:p>
    <w:p w14:paraId="692E4BF4" w14:textId="19682935" w:rsidR="00F52070" w:rsidRPr="00E2233B" w:rsidRDefault="005F5D91" w:rsidP="005F5D91">
      <w:pPr>
        <w:keepNext/>
        <w:adjustRightInd w:val="0"/>
        <w:spacing w:before="240"/>
        <w:ind w:left="0" w:right="23"/>
        <w:jc w:val="center"/>
        <w:rPr>
          <w:rFonts w:ascii="Bookman Old Style" w:hAnsi="Bookman Old Style"/>
          <w:b/>
        </w:rPr>
      </w:pPr>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7</w:t>
      </w:r>
      <w:r w:rsidRPr="005F5D91">
        <w:rPr>
          <w:rFonts w:ascii="Bookman Old Style" w:hAnsi="Bookman Old Style"/>
          <w:b/>
        </w:rPr>
        <w:fldChar w:fldCharType="end"/>
      </w:r>
    </w:p>
    <w:tbl>
      <w:tblPr>
        <w:tblStyle w:val="Tablaconcuadrcula"/>
        <w:tblW w:w="0" w:type="auto"/>
        <w:jc w:val="center"/>
        <w:tblLook w:val="04A0" w:firstRow="1" w:lastRow="0" w:firstColumn="1" w:lastColumn="0" w:noHBand="0" w:noVBand="1"/>
      </w:tblPr>
      <w:tblGrid>
        <w:gridCol w:w="1989"/>
        <w:gridCol w:w="1746"/>
        <w:gridCol w:w="1747"/>
        <w:gridCol w:w="1747"/>
      </w:tblGrid>
      <w:tr w:rsidR="00F52070" w:rsidRPr="00AF2987" w14:paraId="5D5B82D9" w14:textId="77777777" w:rsidTr="00B74686">
        <w:trPr>
          <w:tblHeader/>
          <w:jc w:val="center"/>
        </w:trPr>
        <w:tc>
          <w:tcPr>
            <w:tcW w:w="1989" w:type="dxa"/>
            <w:shd w:val="clear" w:color="auto" w:fill="D9D9D9" w:themeFill="background1" w:themeFillShade="D9"/>
            <w:vAlign w:val="center"/>
          </w:tcPr>
          <w:p w14:paraId="3024AFED" w14:textId="77777777" w:rsidR="00F52070" w:rsidRPr="00C576A1" w:rsidRDefault="00F52070" w:rsidP="00B74686">
            <w:pPr>
              <w:keepNext/>
              <w:adjustRightInd w:val="0"/>
              <w:ind w:left="0" w:right="23"/>
              <w:jc w:val="center"/>
              <w:rPr>
                <w:rFonts w:ascii="Bookman Old Style" w:hAnsi="Bookman Old Style"/>
                <w:b/>
                <w:sz w:val="22"/>
                <w:szCs w:val="22"/>
              </w:rPr>
            </w:pPr>
            <w:r w:rsidRPr="00C576A1">
              <w:rPr>
                <w:rFonts w:ascii="Bookman Old Style" w:hAnsi="Bookman Old Style"/>
                <w:b/>
                <w:sz w:val="22"/>
                <w:szCs w:val="22"/>
              </w:rPr>
              <w:t>Unidad constructiva</w:t>
            </w:r>
          </w:p>
        </w:tc>
        <w:tc>
          <w:tcPr>
            <w:tcW w:w="1746" w:type="dxa"/>
            <w:shd w:val="clear" w:color="auto" w:fill="D9D9D9" w:themeFill="background1" w:themeFillShade="D9"/>
            <w:vAlign w:val="center"/>
          </w:tcPr>
          <w:p w14:paraId="0A7DDA3D" w14:textId="77777777" w:rsidR="00F52070" w:rsidRPr="00C576A1" w:rsidRDefault="00F52070" w:rsidP="00B74686">
            <w:pPr>
              <w:keepNext/>
              <w:adjustRightInd w:val="0"/>
              <w:ind w:left="0" w:right="23"/>
              <w:jc w:val="center"/>
              <w:rPr>
                <w:rFonts w:ascii="Bookman Old Style" w:hAnsi="Bookman Old Style"/>
                <w:b/>
                <w:sz w:val="22"/>
                <w:szCs w:val="22"/>
              </w:rPr>
            </w:pPr>
            <w:r w:rsidRPr="00C576A1">
              <w:rPr>
                <w:rFonts w:ascii="Bookman Old Style" w:hAnsi="Bookman Old Style"/>
                <w:b/>
                <w:sz w:val="22"/>
                <w:szCs w:val="22"/>
              </w:rPr>
              <w:t>Solicitud tarifaria</w:t>
            </w:r>
          </w:p>
        </w:tc>
        <w:tc>
          <w:tcPr>
            <w:tcW w:w="1747" w:type="dxa"/>
            <w:shd w:val="clear" w:color="auto" w:fill="D9D9D9" w:themeFill="background1" w:themeFillShade="D9"/>
            <w:vAlign w:val="center"/>
          </w:tcPr>
          <w:p w14:paraId="192A000C" w14:textId="77777777" w:rsidR="00F52070" w:rsidRPr="00C576A1" w:rsidRDefault="00F52070" w:rsidP="00B74686">
            <w:pPr>
              <w:keepNext/>
              <w:adjustRightInd w:val="0"/>
              <w:ind w:left="0" w:right="23"/>
              <w:jc w:val="center"/>
              <w:rPr>
                <w:rFonts w:ascii="Bookman Old Style" w:hAnsi="Bookman Old Style"/>
                <w:b/>
                <w:sz w:val="22"/>
                <w:szCs w:val="22"/>
              </w:rPr>
            </w:pPr>
            <w:r w:rsidRPr="00C576A1">
              <w:rPr>
                <w:rFonts w:ascii="Bookman Old Style" w:hAnsi="Bookman Old Style"/>
                <w:b/>
                <w:sz w:val="22"/>
                <w:szCs w:val="22"/>
              </w:rPr>
              <w:t>Aprobada</w:t>
            </w:r>
          </w:p>
        </w:tc>
        <w:tc>
          <w:tcPr>
            <w:tcW w:w="1747" w:type="dxa"/>
            <w:shd w:val="clear" w:color="auto" w:fill="D9D9D9" w:themeFill="background1" w:themeFillShade="D9"/>
            <w:vAlign w:val="center"/>
          </w:tcPr>
          <w:p w14:paraId="7B509470" w14:textId="77777777" w:rsidR="00F52070" w:rsidRPr="00C576A1" w:rsidRDefault="00F52070" w:rsidP="00B74686">
            <w:pPr>
              <w:keepNext/>
              <w:adjustRightInd w:val="0"/>
              <w:ind w:left="0" w:right="23"/>
              <w:jc w:val="center"/>
              <w:rPr>
                <w:rFonts w:ascii="Bookman Old Style" w:hAnsi="Bookman Old Style"/>
                <w:b/>
                <w:sz w:val="22"/>
                <w:szCs w:val="22"/>
              </w:rPr>
            </w:pPr>
            <w:r w:rsidRPr="00C576A1">
              <w:rPr>
                <w:rFonts w:ascii="Bookman Old Style" w:hAnsi="Bookman Old Style"/>
                <w:b/>
                <w:sz w:val="22"/>
                <w:szCs w:val="22"/>
              </w:rPr>
              <w:t>Diferencia</w:t>
            </w:r>
          </w:p>
        </w:tc>
      </w:tr>
      <w:tr w:rsidR="00F52070" w14:paraId="4EA6A5FD" w14:textId="77777777" w:rsidTr="00B74686">
        <w:trPr>
          <w:jc w:val="center"/>
        </w:trPr>
        <w:tc>
          <w:tcPr>
            <w:tcW w:w="1989" w:type="dxa"/>
          </w:tcPr>
          <w:p w14:paraId="1AB7A9E8" w14:textId="77777777" w:rsidR="00F52070" w:rsidRPr="00C576A1" w:rsidRDefault="00F52070" w:rsidP="00B74686">
            <w:pPr>
              <w:adjustRightInd w:val="0"/>
              <w:ind w:left="0" w:right="23"/>
              <w:jc w:val="both"/>
              <w:rPr>
                <w:rFonts w:ascii="Bookman Old Style" w:hAnsi="Bookman Old Style"/>
                <w:sz w:val="22"/>
                <w:szCs w:val="22"/>
              </w:rPr>
            </w:pPr>
            <w:r w:rsidRPr="00C576A1">
              <w:rPr>
                <w:rFonts w:ascii="Bookman Old Style" w:hAnsi="Bookman Old Style"/>
                <w:sz w:val="22"/>
                <w:szCs w:val="22"/>
              </w:rPr>
              <w:t>CUSTM000485</w:t>
            </w:r>
          </w:p>
        </w:tc>
        <w:tc>
          <w:tcPr>
            <w:tcW w:w="1746" w:type="dxa"/>
            <w:vAlign w:val="center"/>
          </w:tcPr>
          <w:p w14:paraId="12FDF26A" w14:textId="77777777" w:rsidR="00F52070" w:rsidRPr="00C576A1" w:rsidRDefault="00504F2A"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c>
          <w:tcPr>
            <w:tcW w:w="1747" w:type="dxa"/>
            <w:vAlign w:val="center"/>
          </w:tcPr>
          <w:p w14:paraId="33498AC6" w14:textId="77777777" w:rsidR="00F52070" w:rsidRPr="00C576A1" w:rsidRDefault="00504F2A"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275DA599" w14:textId="77777777" w:rsidR="00F52070" w:rsidRPr="00C576A1" w:rsidRDefault="00504F2A" w:rsidP="00B74686">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r>
      <w:tr w:rsidR="00F52070" w14:paraId="5047B601" w14:textId="77777777" w:rsidTr="00B74686">
        <w:trPr>
          <w:jc w:val="center"/>
        </w:trPr>
        <w:tc>
          <w:tcPr>
            <w:tcW w:w="1989" w:type="dxa"/>
          </w:tcPr>
          <w:p w14:paraId="6A3AB8B8"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CUSTM000498</w:t>
            </w:r>
          </w:p>
        </w:tc>
        <w:tc>
          <w:tcPr>
            <w:tcW w:w="1746" w:type="dxa"/>
            <w:vAlign w:val="center"/>
          </w:tcPr>
          <w:p w14:paraId="69CD5491"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c>
          <w:tcPr>
            <w:tcW w:w="1747" w:type="dxa"/>
            <w:vAlign w:val="center"/>
          </w:tcPr>
          <w:p w14:paraId="053223D5"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c>
          <w:tcPr>
            <w:tcW w:w="1747" w:type="dxa"/>
            <w:vAlign w:val="center"/>
          </w:tcPr>
          <w:p w14:paraId="6F955E18"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r>
      <w:tr w:rsidR="00F52070" w14:paraId="68DBEB9F" w14:textId="77777777" w:rsidTr="00B74686">
        <w:trPr>
          <w:jc w:val="center"/>
        </w:trPr>
        <w:tc>
          <w:tcPr>
            <w:tcW w:w="1989" w:type="dxa"/>
          </w:tcPr>
          <w:p w14:paraId="6A1E24CB"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ERP 3T3</w:t>
            </w:r>
          </w:p>
        </w:tc>
        <w:tc>
          <w:tcPr>
            <w:tcW w:w="1746" w:type="dxa"/>
            <w:vAlign w:val="center"/>
          </w:tcPr>
          <w:p w14:paraId="2176772F"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c>
          <w:tcPr>
            <w:tcW w:w="1747" w:type="dxa"/>
            <w:vAlign w:val="center"/>
          </w:tcPr>
          <w:p w14:paraId="58C70E14"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c>
          <w:tcPr>
            <w:tcW w:w="1747" w:type="dxa"/>
            <w:vAlign w:val="center"/>
          </w:tcPr>
          <w:p w14:paraId="67740475"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r>
      <w:tr w:rsidR="00F52070" w14:paraId="3B8C3DE7" w14:textId="77777777" w:rsidTr="00B74686">
        <w:trPr>
          <w:jc w:val="center"/>
        </w:trPr>
        <w:tc>
          <w:tcPr>
            <w:tcW w:w="1989" w:type="dxa"/>
          </w:tcPr>
          <w:p w14:paraId="57EB1AE9"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PLI02</w:t>
            </w:r>
          </w:p>
        </w:tc>
        <w:tc>
          <w:tcPr>
            <w:tcW w:w="1746" w:type="dxa"/>
            <w:vAlign w:val="center"/>
          </w:tcPr>
          <w:p w14:paraId="717448EA"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21,00</w:t>
            </w:r>
          </w:p>
        </w:tc>
        <w:tc>
          <w:tcPr>
            <w:tcW w:w="1747" w:type="dxa"/>
            <w:vAlign w:val="center"/>
          </w:tcPr>
          <w:p w14:paraId="151E24E8" w14:textId="77777777" w:rsidR="00504F2A" w:rsidRPr="00C576A1" w:rsidRDefault="00504F2A" w:rsidP="00504F2A">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407AA156"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-21,00</w:t>
            </w:r>
          </w:p>
        </w:tc>
      </w:tr>
      <w:tr w:rsidR="00F52070" w14:paraId="347A7AAD" w14:textId="77777777" w:rsidTr="00B74686">
        <w:trPr>
          <w:jc w:val="center"/>
        </w:trPr>
        <w:tc>
          <w:tcPr>
            <w:tcW w:w="1989" w:type="dxa"/>
          </w:tcPr>
          <w:p w14:paraId="0E2FA2B5"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TPE100-160ZV</w:t>
            </w:r>
          </w:p>
        </w:tc>
        <w:tc>
          <w:tcPr>
            <w:tcW w:w="1746" w:type="dxa"/>
            <w:vAlign w:val="center"/>
          </w:tcPr>
          <w:p w14:paraId="5481C0C9"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4,32</w:t>
            </w:r>
          </w:p>
        </w:tc>
        <w:tc>
          <w:tcPr>
            <w:tcW w:w="1747" w:type="dxa"/>
            <w:vAlign w:val="center"/>
          </w:tcPr>
          <w:p w14:paraId="10CDC05B"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4,32</w:t>
            </w:r>
          </w:p>
        </w:tc>
        <w:tc>
          <w:tcPr>
            <w:tcW w:w="1747" w:type="dxa"/>
            <w:vAlign w:val="center"/>
          </w:tcPr>
          <w:p w14:paraId="405914A9"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r>
      <w:tr w:rsidR="00F52070" w14:paraId="32FBC7C4" w14:textId="77777777" w:rsidTr="00B74686">
        <w:trPr>
          <w:jc w:val="center"/>
        </w:trPr>
        <w:tc>
          <w:tcPr>
            <w:tcW w:w="1989" w:type="dxa"/>
          </w:tcPr>
          <w:p w14:paraId="59C10C2C"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TPE100-90ZV</w:t>
            </w:r>
          </w:p>
        </w:tc>
        <w:tc>
          <w:tcPr>
            <w:tcW w:w="1746" w:type="dxa"/>
            <w:vAlign w:val="center"/>
          </w:tcPr>
          <w:p w14:paraId="5DFCDF35"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0,02</w:t>
            </w:r>
          </w:p>
        </w:tc>
        <w:tc>
          <w:tcPr>
            <w:tcW w:w="1747" w:type="dxa"/>
            <w:vAlign w:val="center"/>
          </w:tcPr>
          <w:p w14:paraId="490BCB52"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0,02</w:t>
            </w:r>
          </w:p>
        </w:tc>
        <w:tc>
          <w:tcPr>
            <w:tcW w:w="1747" w:type="dxa"/>
            <w:vAlign w:val="center"/>
          </w:tcPr>
          <w:p w14:paraId="6483E52C"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r>
      <w:tr w:rsidR="00F52070" w14:paraId="09656665" w14:textId="77777777" w:rsidTr="00B74686">
        <w:trPr>
          <w:jc w:val="center"/>
        </w:trPr>
        <w:tc>
          <w:tcPr>
            <w:tcW w:w="1989" w:type="dxa"/>
          </w:tcPr>
          <w:p w14:paraId="002B6A92"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TPE2AS</w:t>
            </w:r>
          </w:p>
        </w:tc>
        <w:tc>
          <w:tcPr>
            <w:tcW w:w="1746" w:type="dxa"/>
            <w:vAlign w:val="center"/>
          </w:tcPr>
          <w:p w14:paraId="1CA417A4"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0,27</w:t>
            </w:r>
          </w:p>
        </w:tc>
        <w:tc>
          <w:tcPr>
            <w:tcW w:w="1747" w:type="dxa"/>
            <w:vAlign w:val="center"/>
          </w:tcPr>
          <w:p w14:paraId="5E2BB5AF"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0,82</w:t>
            </w:r>
          </w:p>
        </w:tc>
        <w:tc>
          <w:tcPr>
            <w:tcW w:w="1747" w:type="dxa"/>
            <w:vAlign w:val="center"/>
          </w:tcPr>
          <w:p w14:paraId="4DE5F143"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0,55</w:t>
            </w:r>
          </w:p>
        </w:tc>
      </w:tr>
      <w:tr w:rsidR="00F52070" w14:paraId="7121E20F" w14:textId="77777777" w:rsidTr="00B74686">
        <w:trPr>
          <w:jc w:val="center"/>
        </w:trPr>
        <w:tc>
          <w:tcPr>
            <w:tcW w:w="1989" w:type="dxa"/>
          </w:tcPr>
          <w:p w14:paraId="1215D602"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TPE2CO</w:t>
            </w:r>
          </w:p>
        </w:tc>
        <w:tc>
          <w:tcPr>
            <w:tcW w:w="1746" w:type="dxa"/>
            <w:vAlign w:val="center"/>
          </w:tcPr>
          <w:p w14:paraId="6ABFCFBC"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1,90</w:t>
            </w:r>
          </w:p>
        </w:tc>
        <w:tc>
          <w:tcPr>
            <w:tcW w:w="1747" w:type="dxa"/>
            <w:vAlign w:val="center"/>
          </w:tcPr>
          <w:p w14:paraId="5B91444D"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0,50</w:t>
            </w:r>
          </w:p>
        </w:tc>
        <w:tc>
          <w:tcPr>
            <w:tcW w:w="1747" w:type="dxa"/>
            <w:vAlign w:val="center"/>
          </w:tcPr>
          <w:p w14:paraId="6EF6121D"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-1,40</w:t>
            </w:r>
          </w:p>
        </w:tc>
      </w:tr>
      <w:tr w:rsidR="00F52070" w14:paraId="1AA94EC4" w14:textId="77777777" w:rsidTr="00B74686">
        <w:trPr>
          <w:jc w:val="center"/>
        </w:trPr>
        <w:tc>
          <w:tcPr>
            <w:tcW w:w="1989" w:type="dxa"/>
          </w:tcPr>
          <w:p w14:paraId="3BEA5FA5"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TPE2TA</w:t>
            </w:r>
          </w:p>
        </w:tc>
        <w:tc>
          <w:tcPr>
            <w:tcW w:w="1746" w:type="dxa"/>
            <w:vAlign w:val="center"/>
          </w:tcPr>
          <w:p w14:paraId="29642312"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0,31</w:t>
            </w:r>
          </w:p>
        </w:tc>
        <w:tc>
          <w:tcPr>
            <w:tcW w:w="1747" w:type="dxa"/>
            <w:vAlign w:val="center"/>
          </w:tcPr>
          <w:p w14:paraId="01A2331F"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468FEDF9"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-0,31</w:t>
            </w:r>
          </w:p>
        </w:tc>
      </w:tr>
      <w:tr w:rsidR="00F52070" w14:paraId="0CA83067" w14:textId="77777777" w:rsidTr="00B74686">
        <w:trPr>
          <w:jc w:val="center"/>
        </w:trPr>
        <w:tc>
          <w:tcPr>
            <w:tcW w:w="1989" w:type="dxa"/>
          </w:tcPr>
          <w:p w14:paraId="6C3F63F5"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TPE2ZV</w:t>
            </w:r>
          </w:p>
        </w:tc>
        <w:tc>
          <w:tcPr>
            <w:tcW w:w="1746" w:type="dxa"/>
            <w:vAlign w:val="center"/>
          </w:tcPr>
          <w:p w14:paraId="56EA9507"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131,18</w:t>
            </w:r>
          </w:p>
        </w:tc>
        <w:tc>
          <w:tcPr>
            <w:tcW w:w="1747" w:type="dxa"/>
            <w:vAlign w:val="center"/>
          </w:tcPr>
          <w:p w14:paraId="00642475"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114,51</w:t>
            </w:r>
          </w:p>
        </w:tc>
        <w:tc>
          <w:tcPr>
            <w:tcW w:w="1747" w:type="dxa"/>
            <w:vAlign w:val="center"/>
          </w:tcPr>
          <w:p w14:paraId="1CD75A19"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-16,67</w:t>
            </w:r>
          </w:p>
        </w:tc>
      </w:tr>
      <w:tr w:rsidR="00F52070" w14:paraId="5FCFA374" w14:textId="77777777" w:rsidTr="00B74686">
        <w:trPr>
          <w:jc w:val="center"/>
        </w:trPr>
        <w:tc>
          <w:tcPr>
            <w:tcW w:w="1989" w:type="dxa"/>
          </w:tcPr>
          <w:p w14:paraId="2B558D93"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TPE3CO</w:t>
            </w:r>
          </w:p>
        </w:tc>
        <w:tc>
          <w:tcPr>
            <w:tcW w:w="1746" w:type="dxa"/>
            <w:vAlign w:val="center"/>
          </w:tcPr>
          <w:p w14:paraId="0C25160D"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1,57</w:t>
            </w:r>
          </w:p>
        </w:tc>
        <w:tc>
          <w:tcPr>
            <w:tcW w:w="1747" w:type="dxa"/>
            <w:vAlign w:val="center"/>
          </w:tcPr>
          <w:p w14:paraId="05CB9571"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0,94</w:t>
            </w:r>
          </w:p>
        </w:tc>
        <w:tc>
          <w:tcPr>
            <w:tcW w:w="1747" w:type="dxa"/>
            <w:vAlign w:val="center"/>
          </w:tcPr>
          <w:p w14:paraId="6E30C3AD"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-0,63</w:t>
            </w:r>
          </w:p>
        </w:tc>
      </w:tr>
      <w:tr w:rsidR="00F52070" w14:paraId="2CC050BD" w14:textId="77777777" w:rsidTr="00B74686">
        <w:trPr>
          <w:jc w:val="center"/>
        </w:trPr>
        <w:tc>
          <w:tcPr>
            <w:tcW w:w="1989" w:type="dxa"/>
          </w:tcPr>
          <w:p w14:paraId="3BBE90A7"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lastRenderedPageBreak/>
              <w:t>TPE3TA</w:t>
            </w:r>
          </w:p>
        </w:tc>
        <w:tc>
          <w:tcPr>
            <w:tcW w:w="1746" w:type="dxa"/>
            <w:vAlign w:val="center"/>
          </w:tcPr>
          <w:p w14:paraId="18C025A5"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0,47</w:t>
            </w:r>
          </w:p>
        </w:tc>
        <w:tc>
          <w:tcPr>
            <w:tcW w:w="1747" w:type="dxa"/>
            <w:vAlign w:val="center"/>
          </w:tcPr>
          <w:p w14:paraId="1E70EFA7"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0,12</w:t>
            </w:r>
          </w:p>
        </w:tc>
        <w:tc>
          <w:tcPr>
            <w:tcW w:w="1747" w:type="dxa"/>
            <w:vAlign w:val="center"/>
          </w:tcPr>
          <w:p w14:paraId="6DA6A2CC"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-0,35</w:t>
            </w:r>
          </w:p>
        </w:tc>
      </w:tr>
      <w:tr w:rsidR="00F52070" w14:paraId="7D0BA4DD" w14:textId="77777777" w:rsidTr="00B74686">
        <w:trPr>
          <w:jc w:val="center"/>
        </w:trPr>
        <w:tc>
          <w:tcPr>
            <w:tcW w:w="1989" w:type="dxa"/>
          </w:tcPr>
          <w:p w14:paraId="68E63A66"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TPE3ZV</w:t>
            </w:r>
          </w:p>
        </w:tc>
        <w:tc>
          <w:tcPr>
            <w:tcW w:w="1746" w:type="dxa"/>
            <w:vAlign w:val="center"/>
          </w:tcPr>
          <w:p w14:paraId="635B4FCB"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66,95</w:t>
            </w:r>
          </w:p>
        </w:tc>
        <w:tc>
          <w:tcPr>
            <w:tcW w:w="1747" w:type="dxa"/>
            <w:vAlign w:val="center"/>
          </w:tcPr>
          <w:p w14:paraId="4110F86F"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68,35</w:t>
            </w:r>
          </w:p>
        </w:tc>
        <w:tc>
          <w:tcPr>
            <w:tcW w:w="1747" w:type="dxa"/>
            <w:vAlign w:val="center"/>
          </w:tcPr>
          <w:p w14:paraId="4317A46C"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1,40</w:t>
            </w:r>
          </w:p>
        </w:tc>
      </w:tr>
      <w:tr w:rsidR="00F52070" w14:paraId="2E89E203" w14:textId="77777777" w:rsidTr="00B74686">
        <w:trPr>
          <w:jc w:val="center"/>
        </w:trPr>
        <w:tc>
          <w:tcPr>
            <w:tcW w:w="1989" w:type="dxa"/>
          </w:tcPr>
          <w:p w14:paraId="42C0A620"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TPE4AS</w:t>
            </w:r>
          </w:p>
        </w:tc>
        <w:tc>
          <w:tcPr>
            <w:tcW w:w="1746" w:type="dxa"/>
            <w:vAlign w:val="center"/>
          </w:tcPr>
          <w:p w14:paraId="73B1EC91"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0,03</w:t>
            </w:r>
          </w:p>
        </w:tc>
        <w:tc>
          <w:tcPr>
            <w:tcW w:w="1747" w:type="dxa"/>
            <w:vAlign w:val="center"/>
          </w:tcPr>
          <w:p w14:paraId="0BCD79CE"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64C68284"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-0,03</w:t>
            </w:r>
          </w:p>
        </w:tc>
      </w:tr>
      <w:tr w:rsidR="00F52070" w14:paraId="1887352D" w14:textId="77777777" w:rsidTr="00B74686">
        <w:trPr>
          <w:jc w:val="center"/>
        </w:trPr>
        <w:tc>
          <w:tcPr>
            <w:tcW w:w="1989" w:type="dxa"/>
          </w:tcPr>
          <w:p w14:paraId="7AB061AE"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TPE4CO</w:t>
            </w:r>
          </w:p>
        </w:tc>
        <w:tc>
          <w:tcPr>
            <w:tcW w:w="1746" w:type="dxa"/>
            <w:vAlign w:val="center"/>
          </w:tcPr>
          <w:p w14:paraId="5BA0532F"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0,38</w:t>
            </w:r>
          </w:p>
        </w:tc>
        <w:tc>
          <w:tcPr>
            <w:tcW w:w="1747" w:type="dxa"/>
            <w:vAlign w:val="center"/>
          </w:tcPr>
          <w:p w14:paraId="30A41F65"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0,35</w:t>
            </w:r>
          </w:p>
        </w:tc>
        <w:tc>
          <w:tcPr>
            <w:tcW w:w="1747" w:type="dxa"/>
            <w:vAlign w:val="center"/>
          </w:tcPr>
          <w:p w14:paraId="2355400F"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-0,03</w:t>
            </w:r>
          </w:p>
        </w:tc>
      </w:tr>
      <w:tr w:rsidR="00F52070" w14:paraId="2203BD5A" w14:textId="77777777" w:rsidTr="00B74686">
        <w:trPr>
          <w:jc w:val="center"/>
        </w:trPr>
        <w:tc>
          <w:tcPr>
            <w:tcW w:w="1989" w:type="dxa"/>
          </w:tcPr>
          <w:p w14:paraId="160FBBE5"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TPE4TA</w:t>
            </w:r>
          </w:p>
        </w:tc>
        <w:tc>
          <w:tcPr>
            <w:tcW w:w="1746" w:type="dxa"/>
            <w:vAlign w:val="center"/>
          </w:tcPr>
          <w:p w14:paraId="74A7EAAC"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68E2C84F"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5F2B7A67"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r>
      <w:tr w:rsidR="00F52070" w14:paraId="77541389" w14:textId="77777777" w:rsidTr="00B74686">
        <w:trPr>
          <w:jc w:val="center"/>
        </w:trPr>
        <w:tc>
          <w:tcPr>
            <w:tcW w:w="1989" w:type="dxa"/>
          </w:tcPr>
          <w:p w14:paraId="0483E9CF"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TPE4ZV</w:t>
            </w:r>
          </w:p>
        </w:tc>
        <w:tc>
          <w:tcPr>
            <w:tcW w:w="1746" w:type="dxa"/>
            <w:vAlign w:val="center"/>
          </w:tcPr>
          <w:p w14:paraId="53AD61F2"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33,31</w:t>
            </w:r>
          </w:p>
        </w:tc>
        <w:tc>
          <w:tcPr>
            <w:tcW w:w="1747" w:type="dxa"/>
            <w:vAlign w:val="center"/>
          </w:tcPr>
          <w:p w14:paraId="3D936026"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33,38</w:t>
            </w:r>
          </w:p>
        </w:tc>
        <w:tc>
          <w:tcPr>
            <w:tcW w:w="1747" w:type="dxa"/>
            <w:vAlign w:val="center"/>
          </w:tcPr>
          <w:p w14:paraId="59DC6679"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0,07</w:t>
            </w:r>
          </w:p>
        </w:tc>
      </w:tr>
      <w:tr w:rsidR="00F52070" w14:paraId="34373A98" w14:textId="77777777" w:rsidTr="00B74686">
        <w:trPr>
          <w:jc w:val="center"/>
        </w:trPr>
        <w:tc>
          <w:tcPr>
            <w:tcW w:w="1989" w:type="dxa"/>
          </w:tcPr>
          <w:p w14:paraId="6F7E57F7"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IO01</w:t>
            </w:r>
          </w:p>
        </w:tc>
        <w:tc>
          <w:tcPr>
            <w:tcW w:w="1746" w:type="dxa"/>
            <w:vAlign w:val="center"/>
          </w:tcPr>
          <w:p w14:paraId="5D019FD5"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1,00</w:t>
            </w:r>
          </w:p>
        </w:tc>
        <w:tc>
          <w:tcPr>
            <w:tcW w:w="1747" w:type="dxa"/>
            <w:vAlign w:val="center"/>
          </w:tcPr>
          <w:p w14:paraId="225D8705"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7911A015"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-1,00</w:t>
            </w:r>
          </w:p>
        </w:tc>
      </w:tr>
      <w:tr w:rsidR="00F52070" w14:paraId="724BAA99" w14:textId="77777777" w:rsidTr="00B74686">
        <w:trPr>
          <w:trHeight w:val="70"/>
          <w:jc w:val="center"/>
        </w:trPr>
        <w:tc>
          <w:tcPr>
            <w:tcW w:w="1989" w:type="dxa"/>
          </w:tcPr>
          <w:p w14:paraId="45CFA186"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IO04</w:t>
            </w:r>
          </w:p>
        </w:tc>
        <w:tc>
          <w:tcPr>
            <w:tcW w:w="1746" w:type="dxa"/>
            <w:vAlign w:val="center"/>
          </w:tcPr>
          <w:p w14:paraId="49747662"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21,00</w:t>
            </w:r>
          </w:p>
        </w:tc>
        <w:tc>
          <w:tcPr>
            <w:tcW w:w="1747" w:type="dxa"/>
            <w:vAlign w:val="center"/>
          </w:tcPr>
          <w:p w14:paraId="13EE6C3D"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3CBB2372"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-21,00</w:t>
            </w:r>
          </w:p>
        </w:tc>
      </w:tr>
      <w:tr w:rsidR="00F52070" w14:paraId="23D5C3D5" w14:textId="77777777" w:rsidTr="00B74686">
        <w:trPr>
          <w:trHeight w:val="70"/>
          <w:jc w:val="center"/>
        </w:trPr>
        <w:tc>
          <w:tcPr>
            <w:tcW w:w="1989" w:type="dxa"/>
          </w:tcPr>
          <w:p w14:paraId="5BDC95C8"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IO03</w:t>
            </w:r>
          </w:p>
        </w:tc>
        <w:tc>
          <w:tcPr>
            <w:tcW w:w="1746" w:type="dxa"/>
            <w:vAlign w:val="center"/>
          </w:tcPr>
          <w:p w14:paraId="386B1091"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c>
          <w:tcPr>
            <w:tcW w:w="1747" w:type="dxa"/>
            <w:vAlign w:val="center"/>
          </w:tcPr>
          <w:p w14:paraId="7E676EA0"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610BFC2A"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r>
      <w:tr w:rsidR="00F52070" w14:paraId="641A9BC2" w14:textId="77777777" w:rsidTr="00B74686">
        <w:trPr>
          <w:trHeight w:val="70"/>
          <w:jc w:val="center"/>
        </w:trPr>
        <w:tc>
          <w:tcPr>
            <w:tcW w:w="1989" w:type="dxa"/>
          </w:tcPr>
          <w:p w14:paraId="5AC67D6C"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IO02</w:t>
            </w:r>
          </w:p>
        </w:tc>
        <w:tc>
          <w:tcPr>
            <w:tcW w:w="1746" w:type="dxa"/>
            <w:vAlign w:val="center"/>
          </w:tcPr>
          <w:p w14:paraId="0BC6772C"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1,00</w:t>
            </w:r>
          </w:p>
        </w:tc>
        <w:tc>
          <w:tcPr>
            <w:tcW w:w="1747" w:type="dxa"/>
            <w:vAlign w:val="center"/>
          </w:tcPr>
          <w:p w14:paraId="57D68BC7"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5CBD455B"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-1,00</w:t>
            </w:r>
          </w:p>
        </w:tc>
      </w:tr>
      <w:tr w:rsidR="00F52070" w14:paraId="10ED6869" w14:textId="77777777" w:rsidTr="00B74686">
        <w:trPr>
          <w:trHeight w:val="70"/>
          <w:jc w:val="center"/>
        </w:trPr>
        <w:tc>
          <w:tcPr>
            <w:tcW w:w="1989" w:type="dxa"/>
          </w:tcPr>
          <w:p w14:paraId="6BD64A4D"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PLI01</w:t>
            </w:r>
          </w:p>
        </w:tc>
        <w:tc>
          <w:tcPr>
            <w:tcW w:w="1746" w:type="dxa"/>
            <w:vAlign w:val="center"/>
          </w:tcPr>
          <w:p w14:paraId="16ED4A3C"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23,00</w:t>
            </w:r>
          </w:p>
        </w:tc>
        <w:tc>
          <w:tcPr>
            <w:tcW w:w="1747" w:type="dxa"/>
            <w:vAlign w:val="center"/>
          </w:tcPr>
          <w:p w14:paraId="2845A6C1"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131B147B"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-23,00</w:t>
            </w:r>
          </w:p>
        </w:tc>
      </w:tr>
      <w:tr w:rsidR="00F52070" w14:paraId="2349E60C" w14:textId="77777777" w:rsidTr="00B74686">
        <w:trPr>
          <w:trHeight w:val="70"/>
          <w:jc w:val="center"/>
        </w:trPr>
        <w:tc>
          <w:tcPr>
            <w:tcW w:w="1989" w:type="dxa"/>
          </w:tcPr>
          <w:p w14:paraId="7ECB40AF"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TPE1/2AS</w:t>
            </w:r>
          </w:p>
        </w:tc>
        <w:tc>
          <w:tcPr>
            <w:tcW w:w="1746" w:type="dxa"/>
            <w:vAlign w:val="center"/>
          </w:tcPr>
          <w:p w14:paraId="567D70C9"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0,48</w:t>
            </w:r>
          </w:p>
        </w:tc>
        <w:tc>
          <w:tcPr>
            <w:tcW w:w="1747" w:type="dxa"/>
            <w:vAlign w:val="center"/>
          </w:tcPr>
          <w:p w14:paraId="255CA890"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12,46</w:t>
            </w:r>
          </w:p>
        </w:tc>
        <w:tc>
          <w:tcPr>
            <w:tcW w:w="1747" w:type="dxa"/>
            <w:vAlign w:val="center"/>
          </w:tcPr>
          <w:p w14:paraId="6EBB521C"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11,98</w:t>
            </w:r>
          </w:p>
        </w:tc>
      </w:tr>
      <w:tr w:rsidR="00F52070" w14:paraId="070AEF14" w14:textId="77777777" w:rsidTr="00B74686">
        <w:trPr>
          <w:trHeight w:val="70"/>
          <w:jc w:val="center"/>
        </w:trPr>
        <w:tc>
          <w:tcPr>
            <w:tcW w:w="1989" w:type="dxa"/>
          </w:tcPr>
          <w:p w14:paraId="650B2729"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TPE1/2CO</w:t>
            </w:r>
          </w:p>
        </w:tc>
        <w:tc>
          <w:tcPr>
            <w:tcW w:w="1746" w:type="dxa"/>
            <w:vAlign w:val="center"/>
          </w:tcPr>
          <w:p w14:paraId="77EA30B3"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45,18</w:t>
            </w:r>
          </w:p>
        </w:tc>
        <w:tc>
          <w:tcPr>
            <w:tcW w:w="1747" w:type="dxa"/>
            <w:vAlign w:val="center"/>
          </w:tcPr>
          <w:p w14:paraId="6E5B36F0"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12,13</w:t>
            </w:r>
          </w:p>
        </w:tc>
        <w:tc>
          <w:tcPr>
            <w:tcW w:w="1747" w:type="dxa"/>
            <w:vAlign w:val="center"/>
          </w:tcPr>
          <w:p w14:paraId="3C579564"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-33,05</w:t>
            </w:r>
          </w:p>
        </w:tc>
      </w:tr>
      <w:tr w:rsidR="00F52070" w14:paraId="4F1C21EB" w14:textId="77777777" w:rsidTr="00B74686">
        <w:trPr>
          <w:trHeight w:val="70"/>
          <w:jc w:val="center"/>
        </w:trPr>
        <w:tc>
          <w:tcPr>
            <w:tcW w:w="1989" w:type="dxa"/>
          </w:tcPr>
          <w:p w14:paraId="49828C43"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TPE1/2TA</w:t>
            </w:r>
          </w:p>
        </w:tc>
        <w:tc>
          <w:tcPr>
            <w:tcW w:w="1746" w:type="dxa"/>
            <w:vAlign w:val="center"/>
          </w:tcPr>
          <w:p w14:paraId="304BB072"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20,19</w:t>
            </w:r>
          </w:p>
        </w:tc>
        <w:tc>
          <w:tcPr>
            <w:tcW w:w="1747" w:type="dxa"/>
            <w:vAlign w:val="center"/>
          </w:tcPr>
          <w:p w14:paraId="62BCD18A"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6,06</w:t>
            </w:r>
          </w:p>
        </w:tc>
        <w:tc>
          <w:tcPr>
            <w:tcW w:w="1747" w:type="dxa"/>
            <w:vAlign w:val="center"/>
          </w:tcPr>
          <w:p w14:paraId="00BF89F5"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-14,13</w:t>
            </w:r>
          </w:p>
        </w:tc>
      </w:tr>
      <w:tr w:rsidR="00F52070" w14:paraId="163ADEE9" w14:textId="77777777" w:rsidTr="00B74686">
        <w:trPr>
          <w:trHeight w:val="70"/>
          <w:jc w:val="center"/>
        </w:trPr>
        <w:tc>
          <w:tcPr>
            <w:tcW w:w="1989" w:type="dxa"/>
          </w:tcPr>
          <w:p w14:paraId="054E0AC5" w14:textId="77777777" w:rsidR="00F52070" w:rsidRPr="00C576A1" w:rsidRDefault="00F52070"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TPE1/2ZV</w:t>
            </w:r>
          </w:p>
        </w:tc>
        <w:tc>
          <w:tcPr>
            <w:tcW w:w="1746" w:type="dxa"/>
            <w:vAlign w:val="center"/>
          </w:tcPr>
          <w:p w14:paraId="1DFFD0B4"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809,07</w:t>
            </w:r>
          </w:p>
        </w:tc>
        <w:tc>
          <w:tcPr>
            <w:tcW w:w="1747" w:type="dxa"/>
            <w:vAlign w:val="center"/>
          </w:tcPr>
          <w:p w14:paraId="79F65883"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860,71</w:t>
            </w:r>
          </w:p>
        </w:tc>
        <w:tc>
          <w:tcPr>
            <w:tcW w:w="1747" w:type="dxa"/>
            <w:vAlign w:val="center"/>
          </w:tcPr>
          <w:p w14:paraId="7AAE9299"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51,64</w:t>
            </w:r>
          </w:p>
        </w:tc>
      </w:tr>
      <w:tr w:rsidR="00F52070" w14:paraId="3217DC4D" w14:textId="77777777" w:rsidTr="00B74686">
        <w:trPr>
          <w:trHeight w:val="70"/>
          <w:jc w:val="center"/>
        </w:trPr>
        <w:tc>
          <w:tcPr>
            <w:tcW w:w="1989" w:type="dxa"/>
          </w:tcPr>
          <w:p w14:paraId="6B8656B3" w14:textId="77777777" w:rsidR="00F52070"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TPE1AS</w:t>
            </w:r>
          </w:p>
        </w:tc>
        <w:tc>
          <w:tcPr>
            <w:tcW w:w="1746" w:type="dxa"/>
            <w:vAlign w:val="center"/>
          </w:tcPr>
          <w:p w14:paraId="1BB90ADD"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0,21</w:t>
            </w:r>
          </w:p>
        </w:tc>
        <w:tc>
          <w:tcPr>
            <w:tcW w:w="1747" w:type="dxa"/>
            <w:vAlign w:val="center"/>
          </w:tcPr>
          <w:p w14:paraId="24E28140"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0,36</w:t>
            </w:r>
          </w:p>
        </w:tc>
        <w:tc>
          <w:tcPr>
            <w:tcW w:w="1747" w:type="dxa"/>
            <w:vAlign w:val="center"/>
          </w:tcPr>
          <w:p w14:paraId="20853A3C"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0,15</w:t>
            </w:r>
          </w:p>
        </w:tc>
      </w:tr>
      <w:tr w:rsidR="00F52070" w14:paraId="25C26F90" w14:textId="77777777" w:rsidTr="00B74686">
        <w:trPr>
          <w:trHeight w:val="70"/>
          <w:jc w:val="center"/>
        </w:trPr>
        <w:tc>
          <w:tcPr>
            <w:tcW w:w="1989" w:type="dxa"/>
          </w:tcPr>
          <w:p w14:paraId="586B3AE8" w14:textId="77777777" w:rsidR="00F52070"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TPE1CO</w:t>
            </w:r>
          </w:p>
        </w:tc>
        <w:tc>
          <w:tcPr>
            <w:tcW w:w="1746" w:type="dxa"/>
            <w:vAlign w:val="center"/>
          </w:tcPr>
          <w:p w14:paraId="24BFB451"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1,08</w:t>
            </w:r>
          </w:p>
        </w:tc>
        <w:tc>
          <w:tcPr>
            <w:tcW w:w="1747" w:type="dxa"/>
            <w:vAlign w:val="center"/>
          </w:tcPr>
          <w:p w14:paraId="69755FB0"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0,76</w:t>
            </w:r>
          </w:p>
        </w:tc>
        <w:tc>
          <w:tcPr>
            <w:tcW w:w="1747" w:type="dxa"/>
            <w:vAlign w:val="center"/>
          </w:tcPr>
          <w:p w14:paraId="56E4E217"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-0,32</w:t>
            </w:r>
          </w:p>
        </w:tc>
      </w:tr>
      <w:tr w:rsidR="00F52070" w14:paraId="174BF49A" w14:textId="77777777" w:rsidTr="00B74686">
        <w:trPr>
          <w:trHeight w:val="70"/>
          <w:jc w:val="center"/>
        </w:trPr>
        <w:tc>
          <w:tcPr>
            <w:tcW w:w="1989" w:type="dxa"/>
          </w:tcPr>
          <w:p w14:paraId="2F3EADAC" w14:textId="77777777" w:rsidR="00F52070"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TPE1TA</w:t>
            </w:r>
          </w:p>
        </w:tc>
        <w:tc>
          <w:tcPr>
            <w:tcW w:w="1746" w:type="dxa"/>
            <w:vAlign w:val="center"/>
          </w:tcPr>
          <w:p w14:paraId="12996878"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0,23</w:t>
            </w:r>
          </w:p>
        </w:tc>
        <w:tc>
          <w:tcPr>
            <w:tcW w:w="1747" w:type="dxa"/>
            <w:vAlign w:val="center"/>
          </w:tcPr>
          <w:p w14:paraId="224973ED"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0,11</w:t>
            </w:r>
          </w:p>
        </w:tc>
        <w:tc>
          <w:tcPr>
            <w:tcW w:w="1747" w:type="dxa"/>
            <w:vAlign w:val="center"/>
          </w:tcPr>
          <w:p w14:paraId="76F104A4"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-0,12</w:t>
            </w:r>
          </w:p>
        </w:tc>
      </w:tr>
      <w:tr w:rsidR="00F52070" w14:paraId="76C3F87A" w14:textId="77777777" w:rsidTr="00B74686">
        <w:trPr>
          <w:trHeight w:val="70"/>
          <w:jc w:val="center"/>
        </w:trPr>
        <w:tc>
          <w:tcPr>
            <w:tcW w:w="1989" w:type="dxa"/>
          </w:tcPr>
          <w:p w14:paraId="57F37682" w14:textId="77777777" w:rsidR="00F52070"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TPE1ZV</w:t>
            </w:r>
          </w:p>
        </w:tc>
        <w:tc>
          <w:tcPr>
            <w:tcW w:w="1746" w:type="dxa"/>
            <w:vAlign w:val="center"/>
          </w:tcPr>
          <w:p w14:paraId="32164CC4"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18,76</w:t>
            </w:r>
          </w:p>
        </w:tc>
        <w:tc>
          <w:tcPr>
            <w:tcW w:w="1747" w:type="dxa"/>
            <w:vAlign w:val="center"/>
          </w:tcPr>
          <w:p w14:paraId="1C8BD87E"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18,26</w:t>
            </w:r>
          </w:p>
        </w:tc>
        <w:tc>
          <w:tcPr>
            <w:tcW w:w="1747" w:type="dxa"/>
            <w:vAlign w:val="center"/>
          </w:tcPr>
          <w:p w14:paraId="3BFD12B8"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-,050</w:t>
            </w:r>
          </w:p>
        </w:tc>
      </w:tr>
      <w:tr w:rsidR="00D56D35" w14:paraId="2410BF2E" w14:textId="77777777" w:rsidTr="00B74686">
        <w:trPr>
          <w:trHeight w:val="70"/>
          <w:jc w:val="center"/>
        </w:trPr>
        <w:tc>
          <w:tcPr>
            <w:tcW w:w="1989" w:type="dxa"/>
          </w:tcPr>
          <w:p w14:paraId="57206624" w14:textId="77777777" w:rsidR="00D56D35"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TPE3/4AS</w:t>
            </w:r>
          </w:p>
        </w:tc>
        <w:tc>
          <w:tcPr>
            <w:tcW w:w="1746" w:type="dxa"/>
            <w:vAlign w:val="center"/>
          </w:tcPr>
          <w:p w14:paraId="10FB5CCE"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0,87</w:t>
            </w:r>
          </w:p>
        </w:tc>
        <w:tc>
          <w:tcPr>
            <w:tcW w:w="1747" w:type="dxa"/>
            <w:vAlign w:val="center"/>
          </w:tcPr>
          <w:p w14:paraId="162409A1"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1,13</w:t>
            </w:r>
          </w:p>
        </w:tc>
        <w:tc>
          <w:tcPr>
            <w:tcW w:w="1747" w:type="dxa"/>
            <w:vAlign w:val="center"/>
          </w:tcPr>
          <w:p w14:paraId="7F922134"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0,26</w:t>
            </w:r>
          </w:p>
        </w:tc>
      </w:tr>
      <w:tr w:rsidR="00D56D35" w14:paraId="049DB95C" w14:textId="77777777" w:rsidTr="00B74686">
        <w:trPr>
          <w:trHeight w:val="70"/>
          <w:jc w:val="center"/>
        </w:trPr>
        <w:tc>
          <w:tcPr>
            <w:tcW w:w="1989" w:type="dxa"/>
          </w:tcPr>
          <w:p w14:paraId="318301C8" w14:textId="77777777" w:rsidR="00D56D35"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TPE3/4CO</w:t>
            </w:r>
          </w:p>
        </w:tc>
        <w:tc>
          <w:tcPr>
            <w:tcW w:w="1746" w:type="dxa"/>
            <w:vAlign w:val="center"/>
          </w:tcPr>
          <w:p w14:paraId="09E826BB"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8,73</w:t>
            </w:r>
          </w:p>
        </w:tc>
        <w:tc>
          <w:tcPr>
            <w:tcW w:w="1747" w:type="dxa"/>
            <w:vAlign w:val="center"/>
          </w:tcPr>
          <w:p w14:paraId="2A229BF1"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5,99</w:t>
            </w:r>
          </w:p>
        </w:tc>
        <w:tc>
          <w:tcPr>
            <w:tcW w:w="1747" w:type="dxa"/>
            <w:vAlign w:val="center"/>
          </w:tcPr>
          <w:p w14:paraId="0CC53562"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-2,74</w:t>
            </w:r>
          </w:p>
        </w:tc>
      </w:tr>
      <w:tr w:rsidR="00D56D35" w14:paraId="52D5C4F3" w14:textId="77777777" w:rsidTr="00B74686">
        <w:trPr>
          <w:trHeight w:val="70"/>
          <w:jc w:val="center"/>
        </w:trPr>
        <w:tc>
          <w:tcPr>
            <w:tcW w:w="1989" w:type="dxa"/>
          </w:tcPr>
          <w:p w14:paraId="31DCC036" w14:textId="77777777" w:rsidR="00D56D35"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TPE3/4TA</w:t>
            </w:r>
          </w:p>
        </w:tc>
        <w:tc>
          <w:tcPr>
            <w:tcW w:w="1746" w:type="dxa"/>
            <w:vAlign w:val="center"/>
          </w:tcPr>
          <w:p w14:paraId="7CC69D86"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1,22</w:t>
            </w:r>
          </w:p>
        </w:tc>
        <w:tc>
          <w:tcPr>
            <w:tcW w:w="1747" w:type="dxa"/>
            <w:vAlign w:val="center"/>
          </w:tcPr>
          <w:p w14:paraId="6A960993"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1,01</w:t>
            </w:r>
          </w:p>
        </w:tc>
        <w:tc>
          <w:tcPr>
            <w:tcW w:w="1747" w:type="dxa"/>
            <w:vAlign w:val="center"/>
          </w:tcPr>
          <w:p w14:paraId="18FA3BD3"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-0,21</w:t>
            </w:r>
          </w:p>
        </w:tc>
      </w:tr>
      <w:tr w:rsidR="00D56D35" w14:paraId="18E150C9" w14:textId="77777777" w:rsidTr="00B74686">
        <w:trPr>
          <w:trHeight w:val="70"/>
          <w:jc w:val="center"/>
        </w:trPr>
        <w:tc>
          <w:tcPr>
            <w:tcW w:w="1989" w:type="dxa"/>
          </w:tcPr>
          <w:p w14:paraId="6DF17A10" w14:textId="77777777" w:rsidR="00D56D35"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TPE3/4ZV</w:t>
            </w:r>
          </w:p>
        </w:tc>
        <w:tc>
          <w:tcPr>
            <w:tcW w:w="1746" w:type="dxa"/>
            <w:vAlign w:val="center"/>
          </w:tcPr>
          <w:p w14:paraId="63E4A535"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51,33</w:t>
            </w:r>
          </w:p>
        </w:tc>
        <w:tc>
          <w:tcPr>
            <w:tcW w:w="1747" w:type="dxa"/>
            <w:vAlign w:val="center"/>
          </w:tcPr>
          <w:p w14:paraId="55A2C396"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53,13</w:t>
            </w:r>
          </w:p>
        </w:tc>
        <w:tc>
          <w:tcPr>
            <w:tcW w:w="1747" w:type="dxa"/>
            <w:vAlign w:val="center"/>
          </w:tcPr>
          <w:p w14:paraId="60362975"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1,80</w:t>
            </w:r>
          </w:p>
        </w:tc>
      </w:tr>
      <w:tr w:rsidR="00D56D35" w14:paraId="4E748FAF" w14:textId="77777777" w:rsidTr="00B74686">
        <w:trPr>
          <w:trHeight w:val="70"/>
          <w:jc w:val="center"/>
        </w:trPr>
        <w:tc>
          <w:tcPr>
            <w:tcW w:w="1989" w:type="dxa"/>
          </w:tcPr>
          <w:p w14:paraId="16E4FC59" w14:textId="77777777" w:rsidR="00D56D35"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CUSTM000062</w:t>
            </w:r>
          </w:p>
        </w:tc>
        <w:tc>
          <w:tcPr>
            <w:tcW w:w="1746" w:type="dxa"/>
            <w:vAlign w:val="center"/>
          </w:tcPr>
          <w:p w14:paraId="69B1A730"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5F67D9DE"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c>
          <w:tcPr>
            <w:tcW w:w="1747" w:type="dxa"/>
            <w:vAlign w:val="center"/>
          </w:tcPr>
          <w:p w14:paraId="2E1DF609"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r>
      <w:tr w:rsidR="00D56D35" w14:paraId="7747E4B3" w14:textId="77777777" w:rsidTr="00B74686">
        <w:trPr>
          <w:trHeight w:val="70"/>
          <w:jc w:val="center"/>
        </w:trPr>
        <w:tc>
          <w:tcPr>
            <w:tcW w:w="1989" w:type="dxa"/>
          </w:tcPr>
          <w:p w14:paraId="68B9134C" w14:textId="77777777" w:rsidR="00D56D35"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PLI02</w:t>
            </w:r>
          </w:p>
        </w:tc>
        <w:tc>
          <w:tcPr>
            <w:tcW w:w="1746" w:type="dxa"/>
            <w:vAlign w:val="center"/>
          </w:tcPr>
          <w:p w14:paraId="1F264BF0"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1B3BFD4C"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21,00</w:t>
            </w:r>
          </w:p>
        </w:tc>
        <w:tc>
          <w:tcPr>
            <w:tcW w:w="1747" w:type="dxa"/>
            <w:vAlign w:val="center"/>
          </w:tcPr>
          <w:p w14:paraId="67710E8B"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21,00</w:t>
            </w:r>
          </w:p>
        </w:tc>
      </w:tr>
      <w:tr w:rsidR="00D56D35" w14:paraId="7A99689B" w14:textId="77777777" w:rsidTr="00B74686">
        <w:trPr>
          <w:trHeight w:val="70"/>
          <w:jc w:val="center"/>
        </w:trPr>
        <w:tc>
          <w:tcPr>
            <w:tcW w:w="1989" w:type="dxa"/>
          </w:tcPr>
          <w:p w14:paraId="1C1DB10C" w14:textId="77777777" w:rsidR="00D56D35"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TMP-1</w:t>
            </w:r>
          </w:p>
        </w:tc>
        <w:tc>
          <w:tcPr>
            <w:tcW w:w="1746" w:type="dxa"/>
            <w:vAlign w:val="center"/>
          </w:tcPr>
          <w:p w14:paraId="3A1DE350"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27A6589E"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22,00</w:t>
            </w:r>
          </w:p>
        </w:tc>
        <w:tc>
          <w:tcPr>
            <w:tcW w:w="1747" w:type="dxa"/>
            <w:vAlign w:val="center"/>
          </w:tcPr>
          <w:p w14:paraId="33A27619"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22,00</w:t>
            </w:r>
          </w:p>
        </w:tc>
      </w:tr>
      <w:tr w:rsidR="00D56D35" w14:paraId="5032824D" w14:textId="77777777" w:rsidTr="00B74686">
        <w:trPr>
          <w:trHeight w:val="70"/>
          <w:jc w:val="center"/>
        </w:trPr>
        <w:tc>
          <w:tcPr>
            <w:tcW w:w="1989" w:type="dxa"/>
          </w:tcPr>
          <w:p w14:paraId="6A4F061B" w14:textId="77777777" w:rsidR="00D56D35"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TMP-2</w:t>
            </w:r>
          </w:p>
        </w:tc>
        <w:tc>
          <w:tcPr>
            <w:tcW w:w="1746" w:type="dxa"/>
            <w:vAlign w:val="center"/>
          </w:tcPr>
          <w:p w14:paraId="74AA2720"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3EABF75A"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c>
          <w:tcPr>
            <w:tcW w:w="1747" w:type="dxa"/>
            <w:vAlign w:val="center"/>
          </w:tcPr>
          <w:p w14:paraId="663D13EE"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2,00</w:t>
            </w:r>
          </w:p>
        </w:tc>
      </w:tr>
      <w:tr w:rsidR="00D56D35" w14:paraId="70CE1390" w14:textId="77777777" w:rsidTr="00B74686">
        <w:trPr>
          <w:trHeight w:val="70"/>
          <w:jc w:val="center"/>
        </w:trPr>
        <w:tc>
          <w:tcPr>
            <w:tcW w:w="1989" w:type="dxa"/>
          </w:tcPr>
          <w:p w14:paraId="3CBDB2F1" w14:textId="77777777" w:rsidR="00D56D35"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TMP-3</w:t>
            </w:r>
          </w:p>
        </w:tc>
        <w:tc>
          <w:tcPr>
            <w:tcW w:w="1746" w:type="dxa"/>
            <w:vAlign w:val="center"/>
          </w:tcPr>
          <w:p w14:paraId="5486A1C3"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4BF8AA5A"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1,00</w:t>
            </w:r>
          </w:p>
        </w:tc>
        <w:tc>
          <w:tcPr>
            <w:tcW w:w="1747" w:type="dxa"/>
            <w:vAlign w:val="center"/>
          </w:tcPr>
          <w:p w14:paraId="1DAC29D8" w14:textId="77777777" w:rsidR="00D56D35"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1,00</w:t>
            </w:r>
          </w:p>
        </w:tc>
      </w:tr>
      <w:tr w:rsidR="00F52070" w14:paraId="607CE10B" w14:textId="77777777" w:rsidTr="00B74686">
        <w:trPr>
          <w:trHeight w:val="70"/>
          <w:jc w:val="center"/>
        </w:trPr>
        <w:tc>
          <w:tcPr>
            <w:tcW w:w="1989" w:type="dxa"/>
          </w:tcPr>
          <w:p w14:paraId="2CD1822F" w14:textId="77777777" w:rsidR="00F52070"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TMP-4</w:t>
            </w:r>
          </w:p>
        </w:tc>
        <w:tc>
          <w:tcPr>
            <w:tcW w:w="1746" w:type="dxa"/>
            <w:vAlign w:val="center"/>
          </w:tcPr>
          <w:p w14:paraId="7C7C1D1D"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4075CBC9"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23,00</w:t>
            </w:r>
          </w:p>
        </w:tc>
        <w:tc>
          <w:tcPr>
            <w:tcW w:w="1747" w:type="dxa"/>
            <w:vAlign w:val="center"/>
          </w:tcPr>
          <w:p w14:paraId="0217A761"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23,00</w:t>
            </w:r>
          </w:p>
        </w:tc>
      </w:tr>
      <w:tr w:rsidR="00F52070" w14:paraId="298788BE" w14:textId="77777777" w:rsidTr="00B74686">
        <w:trPr>
          <w:trHeight w:val="70"/>
          <w:jc w:val="center"/>
        </w:trPr>
        <w:tc>
          <w:tcPr>
            <w:tcW w:w="1989" w:type="dxa"/>
          </w:tcPr>
          <w:p w14:paraId="31D254AA" w14:textId="77777777" w:rsidR="00F52070"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TPE100-160-ZV</w:t>
            </w:r>
          </w:p>
        </w:tc>
        <w:tc>
          <w:tcPr>
            <w:tcW w:w="1746" w:type="dxa"/>
            <w:vAlign w:val="center"/>
          </w:tcPr>
          <w:p w14:paraId="6D06DD4A"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3B64506D"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4,00</w:t>
            </w:r>
          </w:p>
        </w:tc>
        <w:tc>
          <w:tcPr>
            <w:tcW w:w="1747" w:type="dxa"/>
            <w:vAlign w:val="center"/>
          </w:tcPr>
          <w:p w14:paraId="126E38D9"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4,00</w:t>
            </w:r>
          </w:p>
        </w:tc>
      </w:tr>
      <w:tr w:rsidR="00F52070" w14:paraId="72302C97" w14:textId="77777777" w:rsidTr="00B74686">
        <w:trPr>
          <w:trHeight w:val="70"/>
          <w:jc w:val="center"/>
        </w:trPr>
        <w:tc>
          <w:tcPr>
            <w:tcW w:w="1989" w:type="dxa"/>
          </w:tcPr>
          <w:p w14:paraId="4F95A56F" w14:textId="77777777" w:rsidR="00F52070" w:rsidRPr="00C576A1" w:rsidRDefault="00D56D35" w:rsidP="00F52070">
            <w:pPr>
              <w:adjustRightInd w:val="0"/>
              <w:ind w:left="0" w:right="23"/>
              <w:jc w:val="both"/>
              <w:rPr>
                <w:rFonts w:ascii="Bookman Old Style" w:hAnsi="Bookman Old Style"/>
                <w:sz w:val="22"/>
                <w:szCs w:val="22"/>
              </w:rPr>
            </w:pPr>
            <w:r w:rsidRPr="00C576A1">
              <w:rPr>
                <w:rFonts w:ascii="Bookman Old Style" w:hAnsi="Bookman Old Style"/>
                <w:sz w:val="22"/>
                <w:szCs w:val="22"/>
              </w:rPr>
              <w:t>AMERP</w:t>
            </w:r>
          </w:p>
        </w:tc>
        <w:tc>
          <w:tcPr>
            <w:tcW w:w="1746" w:type="dxa"/>
            <w:vAlign w:val="center"/>
          </w:tcPr>
          <w:p w14:paraId="3AF866F2"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0,00</w:t>
            </w:r>
          </w:p>
        </w:tc>
        <w:tc>
          <w:tcPr>
            <w:tcW w:w="1747" w:type="dxa"/>
            <w:vAlign w:val="center"/>
          </w:tcPr>
          <w:p w14:paraId="669220A9"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1,00</w:t>
            </w:r>
          </w:p>
        </w:tc>
        <w:tc>
          <w:tcPr>
            <w:tcW w:w="1747" w:type="dxa"/>
            <w:vAlign w:val="center"/>
          </w:tcPr>
          <w:p w14:paraId="0EFBEFEE" w14:textId="77777777" w:rsidR="00F52070" w:rsidRPr="00C576A1" w:rsidRDefault="00504F2A" w:rsidP="00F52070">
            <w:pPr>
              <w:adjustRightInd w:val="0"/>
              <w:ind w:left="0" w:right="23"/>
              <w:jc w:val="center"/>
              <w:rPr>
                <w:rFonts w:ascii="Bookman Old Style" w:hAnsi="Bookman Old Style"/>
                <w:sz w:val="22"/>
                <w:szCs w:val="22"/>
              </w:rPr>
            </w:pPr>
            <w:r w:rsidRPr="00C576A1">
              <w:rPr>
                <w:rFonts w:ascii="Bookman Old Style" w:hAnsi="Bookman Old Style"/>
                <w:sz w:val="22"/>
                <w:szCs w:val="22"/>
              </w:rPr>
              <w:t>1,00</w:t>
            </w:r>
          </w:p>
        </w:tc>
      </w:tr>
      <w:tr w:rsidR="00F52070" w:rsidRPr="00A64305" w14:paraId="43DE5A9E" w14:textId="77777777" w:rsidTr="00B74686">
        <w:trPr>
          <w:jc w:val="center"/>
        </w:trPr>
        <w:tc>
          <w:tcPr>
            <w:tcW w:w="1989" w:type="dxa"/>
            <w:shd w:val="clear" w:color="auto" w:fill="F2F2F2" w:themeFill="background1" w:themeFillShade="F2"/>
          </w:tcPr>
          <w:p w14:paraId="3D2B805C" w14:textId="77777777" w:rsidR="00F52070" w:rsidRPr="00C576A1" w:rsidRDefault="00F52070" w:rsidP="00F52070">
            <w:pPr>
              <w:adjustRightInd w:val="0"/>
              <w:ind w:left="0" w:right="23"/>
              <w:jc w:val="right"/>
              <w:rPr>
                <w:rFonts w:ascii="Bookman Old Style" w:hAnsi="Bookman Old Style"/>
                <w:b/>
                <w:sz w:val="22"/>
                <w:szCs w:val="22"/>
              </w:rPr>
            </w:pPr>
            <w:r w:rsidRPr="00C576A1">
              <w:rPr>
                <w:rFonts w:ascii="Bookman Old Style" w:hAnsi="Bookman Old Style"/>
                <w:b/>
                <w:sz w:val="22"/>
                <w:szCs w:val="22"/>
              </w:rPr>
              <w:t>Total</w:t>
            </w:r>
          </w:p>
        </w:tc>
        <w:tc>
          <w:tcPr>
            <w:tcW w:w="1746" w:type="dxa"/>
            <w:shd w:val="clear" w:color="auto" w:fill="F2F2F2" w:themeFill="background1" w:themeFillShade="F2"/>
          </w:tcPr>
          <w:p w14:paraId="48E82BA7" w14:textId="77777777" w:rsidR="00F52070" w:rsidRPr="00C576A1" w:rsidRDefault="00504F2A" w:rsidP="00F52070">
            <w:pPr>
              <w:adjustRightInd w:val="0"/>
              <w:ind w:left="0" w:right="23"/>
              <w:jc w:val="center"/>
              <w:rPr>
                <w:rFonts w:ascii="Bookman Old Style" w:hAnsi="Bookman Old Style"/>
                <w:b/>
                <w:sz w:val="22"/>
                <w:szCs w:val="22"/>
              </w:rPr>
            </w:pPr>
            <w:r w:rsidRPr="00C576A1">
              <w:rPr>
                <w:rFonts w:ascii="Bookman Old Style" w:hAnsi="Bookman Old Style"/>
                <w:b/>
                <w:sz w:val="22"/>
                <w:szCs w:val="22"/>
              </w:rPr>
              <w:t>1273,07</w:t>
            </w:r>
          </w:p>
        </w:tc>
        <w:tc>
          <w:tcPr>
            <w:tcW w:w="1747" w:type="dxa"/>
            <w:shd w:val="clear" w:color="auto" w:fill="F2F2F2" w:themeFill="background1" w:themeFillShade="F2"/>
            <w:vAlign w:val="center"/>
          </w:tcPr>
          <w:p w14:paraId="0DDF8488" w14:textId="77777777" w:rsidR="00F52070" w:rsidRPr="00C576A1" w:rsidRDefault="00504F2A" w:rsidP="00F52070">
            <w:pPr>
              <w:adjustRightInd w:val="0"/>
              <w:ind w:left="0" w:right="23"/>
              <w:jc w:val="center"/>
              <w:rPr>
                <w:rFonts w:ascii="Bookman Old Style" w:hAnsi="Bookman Old Style"/>
                <w:b/>
                <w:sz w:val="22"/>
                <w:szCs w:val="22"/>
              </w:rPr>
            </w:pPr>
            <w:r w:rsidRPr="00C576A1">
              <w:rPr>
                <w:rFonts w:ascii="Bookman Old Style" w:hAnsi="Bookman Old Style"/>
                <w:b/>
                <w:sz w:val="22"/>
                <w:szCs w:val="22"/>
              </w:rPr>
              <w:t>1275,42</w:t>
            </w:r>
          </w:p>
        </w:tc>
        <w:tc>
          <w:tcPr>
            <w:tcW w:w="1747" w:type="dxa"/>
            <w:shd w:val="clear" w:color="auto" w:fill="F2F2F2" w:themeFill="background1" w:themeFillShade="F2"/>
            <w:vAlign w:val="center"/>
          </w:tcPr>
          <w:p w14:paraId="52EC073C" w14:textId="77777777" w:rsidR="00F52070" w:rsidRPr="00C576A1" w:rsidRDefault="00504F2A" w:rsidP="00F52070">
            <w:pPr>
              <w:adjustRightInd w:val="0"/>
              <w:ind w:left="0" w:right="23"/>
              <w:jc w:val="center"/>
              <w:rPr>
                <w:rFonts w:ascii="Bookman Old Style" w:hAnsi="Bookman Old Style"/>
                <w:b/>
                <w:sz w:val="22"/>
                <w:szCs w:val="22"/>
              </w:rPr>
            </w:pPr>
            <w:r w:rsidRPr="00C576A1">
              <w:rPr>
                <w:rFonts w:ascii="Bookman Old Style" w:hAnsi="Bookman Old Style"/>
                <w:b/>
                <w:sz w:val="22"/>
                <w:szCs w:val="22"/>
              </w:rPr>
              <w:t>2,35</w:t>
            </w:r>
          </w:p>
        </w:tc>
      </w:tr>
    </w:tbl>
    <w:p w14:paraId="444746BA" w14:textId="77777777" w:rsidR="00626EED" w:rsidRPr="00626EED" w:rsidRDefault="00E16DC8" w:rsidP="00245A33">
      <w:pPr>
        <w:pStyle w:val="Ttulo5"/>
        <w:numPr>
          <w:ilvl w:val="0"/>
          <w:numId w:val="2"/>
        </w:numPr>
        <w:tabs>
          <w:tab w:val="clear" w:pos="1080"/>
          <w:tab w:val="num" w:pos="567"/>
        </w:tabs>
        <w:spacing w:before="360" w:after="240"/>
        <w:ind w:left="567" w:hanging="567"/>
        <w:jc w:val="both"/>
        <w:rPr>
          <w:rFonts w:ascii="Bookman Old Style" w:eastAsia="Calibri" w:hAnsi="Bookman Old Style"/>
          <w:sz w:val="24"/>
          <w:szCs w:val="24"/>
          <w:lang w:eastAsia="es-CO"/>
        </w:rPr>
      </w:pPr>
      <w:r>
        <w:rPr>
          <w:rFonts w:ascii="Bookman Old Style" w:eastAsia="Calibri" w:hAnsi="Bookman Old Style"/>
          <w:sz w:val="24"/>
          <w:szCs w:val="24"/>
          <w:lang w:eastAsia="es-CO"/>
        </w:rPr>
        <w:t>PETICIÓN DE GASES DE LA GUAJIRA</w:t>
      </w:r>
      <w:r w:rsidR="00626EED" w:rsidRPr="00626EED">
        <w:rPr>
          <w:rFonts w:ascii="Bookman Old Style" w:eastAsia="Calibri" w:hAnsi="Bookman Old Style"/>
          <w:sz w:val="24"/>
          <w:szCs w:val="24"/>
          <w:lang w:eastAsia="es-CO"/>
        </w:rPr>
        <w:t xml:space="preserve"> S.A. E.S.P.</w:t>
      </w:r>
    </w:p>
    <w:p w14:paraId="7D71138D" w14:textId="1F12F1EC" w:rsidR="00E16DC8" w:rsidRDefault="00E16DC8" w:rsidP="00E16DC8">
      <w:pPr>
        <w:adjustRightInd w:val="0"/>
        <w:spacing w:before="240" w:after="240"/>
        <w:ind w:left="0" w:right="23"/>
        <w:jc w:val="both"/>
        <w:rPr>
          <w:rFonts w:ascii="Bookman Old Style" w:hAnsi="Bookman Old Style"/>
        </w:rPr>
      </w:pPr>
      <w:r>
        <w:rPr>
          <w:rFonts w:ascii="Bookman Old Style" w:hAnsi="Bookman Old Style"/>
        </w:rPr>
        <w:t xml:space="preserve">Se modifique el </w:t>
      </w:r>
      <w:r w:rsidR="008A42A6">
        <w:rPr>
          <w:rFonts w:ascii="Bookman Old Style" w:hAnsi="Bookman Old Style"/>
        </w:rPr>
        <w:t>a</w:t>
      </w:r>
      <w:r>
        <w:rPr>
          <w:rFonts w:ascii="Bookman Old Style" w:hAnsi="Bookman Old Style"/>
        </w:rPr>
        <w:t>rtículo 3 de la Resolución CREG 027 de 2018, de tal manera que se reconozca la totalidad de las inversiones realizadas por la empresa, co</w:t>
      </w:r>
      <w:r w:rsidR="000D661E">
        <w:rPr>
          <w:rFonts w:ascii="Bookman Old Style" w:hAnsi="Bookman Old Style"/>
        </w:rPr>
        <w:t xml:space="preserve">nforme se expone en el </w:t>
      </w:r>
      <w:r w:rsidR="000D661E" w:rsidRPr="000D661E">
        <w:rPr>
          <w:rFonts w:ascii="Bookman Old Style" w:hAnsi="Bookman Old Style"/>
        </w:rPr>
        <w:fldChar w:fldCharType="begin"/>
      </w:r>
      <w:r w:rsidR="000D661E" w:rsidRPr="000D661E">
        <w:rPr>
          <w:rFonts w:ascii="Bookman Old Style" w:hAnsi="Bookman Old Style"/>
        </w:rPr>
        <w:instrText xml:space="preserve"> REF _Ref530415295 \h  \* MERGEFORMAT </w:instrText>
      </w:r>
      <w:r w:rsidR="000D661E" w:rsidRPr="000D661E">
        <w:rPr>
          <w:rFonts w:ascii="Bookman Old Style" w:hAnsi="Bookman Old Style"/>
        </w:rPr>
      </w:r>
      <w:r w:rsidR="000D661E" w:rsidRPr="000D661E">
        <w:rPr>
          <w:rFonts w:ascii="Bookman Old Style" w:hAnsi="Bookman Old Style"/>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8</w:t>
      </w:r>
      <w:r w:rsidR="000D661E" w:rsidRPr="000D661E">
        <w:rPr>
          <w:rFonts w:ascii="Bookman Old Style" w:hAnsi="Bookman Old Style"/>
        </w:rPr>
        <w:fldChar w:fldCharType="end"/>
      </w:r>
      <w:r w:rsidR="000D661E">
        <w:rPr>
          <w:rFonts w:ascii="Bookman Old Style" w:hAnsi="Bookman Old Style"/>
        </w:rPr>
        <w:t>.</w:t>
      </w:r>
    </w:p>
    <w:p w14:paraId="7607FB16" w14:textId="2705D092" w:rsidR="00426AD0" w:rsidRPr="00426AD0" w:rsidRDefault="005F5D91" w:rsidP="005F5D91">
      <w:pPr>
        <w:keepNext/>
        <w:adjustRightInd w:val="0"/>
        <w:spacing w:before="240"/>
        <w:ind w:left="0" w:right="23"/>
        <w:jc w:val="center"/>
        <w:rPr>
          <w:rFonts w:ascii="Bookman Old Style" w:hAnsi="Bookman Old Style"/>
          <w:b/>
        </w:rPr>
      </w:pPr>
      <w:bookmarkStart w:id="7" w:name="_Ref530415295"/>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8</w:t>
      </w:r>
      <w:r w:rsidRPr="005F5D91">
        <w:rPr>
          <w:rFonts w:ascii="Bookman Old Style" w:hAnsi="Bookman Old Style"/>
          <w:b/>
        </w:rPr>
        <w:fldChar w:fldCharType="end"/>
      </w:r>
      <w:bookmarkEnd w:id="7"/>
    </w:p>
    <w:tbl>
      <w:tblPr>
        <w:tblStyle w:val="Tablaconcuadrcula"/>
        <w:tblW w:w="0" w:type="auto"/>
        <w:jc w:val="center"/>
        <w:tblLook w:val="04A0" w:firstRow="1" w:lastRow="0" w:firstColumn="1" w:lastColumn="0" w:noHBand="0" w:noVBand="1"/>
      </w:tblPr>
      <w:tblGrid>
        <w:gridCol w:w="6232"/>
        <w:gridCol w:w="2835"/>
      </w:tblGrid>
      <w:tr w:rsidR="00E16DC8" w14:paraId="1BFB1367" w14:textId="77777777" w:rsidTr="00E41433">
        <w:trPr>
          <w:tblHeader/>
          <w:jc w:val="center"/>
        </w:trPr>
        <w:tc>
          <w:tcPr>
            <w:tcW w:w="6232" w:type="dxa"/>
            <w:shd w:val="clear" w:color="auto" w:fill="D9D9D9" w:themeFill="background1" w:themeFillShade="D9"/>
            <w:vAlign w:val="center"/>
          </w:tcPr>
          <w:p w14:paraId="2B38665E" w14:textId="77777777" w:rsidR="00E16DC8" w:rsidRPr="00C576A1" w:rsidRDefault="00E16DC8" w:rsidP="00E41433">
            <w:pPr>
              <w:keepNext/>
              <w:adjustRightInd w:val="0"/>
              <w:ind w:left="0" w:right="23"/>
              <w:jc w:val="center"/>
              <w:rPr>
                <w:rFonts w:ascii="Bookman Old Style" w:hAnsi="Bookman Old Style"/>
                <w:b/>
                <w:sz w:val="22"/>
                <w:szCs w:val="22"/>
              </w:rPr>
            </w:pPr>
            <w:r w:rsidRPr="00C576A1">
              <w:rPr>
                <w:rFonts w:ascii="Bookman Old Style" w:hAnsi="Bookman Old Style"/>
                <w:b/>
                <w:sz w:val="22"/>
                <w:szCs w:val="22"/>
              </w:rPr>
              <w:t>Variable</w:t>
            </w:r>
          </w:p>
        </w:tc>
        <w:tc>
          <w:tcPr>
            <w:tcW w:w="2835" w:type="dxa"/>
            <w:shd w:val="clear" w:color="auto" w:fill="D9D9D9" w:themeFill="background1" w:themeFillShade="D9"/>
            <w:vAlign w:val="center"/>
          </w:tcPr>
          <w:p w14:paraId="2DBBE2DD" w14:textId="77777777" w:rsidR="00E16DC8" w:rsidRPr="00C576A1" w:rsidRDefault="00E16DC8" w:rsidP="00E41433">
            <w:pPr>
              <w:keepNext/>
              <w:adjustRightInd w:val="0"/>
              <w:ind w:left="0" w:right="23"/>
              <w:jc w:val="center"/>
              <w:rPr>
                <w:rFonts w:ascii="Bookman Old Style" w:hAnsi="Bookman Old Style"/>
                <w:b/>
                <w:sz w:val="22"/>
                <w:szCs w:val="22"/>
              </w:rPr>
            </w:pPr>
            <w:r w:rsidRPr="00C576A1">
              <w:rPr>
                <w:rFonts w:ascii="Bookman Old Style" w:hAnsi="Bookman Old Style"/>
                <w:b/>
                <w:sz w:val="22"/>
                <w:szCs w:val="22"/>
              </w:rPr>
              <w:t>Valor reconocido</w:t>
            </w:r>
          </w:p>
        </w:tc>
      </w:tr>
      <w:tr w:rsidR="00E16DC8" w14:paraId="30AEE9AC" w14:textId="77777777" w:rsidTr="00743F6E">
        <w:trPr>
          <w:jc w:val="center"/>
        </w:trPr>
        <w:tc>
          <w:tcPr>
            <w:tcW w:w="6232" w:type="dxa"/>
          </w:tcPr>
          <w:p w14:paraId="0A24051A" w14:textId="77777777" w:rsidR="00E16DC8" w:rsidRPr="00C576A1" w:rsidRDefault="00E16DC8" w:rsidP="00743F6E">
            <w:pPr>
              <w:adjustRightInd w:val="0"/>
              <w:ind w:left="0" w:right="23"/>
              <w:jc w:val="both"/>
              <w:rPr>
                <w:rFonts w:ascii="Bookman Old Style" w:hAnsi="Bookman Old Style"/>
                <w:sz w:val="22"/>
                <w:szCs w:val="22"/>
              </w:rPr>
            </w:pPr>
            <w:r w:rsidRPr="00C576A1">
              <w:rPr>
                <w:rFonts w:ascii="Bookman Old Style" w:hAnsi="Bookman Old Style"/>
                <w:sz w:val="22"/>
                <w:szCs w:val="22"/>
              </w:rPr>
              <w:t>Inversión Existente (IE)</w:t>
            </w:r>
          </w:p>
        </w:tc>
        <w:tc>
          <w:tcPr>
            <w:tcW w:w="2835" w:type="dxa"/>
            <w:vAlign w:val="center"/>
          </w:tcPr>
          <w:p w14:paraId="22E47024" w14:textId="77777777" w:rsidR="00E16DC8" w:rsidRPr="00C576A1" w:rsidRDefault="00E16DC8" w:rsidP="00743F6E">
            <w:pPr>
              <w:adjustRightInd w:val="0"/>
              <w:ind w:left="0" w:right="23"/>
              <w:jc w:val="center"/>
              <w:rPr>
                <w:rFonts w:ascii="Bookman Old Style" w:hAnsi="Bookman Old Style"/>
                <w:sz w:val="22"/>
                <w:szCs w:val="22"/>
              </w:rPr>
            </w:pPr>
            <w:r w:rsidRPr="00C576A1">
              <w:rPr>
                <w:rFonts w:ascii="Bookman Old Style" w:hAnsi="Bookman Old Style"/>
                <w:sz w:val="22"/>
                <w:szCs w:val="22"/>
              </w:rPr>
              <w:t>17.137.116.888</w:t>
            </w:r>
          </w:p>
        </w:tc>
      </w:tr>
      <w:tr w:rsidR="00E16DC8" w14:paraId="7D128FFE" w14:textId="77777777" w:rsidTr="00C576A1">
        <w:trPr>
          <w:trHeight w:val="234"/>
          <w:jc w:val="center"/>
        </w:trPr>
        <w:tc>
          <w:tcPr>
            <w:tcW w:w="6232" w:type="dxa"/>
          </w:tcPr>
          <w:p w14:paraId="41474819" w14:textId="77777777" w:rsidR="00E16DC8" w:rsidRPr="00C576A1" w:rsidRDefault="00E16DC8" w:rsidP="00743F6E">
            <w:pPr>
              <w:adjustRightInd w:val="0"/>
              <w:ind w:left="0" w:right="23"/>
              <w:jc w:val="both"/>
              <w:rPr>
                <w:rFonts w:ascii="Bookman Old Style" w:hAnsi="Bookman Old Style"/>
                <w:sz w:val="22"/>
                <w:szCs w:val="22"/>
              </w:rPr>
            </w:pPr>
            <w:r w:rsidRPr="00C576A1">
              <w:rPr>
                <w:rFonts w:ascii="Bookman Old Style" w:hAnsi="Bookman Old Style" w:cs="Arial"/>
                <w:sz w:val="22"/>
                <w:szCs w:val="22"/>
                <w:lang w:val="es-ES_tradnl"/>
              </w:rPr>
              <w:t>Inversión Programada en Nuevas Inversiones que fue reconocida y ejecutada en el período tarifario vigente (IPE)</w:t>
            </w:r>
          </w:p>
        </w:tc>
        <w:tc>
          <w:tcPr>
            <w:tcW w:w="2835" w:type="dxa"/>
            <w:vAlign w:val="center"/>
          </w:tcPr>
          <w:p w14:paraId="66A5AE09" w14:textId="77777777" w:rsidR="00E16DC8" w:rsidRPr="00C576A1" w:rsidRDefault="00E16DC8" w:rsidP="00743F6E">
            <w:pPr>
              <w:adjustRightInd w:val="0"/>
              <w:ind w:left="0" w:right="23"/>
              <w:jc w:val="center"/>
              <w:rPr>
                <w:rFonts w:ascii="Bookman Old Style" w:hAnsi="Bookman Old Style"/>
                <w:sz w:val="22"/>
                <w:szCs w:val="22"/>
              </w:rPr>
            </w:pPr>
            <w:r w:rsidRPr="00C576A1">
              <w:rPr>
                <w:rFonts w:ascii="Bookman Old Style" w:hAnsi="Bookman Old Style"/>
                <w:sz w:val="22"/>
                <w:szCs w:val="22"/>
              </w:rPr>
              <w:t>23.634.677.670</w:t>
            </w:r>
          </w:p>
        </w:tc>
      </w:tr>
      <w:tr w:rsidR="00E16DC8" w14:paraId="4B74A241" w14:textId="77777777" w:rsidTr="00C576A1">
        <w:trPr>
          <w:trHeight w:val="70"/>
          <w:jc w:val="center"/>
        </w:trPr>
        <w:tc>
          <w:tcPr>
            <w:tcW w:w="6232" w:type="dxa"/>
          </w:tcPr>
          <w:p w14:paraId="4C2B05B9" w14:textId="77777777" w:rsidR="00E16DC8" w:rsidRPr="00C576A1" w:rsidRDefault="00E16DC8" w:rsidP="00743F6E">
            <w:pPr>
              <w:adjustRightInd w:val="0"/>
              <w:ind w:left="0" w:right="23"/>
              <w:jc w:val="both"/>
              <w:rPr>
                <w:rFonts w:ascii="Bookman Old Style" w:hAnsi="Bookman Old Style" w:cs="Arial"/>
                <w:sz w:val="22"/>
                <w:szCs w:val="22"/>
                <w:lang w:val="es-ES_tradnl"/>
              </w:rPr>
            </w:pPr>
            <w:r w:rsidRPr="00C576A1">
              <w:rPr>
                <w:rFonts w:ascii="Bookman Old Style" w:hAnsi="Bookman Old Style" w:cs="Arial"/>
                <w:sz w:val="22"/>
                <w:szCs w:val="22"/>
                <w:lang w:val="es-ES_tradnl"/>
              </w:rPr>
              <w:lastRenderedPageBreak/>
              <w:t>Inversión ejecutada durante el período tarifario vigente y no prevista en el Programa de Nuevas Inversiones (INPE)</w:t>
            </w:r>
          </w:p>
        </w:tc>
        <w:tc>
          <w:tcPr>
            <w:tcW w:w="2835" w:type="dxa"/>
            <w:vAlign w:val="center"/>
          </w:tcPr>
          <w:p w14:paraId="29876D30" w14:textId="77777777" w:rsidR="00E16DC8" w:rsidRPr="00C576A1" w:rsidRDefault="00E16DC8" w:rsidP="00743F6E">
            <w:pPr>
              <w:adjustRightInd w:val="0"/>
              <w:ind w:left="0" w:right="23"/>
              <w:jc w:val="center"/>
              <w:rPr>
                <w:rFonts w:ascii="Bookman Old Style" w:hAnsi="Bookman Old Style"/>
                <w:sz w:val="22"/>
                <w:szCs w:val="22"/>
              </w:rPr>
            </w:pPr>
            <w:r w:rsidRPr="00C576A1">
              <w:rPr>
                <w:rFonts w:ascii="Bookman Old Style" w:hAnsi="Bookman Old Style"/>
                <w:sz w:val="22"/>
                <w:szCs w:val="22"/>
              </w:rPr>
              <w:t>6.475.411.126</w:t>
            </w:r>
          </w:p>
        </w:tc>
      </w:tr>
      <w:tr w:rsidR="00E16DC8" w14:paraId="51447383" w14:textId="77777777" w:rsidTr="00743F6E">
        <w:trPr>
          <w:jc w:val="center"/>
        </w:trPr>
        <w:tc>
          <w:tcPr>
            <w:tcW w:w="6232" w:type="dxa"/>
            <w:shd w:val="clear" w:color="auto" w:fill="F2F2F2" w:themeFill="background1" w:themeFillShade="F2"/>
          </w:tcPr>
          <w:p w14:paraId="54816CF5" w14:textId="77777777" w:rsidR="00E16DC8" w:rsidRPr="00C576A1" w:rsidRDefault="00E16DC8" w:rsidP="00743F6E">
            <w:pPr>
              <w:adjustRightInd w:val="0"/>
              <w:ind w:left="0" w:right="23"/>
              <w:jc w:val="right"/>
              <w:rPr>
                <w:rFonts w:ascii="Bookman Old Style" w:hAnsi="Bookman Old Style"/>
                <w:b/>
                <w:sz w:val="22"/>
                <w:szCs w:val="22"/>
              </w:rPr>
            </w:pPr>
            <w:r w:rsidRPr="00C576A1">
              <w:rPr>
                <w:rFonts w:ascii="Bookman Old Style" w:hAnsi="Bookman Old Style"/>
                <w:b/>
                <w:sz w:val="22"/>
                <w:szCs w:val="22"/>
              </w:rPr>
              <w:t>Total</w:t>
            </w:r>
          </w:p>
        </w:tc>
        <w:tc>
          <w:tcPr>
            <w:tcW w:w="2835" w:type="dxa"/>
            <w:shd w:val="clear" w:color="auto" w:fill="F2F2F2" w:themeFill="background1" w:themeFillShade="F2"/>
            <w:vAlign w:val="center"/>
          </w:tcPr>
          <w:p w14:paraId="043DC893" w14:textId="77777777" w:rsidR="00E16DC8" w:rsidRPr="00C576A1" w:rsidRDefault="00E16DC8" w:rsidP="00E16DC8">
            <w:pPr>
              <w:adjustRightInd w:val="0"/>
              <w:ind w:left="0" w:right="23"/>
              <w:jc w:val="center"/>
              <w:rPr>
                <w:rFonts w:ascii="Bookman Old Style" w:hAnsi="Bookman Old Style"/>
                <w:b/>
                <w:sz w:val="22"/>
                <w:szCs w:val="22"/>
              </w:rPr>
            </w:pPr>
            <w:r w:rsidRPr="00C576A1">
              <w:rPr>
                <w:rFonts w:ascii="Bookman Old Style" w:hAnsi="Bookman Old Style"/>
                <w:b/>
                <w:sz w:val="22"/>
                <w:szCs w:val="22"/>
              </w:rPr>
              <w:t>47.247.235.684</w:t>
            </w:r>
          </w:p>
        </w:tc>
      </w:tr>
    </w:tbl>
    <w:p w14:paraId="4A1046B3" w14:textId="77777777" w:rsidR="00E16DC8" w:rsidRPr="0041553C" w:rsidRDefault="00E16DC8" w:rsidP="00E16DC8">
      <w:pPr>
        <w:adjustRightInd w:val="0"/>
        <w:spacing w:after="240"/>
        <w:ind w:left="0" w:right="23"/>
        <w:jc w:val="center"/>
        <w:rPr>
          <w:rFonts w:ascii="Bookman Old Style" w:hAnsi="Bookman Old Style"/>
          <w:sz w:val="20"/>
          <w:szCs w:val="20"/>
        </w:rPr>
      </w:pPr>
      <w:r w:rsidRPr="0041553C">
        <w:rPr>
          <w:rFonts w:ascii="Bookman Old Style" w:hAnsi="Bookman Old Style"/>
          <w:sz w:val="20"/>
          <w:szCs w:val="20"/>
        </w:rPr>
        <w:t>Cifras en pesos de diciembre de 2014</w:t>
      </w:r>
    </w:p>
    <w:p w14:paraId="6D752042" w14:textId="77777777" w:rsidR="00626EED" w:rsidRDefault="00626EED" w:rsidP="00245A33">
      <w:pPr>
        <w:pStyle w:val="Ttulo5"/>
        <w:numPr>
          <w:ilvl w:val="0"/>
          <w:numId w:val="2"/>
        </w:numPr>
        <w:tabs>
          <w:tab w:val="clear" w:pos="1080"/>
        </w:tabs>
        <w:spacing w:before="360" w:after="240"/>
        <w:ind w:left="567" w:hanging="567"/>
        <w:jc w:val="both"/>
        <w:rPr>
          <w:rFonts w:ascii="Bookman Old Style" w:eastAsia="Calibri" w:hAnsi="Bookman Old Style"/>
          <w:sz w:val="24"/>
          <w:szCs w:val="24"/>
          <w:lang w:eastAsia="es-CO"/>
        </w:rPr>
      </w:pPr>
      <w:r w:rsidRPr="00626EED">
        <w:rPr>
          <w:rFonts w:ascii="Bookman Old Style" w:eastAsia="Calibri" w:hAnsi="Bookman Old Style"/>
          <w:sz w:val="24"/>
          <w:szCs w:val="24"/>
          <w:lang w:eastAsia="es-CO"/>
        </w:rPr>
        <w:t>ANÁLISIS DE LA CREG</w:t>
      </w:r>
    </w:p>
    <w:p w14:paraId="41637F02" w14:textId="7EF2C542" w:rsidR="002C518D" w:rsidRDefault="008D73D1" w:rsidP="00E51704">
      <w:pPr>
        <w:spacing w:before="240" w:after="240"/>
        <w:ind w:left="0"/>
        <w:jc w:val="both"/>
        <w:rPr>
          <w:rFonts w:ascii="Bookman Old Style" w:hAnsi="Bookman Old Style"/>
          <w:lang w:val="es-ES_tradnl"/>
        </w:rPr>
      </w:pPr>
      <w:r>
        <w:rPr>
          <w:rFonts w:ascii="Bookman Old Style" w:hAnsi="Bookman Old Style"/>
          <w:lang w:val="es-ES_tradnl"/>
        </w:rPr>
        <w:t>P</w:t>
      </w:r>
      <w:r w:rsidR="002C518D" w:rsidRPr="003E4D0A">
        <w:rPr>
          <w:rFonts w:ascii="Bookman Old Style" w:hAnsi="Bookman Old Style"/>
          <w:lang w:val="es-ES_tradnl"/>
        </w:rPr>
        <w:t>ara el análisis</w:t>
      </w:r>
      <w:r w:rsidR="002C518D">
        <w:rPr>
          <w:rFonts w:ascii="Bookman Old Style" w:hAnsi="Bookman Old Style"/>
          <w:lang w:val="es-ES_tradnl"/>
        </w:rPr>
        <w:t xml:space="preserve"> del recurso de reposición se consideraron</w:t>
      </w:r>
      <w:r w:rsidR="001D34FF">
        <w:rPr>
          <w:rFonts w:ascii="Bookman Old Style" w:hAnsi="Bookman Old Style"/>
          <w:lang w:val="es-ES_tradnl"/>
        </w:rPr>
        <w:t xml:space="preserve"> como necesarias y suficientes </w:t>
      </w:r>
      <w:r w:rsidR="002C518D">
        <w:rPr>
          <w:rFonts w:ascii="Bookman Old Style" w:hAnsi="Bookman Old Style"/>
          <w:lang w:val="es-ES_tradnl"/>
        </w:rPr>
        <w:t>las siguientes prue</w:t>
      </w:r>
      <w:r w:rsidR="003E4D0A">
        <w:rPr>
          <w:rFonts w:ascii="Bookman Old Style" w:hAnsi="Bookman Old Style"/>
          <w:lang w:val="es-ES_tradnl"/>
        </w:rPr>
        <w:t>bas suministradas por GASES DE LA GUAJIRA S.A. E.S.P.</w:t>
      </w:r>
      <w:r w:rsidR="002C518D">
        <w:rPr>
          <w:rFonts w:ascii="Bookman Old Style" w:hAnsi="Bookman Old Style"/>
          <w:lang w:val="es-ES_tradnl"/>
        </w:rPr>
        <w:t>:</w:t>
      </w:r>
      <w:r w:rsidR="003E4D0A">
        <w:rPr>
          <w:rFonts w:ascii="Bookman Old Style" w:hAnsi="Bookman Old Style"/>
          <w:lang w:val="es-ES_tradnl"/>
        </w:rPr>
        <w:t xml:space="preserve"> i) </w:t>
      </w:r>
      <w:r w:rsidR="00793844">
        <w:rPr>
          <w:rFonts w:ascii="Bookman Old Style" w:hAnsi="Bookman Old Style"/>
          <w:lang w:val="es-ES_tradnl"/>
        </w:rPr>
        <w:t>i</w:t>
      </w:r>
      <w:r w:rsidR="00793844" w:rsidRPr="00382A13">
        <w:rPr>
          <w:rFonts w:ascii="Bookman Old Style" w:hAnsi="Bookman Old Style"/>
          <w:lang w:val="es-ES_tradnl"/>
        </w:rPr>
        <w:t xml:space="preserve">nventario de activos de la empresa en el que se detallan las inversiones ejecutadas y planos georreferenciados de las inversiones ejecutadas </w:t>
      </w:r>
      <w:r w:rsidR="003E4D0A">
        <w:rPr>
          <w:rFonts w:ascii="Bookman Old Style" w:hAnsi="Bookman Old Style"/>
          <w:lang w:val="es-ES_tradnl"/>
        </w:rPr>
        <w:t xml:space="preserve">y ii) </w:t>
      </w:r>
      <w:r w:rsidR="00793844">
        <w:rPr>
          <w:rFonts w:ascii="Bookman Old Style" w:hAnsi="Bookman Old Style"/>
          <w:lang w:val="es-ES_tradnl"/>
        </w:rPr>
        <w:t>d</w:t>
      </w:r>
      <w:r w:rsidR="00793844" w:rsidRPr="00382A13">
        <w:rPr>
          <w:rFonts w:ascii="Bookman Old Style" w:hAnsi="Bookman Old Style"/>
          <w:lang w:val="es-ES_tradnl"/>
        </w:rPr>
        <w:t>ictamen pericial aportado por la empresa en el cual se verifican las cantidades y los costos de las inversiones ejecutadas por la empresa y se detallan las diferencias existentes respecto de las inversiones reconocidas por la Comisión</w:t>
      </w:r>
      <w:r w:rsidR="00793844">
        <w:rPr>
          <w:rFonts w:ascii="Bookman Old Style" w:hAnsi="Bookman Old Style"/>
          <w:lang w:val="es-ES_tradnl"/>
        </w:rPr>
        <w:t>.</w:t>
      </w:r>
    </w:p>
    <w:p w14:paraId="1F306CF8" w14:textId="16CBC14D" w:rsidR="001D34FF" w:rsidRDefault="001D34FF" w:rsidP="000226CC">
      <w:pPr>
        <w:spacing w:before="240" w:after="240"/>
        <w:ind w:left="0"/>
        <w:jc w:val="both"/>
        <w:rPr>
          <w:rFonts w:ascii="Bookman Old Style" w:hAnsi="Bookman Old Style"/>
          <w:lang w:val="es-ES_tradnl"/>
        </w:rPr>
      </w:pPr>
      <w:r>
        <w:rPr>
          <w:rFonts w:ascii="Bookman Old Style" w:hAnsi="Bookman Old Style"/>
          <w:lang w:val="es-ES_tradnl"/>
        </w:rPr>
        <w:t>En efecto, lo pretendido a través de las solicitudes de pruebas relacionadas con testimonios para ilustrar a la CREG acerca de la metodología utilizada para el reporte de las inversiones y las razones de las diferencias y la audiencia para presentar los arg</w:t>
      </w:r>
      <w:r w:rsidR="002E7F46">
        <w:rPr>
          <w:rFonts w:ascii="Bookman Old Style" w:hAnsi="Bookman Old Style"/>
          <w:lang w:val="es-ES_tradnl"/>
        </w:rPr>
        <w:t>umentos expuestos en el recurso</w:t>
      </w:r>
      <w:r>
        <w:rPr>
          <w:rFonts w:ascii="Bookman Old Style" w:hAnsi="Bookman Old Style"/>
          <w:lang w:val="es-ES_tradnl"/>
        </w:rPr>
        <w:t xml:space="preserve"> </w:t>
      </w:r>
      <w:r w:rsidR="002E7F46">
        <w:rPr>
          <w:rFonts w:ascii="Bookman Old Style" w:hAnsi="Bookman Old Style"/>
          <w:lang w:val="es-ES_tradnl"/>
        </w:rPr>
        <w:t>no se decretaron al considerar</w:t>
      </w:r>
      <w:r w:rsidR="001D3D65">
        <w:rPr>
          <w:rFonts w:ascii="Bookman Old Style" w:hAnsi="Bookman Old Style"/>
          <w:lang w:val="es-ES_tradnl"/>
        </w:rPr>
        <w:t xml:space="preserve"> que lo pretendido con estas se encuentra detallado en las pruebas documentales que hacen parte integral de la presente actuación.</w:t>
      </w:r>
    </w:p>
    <w:p w14:paraId="70EA8046" w14:textId="77777777" w:rsidR="002C518D" w:rsidRDefault="006B09C3" w:rsidP="00E51704">
      <w:pPr>
        <w:spacing w:before="240" w:after="240"/>
        <w:ind w:left="0"/>
        <w:jc w:val="both"/>
        <w:rPr>
          <w:rFonts w:ascii="Bookman Old Style" w:hAnsi="Bookman Old Style"/>
          <w:lang w:val="es-ES_tradnl"/>
        </w:rPr>
      </w:pPr>
      <w:r>
        <w:rPr>
          <w:rFonts w:ascii="Bookman Old Style" w:hAnsi="Bookman Old Style"/>
          <w:lang w:val="es-ES_tradnl"/>
        </w:rPr>
        <w:t>C</w:t>
      </w:r>
      <w:r w:rsidR="00666288">
        <w:rPr>
          <w:rFonts w:ascii="Bookman Old Style" w:hAnsi="Bookman Old Style"/>
          <w:lang w:val="es-ES_tradnl"/>
        </w:rPr>
        <w:t>on los elementos anteriormente mencionados, la Comisión procede a analizar la petición de la empresa GASES DE LA GUAJIRA S.A. E.S.P.</w:t>
      </w:r>
    </w:p>
    <w:p w14:paraId="6F47F649" w14:textId="77777777" w:rsidR="001570F3" w:rsidRDefault="001570F3" w:rsidP="00E51704">
      <w:pPr>
        <w:spacing w:before="240" w:after="240"/>
        <w:ind w:left="0"/>
        <w:jc w:val="both"/>
        <w:rPr>
          <w:rFonts w:ascii="Bookman Old Style" w:hAnsi="Bookman Old Style"/>
          <w:lang w:val="es-ES_tradnl"/>
        </w:rPr>
      </w:pPr>
      <w:r w:rsidRPr="001570F3">
        <w:rPr>
          <w:rFonts w:ascii="Bookman Old Style" w:hAnsi="Bookman Old Style"/>
          <w:lang w:val="es-ES_tradnl"/>
        </w:rPr>
        <w:t xml:space="preserve">El numeral 9.5 del Artículo 9 de la Resolución CREG 202 de 2013 dispone que </w:t>
      </w:r>
      <w:r w:rsidRPr="001570F3">
        <w:rPr>
          <w:rFonts w:ascii="Bookman Old Style" w:hAnsi="Bookman Old Style"/>
          <w:i/>
          <w:lang w:val="es-ES_tradnl"/>
        </w:rPr>
        <w:t>“(l)a</w:t>
      </w:r>
      <w:r w:rsidRPr="001570F3">
        <w:rPr>
          <w:rFonts w:ascii="Bookman Old Style" w:hAnsi="Bookman Old Style"/>
          <w:i/>
        </w:rPr>
        <w:t xml:space="preserve"> Inversión Base estará comprendida por la Inversión Existente (IE), la Inversión en </w:t>
      </w:r>
      <w:r w:rsidRPr="001570F3">
        <w:rPr>
          <w:rFonts w:ascii="Bookman Old Style" w:hAnsi="Bookman Old Style"/>
          <w:i/>
          <w:lang w:val="es-ES_tradnl"/>
        </w:rPr>
        <w:t>Nuevas Inversiones que fue reconocida y ejecutada en la anterior revisión tarifaria (IPE), la Inversión Ejecutada durante el Período Tarifario que culmina y no Prevista en el Programa de Nuevas Inversiones (INPE) y el Programa de Nuevas Inversiones para Municipios Nuevos (IPNI)”</w:t>
      </w:r>
      <w:r w:rsidRPr="000B65DE">
        <w:rPr>
          <w:rFonts w:ascii="Bookman Old Style" w:hAnsi="Bookman Old Style"/>
          <w:lang w:val="es-ES_tradnl"/>
        </w:rPr>
        <w:t>.</w:t>
      </w:r>
    </w:p>
    <w:p w14:paraId="36C04E46" w14:textId="77777777" w:rsidR="00C84A67" w:rsidRDefault="00E51704" w:rsidP="00E51704">
      <w:pPr>
        <w:widowControl w:val="0"/>
        <w:adjustRightInd w:val="0"/>
        <w:ind w:left="0" w:right="20"/>
        <w:jc w:val="both"/>
        <w:rPr>
          <w:rFonts w:ascii="Bookman Old Style" w:hAnsi="Bookman Old Style" w:cs="Arial"/>
        </w:rPr>
      </w:pPr>
      <w:r>
        <w:rPr>
          <w:rFonts w:ascii="Bookman Old Style" w:hAnsi="Bookman Old Style"/>
          <w:lang w:val="es-ES_tradnl"/>
        </w:rPr>
        <w:t xml:space="preserve">De igual forma, la Resolución CREG 093 de 2016 dispuso que </w:t>
      </w:r>
      <w:r w:rsidRPr="006224F1">
        <w:rPr>
          <w:rFonts w:ascii="Bookman Old Style" w:hAnsi="Bookman Old Style"/>
          <w:i/>
          <w:lang w:val="es-ES_tradnl"/>
        </w:rPr>
        <w:t>“(l)</w:t>
      </w:r>
      <w:r w:rsidRPr="006224F1">
        <w:rPr>
          <w:rFonts w:ascii="Bookman Old Style" w:hAnsi="Bookman Old Style" w:cs="Arial"/>
          <w:i/>
        </w:rPr>
        <w:t>a información reportada por las empresas</w:t>
      </w:r>
      <w:r w:rsidRPr="006224F1">
        <w:rPr>
          <w:rStyle w:val="Refdenotaalpie"/>
          <w:rFonts w:ascii="Bookman Old Style" w:hAnsi="Bookman Old Style" w:cs="Arial"/>
          <w:i/>
        </w:rPr>
        <w:footnoteReference w:id="3"/>
      </w:r>
      <w:r w:rsidRPr="006224F1">
        <w:rPr>
          <w:rFonts w:ascii="Bookman Old Style" w:hAnsi="Bookman Old Style" w:cs="Arial"/>
          <w:i/>
        </w:rPr>
        <w:t xml:space="preserve"> en relación con activos existentes a fecha de corte y gastos de Administración, Operación y Mantenimiento será considerada como información oficial y será tenida en cuenta en los procesos de análisis tarifarios siguientes”</w:t>
      </w:r>
      <w:r w:rsidRPr="00DB6F1C">
        <w:rPr>
          <w:rFonts w:ascii="Bookman Old Style" w:hAnsi="Bookman Old Style" w:cs="Arial"/>
        </w:rPr>
        <w:t>.</w:t>
      </w:r>
    </w:p>
    <w:p w14:paraId="0A87A1BC" w14:textId="77777777" w:rsidR="002C518D" w:rsidRDefault="002C518D" w:rsidP="00E51704">
      <w:pPr>
        <w:widowControl w:val="0"/>
        <w:adjustRightInd w:val="0"/>
        <w:ind w:left="0" w:right="20"/>
        <w:jc w:val="both"/>
        <w:rPr>
          <w:rFonts w:ascii="Bookman Old Style" w:hAnsi="Bookman Old Style" w:cs="Arial"/>
        </w:rPr>
      </w:pPr>
    </w:p>
    <w:p w14:paraId="105455A8" w14:textId="5C8CDE59" w:rsidR="00002B3D" w:rsidRDefault="00E51704" w:rsidP="00C84A67">
      <w:pPr>
        <w:adjustRightInd w:val="0"/>
        <w:ind w:left="0" w:right="23"/>
        <w:jc w:val="both"/>
        <w:rPr>
          <w:rFonts w:ascii="Bookman Old Style" w:hAnsi="Bookman Old Style" w:cs="Arial"/>
        </w:rPr>
      </w:pPr>
      <w:r>
        <w:rPr>
          <w:rFonts w:ascii="Bookman Old Style" w:hAnsi="Bookman Old Style" w:cs="Arial"/>
        </w:rPr>
        <w:t xml:space="preserve">De acuerdo </w:t>
      </w:r>
      <w:r w:rsidR="00C84A67">
        <w:rPr>
          <w:rFonts w:ascii="Bookman Old Style" w:hAnsi="Bookman Old Style" w:cs="Arial"/>
        </w:rPr>
        <w:t>lo anterior</w:t>
      </w:r>
      <w:r>
        <w:rPr>
          <w:rFonts w:ascii="Bookman Old Style" w:hAnsi="Bookman Old Style" w:cs="Arial"/>
        </w:rPr>
        <w:t xml:space="preserve">, la información </w:t>
      </w:r>
      <w:r w:rsidR="006224F1">
        <w:rPr>
          <w:rFonts w:ascii="Bookman Old Style" w:hAnsi="Bookman Old Style" w:cs="Arial"/>
        </w:rPr>
        <w:t xml:space="preserve">tomada por </w:t>
      </w:r>
      <w:r>
        <w:rPr>
          <w:rFonts w:ascii="Bookman Old Style" w:hAnsi="Bookman Old Style" w:cs="Arial"/>
        </w:rPr>
        <w:t>la Comisión para la solicitud tarifaria de GASES DE LA GUAJIRA S.A. E.S.P.</w:t>
      </w:r>
      <w:r w:rsidR="006224F1">
        <w:rPr>
          <w:rFonts w:ascii="Bookman Old Style" w:hAnsi="Bookman Old Style" w:cs="Arial"/>
        </w:rPr>
        <w:t xml:space="preserve"> con base en la Circular</w:t>
      </w:r>
      <w:r w:rsidR="00B90B6F">
        <w:rPr>
          <w:rFonts w:ascii="Bookman Old Style" w:hAnsi="Bookman Old Style" w:cs="Arial"/>
        </w:rPr>
        <w:t xml:space="preserve"> CREG</w:t>
      </w:r>
      <w:r w:rsidR="006224F1">
        <w:rPr>
          <w:rFonts w:ascii="Bookman Old Style" w:hAnsi="Bookman Old Style" w:cs="Arial"/>
        </w:rPr>
        <w:t xml:space="preserve"> </w:t>
      </w:r>
      <w:r w:rsidR="006224F1">
        <w:rPr>
          <w:rFonts w:ascii="Bookman Old Style" w:hAnsi="Bookman Old Style" w:cs="Arial"/>
        </w:rPr>
        <w:lastRenderedPageBreak/>
        <w:t>034 de 2017</w:t>
      </w:r>
      <w:r>
        <w:rPr>
          <w:rFonts w:ascii="Bookman Old Style" w:hAnsi="Bookman Old Style" w:cs="Arial"/>
        </w:rPr>
        <w:t xml:space="preserve"> corresponde a la reportada por la empresa en la solicitud de Apli</w:t>
      </w:r>
      <w:r w:rsidR="00793844">
        <w:rPr>
          <w:rFonts w:ascii="Bookman Old Style" w:hAnsi="Bookman Old Style" w:cs="Arial"/>
        </w:rPr>
        <w:t>G</w:t>
      </w:r>
      <w:r>
        <w:rPr>
          <w:rFonts w:ascii="Bookman Old Style" w:hAnsi="Bookman Old Style" w:cs="Arial"/>
        </w:rPr>
        <w:t>as No. 1019.</w:t>
      </w:r>
      <w:r w:rsidR="00C84A67">
        <w:rPr>
          <w:rFonts w:ascii="Bookman Old Style" w:hAnsi="Bookman Old Style" w:cs="Arial"/>
        </w:rPr>
        <w:t xml:space="preserve"> L</w:t>
      </w:r>
      <w:r w:rsidR="00002B3D">
        <w:rPr>
          <w:rFonts w:ascii="Bookman Old Style" w:hAnsi="Bookman Old Style" w:cs="Arial"/>
        </w:rPr>
        <w:t xml:space="preserve">os montos de inversión solicitados por la empresa </w:t>
      </w:r>
      <w:r w:rsidR="00C84A67">
        <w:rPr>
          <w:rFonts w:ascii="Bookman Old Style" w:hAnsi="Bookman Old Style" w:cs="Arial"/>
        </w:rPr>
        <w:t>en dicha solicitud se</w:t>
      </w:r>
      <w:r w:rsidR="00002B3D">
        <w:rPr>
          <w:rFonts w:ascii="Bookman Old Style" w:hAnsi="Bookman Old Style" w:cs="Arial"/>
        </w:rPr>
        <w:t xml:space="preserve"> muestran en el</w:t>
      </w:r>
      <w:r w:rsidR="009E7E57">
        <w:rPr>
          <w:rFonts w:ascii="Bookman Old Style" w:hAnsi="Bookman Old Style" w:cs="Arial"/>
        </w:rPr>
        <w:t xml:space="preserve"> </w:t>
      </w:r>
      <w:r w:rsidR="009E7E57" w:rsidRPr="009E7E57">
        <w:rPr>
          <w:rFonts w:ascii="Bookman Old Style" w:hAnsi="Bookman Old Style" w:cs="Arial"/>
        </w:rPr>
        <w:fldChar w:fldCharType="begin"/>
      </w:r>
      <w:r w:rsidR="009E7E57" w:rsidRPr="009E7E57">
        <w:rPr>
          <w:rFonts w:ascii="Bookman Old Style" w:hAnsi="Bookman Old Style" w:cs="Arial"/>
        </w:rPr>
        <w:instrText xml:space="preserve"> REF _Ref530132239 \h  \* MERGEFORMAT </w:instrText>
      </w:r>
      <w:r w:rsidR="009E7E57" w:rsidRPr="009E7E57">
        <w:rPr>
          <w:rFonts w:ascii="Bookman Old Style" w:hAnsi="Bookman Old Style" w:cs="Arial"/>
        </w:rPr>
      </w:r>
      <w:r w:rsidR="009E7E57" w:rsidRPr="009E7E57">
        <w:rPr>
          <w:rFonts w:ascii="Bookman Old Style" w:hAnsi="Bookman Old Style" w:cs="Arial"/>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9</w:t>
      </w:r>
      <w:r w:rsidR="009E7E57" w:rsidRPr="009E7E57">
        <w:rPr>
          <w:rFonts w:ascii="Bookman Old Style" w:hAnsi="Bookman Old Style" w:cs="Arial"/>
        </w:rPr>
        <w:fldChar w:fldCharType="end"/>
      </w:r>
      <w:r w:rsidR="009E7E57">
        <w:rPr>
          <w:rFonts w:ascii="Bookman Old Style" w:hAnsi="Bookman Old Style" w:cs="Arial"/>
        </w:rPr>
        <w:t>.</w:t>
      </w:r>
    </w:p>
    <w:p w14:paraId="0E66D5E4" w14:textId="0F7BBF4A" w:rsidR="00002B3D" w:rsidRPr="00AF2987" w:rsidRDefault="00002B3D" w:rsidP="00002B3D">
      <w:pPr>
        <w:keepNext/>
        <w:adjustRightInd w:val="0"/>
        <w:spacing w:before="240"/>
        <w:ind w:left="0" w:right="23"/>
        <w:jc w:val="center"/>
        <w:rPr>
          <w:rFonts w:ascii="Bookman Old Style" w:hAnsi="Bookman Old Style"/>
          <w:b/>
        </w:rPr>
      </w:pPr>
      <w:bookmarkStart w:id="8" w:name="_Ref530132239"/>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9</w:t>
      </w:r>
      <w:r w:rsidRPr="005F5D91">
        <w:rPr>
          <w:rFonts w:ascii="Bookman Old Style" w:hAnsi="Bookman Old Style"/>
          <w:b/>
        </w:rPr>
        <w:fldChar w:fldCharType="end"/>
      </w:r>
      <w:bookmarkEnd w:id="8"/>
    </w:p>
    <w:tbl>
      <w:tblPr>
        <w:tblStyle w:val="Tablaconcuadrcula"/>
        <w:tblW w:w="0" w:type="auto"/>
        <w:jc w:val="center"/>
        <w:tblLook w:val="04A0" w:firstRow="1" w:lastRow="0" w:firstColumn="1" w:lastColumn="0" w:noHBand="0" w:noVBand="1"/>
      </w:tblPr>
      <w:tblGrid>
        <w:gridCol w:w="6232"/>
        <w:gridCol w:w="2835"/>
      </w:tblGrid>
      <w:tr w:rsidR="00002B3D" w14:paraId="7C97CA4A" w14:textId="77777777" w:rsidTr="002C518D">
        <w:trPr>
          <w:tblHeader/>
          <w:jc w:val="center"/>
        </w:trPr>
        <w:tc>
          <w:tcPr>
            <w:tcW w:w="6232" w:type="dxa"/>
            <w:shd w:val="clear" w:color="auto" w:fill="D9D9D9" w:themeFill="background1" w:themeFillShade="D9"/>
            <w:vAlign w:val="center"/>
          </w:tcPr>
          <w:p w14:paraId="1A2846B9" w14:textId="77777777" w:rsidR="00002B3D" w:rsidRPr="009A5A3F" w:rsidRDefault="00002B3D" w:rsidP="00581C8A">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Variable</w:t>
            </w:r>
          </w:p>
        </w:tc>
        <w:tc>
          <w:tcPr>
            <w:tcW w:w="2835" w:type="dxa"/>
            <w:shd w:val="clear" w:color="auto" w:fill="D9D9D9" w:themeFill="background1" w:themeFillShade="D9"/>
            <w:vAlign w:val="center"/>
          </w:tcPr>
          <w:p w14:paraId="162DF835" w14:textId="77777777" w:rsidR="00002B3D" w:rsidRPr="009A5A3F" w:rsidRDefault="00002B3D" w:rsidP="00581C8A">
            <w:pPr>
              <w:keepNext/>
              <w:adjustRightInd w:val="0"/>
              <w:ind w:left="0" w:right="23"/>
              <w:jc w:val="center"/>
              <w:rPr>
                <w:rFonts w:ascii="Bookman Old Style" w:hAnsi="Bookman Old Style"/>
                <w:b/>
                <w:sz w:val="22"/>
                <w:szCs w:val="22"/>
              </w:rPr>
            </w:pPr>
            <w:r w:rsidRPr="009A5A3F">
              <w:rPr>
                <w:rFonts w:ascii="Bookman Old Style" w:hAnsi="Bookman Old Style"/>
                <w:b/>
                <w:sz w:val="22"/>
                <w:szCs w:val="22"/>
              </w:rPr>
              <w:t xml:space="preserve">Valor </w:t>
            </w:r>
            <w:r>
              <w:rPr>
                <w:rFonts w:ascii="Bookman Old Style" w:hAnsi="Bookman Old Style"/>
                <w:b/>
                <w:sz w:val="22"/>
                <w:szCs w:val="22"/>
              </w:rPr>
              <w:t>solicitado</w:t>
            </w:r>
          </w:p>
        </w:tc>
      </w:tr>
      <w:tr w:rsidR="00002B3D" w14:paraId="77AE97D2" w14:textId="77777777" w:rsidTr="002C518D">
        <w:trPr>
          <w:jc w:val="center"/>
        </w:trPr>
        <w:tc>
          <w:tcPr>
            <w:tcW w:w="6232" w:type="dxa"/>
          </w:tcPr>
          <w:p w14:paraId="66386C32" w14:textId="77777777" w:rsidR="00002B3D" w:rsidRPr="009A5A3F" w:rsidRDefault="00002B3D" w:rsidP="00581C8A">
            <w:pPr>
              <w:keepNext/>
              <w:adjustRightInd w:val="0"/>
              <w:ind w:left="0" w:right="23"/>
              <w:jc w:val="both"/>
              <w:rPr>
                <w:rFonts w:ascii="Bookman Old Style" w:hAnsi="Bookman Old Style"/>
                <w:sz w:val="22"/>
                <w:szCs w:val="22"/>
              </w:rPr>
            </w:pPr>
            <w:r w:rsidRPr="009A5A3F">
              <w:rPr>
                <w:rFonts w:ascii="Bookman Old Style" w:hAnsi="Bookman Old Style"/>
                <w:sz w:val="22"/>
                <w:szCs w:val="22"/>
              </w:rPr>
              <w:t>Inversión Existente (IE)</w:t>
            </w:r>
          </w:p>
        </w:tc>
        <w:tc>
          <w:tcPr>
            <w:tcW w:w="2835" w:type="dxa"/>
            <w:vAlign w:val="center"/>
          </w:tcPr>
          <w:p w14:paraId="1D9BA8FC" w14:textId="77777777" w:rsidR="00002B3D" w:rsidRPr="009A5A3F" w:rsidRDefault="00622687" w:rsidP="00581C8A">
            <w:pPr>
              <w:keepNext/>
              <w:adjustRightInd w:val="0"/>
              <w:ind w:left="0" w:right="23"/>
              <w:jc w:val="center"/>
              <w:rPr>
                <w:rFonts w:ascii="Bookman Old Style" w:hAnsi="Bookman Old Style"/>
                <w:sz w:val="22"/>
                <w:szCs w:val="22"/>
              </w:rPr>
            </w:pPr>
            <w:r w:rsidRPr="00622687">
              <w:rPr>
                <w:rFonts w:ascii="Bookman Old Style" w:hAnsi="Bookman Old Style"/>
                <w:sz w:val="22"/>
                <w:szCs w:val="22"/>
              </w:rPr>
              <w:t>21.882.841.760</w:t>
            </w:r>
          </w:p>
        </w:tc>
      </w:tr>
      <w:tr w:rsidR="00002B3D" w14:paraId="3D72F9B5" w14:textId="77777777" w:rsidTr="002C518D">
        <w:trPr>
          <w:trHeight w:val="635"/>
          <w:jc w:val="center"/>
        </w:trPr>
        <w:tc>
          <w:tcPr>
            <w:tcW w:w="6232" w:type="dxa"/>
          </w:tcPr>
          <w:p w14:paraId="0003500D" w14:textId="77777777" w:rsidR="00002B3D" w:rsidRPr="009A5A3F" w:rsidRDefault="00002B3D" w:rsidP="00581C8A">
            <w:pPr>
              <w:keepNext/>
              <w:adjustRightInd w:val="0"/>
              <w:ind w:left="0" w:right="23"/>
              <w:jc w:val="both"/>
              <w:rPr>
                <w:rFonts w:ascii="Bookman Old Style" w:hAnsi="Bookman Old Style"/>
                <w:sz w:val="22"/>
                <w:szCs w:val="22"/>
              </w:rPr>
            </w:pPr>
            <w:r w:rsidRPr="009A5A3F">
              <w:rPr>
                <w:rFonts w:ascii="Bookman Old Style" w:hAnsi="Bookman Old Style" w:cs="Arial"/>
                <w:sz w:val="22"/>
                <w:szCs w:val="22"/>
                <w:lang w:val="es-ES_tradnl"/>
              </w:rPr>
              <w:t>Inversión Programada en Nuevas Inversiones que fue reconocida y ejecutada en el período tarifario vigente (IPE)</w:t>
            </w:r>
          </w:p>
        </w:tc>
        <w:tc>
          <w:tcPr>
            <w:tcW w:w="2835" w:type="dxa"/>
            <w:vAlign w:val="center"/>
          </w:tcPr>
          <w:p w14:paraId="1A22A079" w14:textId="77777777" w:rsidR="00002B3D" w:rsidRPr="009A5A3F" w:rsidRDefault="00622687" w:rsidP="00581C8A">
            <w:pPr>
              <w:keepNext/>
              <w:adjustRightInd w:val="0"/>
              <w:ind w:left="0" w:right="23"/>
              <w:jc w:val="center"/>
              <w:rPr>
                <w:rFonts w:ascii="Bookman Old Style" w:hAnsi="Bookman Old Style"/>
                <w:sz w:val="22"/>
                <w:szCs w:val="22"/>
              </w:rPr>
            </w:pPr>
            <w:r>
              <w:rPr>
                <w:rFonts w:ascii="Bookman Old Style" w:hAnsi="Bookman Old Style"/>
                <w:sz w:val="22"/>
                <w:szCs w:val="22"/>
              </w:rPr>
              <w:t>23.634.677.760</w:t>
            </w:r>
          </w:p>
        </w:tc>
      </w:tr>
      <w:tr w:rsidR="00002B3D" w14:paraId="0D637B39" w14:textId="77777777" w:rsidTr="002C518D">
        <w:trPr>
          <w:trHeight w:val="635"/>
          <w:jc w:val="center"/>
        </w:trPr>
        <w:tc>
          <w:tcPr>
            <w:tcW w:w="6232" w:type="dxa"/>
          </w:tcPr>
          <w:p w14:paraId="7EE25B72" w14:textId="77777777" w:rsidR="00002B3D" w:rsidRPr="009A5A3F" w:rsidRDefault="00002B3D" w:rsidP="00581C8A">
            <w:pPr>
              <w:keepNext/>
              <w:adjustRightInd w:val="0"/>
              <w:ind w:left="0" w:right="23"/>
              <w:jc w:val="both"/>
              <w:rPr>
                <w:rFonts w:ascii="Bookman Old Style" w:hAnsi="Bookman Old Style" w:cs="Arial"/>
                <w:sz w:val="22"/>
                <w:szCs w:val="22"/>
                <w:lang w:val="es-ES_tradnl"/>
              </w:rPr>
            </w:pPr>
            <w:r w:rsidRPr="009A5A3F">
              <w:rPr>
                <w:rFonts w:ascii="Bookman Old Style" w:hAnsi="Bookman Old Style" w:cs="Arial"/>
                <w:sz w:val="22"/>
                <w:szCs w:val="22"/>
                <w:lang w:val="es-ES_tradnl"/>
              </w:rPr>
              <w:t>Inversión ejecutada durante el período tarifario vigente y no prevista en el Programa de Nuevas Inversiones (INPE)</w:t>
            </w:r>
          </w:p>
        </w:tc>
        <w:tc>
          <w:tcPr>
            <w:tcW w:w="2835" w:type="dxa"/>
            <w:vAlign w:val="center"/>
          </w:tcPr>
          <w:p w14:paraId="4CDB1FE5" w14:textId="77777777" w:rsidR="00002B3D" w:rsidRPr="009A5A3F" w:rsidRDefault="00622687" w:rsidP="00581C8A">
            <w:pPr>
              <w:keepNext/>
              <w:adjustRightInd w:val="0"/>
              <w:ind w:left="0" w:right="23"/>
              <w:jc w:val="center"/>
              <w:rPr>
                <w:rFonts w:ascii="Bookman Old Style" w:hAnsi="Bookman Old Style"/>
                <w:sz w:val="22"/>
                <w:szCs w:val="22"/>
              </w:rPr>
            </w:pPr>
            <w:r>
              <w:rPr>
                <w:rFonts w:ascii="Bookman Old Style" w:hAnsi="Bookman Old Style"/>
                <w:sz w:val="22"/>
                <w:szCs w:val="22"/>
              </w:rPr>
              <w:t>675.882.920</w:t>
            </w:r>
          </w:p>
        </w:tc>
      </w:tr>
      <w:tr w:rsidR="00002B3D" w14:paraId="1C23C572" w14:textId="77777777" w:rsidTr="002C518D">
        <w:trPr>
          <w:jc w:val="center"/>
        </w:trPr>
        <w:tc>
          <w:tcPr>
            <w:tcW w:w="6232" w:type="dxa"/>
            <w:shd w:val="clear" w:color="auto" w:fill="F2F2F2" w:themeFill="background1" w:themeFillShade="F2"/>
          </w:tcPr>
          <w:p w14:paraId="3C7AE3D1" w14:textId="77777777" w:rsidR="00002B3D" w:rsidRPr="009A5A3F" w:rsidRDefault="00002B3D" w:rsidP="00581C8A">
            <w:pPr>
              <w:keepNext/>
              <w:adjustRightInd w:val="0"/>
              <w:ind w:left="0" w:right="23"/>
              <w:jc w:val="right"/>
              <w:rPr>
                <w:rFonts w:ascii="Bookman Old Style" w:hAnsi="Bookman Old Style"/>
                <w:b/>
                <w:sz w:val="22"/>
                <w:szCs w:val="22"/>
              </w:rPr>
            </w:pPr>
            <w:r w:rsidRPr="009A5A3F">
              <w:rPr>
                <w:rFonts w:ascii="Bookman Old Style" w:hAnsi="Bookman Old Style"/>
                <w:b/>
                <w:sz w:val="22"/>
                <w:szCs w:val="22"/>
              </w:rPr>
              <w:t>Total</w:t>
            </w:r>
          </w:p>
        </w:tc>
        <w:tc>
          <w:tcPr>
            <w:tcW w:w="2835" w:type="dxa"/>
            <w:shd w:val="clear" w:color="auto" w:fill="F2F2F2" w:themeFill="background1" w:themeFillShade="F2"/>
            <w:vAlign w:val="center"/>
          </w:tcPr>
          <w:p w14:paraId="5182A5E9" w14:textId="77777777" w:rsidR="00002B3D" w:rsidRPr="009A5A3F" w:rsidRDefault="00622687" w:rsidP="00581C8A">
            <w:pPr>
              <w:keepNext/>
              <w:adjustRightInd w:val="0"/>
              <w:ind w:left="0" w:right="23"/>
              <w:jc w:val="center"/>
              <w:rPr>
                <w:rFonts w:ascii="Bookman Old Style" w:hAnsi="Bookman Old Style"/>
                <w:b/>
                <w:sz w:val="22"/>
                <w:szCs w:val="22"/>
              </w:rPr>
            </w:pPr>
            <w:r>
              <w:rPr>
                <w:rFonts w:ascii="Bookman Old Style" w:hAnsi="Bookman Old Style"/>
                <w:b/>
                <w:sz w:val="22"/>
                <w:szCs w:val="22"/>
              </w:rPr>
              <w:t>46.193.402.440</w:t>
            </w:r>
          </w:p>
        </w:tc>
      </w:tr>
    </w:tbl>
    <w:p w14:paraId="235A6C2D" w14:textId="77777777" w:rsidR="00002B3D" w:rsidRPr="0041553C" w:rsidRDefault="00002B3D" w:rsidP="00002B3D">
      <w:pPr>
        <w:adjustRightInd w:val="0"/>
        <w:spacing w:after="240"/>
        <w:ind w:left="0" w:right="23"/>
        <w:jc w:val="center"/>
        <w:rPr>
          <w:rFonts w:ascii="Bookman Old Style" w:hAnsi="Bookman Old Style"/>
          <w:sz w:val="20"/>
          <w:szCs w:val="20"/>
        </w:rPr>
      </w:pPr>
      <w:r w:rsidRPr="0041553C">
        <w:rPr>
          <w:rFonts w:ascii="Bookman Old Style" w:hAnsi="Bookman Old Style"/>
          <w:sz w:val="20"/>
          <w:szCs w:val="20"/>
        </w:rPr>
        <w:t>Cifras en pesos de diciembre de 2014</w:t>
      </w:r>
    </w:p>
    <w:p w14:paraId="5EF4B1F1" w14:textId="154043FF" w:rsidR="0028692A" w:rsidRDefault="002E7F46" w:rsidP="00115FAE">
      <w:pPr>
        <w:spacing w:before="240"/>
        <w:ind w:left="0"/>
        <w:jc w:val="both"/>
        <w:rPr>
          <w:rFonts w:ascii="Bookman Old Style" w:hAnsi="Bookman Old Style" w:cs="Arial"/>
          <w:lang w:val="es-ES_tradnl"/>
        </w:rPr>
      </w:pPr>
      <w:r>
        <w:rPr>
          <w:rFonts w:ascii="Bookman Old Style" w:hAnsi="Bookman Old Style"/>
          <w:lang w:val="es-ES_tradnl"/>
        </w:rPr>
        <w:t>A continuación, e</w:t>
      </w:r>
      <w:r w:rsidR="001D1712">
        <w:rPr>
          <w:rFonts w:ascii="Bookman Old Style" w:hAnsi="Bookman Old Style"/>
          <w:lang w:val="es-ES_tradnl"/>
        </w:rPr>
        <w:t>n lo</w:t>
      </w:r>
      <w:r w:rsidR="0028692A">
        <w:rPr>
          <w:rFonts w:ascii="Bookman Old Style" w:hAnsi="Bookman Old Style"/>
          <w:lang w:val="es-ES_tradnl"/>
        </w:rPr>
        <w:t>s literales a</w:t>
      </w:r>
      <w:r>
        <w:rPr>
          <w:rFonts w:ascii="Bookman Old Style" w:hAnsi="Bookman Old Style"/>
          <w:lang w:val="es-ES_tradnl"/>
        </w:rPr>
        <w:t>)</w:t>
      </w:r>
      <w:r w:rsidR="0028692A">
        <w:rPr>
          <w:rFonts w:ascii="Bookman Old Style" w:hAnsi="Bookman Old Style"/>
          <w:lang w:val="es-ES_tradnl"/>
        </w:rPr>
        <w:t xml:space="preserve"> y b</w:t>
      </w:r>
      <w:r>
        <w:rPr>
          <w:rFonts w:ascii="Bookman Old Style" w:hAnsi="Bookman Old Style"/>
          <w:lang w:val="es-ES_tradnl"/>
        </w:rPr>
        <w:t>)</w:t>
      </w:r>
      <w:r w:rsidR="0028692A">
        <w:rPr>
          <w:rFonts w:ascii="Bookman Old Style" w:hAnsi="Bookman Old Style"/>
          <w:lang w:val="es-ES_tradnl"/>
        </w:rPr>
        <w:t xml:space="preserve"> </w:t>
      </w:r>
      <w:r w:rsidR="001D1712">
        <w:rPr>
          <w:rFonts w:ascii="Bookman Old Style" w:hAnsi="Bookman Old Style"/>
          <w:lang w:val="es-ES_tradnl"/>
        </w:rPr>
        <w:t xml:space="preserve">se </w:t>
      </w:r>
      <w:r w:rsidR="0028692A">
        <w:rPr>
          <w:rFonts w:ascii="Bookman Old Style" w:hAnsi="Bookman Old Style"/>
          <w:lang w:val="es-ES_tradnl"/>
        </w:rPr>
        <w:t xml:space="preserve">presentan las consideraciones de la Comisión </w:t>
      </w:r>
      <w:r w:rsidR="00136597">
        <w:rPr>
          <w:rFonts w:ascii="Bookman Old Style" w:hAnsi="Bookman Old Style"/>
          <w:lang w:val="es-ES_tradnl"/>
        </w:rPr>
        <w:t>en relación</w:t>
      </w:r>
      <w:r w:rsidR="0028692A">
        <w:rPr>
          <w:rFonts w:ascii="Bookman Old Style" w:hAnsi="Bookman Old Style"/>
          <w:lang w:val="es-ES_tradnl"/>
        </w:rPr>
        <w:t xml:space="preserve"> </w:t>
      </w:r>
      <w:r w:rsidR="00B90B6F">
        <w:rPr>
          <w:rFonts w:ascii="Bookman Old Style" w:hAnsi="Bookman Old Style"/>
          <w:lang w:val="es-ES_tradnl"/>
        </w:rPr>
        <w:t>con</w:t>
      </w:r>
      <w:r w:rsidR="0028692A">
        <w:rPr>
          <w:rFonts w:ascii="Bookman Old Style" w:hAnsi="Bookman Old Style"/>
          <w:lang w:val="es-ES_tradnl"/>
        </w:rPr>
        <w:t xml:space="preserve"> los argumentos del recurrente </w:t>
      </w:r>
      <w:r w:rsidR="00B90B6F">
        <w:rPr>
          <w:rFonts w:ascii="Bookman Old Style" w:hAnsi="Bookman Old Style"/>
          <w:lang w:val="es-ES_tradnl"/>
        </w:rPr>
        <w:t>sobre</w:t>
      </w:r>
      <w:r w:rsidR="0028692A">
        <w:rPr>
          <w:rFonts w:ascii="Bookman Old Style" w:hAnsi="Bookman Old Style"/>
          <w:lang w:val="es-ES_tradnl"/>
        </w:rPr>
        <w:t xml:space="preserve"> la IE, y </w:t>
      </w:r>
      <w:r w:rsidR="00B90B6F">
        <w:rPr>
          <w:rFonts w:ascii="Bookman Old Style" w:hAnsi="Bookman Old Style"/>
          <w:lang w:val="es-ES_tradnl"/>
        </w:rPr>
        <w:t xml:space="preserve">sobre </w:t>
      </w:r>
      <w:r w:rsidR="0028692A">
        <w:rPr>
          <w:rFonts w:ascii="Bookman Old Style" w:hAnsi="Bookman Old Style"/>
          <w:lang w:val="es-ES_tradnl"/>
        </w:rPr>
        <w:t xml:space="preserve">la </w:t>
      </w:r>
      <w:r w:rsidR="0028692A" w:rsidRPr="000B65DE">
        <w:rPr>
          <w:rFonts w:ascii="Bookman Old Style" w:hAnsi="Bookman Old Style" w:cs="Arial"/>
          <w:lang w:val="es-ES_tradnl"/>
        </w:rPr>
        <w:t>IPE</w:t>
      </w:r>
      <w:r w:rsidR="0028692A">
        <w:rPr>
          <w:rFonts w:ascii="Bookman Old Style" w:hAnsi="Bookman Old Style" w:cs="Arial"/>
          <w:lang w:val="es-ES_tradnl"/>
        </w:rPr>
        <w:t xml:space="preserve"> y</w:t>
      </w:r>
      <w:r w:rsidR="004F0183">
        <w:rPr>
          <w:rFonts w:ascii="Bookman Old Style" w:hAnsi="Bookman Old Style" w:cs="Arial"/>
          <w:lang w:val="es-ES_tradnl"/>
        </w:rPr>
        <w:t xml:space="preserve"> </w:t>
      </w:r>
      <w:r w:rsidR="0028692A">
        <w:rPr>
          <w:rFonts w:ascii="Bookman Old Style" w:hAnsi="Bookman Old Style" w:cs="Arial"/>
          <w:lang w:val="es-ES_tradnl"/>
        </w:rPr>
        <w:t xml:space="preserve">la </w:t>
      </w:r>
      <w:r w:rsidR="0028692A" w:rsidRPr="000B65DE">
        <w:rPr>
          <w:rFonts w:ascii="Bookman Old Style" w:hAnsi="Bookman Old Style" w:cs="Arial"/>
          <w:lang w:val="es-ES_tradnl"/>
        </w:rPr>
        <w:t>INPE</w:t>
      </w:r>
      <w:r w:rsidR="0028692A">
        <w:rPr>
          <w:rFonts w:ascii="Bookman Old Style" w:hAnsi="Bookman Old Style" w:cs="Arial"/>
          <w:lang w:val="es-ES_tradnl"/>
        </w:rPr>
        <w:t xml:space="preserve"> respectivamente.</w:t>
      </w:r>
    </w:p>
    <w:p w14:paraId="5D7D5BB6" w14:textId="77777777" w:rsidR="00115FAE" w:rsidRPr="000B65DE" w:rsidRDefault="00115FAE" w:rsidP="00115FAE">
      <w:pPr>
        <w:spacing w:after="240"/>
        <w:ind w:left="0"/>
        <w:jc w:val="both"/>
        <w:rPr>
          <w:rFonts w:ascii="Bookman Old Style" w:hAnsi="Bookman Old Style"/>
          <w:lang w:val="es-ES_tradnl"/>
        </w:rPr>
      </w:pPr>
    </w:p>
    <w:p w14:paraId="6C5B6235" w14:textId="77777777" w:rsidR="00426AD0" w:rsidRPr="00426AD0" w:rsidRDefault="00426AD0" w:rsidP="00B74686">
      <w:pPr>
        <w:pStyle w:val="Ttulo5"/>
        <w:numPr>
          <w:ilvl w:val="0"/>
          <w:numId w:val="7"/>
        </w:numPr>
        <w:spacing w:before="360" w:after="240"/>
        <w:ind w:left="567" w:hanging="567"/>
        <w:jc w:val="both"/>
        <w:rPr>
          <w:rFonts w:ascii="Bookman Old Style" w:eastAsia="Calibri" w:hAnsi="Bookman Old Style"/>
          <w:sz w:val="24"/>
          <w:szCs w:val="24"/>
          <w:lang w:eastAsia="es-CO"/>
        </w:rPr>
      </w:pPr>
      <w:r w:rsidRPr="00426AD0">
        <w:rPr>
          <w:rFonts w:ascii="Bookman Old Style" w:eastAsia="Calibri" w:hAnsi="Bookman Old Style"/>
          <w:sz w:val="24"/>
          <w:szCs w:val="24"/>
          <w:lang w:eastAsia="es-CO"/>
        </w:rPr>
        <w:t>Inversión Existente</w:t>
      </w:r>
    </w:p>
    <w:p w14:paraId="08D38E88" w14:textId="64198C4E" w:rsidR="001570F3" w:rsidRDefault="001570F3" w:rsidP="001570F3">
      <w:pPr>
        <w:spacing w:before="240" w:after="240"/>
        <w:ind w:left="0"/>
        <w:jc w:val="both"/>
        <w:rPr>
          <w:rFonts w:ascii="Bookman Old Style" w:hAnsi="Bookman Old Style"/>
          <w:lang w:val="es-ES_tradnl"/>
        </w:rPr>
      </w:pPr>
      <w:r>
        <w:rPr>
          <w:rFonts w:ascii="Bookman Old Style" w:hAnsi="Bookman Old Style"/>
          <w:lang w:val="es-ES_tradnl"/>
        </w:rPr>
        <w:t xml:space="preserve">El numeral 9.5 del Artículo 9 de la Resolución CREG 202 de 2013 dispone que la Inversión Existente (IE) corresponde a la </w:t>
      </w:r>
      <w:r w:rsidRPr="001570F3">
        <w:rPr>
          <w:rFonts w:ascii="Bookman Old Style" w:hAnsi="Bookman Old Style"/>
          <w:i/>
          <w:lang w:val="es-ES_tradnl"/>
        </w:rPr>
        <w:t xml:space="preserve">“(i)nversión reconocida como existente en la última revisión tarifaria, correspondiente a activos reconocidos antes que iniciara el Período Tarifario que culmina, homologada a las Unidades Constructivas definidas en el Período Tarifario que culmina y valoradas a los costos reconocidos en dicho momento y ajustados conforme se encuentran definidas en el </w:t>
      </w:r>
      <w:r w:rsidR="009F65FD">
        <w:rPr>
          <w:rFonts w:ascii="Bookman Old Style" w:hAnsi="Bookman Old Style"/>
          <w:i/>
          <w:lang w:val="es-ES_tradnl"/>
        </w:rPr>
        <w:t>ANEXO 4</w:t>
      </w:r>
      <w:r w:rsidRPr="001570F3">
        <w:rPr>
          <w:rFonts w:ascii="Bookman Old Style" w:hAnsi="Bookman Old Style"/>
          <w:i/>
          <w:lang w:val="es-ES_tradnl"/>
        </w:rPr>
        <w:t xml:space="preserve"> y </w:t>
      </w:r>
      <w:r w:rsidR="009F65FD">
        <w:rPr>
          <w:rFonts w:ascii="Bookman Old Style" w:hAnsi="Bookman Old Style"/>
          <w:i/>
          <w:lang w:val="es-ES_tradnl"/>
        </w:rPr>
        <w:t>ANEXO 5</w:t>
      </w:r>
      <w:r w:rsidRPr="001570F3">
        <w:rPr>
          <w:rFonts w:ascii="Bookman Old Style" w:hAnsi="Bookman Old Style"/>
          <w:i/>
          <w:lang w:val="es-ES_tradnl"/>
        </w:rPr>
        <w:t xml:space="preserve"> Estas inversiones deberán estar expresadas a pesos de la Fecha Base”</w:t>
      </w:r>
      <w:r w:rsidRPr="000B65DE">
        <w:rPr>
          <w:rFonts w:ascii="Bookman Old Style" w:hAnsi="Bookman Old Style"/>
          <w:lang w:val="es-ES_tradnl"/>
        </w:rPr>
        <w:t>.</w:t>
      </w:r>
    </w:p>
    <w:p w14:paraId="370FB3E0" w14:textId="066EC119" w:rsidR="00626EED" w:rsidRDefault="00585B50" w:rsidP="00FB3027">
      <w:pPr>
        <w:spacing w:before="240" w:after="240"/>
        <w:ind w:left="0"/>
        <w:jc w:val="both"/>
        <w:rPr>
          <w:rFonts w:ascii="Bookman Old Style" w:hAnsi="Bookman Old Style"/>
          <w:lang w:val="es-ES_tradnl"/>
        </w:rPr>
      </w:pPr>
      <w:r>
        <w:rPr>
          <w:rFonts w:ascii="Bookman Old Style" w:hAnsi="Bookman Old Style"/>
          <w:lang w:val="es-ES_tradnl"/>
        </w:rPr>
        <w:t>L</w:t>
      </w:r>
      <w:r w:rsidR="006C35B0">
        <w:rPr>
          <w:rFonts w:ascii="Bookman Old Style" w:hAnsi="Bookman Old Style"/>
          <w:lang w:val="es-ES_tradnl"/>
        </w:rPr>
        <w:t>os</w:t>
      </w:r>
      <w:r w:rsidR="00626EED" w:rsidRPr="00626EED">
        <w:rPr>
          <w:rFonts w:ascii="Bookman Old Style" w:hAnsi="Bookman Old Style"/>
          <w:lang w:val="es-ES_tradnl"/>
        </w:rPr>
        <w:t xml:space="preserve"> numeral</w:t>
      </w:r>
      <w:r w:rsidR="006C35B0">
        <w:rPr>
          <w:rFonts w:ascii="Bookman Old Style" w:hAnsi="Bookman Old Style"/>
          <w:lang w:val="es-ES_tradnl"/>
        </w:rPr>
        <w:t>es</w:t>
      </w:r>
      <w:r w:rsidR="00426AD0">
        <w:rPr>
          <w:rFonts w:ascii="Bookman Old Style" w:hAnsi="Bookman Old Style"/>
          <w:lang w:val="es-ES_tradnl"/>
        </w:rPr>
        <w:t xml:space="preserve"> </w:t>
      </w:r>
      <w:r w:rsidR="006C35B0">
        <w:rPr>
          <w:rFonts w:ascii="Bookman Old Style" w:hAnsi="Bookman Old Style"/>
          <w:lang w:val="es-ES_tradnl"/>
        </w:rPr>
        <w:t>4.</w:t>
      </w:r>
      <w:r w:rsidR="00426AD0">
        <w:rPr>
          <w:rFonts w:ascii="Bookman Old Style" w:hAnsi="Bookman Old Style"/>
          <w:lang w:val="es-ES_tradnl"/>
        </w:rPr>
        <w:t>9</w:t>
      </w:r>
      <w:r w:rsidR="006C35B0">
        <w:rPr>
          <w:rFonts w:ascii="Bookman Old Style" w:hAnsi="Bookman Old Style"/>
          <w:lang w:val="es-ES_tradnl"/>
        </w:rPr>
        <w:t xml:space="preserve"> </w:t>
      </w:r>
      <w:r w:rsidR="00976C50">
        <w:rPr>
          <w:rFonts w:ascii="Bookman Old Style" w:hAnsi="Bookman Old Style"/>
          <w:lang w:val="es-ES_tradnl"/>
        </w:rPr>
        <w:t xml:space="preserve">del Anexo 4 </w:t>
      </w:r>
      <w:r w:rsidR="006C35B0">
        <w:rPr>
          <w:rFonts w:ascii="Bookman Old Style" w:hAnsi="Bookman Old Style"/>
          <w:lang w:val="es-ES_tradnl"/>
        </w:rPr>
        <w:t>y 5.9</w:t>
      </w:r>
      <w:r w:rsidR="00626EED" w:rsidRPr="00626EED">
        <w:rPr>
          <w:rFonts w:ascii="Bookman Old Style" w:hAnsi="Bookman Old Style"/>
          <w:lang w:val="es-ES_tradnl"/>
        </w:rPr>
        <w:t xml:space="preserve"> del Anexo</w:t>
      </w:r>
      <w:r w:rsidR="00F41D98">
        <w:rPr>
          <w:rFonts w:ascii="Bookman Old Style" w:hAnsi="Bookman Old Style"/>
          <w:lang w:val="es-ES_tradnl"/>
        </w:rPr>
        <w:t xml:space="preserve"> 5</w:t>
      </w:r>
      <w:r w:rsidR="00626EED" w:rsidRPr="00626EED">
        <w:rPr>
          <w:rFonts w:ascii="Bookman Old Style" w:hAnsi="Bookman Old Style"/>
          <w:lang w:val="es-ES_tradnl"/>
        </w:rPr>
        <w:t xml:space="preserve"> de la Resolución CREG 202 de 2013 establecen los costos</w:t>
      </w:r>
      <w:r w:rsidR="00F41D98">
        <w:rPr>
          <w:rFonts w:ascii="Bookman Old Style" w:hAnsi="Bookman Old Style"/>
          <w:lang w:val="es-ES_tradnl"/>
        </w:rPr>
        <w:t xml:space="preserve"> y la cantidad</w:t>
      </w:r>
      <w:r w:rsidR="00626EED" w:rsidRPr="00626EED">
        <w:rPr>
          <w:rFonts w:ascii="Bookman Old Style" w:hAnsi="Bookman Old Style"/>
          <w:lang w:val="es-ES_tradnl"/>
        </w:rPr>
        <w:t xml:space="preserve"> </w:t>
      </w:r>
      <w:r w:rsidR="00F41D98">
        <w:rPr>
          <w:rFonts w:ascii="Bookman Old Style" w:hAnsi="Bookman Old Style"/>
          <w:lang w:val="es-ES_tradnl"/>
        </w:rPr>
        <w:t>de las</w:t>
      </w:r>
      <w:r w:rsidR="00626EED" w:rsidRPr="00626EED">
        <w:rPr>
          <w:rFonts w:ascii="Bookman Old Style" w:hAnsi="Bookman Old Style"/>
          <w:lang w:val="es-ES_tradnl"/>
        </w:rPr>
        <w:t xml:space="preserve"> unidades constructivas </w:t>
      </w:r>
      <w:r w:rsidR="00F41D98">
        <w:rPr>
          <w:rFonts w:ascii="Bookman Old Style" w:hAnsi="Bookman Old Style"/>
          <w:lang w:val="es-ES_tradnl"/>
        </w:rPr>
        <w:t>considerada como</w:t>
      </w:r>
      <w:r w:rsidR="00626EED" w:rsidRPr="00626EED">
        <w:rPr>
          <w:rFonts w:ascii="Bookman Old Style" w:hAnsi="Bookman Old Style"/>
          <w:lang w:val="es-ES_tradnl"/>
        </w:rPr>
        <w:t xml:space="preserve"> Inversión Existente de la empresa GASES DE</w:t>
      </w:r>
      <w:r w:rsidR="00426AD0">
        <w:rPr>
          <w:rFonts w:ascii="Bookman Old Style" w:hAnsi="Bookman Old Style"/>
          <w:lang w:val="es-ES_tradnl"/>
        </w:rPr>
        <w:t xml:space="preserve"> </w:t>
      </w:r>
      <w:r w:rsidR="00626EED" w:rsidRPr="00626EED">
        <w:rPr>
          <w:rFonts w:ascii="Bookman Old Style" w:hAnsi="Bookman Old Style"/>
          <w:lang w:val="es-ES_tradnl"/>
        </w:rPr>
        <w:t>L</w:t>
      </w:r>
      <w:r w:rsidR="00426AD0">
        <w:rPr>
          <w:rFonts w:ascii="Bookman Old Style" w:hAnsi="Bookman Old Style"/>
          <w:lang w:val="es-ES_tradnl"/>
        </w:rPr>
        <w:t>A GUAJIRA S.A. E.S.P.</w:t>
      </w:r>
      <w:r w:rsidR="00EE40B5">
        <w:rPr>
          <w:rFonts w:ascii="Bookman Old Style" w:hAnsi="Bookman Old Style"/>
          <w:lang w:val="es-ES_tradnl"/>
        </w:rPr>
        <w:t xml:space="preserve"> </w:t>
      </w:r>
      <w:r w:rsidR="00426AD0">
        <w:rPr>
          <w:rFonts w:ascii="Bookman Old Style" w:hAnsi="Bookman Old Style"/>
          <w:lang w:val="es-ES_tradnl"/>
        </w:rPr>
        <w:t xml:space="preserve">En el </w:t>
      </w:r>
      <w:r w:rsidR="00537303" w:rsidRPr="00537303">
        <w:rPr>
          <w:rFonts w:ascii="Bookman Old Style" w:hAnsi="Bookman Old Style"/>
          <w:lang w:val="es-ES_tradnl"/>
        </w:rPr>
        <w:fldChar w:fldCharType="begin"/>
      </w:r>
      <w:r w:rsidR="00537303" w:rsidRPr="00537303">
        <w:rPr>
          <w:rFonts w:ascii="Bookman Old Style" w:hAnsi="Bookman Old Style"/>
          <w:lang w:val="es-ES_tradnl"/>
        </w:rPr>
        <w:instrText xml:space="preserve"> REF _Ref530123750 \h  \* MERGEFORMAT </w:instrText>
      </w:r>
      <w:r w:rsidR="00537303" w:rsidRPr="00537303">
        <w:rPr>
          <w:rFonts w:ascii="Bookman Old Style" w:hAnsi="Bookman Old Style"/>
          <w:lang w:val="es-ES_tradnl"/>
        </w:rPr>
      </w:r>
      <w:r w:rsidR="00537303" w:rsidRPr="00537303">
        <w:rPr>
          <w:rFonts w:ascii="Bookman Old Style" w:hAnsi="Bookman Old Style"/>
          <w:lang w:val="es-ES_tradnl"/>
        </w:rPr>
        <w:fldChar w:fldCharType="separate"/>
      </w:r>
      <w:r w:rsidR="00E37041" w:rsidRPr="00E37041">
        <w:rPr>
          <w:rFonts w:ascii="Bookman Old Style" w:hAnsi="Bookman Old Style"/>
        </w:rPr>
        <w:t>Cuadro 10</w:t>
      </w:r>
      <w:r w:rsidR="00537303" w:rsidRPr="00537303">
        <w:rPr>
          <w:rFonts w:ascii="Bookman Old Style" w:hAnsi="Bookman Old Style"/>
          <w:lang w:val="es-ES_tradnl"/>
        </w:rPr>
        <w:fldChar w:fldCharType="end"/>
      </w:r>
      <w:r w:rsidR="00626EED" w:rsidRPr="00626EED">
        <w:rPr>
          <w:rFonts w:ascii="Bookman Old Style" w:hAnsi="Bookman Old Style"/>
          <w:lang w:val="es-ES_tradnl"/>
        </w:rPr>
        <w:t xml:space="preserve"> se muestran </w:t>
      </w:r>
      <w:r w:rsidR="002F5267">
        <w:rPr>
          <w:rFonts w:ascii="Bookman Old Style" w:hAnsi="Bookman Old Style"/>
          <w:lang w:val="es-ES_tradnl"/>
        </w:rPr>
        <w:t>dich</w:t>
      </w:r>
      <w:r w:rsidR="009A0CFC">
        <w:rPr>
          <w:rFonts w:ascii="Bookman Old Style" w:hAnsi="Bookman Old Style"/>
          <w:lang w:val="es-ES_tradnl"/>
        </w:rPr>
        <w:t>a</w:t>
      </w:r>
      <w:r w:rsidR="00626EED" w:rsidRPr="00626EED">
        <w:rPr>
          <w:rFonts w:ascii="Bookman Old Style" w:hAnsi="Bookman Old Style"/>
          <w:lang w:val="es-ES_tradnl"/>
        </w:rPr>
        <w:t xml:space="preserve">s </w:t>
      </w:r>
      <w:r w:rsidR="009A0CFC">
        <w:rPr>
          <w:rFonts w:ascii="Bookman Old Style" w:hAnsi="Bookman Old Style"/>
          <w:lang w:val="es-ES_tradnl"/>
        </w:rPr>
        <w:t xml:space="preserve">cantidades y </w:t>
      </w:r>
      <w:r w:rsidR="00626EED" w:rsidRPr="00626EED">
        <w:rPr>
          <w:rFonts w:ascii="Bookman Old Style" w:hAnsi="Bookman Old Style"/>
          <w:lang w:val="es-ES_tradnl"/>
        </w:rPr>
        <w:t>costos</w:t>
      </w:r>
      <w:r w:rsidR="00EE40B5">
        <w:rPr>
          <w:rFonts w:ascii="Bookman Old Style" w:hAnsi="Bookman Old Style"/>
          <w:lang w:val="es-ES_tradnl"/>
        </w:rPr>
        <w:t xml:space="preserve"> actualizados a </w:t>
      </w:r>
      <w:r w:rsidR="009A0CFC">
        <w:rPr>
          <w:rFonts w:ascii="Bookman Old Style" w:hAnsi="Bookman Old Style"/>
          <w:lang w:val="es-ES_tradnl"/>
        </w:rPr>
        <w:t>precios de diciembre de 2014</w:t>
      </w:r>
      <w:r w:rsidR="00205C2B">
        <w:rPr>
          <w:rFonts w:ascii="Bookman Old Style" w:hAnsi="Bookman Old Style"/>
          <w:lang w:val="es-ES_tradnl"/>
        </w:rPr>
        <w:t xml:space="preserve"> (fecha base de la solicitud)</w:t>
      </w:r>
      <w:r w:rsidR="00EE40B5">
        <w:rPr>
          <w:rFonts w:ascii="Bookman Old Style" w:hAnsi="Bookman Old Style"/>
          <w:lang w:val="es-ES_tradnl"/>
        </w:rPr>
        <w:t>.</w:t>
      </w:r>
    </w:p>
    <w:p w14:paraId="70746240" w14:textId="338B987E" w:rsidR="00626EED" w:rsidRDefault="005F5D91" w:rsidP="005F5D91">
      <w:pPr>
        <w:keepNext/>
        <w:adjustRightInd w:val="0"/>
        <w:spacing w:before="240"/>
        <w:ind w:left="0" w:right="23"/>
        <w:jc w:val="center"/>
        <w:rPr>
          <w:rFonts w:ascii="Bookman Old Style" w:hAnsi="Bookman Old Style"/>
          <w:b/>
        </w:rPr>
      </w:pPr>
      <w:bookmarkStart w:id="9" w:name="_Ref530123750"/>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10</w:t>
      </w:r>
      <w:r w:rsidRPr="005F5D91">
        <w:rPr>
          <w:rFonts w:ascii="Bookman Old Style" w:hAnsi="Bookman Old Style"/>
          <w:b/>
        </w:rPr>
        <w:fldChar w:fldCharType="end"/>
      </w:r>
      <w:bookmarkEnd w:id="9"/>
    </w:p>
    <w:tbl>
      <w:tblPr>
        <w:tblStyle w:val="Tablaconcuadrcula"/>
        <w:tblW w:w="5000" w:type="pct"/>
        <w:tblLook w:val="04A0" w:firstRow="1" w:lastRow="0" w:firstColumn="1" w:lastColumn="0" w:noHBand="0" w:noVBand="1"/>
      </w:tblPr>
      <w:tblGrid>
        <w:gridCol w:w="1664"/>
        <w:gridCol w:w="3073"/>
        <w:gridCol w:w="1265"/>
        <w:gridCol w:w="1615"/>
        <w:gridCol w:w="1729"/>
      </w:tblGrid>
      <w:tr w:rsidR="00BE0A4F" w:rsidRPr="00626EED" w14:paraId="0CF1B5F6" w14:textId="77777777" w:rsidTr="007403EC">
        <w:trPr>
          <w:trHeight w:val="289"/>
          <w:tblHeader/>
        </w:trPr>
        <w:tc>
          <w:tcPr>
            <w:tcW w:w="890" w:type="pct"/>
            <w:shd w:val="clear" w:color="auto" w:fill="D9D9D9" w:themeFill="background1" w:themeFillShade="D9"/>
            <w:vAlign w:val="center"/>
          </w:tcPr>
          <w:p w14:paraId="3BEA3533" w14:textId="77777777" w:rsidR="00BE0A4F" w:rsidRPr="00BE0A4F" w:rsidRDefault="00EF07F2" w:rsidP="00052C82">
            <w:pPr>
              <w:ind w:left="22"/>
              <w:jc w:val="center"/>
              <w:rPr>
                <w:rFonts w:ascii="Bookman Old Style" w:hAnsi="Bookman Old Style"/>
                <w:b/>
                <w:sz w:val="18"/>
                <w:szCs w:val="18"/>
                <w:lang w:val="es-ES_tradnl"/>
              </w:rPr>
            </w:pPr>
            <w:r>
              <w:rPr>
                <w:rFonts w:ascii="Bookman Old Style" w:hAnsi="Bookman Old Style"/>
                <w:b/>
                <w:sz w:val="18"/>
                <w:szCs w:val="18"/>
                <w:lang w:val="es-ES_tradnl"/>
              </w:rPr>
              <w:t>U</w:t>
            </w:r>
            <w:r w:rsidR="00052C82">
              <w:rPr>
                <w:rFonts w:ascii="Bookman Old Style" w:hAnsi="Bookman Old Style"/>
                <w:b/>
                <w:sz w:val="18"/>
                <w:szCs w:val="18"/>
                <w:lang w:val="es-ES_tradnl"/>
              </w:rPr>
              <w:t>nidad constructiva</w:t>
            </w:r>
          </w:p>
        </w:tc>
        <w:tc>
          <w:tcPr>
            <w:tcW w:w="1644" w:type="pct"/>
            <w:shd w:val="clear" w:color="auto" w:fill="D9D9D9" w:themeFill="background1" w:themeFillShade="D9"/>
            <w:vAlign w:val="center"/>
          </w:tcPr>
          <w:p w14:paraId="2307BA6C" w14:textId="77777777" w:rsidR="00BE0A4F" w:rsidRPr="00BE0A4F" w:rsidRDefault="00BE0A4F" w:rsidP="00EE40B5">
            <w:pPr>
              <w:ind w:left="22"/>
              <w:jc w:val="center"/>
              <w:rPr>
                <w:rFonts w:ascii="Bookman Old Style" w:hAnsi="Bookman Old Style"/>
                <w:b/>
                <w:sz w:val="18"/>
                <w:szCs w:val="18"/>
                <w:lang w:val="es-ES_tradnl"/>
              </w:rPr>
            </w:pPr>
            <w:r w:rsidRPr="00BE0A4F">
              <w:rPr>
                <w:rFonts w:ascii="Bookman Old Style" w:hAnsi="Bookman Old Style"/>
                <w:b/>
                <w:sz w:val="18"/>
                <w:szCs w:val="18"/>
                <w:lang w:val="es-ES_tradnl"/>
              </w:rPr>
              <w:t>Descripción de Unidad Constructiva</w:t>
            </w:r>
          </w:p>
        </w:tc>
        <w:tc>
          <w:tcPr>
            <w:tcW w:w="677" w:type="pct"/>
            <w:shd w:val="clear" w:color="auto" w:fill="D9D9D9" w:themeFill="background1" w:themeFillShade="D9"/>
            <w:vAlign w:val="center"/>
          </w:tcPr>
          <w:p w14:paraId="7A87935A" w14:textId="77777777" w:rsidR="00BE0A4F" w:rsidRPr="00BE0A4F" w:rsidRDefault="00BE0A4F" w:rsidP="00630DE7">
            <w:pPr>
              <w:ind w:left="22"/>
              <w:jc w:val="center"/>
              <w:rPr>
                <w:rFonts w:ascii="Bookman Old Style" w:hAnsi="Bookman Old Style"/>
                <w:b/>
                <w:sz w:val="18"/>
                <w:szCs w:val="18"/>
                <w:lang w:val="es-ES_tradnl"/>
              </w:rPr>
            </w:pPr>
            <w:r w:rsidRPr="00BE0A4F">
              <w:rPr>
                <w:rFonts w:ascii="Bookman Old Style" w:hAnsi="Bookman Old Style"/>
                <w:b/>
                <w:sz w:val="18"/>
                <w:szCs w:val="18"/>
                <w:lang w:val="es-ES_tradnl"/>
              </w:rPr>
              <w:t>Cantidad reconocida</w:t>
            </w:r>
            <w:r w:rsidR="00581C8A">
              <w:rPr>
                <w:rFonts w:ascii="Bookman Old Style" w:hAnsi="Bookman Old Style"/>
                <w:b/>
                <w:sz w:val="18"/>
                <w:szCs w:val="18"/>
                <w:lang w:val="es-ES_tradnl"/>
              </w:rPr>
              <w:t xml:space="preserve"> (km)</w:t>
            </w:r>
          </w:p>
        </w:tc>
        <w:tc>
          <w:tcPr>
            <w:tcW w:w="864" w:type="pct"/>
            <w:shd w:val="clear" w:color="auto" w:fill="D9D9D9" w:themeFill="background1" w:themeFillShade="D9"/>
            <w:vAlign w:val="center"/>
          </w:tcPr>
          <w:p w14:paraId="3E2CE6E5" w14:textId="77777777" w:rsidR="00BE0A4F" w:rsidRPr="00BE0A4F" w:rsidRDefault="00BE0A4F" w:rsidP="00EE40B5">
            <w:pPr>
              <w:ind w:left="22"/>
              <w:jc w:val="center"/>
              <w:rPr>
                <w:rFonts w:ascii="Bookman Old Style" w:hAnsi="Bookman Old Style"/>
                <w:b/>
                <w:sz w:val="18"/>
                <w:szCs w:val="18"/>
                <w:lang w:val="es-ES_tradnl"/>
              </w:rPr>
            </w:pPr>
            <w:r w:rsidRPr="00BE0A4F">
              <w:rPr>
                <w:rFonts w:ascii="Bookman Old Style" w:hAnsi="Bookman Old Style"/>
                <w:b/>
                <w:sz w:val="18"/>
                <w:szCs w:val="18"/>
                <w:lang w:val="es-ES_tradnl"/>
              </w:rPr>
              <w:t xml:space="preserve">Costo unitario reconocido </w:t>
            </w:r>
          </w:p>
        </w:tc>
        <w:tc>
          <w:tcPr>
            <w:tcW w:w="925" w:type="pct"/>
            <w:shd w:val="clear" w:color="auto" w:fill="D9D9D9" w:themeFill="background1" w:themeFillShade="D9"/>
            <w:vAlign w:val="center"/>
          </w:tcPr>
          <w:p w14:paraId="5BA2BB21" w14:textId="77777777" w:rsidR="00BE0A4F" w:rsidRPr="00BE0A4F" w:rsidRDefault="00BE0A4F" w:rsidP="00BE0A4F">
            <w:pPr>
              <w:ind w:left="22"/>
              <w:jc w:val="center"/>
              <w:rPr>
                <w:rFonts w:ascii="Bookman Old Style" w:hAnsi="Bookman Old Style"/>
                <w:b/>
                <w:sz w:val="18"/>
                <w:szCs w:val="18"/>
                <w:lang w:val="es-ES_tradnl"/>
              </w:rPr>
            </w:pPr>
            <w:r w:rsidRPr="00BE0A4F">
              <w:rPr>
                <w:rFonts w:ascii="Bookman Old Style" w:hAnsi="Bookman Old Style"/>
                <w:b/>
                <w:sz w:val="18"/>
                <w:szCs w:val="18"/>
                <w:lang w:val="es-ES_tradnl"/>
              </w:rPr>
              <w:t>Costo total</w:t>
            </w:r>
          </w:p>
        </w:tc>
      </w:tr>
      <w:tr w:rsidR="00FD6C71" w:rsidRPr="00626EED" w14:paraId="056026CE" w14:textId="77777777" w:rsidTr="007403EC">
        <w:tc>
          <w:tcPr>
            <w:tcW w:w="890" w:type="pct"/>
            <w:shd w:val="clear" w:color="auto" w:fill="auto"/>
            <w:vAlign w:val="center"/>
          </w:tcPr>
          <w:p w14:paraId="2FDE5118" w14:textId="77777777" w:rsidR="00FD6C71" w:rsidRPr="00BE0A4F" w:rsidRDefault="00FD6C71" w:rsidP="00FD6C71">
            <w:pPr>
              <w:ind w:left="22"/>
              <w:rPr>
                <w:rFonts w:ascii="Bookman Old Style" w:hAnsi="Bookman Old Style"/>
                <w:sz w:val="18"/>
                <w:szCs w:val="18"/>
                <w:lang w:val="es-ES_tradnl"/>
              </w:rPr>
            </w:pPr>
            <w:r w:rsidRPr="00BE0A4F">
              <w:rPr>
                <w:rFonts w:ascii="Bookman Old Style" w:hAnsi="Bookman Old Style"/>
                <w:sz w:val="18"/>
                <w:szCs w:val="18"/>
                <w:lang w:val="es-ES_tradnl"/>
              </w:rPr>
              <w:t>TPE1/2CO</w:t>
            </w:r>
          </w:p>
        </w:tc>
        <w:tc>
          <w:tcPr>
            <w:tcW w:w="1644" w:type="pct"/>
          </w:tcPr>
          <w:p w14:paraId="7ED9DE6E" w14:textId="77777777" w:rsidR="00FD6C71" w:rsidRPr="00BE0A4F" w:rsidRDefault="00FD6C71" w:rsidP="00FD6C71">
            <w:pPr>
              <w:ind w:left="22"/>
              <w:rPr>
                <w:rFonts w:ascii="Bookman Old Style" w:hAnsi="Bookman Old Style"/>
                <w:sz w:val="18"/>
                <w:szCs w:val="18"/>
                <w:lang w:val="es-ES_tradnl"/>
              </w:rPr>
            </w:pPr>
            <w:r w:rsidRPr="00BE0A4F">
              <w:rPr>
                <w:rFonts w:ascii="Bookman Old Style" w:hAnsi="Bookman Old Style"/>
                <w:sz w:val="18"/>
                <w:szCs w:val="18"/>
                <w:lang w:val="es-ES_tradnl"/>
              </w:rPr>
              <w:t>Canalización tubería de polietileno de 1/2” en concreto</w:t>
            </w:r>
          </w:p>
        </w:tc>
        <w:tc>
          <w:tcPr>
            <w:tcW w:w="677" w:type="pct"/>
            <w:vAlign w:val="center"/>
          </w:tcPr>
          <w:p w14:paraId="07372491" w14:textId="77777777" w:rsidR="00FD6C71" w:rsidRPr="00BE0A4F" w:rsidRDefault="00FD6C71" w:rsidP="00581C8A">
            <w:pPr>
              <w:ind w:left="22"/>
              <w:jc w:val="center"/>
              <w:rPr>
                <w:rFonts w:ascii="Bookman Old Style" w:hAnsi="Bookman Old Style"/>
                <w:color w:val="000000"/>
                <w:sz w:val="18"/>
                <w:szCs w:val="18"/>
              </w:rPr>
            </w:pPr>
            <w:r w:rsidRPr="00BE0A4F">
              <w:rPr>
                <w:rFonts w:ascii="Bookman Old Style" w:hAnsi="Bookman Old Style"/>
                <w:color w:val="000000"/>
                <w:sz w:val="18"/>
                <w:szCs w:val="18"/>
              </w:rPr>
              <w:t>689,</w:t>
            </w:r>
            <w:r>
              <w:rPr>
                <w:rFonts w:ascii="Bookman Old Style" w:hAnsi="Bookman Old Style"/>
                <w:color w:val="000000"/>
                <w:sz w:val="18"/>
                <w:szCs w:val="18"/>
              </w:rPr>
              <w:t>8</w:t>
            </w:r>
          </w:p>
        </w:tc>
        <w:tc>
          <w:tcPr>
            <w:tcW w:w="864" w:type="pct"/>
            <w:vAlign w:val="center"/>
          </w:tcPr>
          <w:p w14:paraId="698272DD" w14:textId="77777777" w:rsidR="00FD6C71" w:rsidRPr="00BE0A4F" w:rsidRDefault="00FD6C71" w:rsidP="00FD6C71">
            <w:pPr>
              <w:ind w:left="22"/>
              <w:jc w:val="center"/>
              <w:rPr>
                <w:rFonts w:ascii="Bookman Old Style" w:hAnsi="Bookman Old Style"/>
                <w:color w:val="000000"/>
                <w:sz w:val="18"/>
                <w:szCs w:val="18"/>
                <w:lang w:val="es-CO" w:eastAsia="es-CO"/>
              </w:rPr>
            </w:pPr>
            <w:r w:rsidRPr="00BE0A4F">
              <w:rPr>
                <w:rFonts w:ascii="Bookman Old Style" w:hAnsi="Bookman Old Style"/>
                <w:color w:val="000000"/>
                <w:sz w:val="18"/>
                <w:szCs w:val="18"/>
                <w:lang w:val="es-CO" w:eastAsia="es-CO"/>
              </w:rPr>
              <w:t>16.929.864</w:t>
            </w:r>
          </w:p>
        </w:tc>
        <w:tc>
          <w:tcPr>
            <w:tcW w:w="925" w:type="pct"/>
            <w:vAlign w:val="center"/>
          </w:tcPr>
          <w:p w14:paraId="4C7D7E39" w14:textId="77777777" w:rsidR="00FD6C71" w:rsidRDefault="00FD6C71" w:rsidP="00FD6C71">
            <w:pPr>
              <w:ind w:left="22"/>
              <w:jc w:val="center"/>
              <w:rPr>
                <w:rFonts w:ascii="Bookman Old Style" w:hAnsi="Bookman Old Style"/>
                <w:color w:val="000000"/>
                <w:sz w:val="18"/>
                <w:szCs w:val="18"/>
                <w:lang w:val="es-CO" w:eastAsia="es-CO"/>
              </w:rPr>
            </w:pPr>
            <w:r w:rsidRPr="00FD6C71">
              <w:rPr>
                <w:rFonts w:ascii="Bookman Old Style" w:hAnsi="Bookman Old Style"/>
                <w:color w:val="000000"/>
                <w:sz w:val="18"/>
                <w:szCs w:val="18"/>
                <w:lang w:val="es-CO" w:eastAsia="es-CO"/>
              </w:rPr>
              <w:t>11</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679</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913</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500</w:t>
            </w:r>
          </w:p>
        </w:tc>
      </w:tr>
      <w:tr w:rsidR="00FD6C71" w:rsidRPr="00626EED" w14:paraId="52043BFA" w14:textId="77777777" w:rsidTr="007403EC">
        <w:tc>
          <w:tcPr>
            <w:tcW w:w="890" w:type="pct"/>
            <w:shd w:val="clear" w:color="auto" w:fill="auto"/>
            <w:vAlign w:val="center"/>
          </w:tcPr>
          <w:p w14:paraId="54BD54FF" w14:textId="77777777" w:rsidR="00FD6C71" w:rsidRPr="00BE0A4F" w:rsidRDefault="00FD6C71" w:rsidP="00FD6C71">
            <w:pPr>
              <w:ind w:left="22"/>
              <w:rPr>
                <w:rFonts w:ascii="Bookman Old Style" w:hAnsi="Bookman Old Style"/>
                <w:sz w:val="18"/>
                <w:szCs w:val="18"/>
                <w:lang w:val="es-ES_tradnl"/>
              </w:rPr>
            </w:pPr>
            <w:r w:rsidRPr="00BE0A4F">
              <w:rPr>
                <w:rFonts w:ascii="Bookman Old Style" w:hAnsi="Bookman Old Style"/>
                <w:sz w:val="18"/>
                <w:szCs w:val="18"/>
                <w:lang w:val="es-ES_tradnl"/>
              </w:rPr>
              <w:t>TPE3/4CO</w:t>
            </w:r>
          </w:p>
        </w:tc>
        <w:tc>
          <w:tcPr>
            <w:tcW w:w="1644" w:type="pct"/>
          </w:tcPr>
          <w:p w14:paraId="7E72A242" w14:textId="77777777" w:rsidR="00FD6C71" w:rsidRPr="00BE0A4F" w:rsidRDefault="00FD6C71" w:rsidP="00FD6C71">
            <w:pPr>
              <w:ind w:left="22"/>
              <w:rPr>
                <w:rFonts w:ascii="Bookman Old Style" w:hAnsi="Bookman Old Style"/>
                <w:sz w:val="18"/>
                <w:szCs w:val="18"/>
                <w:lang w:val="es-ES_tradnl"/>
              </w:rPr>
            </w:pPr>
            <w:r w:rsidRPr="00BE0A4F">
              <w:rPr>
                <w:rFonts w:ascii="Bookman Old Style" w:hAnsi="Bookman Old Style"/>
                <w:sz w:val="18"/>
                <w:szCs w:val="18"/>
                <w:lang w:val="es-ES_tradnl"/>
              </w:rPr>
              <w:t>Canalización tubería de polietileno de 3/4” en concreto</w:t>
            </w:r>
          </w:p>
        </w:tc>
        <w:tc>
          <w:tcPr>
            <w:tcW w:w="677" w:type="pct"/>
            <w:vAlign w:val="center"/>
          </w:tcPr>
          <w:p w14:paraId="0EC7C633" w14:textId="77777777" w:rsidR="00FD6C71" w:rsidRPr="00BE0A4F" w:rsidRDefault="00581C8A" w:rsidP="00FD6C71">
            <w:pPr>
              <w:ind w:left="22"/>
              <w:jc w:val="center"/>
              <w:rPr>
                <w:rFonts w:ascii="Bookman Old Style" w:hAnsi="Bookman Old Style"/>
                <w:color w:val="000000"/>
                <w:sz w:val="18"/>
                <w:szCs w:val="18"/>
              </w:rPr>
            </w:pPr>
            <w:r>
              <w:rPr>
                <w:rFonts w:ascii="Bookman Old Style" w:hAnsi="Bookman Old Style"/>
                <w:color w:val="000000"/>
                <w:sz w:val="18"/>
                <w:szCs w:val="18"/>
              </w:rPr>
              <w:t>142,9</w:t>
            </w:r>
          </w:p>
        </w:tc>
        <w:tc>
          <w:tcPr>
            <w:tcW w:w="864" w:type="pct"/>
            <w:vAlign w:val="center"/>
          </w:tcPr>
          <w:p w14:paraId="210B4EB2" w14:textId="77777777" w:rsidR="00FD6C71" w:rsidRPr="00BE0A4F" w:rsidRDefault="00FD6C71" w:rsidP="00FD6C71">
            <w:pPr>
              <w:ind w:left="22"/>
              <w:jc w:val="center"/>
              <w:rPr>
                <w:rFonts w:ascii="Bookman Old Style" w:hAnsi="Bookman Old Style"/>
                <w:color w:val="000000"/>
                <w:sz w:val="18"/>
                <w:szCs w:val="18"/>
                <w:lang w:val="es-CO" w:eastAsia="es-CO"/>
              </w:rPr>
            </w:pPr>
            <w:r w:rsidRPr="00BE0A4F">
              <w:rPr>
                <w:rFonts w:ascii="Bookman Old Style" w:hAnsi="Bookman Old Style"/>
                <w:color w:val="000000"/>
                <w:sz w:val="18"/>
                <w:szCs w:val="18"/>
                <w:lang w:val="es-CO" w:eastAsia="es-CO"/>
              </w:rPr>
              <w:t>16.929.864</w:t>
            </w:r>
          </w:p>
        </w:tc>
        <w:tc>
          <w:tcPr>
            <w:tcW w:w="925" w:type="pct"/>
            <w:vAlign w:val="center"/>
          </w:tcPr>
          <w:p w14:paraId="49D6D708" w14:textId="77777777" w:rsidR="00FD6C71" w:rsidRPr="00FD6C71" w:rsidRDefault="00FD6C71" w:rsidP="00FD6C71">
            <w:pPr>
              <w:ind w:left="22"/>
              <w:jc w:val="center"/>
              <w:rPr>
                <w:rFonts w:ascii="Bookman Old Style" w:hAnsi="Bookman Old Style"/>
                <w:color w:val="000000"/>
                <w:sz w:val="18"/>
                <w:szCs w:val="18"/>
                <w:lang w:val="es-CO" w:eastAsia="es-CO"/>
              </w:rPr>
            </w:pPr>
            <w:r w:rsidRPr="00FD6C71">
              <w:rPr>
                <w:rFonts w:ascii="Bookman Old Style" w:hAnsi="Bookman Old Style"/>
                <w:color w:val="000000"/>
                <w:sz w:val="18"/>
                <w:szCs w:val="18"/>
                <w:lang w:val="es-CO" w:eastAsia="es-CO"/>
              </w:rPr>
              <w:t>2</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419</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277</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633</w:t>
            </w:r>
          </w:p>
        </w:tc>
      </w:tr>
      <w:tr w:rsidR="00FD6C71" w:rsidRPr="00626EED" w14:paraId="15309789" w14:textId="77777777" w:rsidTr="007403EC">
        <w:tc>
          <w:tcPr>
            <w:tcW w:w="890" w:type="pct"/>
            <w:shd w:val="clear" w:color="auto" w:fill="auto"/>
            <w:vAlign w:val="center"/>
          </w:tcPr>
          <w:p w14:paraId="077DB925" w14:textId="77777777" w:rsidR="00FD6C71" w:rsidRPr="00BE0A4F" w:rsidRDefault="00FD6C71" w:rsidP="00FD6C71">
            <w:pPr>
              <w:ind w:left="22"/>
              <w:rPr>
                <w:rFonts w:ascii="Bookman Old Style" w:hAnsi="Bookman Old Style"/>
                <w:sz w:val="18"/>
                <w:szCs w:val="18"/>
                <w:lang w:val="es-ES_tradnl"/>
              </w:rPr>
            </w:pPr>
            <w:r w:rsidRPr="00BE0A4F">
              <w:rPr>
                <w:rFonts w:ascii="Bookman Old Style" w:hAnsi="Bookman Old Style"/>
                <w:sz w:val="18"/>
                <w:szCs w:val="18"/>
                <w:lang w:val="es-ES_tradnl"/>
              </w:rPr>
              <w:t>TPE1CO</w:t>
            </w:r>
          </w:p>
        </w:tc>
        <w:tc>
          <w:tcPr>
            <w:tcW w:w="1644" w:type="pct"/>
          </w:tcPr>
          <w:p w14:paraId="7D347350" w14:textId="77777777" w:rsidR="00FD6C71" w:rsidRPr="00BE0A4F" w:rsidRDefault="00FD6C71" w:rsidP="00FD6C71">
            <w:pPr>
              <w:ind w:left="22"/>
              <w:rPr>
                <w:rFonts w:ascii="Bookman Old Style" w:hAnsi="Bookman Old Style"/>
                <w:sz w:val="18"/>
                <w:szCs w:val="18"/>
                <w:lang w:val="es-ES_tradnl"/>
              </w:rPr>
            </w:pPr>
            <w:r w:rsidRPr="00BE0A4F">
              <w:rPr>
                <w:rFonts w:ascii="Bookman Old Style" w:hAnsi="Bookman Old Style"/>
                <w:sz w:val="18"/>
                <w:szCs w:val="18"/>
                <w:lang w:val="es-ES_tradnl"/>
              </w:rPr>
              <w:t>Canalización tubería de polietileno de 1” en concreto</w:t>
            </w:r>
          </w:p>
        </w:tc>
        <w:tc>
          <w:tcPr>
            <w:tcW w:w="677" w:type="pct"/>
            <w:vAlign w:val="center"/>
          </w:tcPr>
          <w:p w14:paraId="6038D113" w14:textId="77777777" w:rsidR="00FD6C71" w:rsidRPr="00BE0A4F" w:rsidRDefault="00581C8A" w:rsidP="00FD6C71">
            <w:pPr>
              <w:ind w:left="22"/>
              <w:jc w:val="center"/>
              <w:rPr>
                <w:rFonts w:ascii="Bookman Old Style" w:hAnsi="Bookman Old Style"/>
                <w:color w:val="000000"/>
                <w:sz w:val="18"/>
                <w:szCs w:val="18"/>
              </w:rPr>
            </w:pPr>
            <w:r>
              <w:rPr>
                <w:rFonts w:ascii="Bookman Old Style" w:hAnsi="Bookman Old Style"/>
                <w:color w:val="000000"/>
                <w:sz w:val="18"/>
                <w:szCs w:val="18"/>
              </w:rPr>
              <w:t>26,7</w:t>
            </w:r>
          </w:p>
        </w:tc>
        <w:tc>
          <w:tcPr>
            <w:tcW w:w="864" w:type="pct"/>
            <w:vAlign w:val="center"/>
          </w:tcPr>
          <w:p w14:paraId="7EB9C068" w14:textId="77777777" w:rsidR="00FD6C71" w:rsidRPr="00BE0A4F" w:rsidRDefault="00FD6C71" w:rsidP="00FD6C71">
            <w:pPr>
              <w:ind w:left="22"/>
              <w:jc w:val="center"/>
              <w:rPr>
                <w:rFonts w:ascii="Bookman Old Style" w:hAnsi="Bookman Old Style"/>
                <w:color w:val="000000"/>
                <w:sz w:val="18"/>
                <w:szCs w:val="18"/>
                <w:lang w:val="es-CO" w:eastAsia="es-CO"/>
              </w:rPr>
            </w:pPr>
            <w:r w:rsidRPr="00BE0A4F">
              <w:rPr>
                <w:rFonts w:ascii="Bookman Old Style" w:hAnsi="Bookman Old Style"/>
                <w:color w:val="000000"/>
                <w:sz w:val="18"/>
                <w:szCs w:val="18"/>
                <w:lang w:val="es-CO" w:eastAsia="es-CO"/>
              </w:rPr>
              <w:t>38.507.475</w:t>
            </w:r>
          </w:p>
        </w:tc>
        <w:tc>
          <w:tcPr>
            <w:tcW w:w="925" w:type="pct"/>
            <w:vAlign w:val="center"/>
          </w:tcPr>
          <w:p w14:paraId="3717554F" w14:textId="77777777" w:rsidR="00FD6C71" w:rsidRPr="00FD6C71" w:rsidRDefault="00FD6C71" w:rsidP="00FD6C71">
            <w:pPr>
              <w:ind w:left="22"/>
              <w:jc w:val="center"/>
              <w:rPr>
                <w:rFonts w:ascii="Bookman Old Style" w:hAnsi="Bookman Old Style"/>
                <w:color w:val="000000"/>
                <w:sz w:val="18"/>
                <w:szCs w:val="18"/>
                <w:lang w:val="es-CO" w:eastAsia="es-CO"/>
              </w:rPr>
            </w:pPr>
            <w:r w:rsidRPr="00FD6C71">
              <w:rPr>
                <w:rFonts w:ascii="Bookman Old Style" w:hAnsi="Bookman Old Style"/>
                <w:color w:val="000000"/>
                <w:sz w:val="18"/>
                <w:szCs w:val="18"/>
                <w:lang w:val="es-CO" w:eastAsia="es-CO"/>
              </w:rPr>
              <w:t>1</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028</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149</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579</w:t>
            </w:r>
          </w:p>
        </w:tc>
      </w:tr>
      <w:tr w:rsidR="00FD6C71" w:rsidRPr="00626EED" w14:paraId="3EFF6B3B" w14:textId="77777777" w:rsidTr="007403EC">
        <w:tc>
          <w:tcPr>
            <w:tcW w:w="890" w:type="pct"/>
            <w:shd w:val="clear" w:color="auto" w:fill="auto"/>
            <w:vAlign w:val="center"/>
          </w:tcPr>
          <w:p w14:paraId="04322276" w14:textId="77777777" w:rsidR="00FD6C71" w:rsidRPr="00BE0A4F" w:rsidRDefault="00FD6C71" w:rsidP="00FD6C71">
            <w:pPr>
              <w:ind w:left="22" w:hanging="22"/>
              <w:rPr>
                <w:rFonts w:ascii="Bookman Old Style" w:hAnsi="Bookman Old Style"/>
                <w:sz w:val="18"/>
                <w:szCs w:val="18"/>
                <w:lang w:val="es-ES_tradnl"/>
              </w:rPr>
            </w:pPr>
            <w:r w:rsidRPr="00BE0A4F">
              <w:rPr>
                <w:rFonts w:ascii="Bookman Old Style" w:hAnsi="Bookman Old Style"/>
                <w:sz w:val="18"/>
                <w:szCs w:val="18"/>
                <w:lang w:val="es-ES_tradnl"/>
              </w:rPr>
              <w:t>TPE2AS</w:t>
            </w:r>
          </w:p>
        </w:tc>
        <w:tc>
          <w:tcPr>
            <w:tcW w:w="1644" w:type="pct"/>
          </w:tcPr>
          <w:p w14:paraId="1260CB7B" w14:textId="77777777" w:rsidR="00FD6C71" w:rsidRPr="00BE0A4F" w:rsidRDefault="00FD6C71" w:rsidP="00FD6C71">
            <w:pPr>
              <w:ind w:left="22" w:hanging="22"/>
              <w:rPr>
                <w:rFonts w:ascii="Bookman Old Style" w:hAnsi="Bookman Old Style"/>
                <w:sz w:val="18"/>
                <w:szCs w:val="18"/>
                <w:lang w:val="es-ES_tradnl"/>
              </w:rPr>
            </w:pPr>
            <w:r w:rsidRPr="00BE0A4F">
              <w:rPr>
                <w:rFonts w:ascii="Bookman Old Style" w:hAnsi="Bookman Old Style"/>
                <w:sz w:val="18"/>
                <w:szCs w:val="18"/>
                <w:lang w:val="es-ES_tradnl"/>
              </w:rPr>
              <w:t>Canalización tubería de polietileno de 2” en asfalto</w:t>
            </w:r>
          </w:p>
        </w:tc>
        <w:tc>
          <w:tcPr>
            <w:tcW w:w="677" w:type="pct"/>
            <w:vAlign w:val="center"/>
          </w:tcPr>
          <w:p w14:paraId="266AF385" w14:textId="77777777" w:rsidR="00FD6C71" w:rsidRPr="00BE0A4F" w:rsidRDefault="00581C8A" w:rsidP="00FD6C71">
            <w:pPr>
              <w:ind w:left="22" w:hanging="22"/>
              <w:jc w:val="center"/>
              <w:rPr>
                <w:rFonts w:ascii="Bookman Old Style" w:hAnsi="Bookman Old Style"/>
                <w:color w:val="000000"/>
                <w:sz w:val="18"/>
                <w:szCs w:val="18"/>
              </w:rPr>
            </w:pPr>
            <w:r>
              <w:rPr>
                <w:rFonts w:ascii="Bookman Old Style" w:hAnsi="Bookman Old Style"/>
                <w:color w:val="000000"/>
                <w:sz w:val="18"/>
                <w:szCs w:val="18"/>
              </w:rPr>
              <w:t>41,0</w:t>
            </w:r>
          </w:p>
        </w:tc>
        <w:tc>
          <w:tcPr>
            <w:tcW w:w="864" w:type="pct"/>
            <w:vAlign w:val="center"/>
          </w:tcPr>
          <w:p w14:paraId="700CF3E1" w14:textId="77777777" w:rsidR="00FD6C71" w:rsidRPr="00BE0A4F" w:rsidRDefault="00FD6C71" w:rsidP="00FD6C71">
            <w:pPr>
              <w:ind w:left="0"/>
              <w:jc w:val="center"/>
              <w:rPr>
                <w:sz w:val="18"/>
                <w:szCs w:val="18"/>
              </w:rPr>
            </w:pPr>
            <w:r w:rsidRPr="00BE0A4F">
              <w:rPr>
                <w:rFonts w:ascii="Bookman Old Style" w:hAnsi="Bookman Old Style"/>
                <w:color w:val="000000"/>
                <w:sz w:val="18"/>
                <w:szCs w:val="18"/>
                <w:lang w:val="es-CO" w:eastAsia="es-CO"/>
              </w:rPr>
              <w:t>38.507.475</w:t>
            </w:r>
          </w:p>
        </w:tc>
        <w:tc>
          <w:tcPr>
            <w:tcW w:w="925" w:type="pct"/>
            <w:vAlign w:val="center"/>
          </w:tcPr>
          <w:p w14:paraId="3BF4F247" w14:textId="77777777" w:rsidR="00FD6C71" w:rsidRPr="00FD6C71" w:rsidRDefault="00FD6C71" w:rsidP="00FD6C71">
            <w:pPr>
              <w:ind w:left="22"/>
              <w:jc w:val="center"/>
              <w:rPr>
                <w:rFonts w:ascii="Bookman Old Style" w:hAnsi="Bookman Old Style"/>
                <w:color w:val="000000"/>
                <w:sz w:val="18"/>
                <w:szCs w:val="18"/>
                <w:lang w:val="es-CO" w:eastAsia="es-CO"/>
              </w:rPr>
            </w:pPr>
            <w:r w:rsidRPr="00FD6C71">
              <w:rPr>
                <w:rFonts w:ascii="Bookman Old Style" w:hAnsi="Bookman Old Style"/>
                <w:color w:val="000000"/>
                <w:sz w:val="18"/>
                <w:szCs w:val="18"/>
                <w:lang w:val="es-CO" w:eastAsia="es-CO"/>
              </w:rPr>
              <w:t>1</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586</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507</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964</w:t>
            </w:r>
          </w:p>
        </w:tc>
      </w:tr>
      <w:tr w:rsidR="00FD6C71" w:rsidRPr="00626EED" w14:paraId="5A05CE7B" w14:textId="77777777" w:rsidTr="007403EC">
        <w:tc>
          <w:tcPr>
            <w:tcW w:w="890" w:type="pct"/>
            <w:shd w:val="clear" w:color="auto" w:fill="auto"/>
            <w:vAlign w:val="center"/>
          </w:tcPr>
          <w:p w14:paraId="67C17D50" w14:textId="77777777" w:rsidR="00FD6C71" w:rsidRPr="00BE0A4F" w:rsidRDefault="00FD6C71" w:rsidP="00FD6C71">
            <w:pPr>
              <w:ind w:left="22" w:hanging="22"/>
              <w:rPr>
                <w:rFonts w:ascii="Bookman Old Style" w:hAnsi="Bookman Old Style"/>
                <w:sz w:val="18"/>
                <w:szCs w:val="18"/>
                <w:lang w:val="es-ES_tradnl"/>
              </w:rPr>
            </w:pPr>
            <w:r w:rsidRPr="00BE0A4F">
              <w:rPr>
                <w:rFonts w:ascii="Bookman Old Style" w:hAnsi="Bookman Old Style"/>
                <w:sz w:val="18"/>
                <w:szCs w:val="18"/>
                <w:lang w:val="es-ES_tradnl"/>
              </w:rPr>
              <w:lastRenderedPageBreak/>
              <w:t>TPE3AS</w:t>
            </w:r>
          </w:p>
        </w:tc>
        <w:tc>
          <w:tcPr>
            <w:tcW w:w="1644" w:type="pct"/>
          </w:tcPr>
          <w:p w14:paraId="04F15FD3" w14:textId="77777777" w:rsidR="00FD6C71" w:rsidRPr="00BE0A4F" w:rsidRDefault="00FD6C71" w:rsidP="00FD6C71">
            <w:pPr>
              <w:ind w:left="22" w:hanging="22"/>
              <w:rPr>
                <w:rFonts w:ascii="Bookman Old Style" w:hAnsi="Bookman Old Style"/>
                <w:sz w:val="18"/>
                <w:szCs w:val="18"/>
                <w:lang w:val="es-ES_tradnl"/>
              </w:rPr>
            </w:pPr>
            <w:r w:rsidRPr="00BE0A4F">
              <w:rPr>
                <w:rFonts w:ascii="Bookman Old Style" w:hAnsi="Bookman Old Style"/>
                <w:sz w:val="18"/>
                <w:szCs w:val="18"/>
                <w:lang w:val="es-ES_tradnl"/>
              </w:rPr>
              <w:t>Canalización tubería de polietileno de 3” en asfalto</w:t>
            </w:r>
          </w:p>
        </w:tc>
        <w:tc>
          <w:tcPr>
            <w:tcW w:w="677" w:type="pct"/>
            <w:vAlign w:val="center"/>
          </w:tcPr>
          <w:p w14:paraId="3AF5DB7F" w14:textId="77777777" w:rsidR="00FD6C71" w:rsidRPr="00BE0A4F" w:rsidRDefault="00581C8A" w:rsidP="00FD6C71">
            <w:pPr>
              <w:ind w:left="22" w:hanging="22"/>
              <w:jc w:val="center"/>
              <w:rPr>
                <w:rFonts w:ascii="Bookman Old Style" w:hAnsi="Bookman Old Style"/>
                <w:color w:val="000000"/>
                <w:sz w:val="18"/>
                <w:szCs w:val="18"/>
              </w:rPr>
            </w:pPr>
            <w:r>
              <w:rPr>
                <w:rFonts w:ascii="Bookman Old Style" w:hAnsi="Bookman Old Style"/>
                <w:color w:val="000000"/>
                <w:sz w:val="18"/>
                <w:szCs w:val="18"/>
              </w:rPr>
              <w:t>10,4</w:t>
            </w:r>
          </w:p>
        </w:tc>
        <w:tc>
          <w:tcPr>
            <w:tcW w:w="864" w:type="pct"/>
            <w:vAlign w:val="center"/>
          </w:tcPr>
          <w:p w14:paraId="04F279AC" w14:textId="77777777" w:rsidR="00FD6C71" w:rsidRPr="00BE0A4F" w:rsidRDefault="00FD6C71" w:rsidP="00FD6C71">
            <w:pPr>
              <w:ind w:left="0"/>
              <w:jc w:val="center"/>
              <w:rPr>
                <w:sz w:val="18"/>
                <w:szCs w:val="18"/>
              </w:rPr>
            </w:pPr>
            <w:r w:rsidRPr="00BE0A4F">
              <w:rPr>
                <w:rFonts w:ascii="Bookman Old Style" w:hAnsi="Bookman Old Style"/>
                <w:color w:val="000000"/>
                <w:sz w:val="18"/>
                <w:szCs w:val="18"/>
                <w:lang w:val="es-CO" w:eastAsia="es-CO"/>
              </w:rPr>
              <w:t>38.507.475</w:t>
            </w:r>
          </w:p>
        </w:tc>
        <w:tc>
          <w:tcPr>
            <w:tcW w:w="925" w:type="pct"/>
            <w:vAlign w:val="center"/>
          </w:tcPr>
          <w:p w14:paraId="6532697D" w14:textId="77777777" w:rsidR="00FD6C71" w:rsidRPr="00FD6C71" w:rsidRDefault="00FD6C71" w:rsidP="00FD6C71">
            <w:pPr>
              <w:ind w:left="22"/>
              <w:jc w:val="center"/>
              <w:rPr>
                <w:rFonts w:ascii="Bookman Old Style" w:hAnsi="Bookman Old Style"/>
                <w:color w:val="000000"/>
                <w:sz w:val="18"/>
                <w:szCs w:val="18"/>
                <w:lang w:val="es-CO" w:eastAsia="es-CO"/>
              </w:rPr>
            </w:pPr>
            <w:r w:rsidRPr="00FD6C71">
              <w:rPr>
                <w:rFonts w:ascii="Bookman Old Style" w:hAnsi="Bookman Old Style"/>
                <w:color w:val="000000"/>
                <w:sz w:val="18"/>
                <w:szCs w:val="18"/>
                <w:lang w:val="es-CO" w:eastAsia="es-CO"/>
              </w:rPr>
              <w:t>408</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179</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233</w:t>
            </w:r>
          </w:p>
        </w:tc>
      </w:tr>
      <w:tr w:rsidR="00FD6C71" w:rsidRPr="00626EED" w14:paraId="30D8E233" w14:textId="77777777" w:rsidTr="007403EC">
        <w:tc>
          <w:tcPr>
            <w:tcW w:w="890" w:type="pct"/>
            <w:shd w:val="clear" w:color="auto" w:fill="auto"/>
            <w:vAlign w:val="center"/>
          </w:tcPr>
          <w:p w14:paraId="2BCF1801" w14:textId="77777777" w:rsidR="00FD6C71" w:rsidRPr="00BE0A4F" w:rsidRDefault="00FD6C71" w:rsidP="00FD6C71">
            <w:pPr>
              <w:ind w:left="22" w:hanging="22"/>
              <w:rPr>
                <w:rFonts w:ascii="Bookman Old Style" w:hAnsi="Bookman Old Style"/>
                <w:sz w:val="18"/>
                <w:szCs w:val="18"/>
                <w:lang w:val="es-ES_tradnl"/>
              </w:rPr>
            </w:pPr>
            <w:r w:rsidRPr="00BE0A4F">
              <w:rPr>
                <w:rFonts w:ascii="Bookman Old Style" w:hAnsi="Bookman Old Style"/>
                <w:sz w:val="18"/>
                <w:szCs w:val="18"/>
                <w:lang w:val="es-ES_tradnl"/>
              </w:rPr>
              <w:t>TPE4AS</w:t>
            </w:r>
          </w:p>
        </w:tc>
        <w:tc>
          <w:tcPr>
            <w:tcW w:w="1644" w:type="pct"/>
          </w:tcPr>
          <w:p w14:paraId="42D8B79A" w14:textId="77777777" w:rsidR="00FD6C71" w:rsidRPr="00BE0A4F" w:rsidRDefault="00FD6C71" w:rsidP="00FD6C71">
            <w:pPr>
              <w:ind w:left="22" w:hanging="22"/>
              <w:rPr>
                <w:rFonts w:ascii="Bookman Old Style" w:hAnsi="Bookman Old Style"/>
                <w:sz w:val="18"/>
                <w:szCs w:val="18"/>
                <w:lang w:val="es-ES_tradnl"/>
              </w:rPr>
            </w:pPr>
            <w:r w:rsidRPr="00BE0A4F">
              <w:rPr>
                <w:rFonts w:ascii="Bookman Old Style" w:hAnsi="Bookman Old Style"/>
                <w:sz w:val="18"/>
                <w:szCs w:val="18"/>
                <w:lang w:val="es-ES_tradnl"/>
              </w:rPr>
              <w:t>Canalización tubería de polietileno de 4” en asfalto</w:t>
            </w:r>
          </w:p>
        </w:tc>
        <w:tc>
          <w:tcPr>
            <w:tcW w:w="677" w:type="pct"/>
            <w:vAlign w:val="center"/>
          </w:tcPr>
          <w:p w14:paraId="0F08759A" w14:textId="77777777" w:rsidR="00FD6C71" w:rsidRPr="00BE0A4F" w:rsidRDefault="00581C8A" w:rsidP="00FD6C71">
            <w:pPr>
              <w:ind w:left="22" w:hanging="22"/>
              <w:jc w:val="center"/>
              <w:rPr>
                <w:rFonts w:ascii="Bookman Old Style" w:hAnsi="Bookman Old Style"/>
                <w:color w:val="000000"/>
                <w:sz w:val="18"/>
                <w:szCs w:val="18"/>
              </w:rPr>
            </w:pPr>
            <w:r>
              <w:rPr>
                <w:rFonts w:ascii="Bookman Old Style" w:hAnsi="Bookman Old Style"/>
                <w:color w:val="000000"/>
                <w:sz w:val="18"/>
                <w:szCs w:val="18"/>
              </w:rPr>
              <w:t>11,9</w:t>
            </w:r>
          </w:p>
        </w:tc>
        <w:tc>
          <w:tcPr>
            <w:tcW w:w="864" w:type="pct"/>
            <w:vAlign w:val="center"/>
          </w:tcPr>
          <w:p w14:paraId="52944293" w14:textId="77777777" w:rsidR="00FD6C71" w:rsidRPr="00BE0A4F" w:rsidRDefault="00FD6C71" w:rsidP="00FD6C71">
            <w:pPr>
              <w:ind w:left="0"/>
              <w:jc w:val="center"/>
              <w:rPr>
                <w:rFonts w:ascii="Bookman Old Style" w:hAnsi="Bookman Old Style"/>
                <w:color w:val="000000"/>
                <w:sz w:val="18"/>
                <w:szCs w:val="18"/>
                <w:lang w:val="es-CO" w:eastAsia="es-CO"/>
              </w:rPr>
            </w:pPr>
            <w:r w:rsidRPr="00BE0A4F">
              <w:rPr>
                <w:rFonts w:ascii="Bookman Old Style" w:hAnsi="Bookman Old Style"/>
                <w:color w:val="000000"/>
                <w:sz w:val="18"/>
                <w:szCs w:val="18"/>
                <w:lang w:val="es-CO" w:eastAsia="es-CO"/>
              </w:rPr>
              <w:t>38.507.475</w:t>
            </w:r>
          </w:p>
        </w:tc>
        <w:tc>
          <w:tcPr>
            <w:tcW w:w="925" w:type="pct"/>
            <w:vAlign w:val="center"/>
          </w:tcPr>
          <w:p w14:paraId="1CCAF2FF" w14:textId="77777777" w:rsidR="00FD6C71" w:rsidRPr="00FD6C71" w:rsidRDefault="00FD6C71" w:rsidP="00FD6C71">
            <w:pPr>
              <w:ind w:left="22"/>
              <w:jc w:val="center"/>
              <w:rPr>
                <w:rFonts w:ascii="Bookman Old Style" w:hAnsi="Bookman Old Style"/>
                <w:color w:val="000000"/>
                <w:sz w:val="18"/>
                <w:szCs w:val="18"/>
                <w:lang w:val="es-CO" w:eastAsia="es-CO"/>
              </w:rPr>
            </w:pPr>
            <w:r w:rsidRPr="00FD6C71">
              <w:rPr>
                <w:rFonts w:ascii="Bookman Old Style" w:hAnsi="Bookman Old Style"/>
                <w:color w:val="000000"/>
                <w:sz w:val="18"/>
                <w:szCs w:val="18"/>
                <w:lang w:val="es-CO" w:eastAsia="es-CO"/>
              </w:rPr>
              <w:t>458</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238</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951</w:t>
            </w:r>
          </w:p>
        </w:tc>
      </w:tr>
      <w:tr w:rsidR="00FD6C71" w:rsidRPr="00626EED" w14:paraId="4FA56C1D" w14:textId="77777777" w:rsidTr="007403EC">
        <w:tc>
          <w:tcPr>
            <w:tcW w:w="890" w:type="pct"/>
            <w:tcBorders>
              <w:bottom w:val="single" w:sz="4" w:space="0" w:color="auto"/>
            </w:tcBorders>
            <w:shd w:val="clear" w:color="auto" w:fill="auto"/>
            <w:vAlign w:val="center"/>
          </w:tcPr>
          <w:p w14:paraId="0B6A95E6" w14:textId="77777777" w:rsidR="00FD6C71" w:rsidRPr="00BE0A4F" w:rsidRDefault="00FD6C71" w:rsidP="00FD6C71">
            <w:pPr>
              <w:ind w:left="22" w:hanging="22"/>
              <w:rPr>
                <w:rFonts w:ascii="Bookman Old Style" w:hAnsi="Bookman Old Style"/>
                <w:sz w:val="18"/>
                <w:szCs w:val="18"/>
                <w:lang w:val="es-ES_tradnl"/>
              </w:rPr>
            </w:pPr>
            <w:r w:rsidRPr="00BE0A4F">
              <w:rPr>
                <w:rFonts w:ascii="Bookman Old Style" w:hAnsi="Bookman Old Style"/>
                <w:sz w:val="18"/>
                <w:szCs w:val="18"/>
                <w:lang w:val="es-ES_tradnl"/>
              </w:rPr>
              <w:t>ERP3T3</w:t>
            </w:r>
          </w:p>
        </w:tc>
        <w:tc>
          <w:tcPr>
            <w:tcW w:w="1644" w:type="pct"/>
            <w:tcBorders>
              <w:bottom w:val="single" w:sz="4" w:space="0" w:color="auto"/>
            </w:tcBorders>
          </w:tcPr>
          <w:p w14:paraId="13054417" w14:textId="77777777" w:rsidR="00FD6C71" w:rsidRPr="00BE0A4F" w:rsidRDefault="00FD6C71" w:rsidP="00FD6C71">
            <w:pPr>
              <w:ind w:left="22" w:hanging="22"/>
              <w:jc w:val="both"/>
              <w:rPr>
                <w:rFonts w:ascii="Bookman Old Style" w:hAnsi="Bookman Old Style"/>
                <w:sz w:val="18"/>
                <w:szCs w:val="18"/>
                <w:lang w:val="es-ES_tradnl"/>
              </w:rPr>
            </w:pPr>
            <w:r w:rsidRPr="00BE0A4F">
              <w:rPr>
                <w:rFonts w:ascii="Bookman Old Style" w:hAnsi="Bookman Old Style"/>
                <w:sz w:val="18"/>
                <w:szCs w:val="18"/>
                <w:lang w:val="es-ES_tradnl"/>
              </w:rPr>
              <w:t>Estación de regulación de presión de 3000 SCMH tren paralelo con medidor</w:t>
            </w:r>
            <w:r w:rsidR="00581C8A">
              <w:rPr>
                <w:rFonts w:ascii="Bookman Old Style" w:hAnsi="Bookman Old Style"/>
                <w:sz w:val="18"/>
                <w:szCs w:val="18"/>
                <w:lang w:val="es-ES_tradnl"/>
              </w:rPr>
              <w:t xml:space="preserve"> (Nota 1)</w:t>
            </w:r>
          </w:p>
        </w:tc>
        <w:tc>
          <w:tcPr>
            <w:tcW w:w="677" w:type="pct"/>
            <w:tcBorders>
              <w:bottom w:val="single" w:sz="4" w:space="0" w:color="auto"/>
            </w:tcBorders>
            <w:vAlign w:val="center"/>
          </w:tcPr>
          <w:p w14:paraId="4C11EE49" w14:textId="77777777" w:rsidR="00FD6C71" w:rsidRPr="00BE0A4F" w:rsidRDefault="00581C8A" w:rsidP="00FD6C71">
            <w:pPr>
              <w:ind w:left="22" w:hanging="22"/>
              <w:jc w:val="center"/>
              <w:rPr>
                <w:rFonts w:ascii="Bookman Old Style" w:hAnsi="Bookman Old Style"/>
                <w:color w:val="000000"/>
                <w:sz w:val="18"/>
                <w:szCs w:val="18"/>
              </w:rPr>
            </w:pPr>
            <w:r>
              <w:rPr>
                <w:rFonts w:ascii="Bookman Old Style" w:hAnsi="Bookman Old Style"/>
                <w:color w:val="000000"/>
                <w:sz w:val="18"/>
                <w:szCs w:val="18"/>
              </w:rPr>
              <w:t>2</w:t>
            </w:r>
            <w:r w:rsidR="00B57301">
              <w:rPr>
                <w:rFonts w:ascii="Bookman Old Style" w:hAnsi="Bookman Old Style"/>
                <w:color w:val="000000"/>
                <w:sz w:val="18"/>
                <w:szCs w:val="18"/>
              </w:rPr>
              <w:t>,0</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66EF4EBE" w14:textId="77777777" w:rsidR="00FD6C71" w:rsidRPr="00BE0A4F" w:rsidRDefault="00FD6C71" w:rsidP="00FD6C71">
            <w:pPr>
              <w:ind w:left="22" w:hanging="22"/>
              <w:jc w:val="center"/>
              <w:rPr>
                <w:rFonts w:ascii="Bookman Old Style" w:hAnsi="Bookman Old Style"/>
                <w:sz w:val="18"/>
                <w:szCs w:val="18"/>
                <w:lang w:val="es-ES_tradnl"/>
              </w:rPr>
            </w:pPr>
            <w:r w:rsidRPr="00BE0A4F">
              <w:rPr>
                <w:rFonts w:ascii="Bookman Old Style" w:hAnsi="Bookman Old Style"/>
                <w:sz w:val="18"/>
                <w:szCs w:val="18"/>
                <w:lang w:val="es-ES_tradnl"/>
              </w:rPr>
              <w:t>85.832.446</w:t>
            </w:r>
          </w:p>
        </w:tc>
        <w:tc>
          <w:tcPr>
            <w:tcW w:w="925" w:type="pct"/>
            <w:tcBorders>
              <w:top w:val="single" w:sz="4" w:space="0" w:color="auto"/>
              <w:left w:val="single" w:sz="4" w:space="0" w:color="auto"/>
              <w:bottom w:val="single" w:sz="4" w:space="0" w:color="auto"/>
              <w:right w:val="single" w:sz="4" w:space="0" w:color="auto"/>
            </w:tcBorders>
            <w:vAlign w:val="center"/>
          </w:tcPr>
          <w:p w14:paraId="05ACC244" w14:textId="77777777" w:rsidR="00FD6C71" w:rsidRPr="00FD6C71" w:rsidRDefault="00FD6C71" w:rsidP="00FD6C71">
            <w:pPr>
              <w:ind w:left="22"/>
              <w:jc w:val="center"/>
              <w:rPr>
                <w:rFonts w:ascii="Bookman Old Style" w:hAnsi="Bookman Old Style"/>
                <w:color w:val="000000"/>
                <w:sz w:val="18"/>
                <w:szCs w:val="18"/>
                <w:lang w:val="es-CO" w:eastAsia="es-CO"/>
              </w:rPr>
            </w:pPr>
            <w:r w:rsidRPr="00FD6C71">
              <w:rPr>
                <w:rFonts w:ascii="Bookman Old Style" w:hAnsi="Bookman Old Style"/>
                <w:color w:val="000000"/>
                <w:sz w:val="18"/>
                <w:szCs w:val="18"/>
                <w:lang w:val="es-CO" w:eastAsia="es-CO"/>
              </w:rPr>
              <w:t>171</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664</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893</w:t>
            </w:r>
          </w:p>
        </w:tc>
      </w:tr>
      <w:tr w:rsidR="007403EC" w:rsidRPr="00626EED" w14:paraId="52783777" w14:textId="77777777" w:rsidTr="007403E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8318455" w14:textId="77777777" w:rsidR="007403EC" w:rsidRPr="00513DF4" w:rsidRDefault="007403EC" w:rsidP="007403EC">
            <w:pPr>
              <w:ind w:left="22"/>
              <w:rPr>
                <w:rFonts w:ascii="Bookman Old Style" w:hAnsi="Bookman Old Style"/>
                <w:color w:val="000000"/>
                <w:sz w:val="18"/>
                <w:szCs w:val="18"/>
              </w:rPr>
            </w:pPr>
            <w:r w:rsidRPr="00513DF4">
              <w:rPr>
                <w:rFonts w:ascii="Bookman Old Style" w:hAnsi="Bookman Old Style"/>
                <w:color w:val="000000"/>
                <w:sz w:val="18"/>
                <w:szCs w:val="18"/>
              </w:rPr>
              <w:t>CUSTM000062</w:t>
            </w:r>
          </w:p>
        </w:tc>
        <w:tc>
          <w:tcPr>
            <w:tcW w:w="1644" w:type="pct"/>
            <w:tcBorders>
              <w:top w:val="single" w:sz="4" w:space="0" w:color="auto"/>
              <w:left w:val="single" w:sz="4" w:space="0" w:color="auto"/>
              <w:bottom w:val="single" w:sz="4" w:space="0" w:color="auto"/>
              <w:right w:val="single" w:sz="4" w:space="0" w:color="auto"/>
            </w:tcBorders>
          </w:tcPr>
          <w:p w14:paraId="3EAE64A8" w14:textId="77777777" w:rsidR="007403EC" w:rsidRPr="00BE0A4F" w:rsidRDefault="007403EC" w:rsidP="007403EC">
            <w:pPr>
              <w:ind w:left="22" w:hanging="22"/>
              <w:jc w:val="both"/>
              <w:rPr>
                <w:rFonts w:ascii="Bookman Old Style" w:hAnsi="Bookman Old Style"/>
                <w:sz w:val="18"/>
                <w:szCs w:val="18"/>
                <w:lang w:val="es-ES_tradnl"/>
              </w:rPr>
            </w:pPr>
            <w:r w:rsidRPr="00BE0A4F">
              <w:rPr>
                <w:rFonts w:ascii="Bookman Old Style" w:hAnsi="Bookman Old Style"/>
                <w:sz w:val="18"/>
                <w:szCs w:val="18"/>
                <w:lang w:val="es-ES_tradnl"/>
              </w:rPr>
              <w:t>Equipo de odorización</w:t>
            </w:r>
            <w:r>
              <w:rPr>
                <w:rFonts w:ascii="Bookman Old Style" w:hAnsi="Bookman Old Style"/>
                <w:sz w:val="18"/>
                <w:szCs w:val="18"/>
                <w:lang w:val="es-ES_tradnl"/>
              </w:rPr>
              <w:t xml:space="preserve"> (Nota 1)</w:t>
            </w:r>
          </w:p>
        </w:tc>
        <w:tc>
          <w:tcPr>
            <w:tcW w:w="677" w:type="pct"/>
            <w:tcBorders>
              <w:top w:val="single" w:sz="4" w:space="0" w:color="auto"/>
              <w:left w:val="single" w:sz="4" w:space="0" w:color="auto"/>
              <w:bottom w:val="single" w:sz="4" w:space="0" w:color="auto"/>
              <w:right w:val="single" w:sz="4" w:space="0" w:color="auto"/>
            </w:tcBorders>
            <w:vAlign w:val="center"/>
          </w:tcPr>
          <w:p w14:paraId="43584837" w14:textId="77777777" w:rsidR="007403EC" w:rsidRPr="00BE0A4F" w:rsidRDefault="007403EC" w:rsidP="007403EC">
            <w:pPr>
              <w:ind w:left="22" w:hanging="22"/>
              <w:jc w:val="center"/>
              <w:rPr>
                <w:rFonts w:ascii="Bookman Old Style" w:hAnsi="Bookman Old Style"/>
                <w:sz w:val="18"/>
                <w:szCs w:val="18"/>
                <w:lang w:val="es-ES_tradnl"/>
              </w:rPr>
            </w:pPr>
            <w:r w:rsidRPr="00BE0A4F">
              <w:rPr>
                <w:rFonts w:ascii="Bookman Old Style" w:hAnsi="Bookman Old Style"/>
                <w:sz w:val="18"/>
                <w:szCs w:val="18"/>
                <w:lang w:val="es-ES_tradnl"/>
              </w:rPr>
              <w:t>2</w:t>
            </w:r>
            <w:r>
              <w:rPr>
                <w:rFonts w:ascii="Bookman Old Style" w:hAnsi="Bookman Old Style"/>
                <w:sz w:val="18"/>
                <w:szCs w:val="18"/>
                <w:lang w:val="es-ES_tradnl"/>
              </w:rPr>
              <w:t>,0</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2CD72EE3" w14:textId="77777777" w:rsidR="007403EC" w:rsidRPr="00BE0A4F" w:rsidRDefault="007403EC" w:rsidP="007403EC">
            <w:pPr>
              <w:ind w:left="0"/>
              <w:jc w:val="center"/>
              <w:rPr>
                <w:rFonts w:ascii="Bookman Old Style" w:hAnsi="Bookman Old Style"/>
                <w:sz w:val="18"/>
                <w:szCs w:val="18"/>
                <w:lang w:val="es-ES_tradnl"/>
              </w:rPr>
            </w:pPr>
            <w:r w:rsidRPr="00BE0A4F">
              <w:rPr>
                <w:rFonts w:ascii="Bookman Old Style" w:hAnsi="Bookman Old Style"/>
                <w:sz w:val="18"/>
                <w:szCs w:val="18"/>
                <w:lang w:val="es-ES_tradnl"/>
              </w:rPr>
              <w:t>64.340.601</w:t>
            </w:r>
          </w:p>
        </w:tc>
        <w:tc>
          <w:tcPr>
            <w:tcW w:w="925" w:type="pct"/>
            <w:tcBorders>
              <w:top w:val="single" w:sz="4" w:space="0" w:color="auto"/>
              <w:left w:val="single" w:sz="4" w:space="0" w:color="auto"/>
              <w:bottom w:val="single" w:sz="4" w:space="0" w:color="auto"/>
              <w:right w:val="single" w:sz="4" w:space="0" w:color="auto"/>
            </w:tcBorders>
            <w:vAlign w:val="center"/>
          </w:tcPr>
          <w:p w14:paraId="562E8A30" w14:textId="77777777" w:rsidR="007403EC" w:rsidRPr="00FD6C71" w:rsidRDefault="007403EC" w:rsidP="007403EC">
            <w:pPr>
              <w:ind w:left="22"/>
              <w:jc w:val="center"/>
              <w:rPr>
                <w:rFonts w:ascii="Bookman Old Style" w:hAnsi="Bookman Old Style"/>
                <w:color w:val="000000"/>
                <w:sz w:val="18"/>
                <w:szCs w:val="18"/>
                <w:lang w:val="es-CO" w:eastAsia="es-CO"/>
              </w:rPr>
            </w:pPr>
            <w:r w:rsidRPr="00FD6C71">
              <w:rPr>
                <w:rFonts w:ascii="Bookman Old Style" w:hAnsi="Bookman Old Style"/>
                <w:color w:val="000000"/>
                <w:sz w:val="18"/>
                <w:szCs w:val="18"/>
                <w:lang w:val="es-CO" w:eastAsia="es-CO"/>
              </w:rPr>
              <w:t>128</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681</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201</w:t>
            </w:r>
          </w:p>
        </w:tc>
      </w:tr>
      <w:tr w:rsidR="007403EC" w:rsidRPr="00626EED" w14:paraId="5B42392F" w14:textId="77777777" w:rsidTr="007403E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68F4BCE0" w14:textId="77777777" w:rsidR="007403EC" w:rsidRPr="00513DF4" w:rsidRDefault="007403EC" w:rsidP="007403EC">
            <w:pPr>
              <w:ind w:left="22"/>
              <w:rPr>
                <w:rFonts w:ascii="Bookman Old Style" w:hAnsi="Bookman Old Style"/>
                <w:color w:val="000000"/>
                <w:sz w:val="18"/>
                <w:szCs w:val="18"/>
              </w:rPr>
            </w:pPr>
            <w:r w:rsidRPr="00513DF4">
              <w:rPr>
                <w:rFonts w:ascii="Bookman Old Style" w:hAnsi="Bookman Old Style"/>
                <w:color w:val="000000"/>
                <w:sz w:val="18"/>
                <w:szCs w:val="18"/>
              </w:rPr>
              <w:t>CUSTM000498</w:t>
            </w:r>
          </w:p>
        </w:tc>
        <w:tc>
          <w:tcPr>
            <w:tcW w:w="1644" w:type="pct"/>
            <w:tcBorders>
              <w:top w:val="single" w:sz="4" w:space="0" w:color="auto"/>
              <w:left w:val="single" w:sz="4" w:space="0" w:color="auto"/>
              <w:bottom w:val="single" w:sz="4" w:space="0" w:color="auto"/>
              <w:right w:val="single" w:sz="4" w:space="0" w:color="auto"/>
            </w:tcBorders>
          </w:tcPr>
          <w:p w14:paraId="0FFEC5C1" w14:textId="77777777" w:rsidR="007403EC" w:rsidRPr="00BE0A4F" w:rsidRDefault="007403EC" w:rsidP="007403EC">
            <w:pPr>
              <w:ind w:left="22" w:hanging="22"/>
              <w:jc w:val="both"/>
              <w:rPr>
                <w:rFonts w:ascii="Bookman Old Style" w:hAnsi="Bookman Old Style"/>
                <w:sz w:val="18"/>
                <w:szCs w:val="18"/>
                <w:lang w:val="es-ES_tradnl"/>
              </w:rPr>
            </w:pPr>
            <w:r w:rsidRPr="00BE0A4F">
              <w:rPr>
                <w:rFonts w:ascii="Bookman Old Style" w:hAnsi="Bookman Old Style"/>
                <w:sz w:val="18"/>
                <w:szCs w:val="18"/>
                <w:lang w:val="es-ES_tradnl"/>
              </w:rPr>
              <w:t>Conexión a transporte</w:t>
            </w:r>
            <w:r>
              <w:rPr>
                <w:rFonts w:ascii="Bookman Old Style" w:hAnsi="Bookman Old Style"/>
                <w:sz w:val="18"/>
                <w:szCs w:val="18"/>
                <w:lang w:val="es-ES_tradnl"/>
              </w:rPr>
              <w:t xml:space="preserve"> (Nota 1)</w:t>
            </w:r>
          </w:p>
        </w:tc>
        <w:tc>
          <w:tcPr>
            <w:tcW w:w="677" w:type="pct"/>
            <w:tcBorders>
              <w:top w:val="single" w:sz="4" w:space="0" w:color="auto"/>
              <w:left w:val="single" w:sz="4" w:space="0" w:color="auto"/>
              <w:bottom w:val="single" w:sz="4" w:space="0" w:color="auto"/>
              <w:right w:val="single" w:sz="4" w:space="0" w:color="auto"/>
            </w:tcBorders>
            <w:vAlign w:val="center"/>
          </w:tcPr>
          <w:p w14:paraId="3BF53190" w14:textId="77777777" w:rsidR="007403EC" w:rsidRPr="00BE0A4F" w:rsidRDefault="007403EC" w:rsidP="007403EC">
            <w:pPr>
              <w:ind w:left="22" w:hanging="22"/>
              <w:jc w:val="center"/>
              <w:rPr>
                <w:rFonts w:ascii="Bookman Old Style" w:hAnsi="Bookman Old Style"/>
                <w:color w:val="000000"/>
                <w:sz w:val="18"/>
                <w:szCs w:val="18"/>
              </w:rPr>
            </w:pPr>
            <w:r w:rsidRPr="00BE0A4F">
              <w:rPr>
                <w:rFonts w:ascii="Bookman Old Style" w:hAnsi="Bookman Old Style"/>
                <w:color w:val="000000"/>
                <w:sz w:val="18"/>
                <w:szCs w:val="18"/>
              </w:rPr>
              <w:t>1</w:t>
            </w:r>
            <w:r>
              <w:rPr>
                <w:rFonts w:ascii="Bookman Old Style" w:hAnsi="Bookman Old Style"/>
                <w:color w:val="000000"/>
                <w:sz w:val="18"/>
                <w:szCs w:val="18"/>
              </w:rPr>
              <w:t>,0</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487B40D9" w14:textId="77777777" w:rsidR="007403EC" w:rsidRPr="00BE0A4F" w:rsidRDefault="007403EC" w:rsidP="007403EC">
            <w:pPr>
              <w:ind w:left="22" w:hanging="22"/>
              <w:jc w:val="center"/>
              <w:rPr>
                <w:rFonts w:ascii="Bookman Old Style" w:hAnsi="Bookman Old Style"/>
                <w:sz w:val="18"/>
                <w:szCs w:val="18"/>
                <w:lang w:val="es-ES_tradnl"/>
              </w:rPr>
            </w:pPr>
            <w:r w:rsidRPr="00BE0A4F">
              <w:rPr>
                <w:rFonts w:ascii="Bookman Old Style" w:hAnsi="Bookman Old Style"/>
                <w:sz w:val="18"/>
                <w:szCs w:val="18"/>
                <w:lang w:val="es-ES_tradnl"/>
              </w:rPr>
              <w:t>133.759.743</w:t>
            </w:r>
          </w:p>
        </w:tc>
        <w:tc>
          <w:tcPr>
            <w:tcW w:w="925" w:type="pct"/>
            <w:tcBorders>
              <w:top w:val="nil"/>
              <w:left w:val="single" w:sz="4" w:space="0" w:color="auto"/>
              <w:bottom w:val="single" w:sz="4" w:space="0" w:color="auto"/>
              <w:right w:val="single" w:sz="4" w:space="0" w:color="auto"/>
            </w:tcBorders>
            <w:vAlign w:val="center"/>
          </w:tcPr>
          <w:p w14:paraId="3B738F03" w14:textId="77777777" w:rsidR="007403EC" w:rsidRPr="00FD6C71" w:rsidRDefault="007403EC" w:rsidP="007403EC">
            <w:pPr>
              <w:ind w:left="22"/>
              <w:jc w:val="center"/>
              <w:rPr>
                <w:rFonts w:ascii="Bookman Old Style" w:hAnsi="Bookman Old Style"/>
                <w:color w:val="000000"/>
                <w:sz w:val="18"/>
                <w:szCs w:val="18"/>
                <w:lang w:val="es-CO" w:eastAsia="es-CO"/>
              </w:rPr>
            </w:pPr>
            <w:r w:rsidRPr="00FD6C71">
              <w:rPr>
                <w:rFonts w:ascii="Bookman Old Style" w:hAnsi="Bookman Old Style"/>
                <w:color w:val="000000"/>
                <w:sz w:val="18"/>
                <w:szCs w:val="18"/>
                <w:lang w:val="es-CO" w:eastAsia="es-CO"/>
              </w:rPr>
              <w:t>133</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759</w:t>
            </w:r>
            <w:r>
              <w:rPr>
                <w:rFonts w:ascii="Bookman Old Style" w:hAnsi="Bookman Old Style"/>
                <w:color w:val="000000"/>
                <w:sz w:val="18"/>
                <w:szCs w:val="18"/>
                <w:lang w:val="es-CO" w:eastAsia="es-CO"/>
              </w:rPr>
              <w:t>.</w:t>
            </w:r>
            <w:r w:rsidRPr="00FD6C71">
              <w:rPr>
                <w:rFonts w:ascii="Bookman Old Style" w:hAnsi="Bookman Old Style"/>
                <w:color w:val="000000"/>
                <w:sz w:val="18"/>
                <w:szCs w:val="18"/>
                <w:lang w:val="es-CO" w:eastAsia="es-CO"/>
              </w:rPr>
              <w:t>744</w:t>
            </w:r>
          </w:p>
        </w:tc>
      </w:tr>
      <w:tr w:rsidR="00BE0A4F" w:rsidRPr="00626EED" w14:paraId="5F23EC5E" w14:textId="77777777" w:rsidTr="007403EC">
        <w:tc>
          <w:tcPr>
            <w:tcW w:w="890" w:type="pct"/>
            <w:tcBorders>
              <w:top w:val="single" w:sz="4" w:space="0" w:color="auto"/>
              <w:left w:val="nil"/>
              <w:bottom w:val="nil"/>
              <w:right w:val="nil"/>
            </w:tcBorders>
            <w:shd w:val="clear" w:color="auto" w:fill="auto"/>
            <w:vAlign w:val="center"/>
          </w:tcPr>
          <w:p w14:paraId="1698AAC6" w14:textId="77777777" w:rsidR="00BE0A4F" w:rsidRPr="00BE0A4F" w:rsidRDefault="00BE0A4F" w:rsidP="00BE0A4F">
            <w:pPr>
              <w:ind w:left="22" w:hanging="22"/>
              <w:rPr>
                <w:rFonts w:ascii="Bookman Old Style" w:hAnsi="Bookman Old Style"/>
                <w:sz w:val="18"/>
                <w:szCs w:val="18"/>
                <w:lang w:val="es-ES_tradnl"/>
              </w:rPr>
            </w:pPr>
          </w:p>
        </w:tc>
        <w:tc>
          <w:tcPr>
            <w:tcW w:w="1644" w:type="pct"/>
            <w:tcBorders>
              <w:top w:val="single" w:sz="4" w:space="0" w:color="auto"/>
              <w:left w:val="nil"/>
              <w:bottom w:val="nil"/>
              <w:right w:val="nil"/>
            </w:tcBorders>
          </w:tcPr>
          <w:p w14:paraId="79DC3A94" w14:textId="77777777" w:rsidR="00BE0A4F" w:rsidRPr="00BE0A4F" w:rsidRDefault="00BE0A4F" w:rsidP="00BE0A4F">
            <w:pPr>
              <w:ind w:left="22" w:hanging="22"/>
              <w:jc w:val="both"/>
              <w:rPr>
                <w:rFonts w:ascii="Bookman Old Style" w:hAnsi="Bookman Old Style"/>
                <w:sz w:val="18"/>
                <w:szCs w:val="18"/>
                <w:lang w:val="es-ES_tradnl"/>
              </w:rPr>
            </w:pPr>
          </w:p>
        </w:tc>
        <w:tc>
          <w:tcPr>
            <w:tcW w:w="677" w:type="pct"/>
            <w:tcBorders>
              <w:top w:val="single" w:sz="4" w:space="0" w:color="auto"/>
              <w:left w:val="nil"/>
              <w:bottom w:val="nil"/>
              <w:right w:val="single" w:sz="4" w:space="0" w:color="auto"/>
            </w:tcBorders>
            <w:vAlign w:val="center"/>
          </w:tcPr>
          <w:p w14:paraId="10C03901" w14:textId="77777777" w:rsidR="00BE0A4F" w:rsidRPr="00BE0A4F" w:rsidRDefault="00BE0A4F" w:rsidP="00BE0A4F">
            <w:pPr>
              <w:ind w:left="22" w:hanging="22"/>
              <w:jc w:val="center"/>
              <w:rPr>
                <w:rFonts w:ascii="Bookman Old Style" w:hAnsi="Bookman Old Style"/>
                <w:color w:val="000000"/>
                <w:sz w:val="18"/>
                <w:szCs w:val="18"/>
              </w:rPr>
            </w:pPr>
          </w:p>
        </w:tc>
        <w:tc>
          <w:tcPr>
            <w:tcW w:w="8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78AF2" w14:textId="77777777" w:rsidR="00BE0A4F" w:rsidRPr="00BE0A4F" w:rsidRDefault="00BE0A4F" w:rsidP="00BE0A4F">
            <w:pPr>
              <w:ind w:left="22" w:hanging="22"/>
              <w:jc w:val="right"/>
              <w:rPr>
                <w:rFonts w:ascii="Bookman Old Style" w:hAnsi="Bookman Old Style"/>
                <w:b/>
                <w:sz w:val="18"/>
                <w:szCs w:val="18"/>
                <w:lang w:val="es-ES_tradnl"/>
              </w:rPr>
            </w:pPr>
            <w:r w:rsidRPr="00BE0A4F">
              <w:rPr>
                <w:rFonts w:ascii="Bookman Old Style" w:hAnsi="Bookman Old Style"/>
                <w:b/>
                <w:sz w:val="18"/>
                <w:szCs w:val="18"/>
                <w:lang w:val="es-ES_tradnl"/>
              </w:rPr>
              <w:t>Total</w:t>
            </w:r>
          </w:p>
        </w:tc>
        <w:tc>
          <w:tcPr>
            <w:tcW w:w="9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E7A2680" w14:textId="77777777" w:rsidR="00BE0A4F" w:rsidRPr="00581C8A" w:rsidRDefault="00FD6C71" w:rsidP="00FD6C71">
            <w:pPr>
              <w:ind w:left="22"/>
              <w:jc w:val="center"/>
              <w:rPr>
                <w:rFonts w:ascii="Bookman Old Style" w:hAnsi="Bookman Old Style"/>
                <w:b/>
                <w:color w:val="000000"/>
                <w:sz w:val="18"/>
                <w:szCs w:val="18"/>
                <w:lang w:val="es-CO" w:eastAsia="es-CO"/>
              </w:rPr>
            </w:pPr>
            <w:r w:rsidRPr="00581C8A">
              <w:rPr>
                <w:rFonts w:ascii="Bookman Old Style" w:hAnsi="Bookman Old Style"/>
                <w:b/>
                <w:color w:val="000000"/>
                <w:sz w:val="18"/>
                <w:szCs w:val="18"/>
                <w:lang w:val="es-CO" w:eastAsia="es-CO"/>
              </w:rPr>
              <w:t>18</w:t>
            </w:r>
            <w:r w:rsidR="00BE0A4F" w:rsidRPr="00581C8A">
              <w:rPr>
                <w:rFonts w:ascii="Bookman Old Style" w:hAnsi="Bookman Old Style"/>
                <w:b/>
                <w:color w:val="000000"/>
                <w:sz w:val="18"/>
                <w:szCs w:val="18"/>
                <w:lang w:val="es-CO" w:eastAsia="es-CO"/>
              </w:rPr>
              <w:t>.</w:t>
            </w:r>
            <w:r w:rsidRPr="00581C8A">
              <w:rPr>
                <w:rFonts w:ascii="Bookman Old Style" w:hAnsi="Bookman Old Style"/>
                <w:b/>
                <w:color w:val="000000"/>
                <w:sz w:val="18"/>
                <w:szCs w:val="18"/>
                <w:lang w:val="es-CO" w:eastAsia="es-CO"/>
              </w:rPr>
              <w:t>014</w:t>
            </w:r>
            <w:r w:rsidR="00BE0A4F" w:rsidRPr="00581C8A">
              <w:rPr>
                <w:rFonts w:ascii="Bookman Old Style" w:hAnsi="Bookman Old Style"/>
                <w:b/>
                <w:color w:val="000000"/>
                <w:sz w:val="18"/>
                <w:szCs w:val="18"/>
                <w:lang w:val="es-CO" w:eastAsia="es-CO"/>
              </w:rPr>
              <w:t>.</w:t>
            </w:r>
            <w:r w:rsidRPr="00581C8A">
              <w:rPr>
                <w:rFonts w:ascii="Bookman Old Style" w:hAnsi="Bookman Old Style"/>
                <w:b/>
                <w:color w:val="000000"/>
                <w:sz w:val="18"/>
                <w:szCs w:val="18"/>
                <w:lang w:val="es-CO" w:eastAsia="es-CO"/>
              </w:rPr>
              <w:t>372</w:t>
            </w:r>
            <w:r w:rsidR="00BE0A4F" w:rsidRPr="00581C8A">
              <w:rPr>
                <w:rFonts w:ascii="Bookman Old Style" w:hAnsi="Bookman Old Style"/>
                <w:b/>
                <w:color w:val="000000"/>
                <w:sz w:val="18"/>
                <w:szCs w:val="18"/>
                <w:lang w:val="es-CO" w:eastAsia="es-CO"/>
              </w:rPr>
              <w:t>.</w:t>
            </w:r>
            <w:r w:rsidRPr="00581C8A">
              <w:rPr>
                <w:rFonts w:ascii="Bookman Old Style" w:hAnsi="Bookman Old Style"/>
                <w:b/>
                <w:color w:val="000000"/>
                <w:sz w:val="18"/>
                <w:szCs w:val="18"/>
                <w:lang w:val="es-CO" w:eastAsia="es-CO"/>
              </w:rPr>
              <w:t>697</w:t>
            </w:r>
          </w:p>
        </w:tc>
      </w:tr>
    </w:tbl>
    <w:p w14:paraId="002FB356" w14:textId="77777777" w:rsidR="00205C2B" w:rsidRDefault="00EE40B5" w:rsidP="008A165F">
      <w:pPr>
        <w:adjustRightInd w:val="0"/>
        <w:spacing w:after="240"/>
        <w:ind w:left="0" w:right="23"/>
        <w:jc w:val="center"/>
        <w:rPr>
          <w:rFonts w:ascii="Bookman Old Style" w:hAnsi="Bookman Old Style"/>
          <w:sz w:val="20"/>
          <w:szCs w:val="20"/>
        </w:rPr>
      </w:pPr>
      <w:r w:rsidRPr="0041553C">
        <w:rPr>
          <w:rFonts w:ascii="Bookman Old Style" w:hAnsi="Bookman Old Style"/>
          <w:sz w:val="20"/>
          <w:szCs w:val="20"/>
        </w:rPr>
        <w:t>Cifra</w:t>
      </w:r>
      <w:r w:rsidR="008A165F">
        <w:rPr>
          <w:rFonts w:ascii="Bookman Old Style" w:hAnsi="Bookman Old Style"/>
          <w:sz w:val="20"/>
          <w:szCs w:val="20"/>
        </w:rPr>
        <w:t>s en pesos de diciembre de 2014</w:t>
      </w:r>
    </w:p>
    <w:p w14:paraId="40FF8DE9" w14:textId="77777777" w:rsidR="00581C8A" w:rsidRPr="00581C8A" w:rsidRDefault="00581C8A" w:rsidP="00EF2D18">
      <w:pPr>
        <w:adjustRightInd w:val="0"/>
        <w:spacing w:after="240"/>
        <w:ind w:left="0" w:right="23"/>
        <w:jc w:val="both"/>
        <w:rPr>
          <w:rFonts w:ascii="Bookman Old Style" w:hAnsi="Bookman Old Style"/>
          <w:sz w:val="20"/>
          <w:szCs w:val="20"/>
        </w:rPr>
      </w:pPr>
      <w:r w:rsidRPr="00581C8A">
        <w:rPr>
          <w:rFonts w:ascii="Bookman Old Style" w:hAnsi="Bookman Old Style"/>
          <w:b/>
          <w:sz w:val="20"/>
          <w:szCs w:val="20"/>
        </w:rPr>
        <w:t>Nota 1:</w:t>
      </w:r>
      <w:r>
        <w:rPr>
          <w:rFonts w:ascii="Bookman Old Style" w:hAnsi="Bookman Old Style"/>
          <w:sz w:val="20"/>
          <w:szCs w:val="20"/>
        </w:rPr>
        <w:t xml:space="preserve"> </w:t>
      </w:r>
      <w:r w:rsidRPr="00581C8A">
        <w:rPr>
          <w:rFonts w:ascii="Bookman Old Style" w:hAnsi="Bookman Old Style"/>
          <w:sz w:val="20"/>
          <w:szCs w:val="20"/>
        </w:rPr>
        <w:t>La cantidad reconocida de esta unidad constructiva está expresada en número de unidades, no en km</w:t>
      </w:r>
      <w:r>
        <w:rPr>
          <w:rFonts w:ascii="Bookman Old Style" w:hAnsi="Bookman Old Style"/>
          <w:sz w:val="20"/>
          <w:szCs w:val="20"/>
        </w:rPr>
        <w:t>.</w:t>
      </w:r>
    </w:p>
    <w:p w14:paraId="26F3E8CF" w14:textId="340AC1CE" w:rsidR="00CB57C9" w:rsidRDefault="00513DF4" w:rsidP="00EE40B5">
      <w:pPr>
        <w:spacing w:before="240" w:after="240"/>
        <w:ind w:left="0"/>
        <w:jc w:val="both"/>
        <w:rPr>
          <w:rFonts w:ascii="Bookman Old Style" w:hAnsi="Bookman Old Style"/>
          <w:lang w:val="es-ES_tradnl"/>
        </w:rPr>
      </w:pPr>
      <w:r>
        <w:rPr>
          <w:rFonts w:ascii="Bookman Old Style" w:hAnsi="Bookman Old Style"/>
          <w:lang w:val="es-ES_tradnl"/>
        </w:rPr>
        <w:t xml:space="preserve">El </w:t>
      </w:r>
      <w:r w:rsidRPr="00052C82">
        <w:rPr>
          <w:rFonts w:ascii="Bookman Old Style" w:hAnsi="Bookman Old Style"/>
          <w:lang w:val="es-ES_tradnl"/>
        </w:rPr>
        <w:fldChar w:fldCharType="begin"/>
      </w:r>
      <w:r w:rsidRPr="00052C82">
        <w:rPr>
          <w:rFonts w:ascii="Bookman Old Style" w:hAnsi="Bookman Old Style"/>
          <w:lang w:val="es-ES_tradnl"/>
        </w:rPr>
        <w:instrText xml:space="preserve"> REF _Ref530128216 \h </w:instrText>
      </w:r>
      <w:r w:rsidR="00052C82" w:rsidRPr="00052C82">
        <w:rPr>
          <w:rFonts w:ascii="Bookman Old Style" w:hAnsi="Bookman Old Style"/>
          <w:lang w:val="es-ES_tradnl"/>
        </w:rPr>
        <w:instrText xml:space="preserve"> \* MERGEFORMAT </w:instrText>
      </w:r>
      <w:r w:rsidRPr="00052C82">
        <w:rPr>
          <w:rFonts w:ascii="Bookman Old Style" w:hAnsi="Bookman Old Style"/>
          <w:lang w:val="es-ES_tradnl"/>
        </w:rPr>
      </w:r>
      <w:r w:rsidRPr="00052C82">
        <w:rPr>
          <w:rFonts w:ascii="Bookman Old Style" w:hAnsi="Bookman Old Style"/>
          <w:lang w:val="es-ES_tradnl"/>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11</w:t>
      </w:r>
      <w:r w:rsidRPr="00052C82">
        <w:rPr>
          <w:rFonts w:ascii="Bookman Old Style" w:hAnsi="Bookman Old Style"/>
          <w:lang w:val="es-ES_tradnl"/>
        </w:rPr>
        <w:fldChar w:fldCharType="end"/>
      </w:r>
      <w:r>
        <w:rPr>
          <w:rFonts w:ascii="Bookman Old Style" w:hAnsi="Bookman Old Style"/>
          <w:lang w:val="es-ES_tradnl"/>
        </w:rPr>
        <w:t xml:space="preserve"> muestra</w:t>
      </w:r>
      <w:r w:rsidR="00FD5118">
        <w:rPr>
          <w:rFonts w:ascii="Bookman Old Style" w:hAnsi="Bookman Old Style"/>
          <w:lang w:val="es-ES_tradnl"/>
        </w:rPr>
        <w:t xml:space="preserve"> la</w:t>
      </w:r>
      <w:r>
        <w:rPr>
          <w:rFonts w:ascii="Bookman Old Style" w:hAnsi="Bookman Old Style"/>
          <w:lang w:val="es-ES_tradnl"/>
        </w:rPr>
        <w:t xml:space="preserve"> IE solicitada por la empresa GASES DE LA GUAJIRA S.A. E.S.P. y los costos unitarios a los que fue valorada.</w:t>
      </w:r>
      <w:r w:rsidR="00052C82">
        <w:rPr>
          <w:rFonts w:ascii="Bookman Old Style" w:hAnsi="Bookman Old Style"/>
          <w:lang w:val="es-ES_tradnl"/>
        </w:rPr>
        <w:t xml:space="preserve"> </w:t>
      </w:r>
      <w:r w:rsidR="00E934CC">
        <w:rPr>
          <w:rFonts w:ascii="Bookman Old Style" w:hAnsi="Bookman Old Style"/>
          <w:lang w:val="es-ES_tradnl"/>
        </w:rPr>
        <w:t>Se evidencia que l</w:t>
      </w:r>
      <w:r w:rsidR="00052C82">
        <w:rPr>
          <w:rFonts w:ascii="Bookman Old Style" w:hAnsi="Bookman Old Style"/>
          <w:lang w:val="es-ES_tradnl"/>
        </w:rPr>
        <w:t>a IE solicitada por la empresa difiere de la establecida en los</w:t>
      </w:r>
      <w:r w:rsidR="00052C82" w:rsidRPr="00626EED">
        <w:rPr>
          <w:rFonts w:ascii="Bookman Old Style" w:hAnsi="Bookman Old Style"/>
          <w:lang w:val="es-ES_tradnl"/>
        </w:rPr>
        <w:t xml:space="preserve"> numeral</w:t>
      </w:r>
      <w:r w:rsidR="00052C82">
        <w:rPr>
          <w:rFonts w:ascii="Bookman Old Style" w:hAnsi="Bookman Old Style"/>
          <w:lang w:val="es-ES_tradnl"/>
        </w:rPr>
        <w:t>es 4.9 del Anexo 4 y 5.9</w:t>
      </w:r>
      <w:r w:rsidR="00052C82" w:rsidRPr="00626EED">
        <w:rPr>
          <w:rFonts w:ascii="Bookman Old Style" w:hAnsi="Bookman Old Style"/>
          <w:lang w:val="es-ES_tradnl"/>
        </w:rPr>
        <w:t xml:space="preserve"> del Anexo</w:t>
      </w:r>
      <w:r w:rsidR="00052C82">
        <w:rPr>
          <w:rFonts w:ascii="Bookman Old Style" w:hAnsi="Bookman Old Style"/>
          <w:lang w:val="es-ES_tradnl"/>
        </w:rPr>
        <w:t xml:space="preserve"> 5</w:t>
      </w:r>
      <w:r w:rsidR="00052C82" w:rsidRPr="00626EED">
        <w:rPr>
          <w:rFonts w:ascii="Bookman Old Style" w:hAnsi="Bookman Old Style"/>
          <w:lang w:val="es-ES_tradnl"/>
        </w:rPr>
        <w:t xml:space="preserve"> de la Resolución CREG 202 de 2013</w:t>
      </w:r>
      <w:r w:rsidR="00052C82">
        <w:rPr>
          <w:rFonts w:ascii="Bookman Old Style" w:hAnsi="Bookman Old Style"/>
          <w:lang w:val="es-ES_tradnl"/>
        </w:rPr>
        <w:t xml:space="preserve"> </w:t>
      </w:r>
      <w:r w:rsidR="00B57301">
        <w:rPr>
          <w:rFonts w:ascii="Bookman Old Style" w:hAnsi="Bookman Old Style"/>
          <w:lang w:val="es-ES_tradnl"/>
        </w:rPr>
        <w:t>(</w:t>
      </w:r>
      <w:r w:rsidR="00B57301" w:rsidRPr="00B57301">
        <w:rPr>
          <w:rFonts w:ascii="Bookman Old Style" w:hAnsi="Bookman Old Style"/>
          <w:lang w:val="es-ES_tradnl"/>
        </w:rPr>
        <w:fldChar w:fldCharType="begin"/>
      </w:r>
      <w:r w:rsidR="00B57301" w:rsidRPr="00B57301">
        <w:rPr>
          <w:rFonts w:ascii="Bookman Old Style" w:hAnsi="Bookman Old Style"/>
          <w:lang w:val="es-ES_tradnl"/>
        </w:rPr>
        <w:instrText xml:space="preserve"> REF _Ref530123750 \h  \* MERGEFORMAT </w:instrText>
      </w:r>
      <w:r w:rsidR="00B57301" w:rsidRPr="00B57301">
        <w:rPr>
          <w:rFonts w:ascii="Bookman Old Style" w:hAnsi="Bookman Old Style"/>
          <w:lang w:val="es-ES_tradnl"/>
        </w:rPr>
      </w:r>
      <w:r w:rsidR="00B57301" w:rsidRPr="00B57301">
        <w:rPr>
          <w:rFonts w:ascii="Bookman Old Style" w:hAnsi="Bookman Old Style"/>
          <w:lang w:val="es-ES_tradnl"/>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10</w:t>
      </w:r>
      <w:r w:rsidR="00B57301" w:rsidRPr="00B57301">
        <w:rPr>
          <w:rFonts w:ascii="Bookman Old Style" w:hAnsi="Bookman Old Style"/>
          <w:lang w:val="es-ES_tradnl"/>
        </w:rPr>
        <w:fldChar w:fldCharType="end"/>
      </w:r>
      <w:r w:rsidR="00B57301">
        <w:rPr>
          <w:rFonts w:ascii="Bookman Old Style" w:hAnsi="Bookman Old Style"/>
          <w:lang w:val="es-ES_tradnl"/>
        </w:rPr>
        <w:t xml:space="preserve">) </w:t>
      </w:r>
      <w:r w:rsidR="00052C82">
        <w:rPr>
          <w:rFonts w:ascii="Bookman Old Style" w:hAnsi="Bookman Old Style"/>
          <w:lang w:val="es-ES_tradnl"/>
        </w:rPr>
        <w:t>en cuanto a tipo de unidad constructiva, cantidad y costo unitario.</w:t>
      </w:r>
    </w:p>
    <w:p w14:paraId="763701CC" w14:textId="13EED21C" w:rsidR="00CB57C9" w:rsidRDefault="00CB57C9" w:rsidP="00CB57C9">
      <w:pPr>
        <w:keepNext/>
        <w:adjustRightInd w:val="0"/>
        <w:spacing w:before="240"/>
        <w:ind w:left="0" w:right="23"/>
        <w:jc w:val="center"/>
        <w:rPr>
          <w:rFonts w:ascii="Bookman Old Style" w:hAnsi="Bookman Old Style"/>
          <w:b/>
        </w:rPr>
      </w:pPr>
      <w:bookmarkStart w:id="10" w:name="_Ref530128216"/>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11</w:t>
      </w:r>
      <w:r w:rsidRPr="005F5D91">
        <w:rPr>
          <w:rFonts w:ascii="Bookman Old Style" w:hAnsi="Bookman Old Style"/>
          <w:b/>
        </w:rPr>
        <w:fldChar w:fldCharType="end"/>
      </w:r>
      <w:bookmarkEnd w:id="10"/>
    </w:p>
    <w:tbl>
      <w:tblPr>
        <w:tblStyle w:val="Tablaconcuadrcula"/>
        <w:tblW w:w="5000" w:type="pct"/>
        <w:tblLook w:val="04A0" w:firstRow="1" w:lastRow="0" w:firstColumn="1" w:lastColumn="0" w:noHBand="0" w:noVBand="1"/>
      </w:tblPr>
      <w:tblGrid>
        <w:gridCol w:w="1694"/>
        <w:gridCol w:w="3206"/>
        <w:gridCol w:w="1146"/>
        <w:gridCol w:w="1593"/>
        <w:gridCol w:w="1707"/>
      </w:tblGrid>
      <w:tr w:rsidR="00D16510" w:rsidRPr="00626EED" w14:paraId="5A7AA2B2" w14:textId="77777777" w:rsidTr="00052C82">
        <w:trPr>
          <w:trHeight w:val="289"/>
          <w:tblHeader/>
        </w:trPr>
        <w:tc>
          <w:tcPr>
            <w:tcW w:w="907" w:type="pct"/>
            <w:shd w:val="clear" w:color="auto" w:fill="D9D9D9" w:themeFill="background1" w:themeFillShade="D9"/>
            <w:vAlign w:val="center"/>
          </w:tcPr>
          <w:p w14:paraId="374CDC95" w14:textId="77777777" w:rsidR="00513DF4" w:rsidRPr="00513DF4" w:rsidRDefault="00EF07F2" w:rsidP="00AF14CC">
            <w:pPr>
              <w:ind w:left="22"/>
              <w:jc w:val="center"/>
              <w:rPr>
                <w:rFonts w:ascii="Bookman Old Style" w:hAnsi="Bookman Old Style"/>
                <w:b/>
                <w:sz w:val="18"/>
                <w:szCs w:val="18"/>
                <w:lang w:val="es-ES_tradnl"/>
              </w:rPr>
            </w:pPr>
            <w:r>
              <w:rPr>
                <w:rFonts w:ascii="Bookman Old Style" w:hAnsi="Bookman Old Style"/>
                <w:b/>
                <w:sz w:val="18"/>
                <w:szCs w:val="18"/>
                <w:lang w:val="es-ES_tradnl"/>
              </w:rPr>
              <w:t>U</w:t>
            </w:r>
            <w:r w:rsidR="00052C82">
              <w:rPr>
                <w:rFonts w:ascii="Bookman Old Style" w:hAnsi="Bookman Old Style"/>
                <w:b/>
                <w:sz w:val="18"/>
                <w:szCs w:val="18"/>
                <w:lang w:val="es-ES_tradnl"/>
              </w:rPr>
              <w:t>nidad constructiva</w:t>
            </w:r>
          </w:p>
        </w:tc>
        <w:tc>
          <w:tcPr>
            <w:tcW w:w="1715" w:type="pct"/>
            <w:shd w:val="clear" w:color="auto" w:fill="D9D9D9" w:themeFill="background1" w:themeFillShade="D9"/>
            <w:vAlign w:val="center"/>
          </w:tcPr>
          <w:p w14:paraId="1AB70225" w14:textId="77777777" w:rsidR="00513DF4" w:rsidRPr="00513DF4" w:rsidRDefault="00513DF4" w:rsidP="00C576A1">
            <w:pPr>
              <w:ind w:left="22"/>
              <w:jc w:val="center"/>
              <w:rPr>
                <w:rFonts w:ascii="Bookman Old Style" w:hAnsi="Bookman Old Style"/>
                <w:b/>
                <w:sz w:val="18"/>
                <w:szCs w:val="18"/>
                <w:lang w:val="es-ES_tradnl"/>
              </w:rPr>
            </w:pPr>
            <w:r w:rsidRPr="00513DF4">
              <w:rPr>
                <w:rFonts w:ascii="Bookman Old Style" w:hAnsi="Bookman Old Style"/>
                <w:b/>
                <w:sz w:val="18"/>
                <w:szCs w:val="18"/>
                <w:lang w:val="es-ES_tradnl"/>
              </w:rPr>
              <w:t>Descripción de Unidad Constructiva</w:t>
            </w:r>
          </w:p>
        </w:tc>
        <w:tc>
          <w:tcPr>
            <w:tcW w:w="613" w:type="pct"/>
            <w:shd w:val="clear" w:color="auto" w:fill="D9D9D9" w:themeFill="background1" w:themeFillShade="D9"/>
            <w:vAlign w:val="center"/>
          </w:tcPr>
          <w:p w14:paraId="79D9F9E3" w14:textId="77777777" w:rsidR="00513DF4" w:rsidRPr="00513DF4" w:rsidRDefault="00513DF4" w:rsidP="00C576A1">
            <w:pPr>
              <w:ind w:left="22"/>
              <w:jc w:val="center"/>
              <w:rPr>
                <w:rFonts w:ascii="Bookman Old Style" w:hAnsi="Bookman Old Style"/>
                <w:b/>
                <w:sz w:val="18"/>
                <w:szCs w:val="18"/>
                <w:lang w:val="es-ES_tradnl"/>
              </w:rPr>
            </w:pPr>
            <w:r w:rsidRPr="00513DF4">
              <w:rPr>
                <w:rFonts w:ascii="Bookman Old Style" w:hAnsi="Bookman Old Style"/>
                <w:b/>
                <w:sz w:val="18"/>
                <w:szCs w:val="18"/>
                <w:lang w:val="es-ES_tradnl"/>
              </w:rPr>
              <w:t>Cantidad solicitada</w:t>
            </w:r>
            <w:r w:rsidR="00581C8A">
              <w:rPr>
                <w:rFonts w:ascii="Bookman Old Style" w:hAnsi="Bookman Old Style"/>
                <w:b/>
                <w:sz w:val="18"/>
                <w:szCs w:val="18"/>
                <w:lang w:val="es-ES_tradnl"/>
              </w:rPr>
              <w:t xml:space="preserve"> (km)</w:t>
            </w:r>
          </w:p>
        </w:tc>
        <w:tc>
          <w:tcPr>
            <w:tcW w:w="852" w:type="pct"/>
            <w:shd w:val="clear" w:color="auto" w:fill="D9D9D9" w:themeFill="background1" w:themeFillShade="D9"/>
            <w:vAlign w:val="center"/>
          </w:tcPr>
          <w:p w14:paraId="3A547F5D" w14:textId="77777777" w:rsidR="00513DF4" w:rsidRPr="00513DF4" w:rsidRDefault="00513DF4" w:rsidP="00CB57C9">
            <w:pPr>
              <w:ind w:left="22"/>
              <w:jc w:val="center"/>
              <w:rPr>
                <w:rFonts w:ascii="Bookman Old Style" w:hAnsi="Bookman Old Style"/>
                <w:b/>
                <w:sz w:val="18"/>
                <w:szCs w:val="18"/>
                <w:lang w:val="es-ES_tradnl"/>
              </w:rPr>
            </w:pPr>
            <w:r w:rsidRPr="00513DF4">
              <w:rPr>
                <w:rFonts w:ascii="Bookman Old Style" w:hAnsi="Bookman Old Style"/>
                <w:b/>
                <w:sz w:val="18"/>
                <w:szCs w:val="18"/>
                <w:lang w:val="es-ES_tradnl"/>
              </w:rPr>
              <w:t xml:space="preserve">Costo unitario solicitado </w:t>
            </w:r>
          </w:p>
        </w:tc>
        <w:tc>
          <w:tcPr>
            <w:tcW w:w="913" w:type="pct"/>
            <w:shd w:val="clear" w:color="auto" w:fill="D9D9D9" w:themeFill="background1" w:themeFillShade="D9"/>
            <w:vAlign w:val="center"/>
          </w:tcPr>
          <w:p w14:paraId="56A6DD0A" w14:textId="77777777" w:rsidR="00513DF4" w:rsidRPr="00513DF4" w:rsidRDefault="00513DF4" w:rsidP="00513DF4">
            <w:pPr>
              <w:ind w:left="22"/>
              <w:jc w:val="center"/>
              <w:rPr>
                <w:rFonts w:ascii="Bookman Old Style" w:hAnsi="Bookman Old Style"/>
                <w:b/>
                <w:sz w:val="18"/>
                <w:szCs w:val="18"/>
                <w:lang w:val="es-ES_tradnl"/>
              </w:rPr>
            </w:pPr>
            <w:r w:rsidRPr="00513DF4">
              <w:rPr>
                <w:rFonts w:ascii="Bookman Old Style" w:hAnsi="Bookman Old Style"/>
                <w:b/>
                <w:sz w:val="18"/>
                <w:szCs w:val="18"/>
                <w:lang w:val="es-ES_tradnl"/>
              </w:rPr>
              <w:t>Costo total</w:t>
            </w:r>
          </w:p>
        </w:tc>
      </w:tr>
      <w:tr w:rsidR="00D16510" w:rsidRPr="00626EED" w14:paraId="6BEA7686" w14:textId="77777777" w:rsidTr="00052C82">
        <w:tc>
          <w:tcPr>
            <w:tcW w:w="907" w:type="pct"/>
            <w:shd w:val="clear" w:color="auto" w:fill="auto"/>
            <w:vAlign w:val="center"/>
          </w:tcPr>
          <w:p w14:paraId="2DC06D3E" w14:textId="77777777" w:rsidR="00513DF4" w:rsidRPr="00513DF4" w:rsidRDefault="00513DF4" w:rsidP="00513DF4">
            <w:pPr>
              <w:ind w:left="0"/>
              <w:rPr>
                <w:rFonts w:ascii="Bookman Old Style" w:hAnsi="Bookman Old Style"/>
                <w:color w:val="000000"/>
                <w:sz w:val="18"/>
                <w:szCs w:val="18"/>
                <w:lang w:val="es-CO" w:eastAsia="es-CO"/>
              </w:rPr>
            </w:pPr>
            <w:r w:rsidRPr="00513DF4">
              <w:rPr>
                <w:rFonts w:ascii="Bookman Old Style" w:hAnsi="Bookman Old Style"/>
                <w:color w:val="000000"/>
                <w:sz w:val="18"/>
                <w:szCs w:val="18"/>
              </w:rPr>
              <w:t>AMERP</w:t>
            </w:r>
          </w:p>
        </w:tc>
        <w:tc>
          <w:tcPr>
            <w:tcW w:w="1715" w:type="pct"/>
            <w:vAlign w:val="bottom"/>
          </w:tcPr>
          <w:p w14:paraId="4A2BB08D"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Ampliación de Estación reguladora</w:t>
            </w:r>
            <w:r w:rsidR="00581C8A">
              <w:rPr>
                <w:rFonts w:ascii="Bookman Old Style" w:hAnsi="Bookman Old Style"/>
                <w:color w:val="000000"/>
                <w:sz w:val="18"/>
                <w:szCs w:val="18"/>
              </w:rPr>
              <w:t xml:space="preserve"> </w:t>
            </w:r>
            <w:r w:rsidR="00581C8A">
              <w:rPr>
                <w:rFonts w:ascii="Bookman Old Style" w:hAnsi="Bookman Old Style"/>
                <w:sz w:val="18"/>
                <w:szCs w:val="18"/>
                <w:lang w:val="es-ES_tradnl"/>
              </w:rPr>
              <w:t>(Nota 1)</w:t>
            </w:r>
          </w:p>
        </w:tc>
        <w:tc>
          <w:tcPr>
            <w:tcW w:w="613" w:type="pct"/>
            <w:vAlign w:val="center"/>
          </w:tcPr>
          <w:p w14:paraId="0920E093"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1,00</w:t>
            </w:r>
          </w:p>
        </w:tc>
        <w:tc>
          <w:tcPr>
            <w:tcW w:w="852" w:type="pct"/>
            <w:vAlign w:val="center"/>
          </w:tcPr>
          <w:p w14:paraId="4D542897"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100.000.000</w:t>
            </w:r>
          </w:p>
        </w:tc>
        <w:tc>
          <w:tcPr>
            <w:tcW w:w="913" w:type="pct"/>
            <w:vAlign w:val="center"/>
          </w:tcPr>
          <w:p w14:paraId="30A603BF"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100.000.000</w:t>
            </w:r>
          </w:p>
        </w:tc>
      </w:tr>
      <w:tr w:rsidR="00D16510" w:rsidRPr="00626EED" w14:paraId="0EDFA04E" w14:textId="77777777" w:rsidTr="00052C82">
        <w:tc>
          <w:tcPr>
            <w:tcW w:w="907" w:type="pct"/>
            <w:shd w:val="clear" w:color="auto" w:fill="auto"/>
            <w:vAlign w:val="center"/>
          </w:tcPr>
          <w:p w14:paraId="1CD1DF1A"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CUSTM000062</w:t>
            </w:r>
          </w:p>
        </w:tc>
        <w:tc>
          <w:tcPr>
            <w:tcW w:w="1715" w:type="pct"/>
            <w:vAlign w:val="bottom"/>
          </w:tcPr>
          <w:p w14:paraId="3A68BBFE" w14:textId="77777777" w:rsidR="00513DF4" w:rsidRPr="00513DF4" w:rsidRDefault="00513DF4" w:rsidP="00FD5118">
            <w:pPr>
              <w:ind w:left="0"/>
              <w:rPr>
                <w:rFonts w:ascii="Bookman Old Style" w:hAnsi="Bookman Old Style"/>
                <w:color w:val="000000"/>
                <w:sz w:val="18"/>
                <w:szCs w:val="18"/>
              </w:rPr>
            </w:pPr>
            <w:r w:rsidRPr="00513DF4">
              <w:rPr>
                <w:rFonts w:ascii="Bookman Old Style" w:hAnsi="Bookman Old Style"/>
                <w:color w:val="000000"/>
                <w:sz w:val="18"/>
                <w:szCs w:val="18"/>
              </w:rPr>
              <w:t xml:space="preserve">Equipo de </w:t>
            </w:r>
            <w:r w:rsidR="00FD5118">
              <w:rPr>
                <w:rFonts w:ascii="Bookman Old Style" w:hAnsi="Bookman Old Style"/>
                <w:color w:val="000000"/>
                <w:sz w:val="18"/>
                <w:szCs w:val="18"/>
              </w:rPr>
              <w:t>o</w:t>
            </w:r>
            <w:r w:rsidRPr="00513DF4">
              <w:rPr>
                <w:rFonts w:ascii="Bookman Old Style" w:hAnsi="Bookman Old Style"/>
                <w:color w:val="000000"/>
                <w:sz w:val="18"/>
                <w:szCs w:val="18"/>
              </w:rPr>
              <w:t>dorización</w:t>
            </w:r>
            <w:r w:rsidR="00581C8A">
              <w:rPr>
                <w:rFonts w:ascii="Bookman Old Style" w:hAnsi="Bookman Old Style"/>
                <w:color w:val="000000"/>
                <w:sz w:val="18"/>
                <w:szCs w:val="18"/>
              </w:rPr>
              <w:t xml:space="preserve"> </w:t>
            </w:r>
            <w:r w:rsidR="00581C8A">
              <w:rPr>
                <w:rFonts w:ascii="Bookman Old Style" w:hAnsi="Bookman Old Style"/>
                <w:sz w:val="18"/>
                <w:szCs w:val="18"/>
                <w:lang w:val="es-ES_tradnl"/>
              </w:rPr>
              <w:t>(Nota 1)</w:t>
            </w:r>
          </w:p>
        </w:tc>
        <w:tc>
          <w:tcPr>
            <w:tcW w:w="613" w:type="pct"/>
            <w:vAlign w:val="center"/>
          </w:tcPr>
          <w:p w14:paraId="5F00C70E"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2,00</w:t>
            </w:r>
          </w:p>
        </w:tc>
        <w:tc>
          <w:tcPr>
            <w:tcW w:w="852" w:type="pct"/>
            <w:vAlign w:val="center"/>
          </w:tcPr>
          <w:p w14:paraId="3BE13E60"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64.340.601</w:t>
            </w:r>
          </w:p>
        </w:tc>
        <w:tc>
          <w:tcPr>
            <w:tcW w:w="913" w:type="pct"/>
            <w:vAlign w:val="center"/>
          </w:tcPr>
          <w:p w14:paraId="4B22BDFE"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128.681.201</w:t>
            </w:r>
          </w:p>
        </w:tc>
      </w:tr>
      <w:tr w:rsidR="00D16510" w:rsidRPr="00626EED" w14:paraId="6F851169" w14:textId="77777777" w:rsidTr="00052C82">
        <w:tc>
          <w:tcPr>
            <w:tcW w:w="907" w:type="pct"/>
            <w:shd w:val="clear" w:color="auto" w:fill="auto"/>
            <w:vAlign w:val="center"/>
          </w:tcPr>
          <w:p w14:paraId="34157A72"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CUSTM000498</w:t>
            </w:r>
          </w:p>
        </w:tc>
        <w:tc>
          <w:tcPr>
            <w:tcW w:w="1715" w:type="pct"/>
            <w:vAlign w:val="bottom"/>
          </w:tcPr>
          <w:p w14:paraId="37074467"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Conexiones  a la Red de Transporte</w:t>
            </w:r>
            <w:r w:rsidR="00581C8A">
              <w:rPr>
                <w:rFonts w:ascii="Bookman Old Style" w:hAnsi="Bookman Old Style"/>
                <w:color w:val="000000"/>
                <w:sz w:val="18"/>
                <w:szCs w:val="18"/>
              </w:rPr>
              <w:t xml:space="preserve"> </w:t>
            </w:r>
            <w:r w:rsidR="00581C8A">
              <w:rPr>
                <w:rFonts w:ascii="Bookman Old Style" w:hAnsi="Bookman Old Style"/>
                <w:sz w:val="18"/>
                <w:szCs w:val="18"/>
                <w:lang w:val="es-ES_tradnl"/>
              </w:rPr>
              <w:t>(Nota 1)</w:t>
            </w:r>
          </w:p>
        </w:tc>
        <w:tc>
          <w:tcPr>
            <w:tcW w:w="613" w:type="pct"/>
            <w:vAlign w:val="center"/>
          </w:tcPr>
          <w:p w14:paraId="2CD7E6DB"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2,00</w:t>
            </w:r>
          </w:p>
        </w:tc>
        <w:tc>
          <w:tcPr>
            <w:tcW w:w="852" w:type="pct"/>
            <w:vAlign w:val="center"/>
          </w:tcPr>
          <w:p w14:paraId="71C02550"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133.759.744</w:t>
            </w:r>
          </w:p>
        </w:tc>
        <w:tc>
          <w:tcPr>
            <w:tcW w:w="913" w:type="pct"/>
            <w:vAlign w:val="center"/>
          </w:tcPr>
          <w:p w14:paraId="73647262"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267.519.487</w:t>
            </w:r>
          </w:p>
        </w:tc>
      </w:tr>
      <w:tr w:rsidR="00D16510" w:rsidRPr="00626EED" w14:paraId="3AC2F657" w14:textId="77777777" w:rsidTr="00052C82">
        <w:tc>
          <w:tcPr>
            <w:tcW w:w="907" w:type="pct"/>
            <w:shd w:val="clear" w:color="auto" w:fill="auto"/>
            <w:vAlign w:val="center"/>
          </w:tcPr>
          <w:p w14:paraId="5EF9D411"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ERP 3T3</w:t>
            </w:r>
          </w:p>
        </w:tc>
        <w:tc>
          <w:tcPr>
            <w:tcW w:w="1715" w:type="pct"/>
            <w:vAlign w:val="bottom"/>
          </w:tcPr>
          <w:p w14:paraId="314971CF"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ERP 3000 m3/h - tren paralelo - con medidor - con tren de regulación en bypass</w:t>
            </w:r>
            <w:r w:rsidR="00581C8A">
              <w:rPr>
                <w:rFonts w:ascii="Bookman Old Style" w:hAnsi="Bookman Old Style"/>
                <w:color w:val="000000"/>
                <w:sz w:val="18"/>
                <w:szCs w:val="18"/>
              </w:rPr>
              <w:t xml:space="preserve"> </w:t>
            </w:r>
            <w:r w:rsidR="00581C8A">
              <w:rPr>
                <w:rFonts w:ascii="Bookman Old Style" w:hAnsi="Bookman Old Style"/>
                <w:sz w:val="18"/>
                <w:szCs w:val="18"/>
                <w:lang w:val="es-ES_tradnl"/>
              </w:rPr>
              <w:t>(Nota 1)</w:t>
            </w:r>
          </w:p>
        </w:tc>
        <w:tc>
          <w:tcPr>
            <w:tcW w:w="613" w:type="pct"/>
            <w:vAlign w:val="center"/>
          </w:tcPr>
          <w:p w14:paraId="699FDFAC"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2,00</w:t>
            </w:r>
          </w:p>
        </w:tc>
        <w:tc>
          <w:tcPr>
            <w:tcW w:w="852" w:type="pct"/>
            <w:vAlign w:val="center"/>
          </w:tcPr>
          <w:p w14:paraId="3554C2A5"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85.832.446</w:t>
            </w:r>
          </w:p>
        </w:tc>
        <w:tc>
          <w:tcPr>
            <w:tcW w:w="913" w:type="pct"/>
            <w:vAlign w:val="center"/>
          </w:tcPr>
          <w:p w14:paraId="0FBC02C5"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171.664.893</w:t>
            </w:r>
          </w:p>
        </w:tc>
      </w:tr>
      <w:tr w:rsidR="00D16510" w:rsidRPr="00626EED" w14:paraId="7E9DBB1D" w14:textId="77777777" w:rsidTr="00052C82">
        <w:tc>
          <w:tcPr>
            <w:tcW w:w="907" w:type="pct"/>
            <w:shd w:val="clear" w:color="auto" w:fill="auto"/>
            <w:vAlign w:val="center"/>
          </w:tcPr>
          <w:p w14:paraId="647138FA"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TPE1/2AS</w:t>
            </w:r>
          </w:p>
        </w:tc>
        <w:tc>
          <w:tcPr>
            <w:tcW w:w="1715" w:type="pct"/>
            <w:vAlign w:val="bottom"/>
          </w:tcPr>
          <w:p w14:paraId="66A3B2B3"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1/2” en Calzada Asfalto</w:t>
            </w:r>
          </w:p>
        </w:tc>
        <w:tc>
          <w:tcPr>
            <w:tcW w:w="613" w:type="pct"/>
            <w:vAlign w:val="center"/>
          </w:tcPr>
          <w:p w14:paraId="310B5BBD"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26,16</w:t>
            </w:r>
          </w:p>
        </w:tc>
        <w:tc>
          <w:tcPr>
            <w:tcW w:w="852" w:type="pct"/>
            <w:vAlign w:val="center"/>
          </w:tcPr>
          <w:p w14:paraId="1BCB2BEB"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66.850.153</w:t>
            </w:r>
          </w:p>
        </w:tc>
        <w:tc>
          <w:tcPr>
            <w:tcW w:w="913" w:type="pct"/>
            <w:vAlign w:val="center"/>
          </w:tcPr>
          <w:p w14:paraId="5C608A12"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1.748.706.400</w:t>
            </w:r>
          </w:p>
        </w:tc>
      </w:tr>
      <w:tr w:rsidR="00D16510" w:rsidRPr="00626EED" w14:paraId="471759EC" w14:textId="77777777" w:rsidTr="00052C82">
        <w:tc>
          <w:tcPr>
            <w:tcW w:w="907" w:type="pct"/>
            <w:shd w:val="clear" w:color="auto" w:fill="auto"/>
            <w:vAlign w:val="center"/>
          </w:tcPr>
          <w:p w14:paraId="04203AEE"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TPE1/2CO</w:t>
            </w:r>
          </w:p>
        </w:tc>
        <w:tc>
          <w:tcPr>
            <w:tcW w:w="1715" w:type="pct"/>
            <w:vAlign w:val="bottom"/>
          </w:tcPr>
          <w:p w14:paraId="63816572"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1/2” en Calzada Concreto</w:t>
            </w:r>
          </w:p>
        </w:tc>
        <w:tc>
          <w:tcPr>
            <w:tcW w:w="613" w:type="pct"/>
            <w:vAlign w:val="center"/>
          </w:tcPr>
          <w:p w14:paraId="761DADF6"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138,89</w:t>
            </w:r>
          </w:p>
        </w:tc>
        <w:tc>
          <w:tcPr>
            <w:tcW w:w="852" w:type="pct"/>
            <w:vAlign w:val="center"/>
          </w:tcPr>
          <w:p w14:paraId="6BA7B79E"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16.929.864</w:t>
            </w:r>
          </w:p>
        </w:tc>
        <w:tc>
          <w:tcPr>
            <w:tcW w:w="913" w:type="pct"/>
            <w:vAlign w:val="center"/>
          </w:tcPr>
          <w:p w14:paraId="1C3C0EFA"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2.351.363.482</w:t>
            </w:r>
          </w:p>
        </w:tc>
      </w:tr>
      <w:tr w:rsidR="00D16510" w:rsidRPr="00626EED" w14:paraId="668AC47D" w14:textId="77777777" w:rsidTr="00052C82">
        <w:tc>
          <w:tcPr>
            <w:tcW w:w="907" w:type="pct"/>
            <w:shd w:val="clear" w:color="auto" w:fill="auto"/>
            <w:vAlign w:val="center"/>
          </w:tcPr>
          <w:p w14:paraId="65E1890D"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TPE1/2TA</w:t>
            </w:r>
          </w:p>
        </w:tc>
        <w:tc>
          <w:tcPr>
            <w:tcW w:w="1715" w:type="pct"/>
            <w:vAlign w:val="bottom"/>
          </w:tcPr>
          <w:p w14:paraId="18539B28"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1/2” en Andén Tableta, Baldosín, Gravilla</w:t>
            </w:r>
          </w:p>
        </w:tc>
        <w:tc>
          <w:tcPr>
            <w:tcW w:w="613" w:type="pct"/>
            <w:vAlign w:val="center"/>
          </w:tcPr>
          <w:p w14:paraId="5A74026E"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23,50</w:t>
            </w:r>
          </w:p>
        </w:tc>
        <w:tc>
          <w:tcPr>
            <w:tcW w:w="852" w:type="pct"/>
            <w:vAlign w:val="center"/>
          </w:tcPr>
          <w:p w14:paraId="2F8E18F1"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48.741.401</w:t>
            </w:r>
          </w:p>
        </w:tc>
        <w:tc>
          <w:tcPr>
            <w:tcW w:w="913" w:type="pct"/>
            <w:vAlign w:val="center"/>
          </w:tcPr>
          <w:p w14:paraId="795FAD5D"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1.145.198.704</w:t>
            </w:r>
          </w:p>
        </w:tc>
      </w:tr>
      <w:tr w:rsidR="00D16510" w:rsidRPr="00626EED" w14:paraId="7046D2D0" w14:textId="77777777" w:rsidTr="00052C82">
        <w:tc>
          <w:tcPr>
            <w:tcW w:w="907" w:type="pct"/>
            <w:shd w:val="clear" w:color="auto" w:fill="auto"/>
            <w:vAlign w:val="center"/>
          </w:tcPr>
          <w:p w14:paraId="74A0EB6A"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TPE1/2ZV</w:t>
            </w:r>
          </w:p>
        </w:tc>
        <w:tc>
          <w:tcPr>
            <w:tcW w:w="1715" w:type="pct"/>
            <w:vAlign w:val="bottom"/>
          </w:tcPr>
          <w:p w14:paraId="5C7432F3"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1/2” en Zona Verde</w:t>
            </w:r>
          </w:p>
        </w:tc>
        <w:tc>
          <w:tcPr>
            <w:tcW w:w="613" w:type="pct"/>
            <w:vAlign w:val="center"/>
          </w:tcPr>
          <w:p w14:paraId="70D36E6A"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513,89</w:t>
            </w:r>
          </w:p>
        </w:tc>
        <w:tc>
          <w:tcPr>
            <w:tcW w:w="852" w:type="pct"/>
            <w:vAlign w:val="center"/>
          </w:tcPr>
          <w:p w14:paraId="7A3FC60D"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16.300.091</w:t>
            </w:r>
          </w:p>
        </w:tc>
        <w:tc>
          <w:tcPr>
            <w:tcW w:w="913" w:type="pct"/>
            <w:vAlign w:val="center"/>
          </w:tcPr>
          <w:p w14:paraId="7B9DD023"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8.376.445.640</w:t>
            </w:r>
          </w:p>
        </w:tc>
      </w:tr>
      <w:tr w:rsidR="00D16510" w:rsidRPr="00626EED" w14:paraId="3E316695" w14:textId="77777777" w:rsidTr="00052C82">
        <w:tc>
          <w:tcPr>
            <w:tcW w:w="907" w:type="pct"/>
            <w:shd w:val="clear" w:color="auto" w:fill="auto"/>
            <w:vAlign w:val="center"/>
          </w:tcPr>
          <w:p w14:paraId="68125864"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TPE100-160ZV</w:t>
            </w:r>
          </w:p>
        </w:tc>
        <w:tc>
          <w:tcPr>
            <w:tcW w:w="1715" w:type="pct"/>
            <w:vAlign w:val="bottom"/>
          </w:tcPr>
          <w:p w14:paraId="22D5E4A6"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Alta Densidad de 160mm en Zona Verde</w:t>
            </w:r>
          </w:p>
        </w:tc>
        <w:tc>
          <w:tcPr>
            <w:tcW w:w="613" w:type="pct"/>
            <w:vAlign w:val="center"/>
          </w:tcPr>
          <w:p w14:paraId="02B17280"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5,69</w:t>
            </w:r>
          </w:p>
        </w:tc>
        <w:tc>
          <w:tcPr>
            <w:tcW w:w="852" w:type="pct"/>
            <w:vAlign w:val="center"/>
          </w:tcPr>
          <w:p w14:paraId="6C8242D5"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178.786.086</w:t>
            </w:r>
          </w:p>
        </w:tc>
        <w:tc>
          <w:tcPr>
            <w:tcW w:w="913" w:type="pct"/>
            <w:vAlign w:val="center"/>
          </w:tcPr>
          <w:p w14:paraId="5C4AD745"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1.017.292.830</w:t>
            </w:r>
          </w:p>
        </w:tc>
      </w:tr>
      <w:tr w:rsidR="00D16510" w:rsidRPr="00626EED" w14:paraId="44B328E3" w14:textId="77777777" w:rsidTr="00052C82">
        <w:tc>
          <w:tcPr>
            <w:tcW w:w="907" w:type="pct"/>
            <w:shd w:val="clear" w:color="auto" w:fill="auto"/>
            <w:vAlign w:val="center"/>
          </w:tcPr>
          <w:p w14:paraId="083926EB"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TPE100-63ZV</w:t>
            </w:r>
          </w:p>
        </w:tc>
        <w:tc>
          <w:tcPr>
            <w:tcW w:w="1715" w:type="pct"/>
            <w:vAlign w:val="bottom"/>
          </w:tcPr>
          <w:p w14:paraId="1396AF1C"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Alta Densidad de 63mm en Zona Verde</w:t>
            </w:r>
          </w:p>
        </w:tc>
        <w:tc>
          <w:tcPr>
            <w:tcW w:w="613" w:type="pct"/>
            <w:vAlign w:val="center"/>
          </w:tcPr>
          <w:p w14:paraId="16C87F52"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0,34</w:t>
            </w:r>
          </w:p>
        </w:tc>
        <w:tc>
          <w:tcPr>
            <w:tcW w:w="852" w:type="pct"/>
            <w:vAlign w:val="center"/>
          </w:tcPr>
          <w:p w14:paraId="24C91E78"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31.063.146</w:t>
            </w:r>
          </w:p>
        </w:tc>
        <w:tc>
          <w:tcPr>
            <w:tcW w:w="913" w:type="pct"/>
            <w:vAlign w:val="center"/>
          </w:tcPr>
          <w:p w14:paraId="52A2A57A"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10.623.596</w:t>
            </w:r>
          </w:p>
        </w:tc>
      </w:tr>
      <w:tr w:rsidR="00D16510" w:rsidRPr="00626EED" w14:paraId="4B3CB7D3" w14:textId="77777777" w:rsidTr="00052C82">
        <w:tc>
          <w:tcPr>
            <w:tcW w:w="907" w:type="pct"/>
            <w:shd w:val="clear" w:color="auto" w:fill="auto"/>
            <w:vAlign w:val="center"/>
          </w:tcPr>
          <w:p w14:paraId="28347810"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TPE100-90ZV</w:t>
            </w:r>
          </w:p>
        </w:tc>
        <w:tc>
          <w:tcPr>
            <w:tcW w:w="1715" w:type="pct"/>
            <w:vAlign w:val="bottom"/>
          </w:tcPr>
          <w:p w14:paraId="7FEED15B"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Alta Densidad de 90mm en Zona Verde</w:t>
            </w:r>
          </w:p>
        </w:tc>
        <w:tc>
          <w:tcPr>
            <w:tcW w:w="613" w:type="pct"/>
            <w:vAlign w:val="center"/>
          </w:tcPr>
          <w:p w14:paraId="07E27E35"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1,54</w:t>
            </w:r>
          </w:p>
        </w:tc>
        <w:tc>
          <w:tcPr>
            <w:tcW w:w="852" w:type="pct"/>
            <w:vAlign w:val="center"/>
          </w:tcPr>
          <w:p w14:paraId="17106B55"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50.540.574</w:t>
            </w:r>
          </w:p>
        </w:tc>
        <w:tc>
          <w:tcPr>
            <w:tcW w:w="913" w:type="pct"/>
            <w:vAlign w:val="center"/>
          </w:tcPr>
          <w:p w14:paraId="6BF25892"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77.579.781</w:t>
            </w:r>
          </w:p>
        </w:tc>
      </w:tr>
      <w:tr w:rsidR="00D16510" w:rsidRPr="00626EED" w14:paraId="1676C968" w14:textId="77777777" w:rsidTr="00052C82">
        <w:tc>
          <w:tcPr>
            <w:tcW w:w="907" w:type="pct"/>
            <w:shd w:val="clear" w:color="auto" w:fill="auto"/>
            <w:vAlign w:val="center"/>
          </w:tcPr>
          <w:p w14:paraId="7364EAF2"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TPE1AS</w:t>
            </w:r>
          </w:p>
        </w:tc>
        <w:tc>
          <w:tcPr>
            <w:tcW w:w="1715" w:type="pct"/>
            <w:vAlign w:val="bottom"/>
          </w:tcPr>
          <w:p w14:paraId="01964931"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1” en Calzada Asfalto</w:t>
            </w:r>
          </w:p>
        </w:tc>
        <w:tc>
          <w:tcPr>
            <w:tcW w:w="613" w:type="pct"/>
            <w:vAlign w:val="center"/>
          </w:tcPr>
          <w:p w14:paraId="7D829944"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0,64</w:t>
            </w:r>
          </w:p>
        </w:tc>
        <w:tc>
          <w:tcPr>
            <w:tcW w:w="852" w:type="pct"/>
            <w:vAlign w:val="center"/>
          </w:tcPr>
          <w:p w14:paraId="163EB5F3"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70.003.610</w:t>
            </w:r>
          </w:p>
        </w:tc>
        <w:tc>
          <w:tcPr>
            <w:tcW w:w="913" w:type="pct"/>
            <w:vAlign w:val="center"/>
          </w:tcPr>
          <w:p w14:paraId="7ED6EE09"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44.641.302</w:t>
            </w:r>
          </w:p>
        </w:tc>
      </w:tr>
      <w:tr w:rsidR="00D16510" w:rsidRPr="00626EED" w14:paraId="295EBE42" w14:textId="77777777" w:rsidTr="00052C82">
        <w:tc>
          <w:tcPr>
            <w:tcW w:w="907" w:type="pct"/>
            <w:shd w:val="clear" w:color="auto" w:fill="auto"/>
            <w:vAlign w:val="center"/>
          </w:tcPr>
          <w:p w14:paraId="66195141"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TPE1CO</w:t>
            </w:r>
          </w:p>
        </w:tc>
        <w:tc>
          <w:tcPr>
            <w:tcW w:w="1715" w:type="pct"/>
            <w:vAlign w:val="bottom"/>
          </w:tcPr>
          <w:p w14:paraId="744F0679"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1” en Calzada Concreto</w:t>
            </w:r>
          </w:p>
        </w:tc>
        <w:tc>
          <w:tcPr>
            <w:tcW w:w="613" w:type="pct"/>
            <w:vAlign w:val="center"/>
          </w:tcPr>
          <w:p w14:paraId="16B84453"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0,05</w:t>
            </w:r>
          </w:p>
        </w:tc>
        <w:tc>
          <w:tcPr>
            <w:tcW w:w="852" w:type="pct"/>
            <w:vAlign w:val="center"/>
          </w:tcPr>
          <w:p w14:paraId="3621DB13"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38.507.475</w:t>
            </w:r>
          </w:p>
        </w:tc>
        <w:tc>
          <w:tcPr>
            <w:tcW w:w="913" w:type="pct"/>
            <w:vAlign w:val="center"/>
          </w:tcPr>
          <w:p w14:paraId="4BDE4736"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2.021.642</w:t>
            </w:r>
          </w:p>
        </w:tc>
      </w:tr>
      <w:tr w:rsidR="00D16510" w:rsidRPr="00626EED" w14:paraId="5DED8360" w14:textId="77777777" w:rsidTr="00052C82">
        <w:tc>
          <w:tcPr>
            <w:tcW w:w="907" w:type="pct"/>
            <w:shd w:val="clear" w:color="auto" w:fill="auto"/>
            <w:vAlign w:val="center"/>
          </w:tcPr>
          <w:p w14:paraId="32B5A313"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TPE1ZV</w:t>
            </w:r>
          </w:p>
        </w:tc>
        <w:tc>
          <w:tcPr>
            <w:tcW w:w="1715" w:type="pct"/>
            <w:vAlign w:val="bottom"/>
          </w:tcPr>
          <w:p w14:paraId="7D3DD31C"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1” en Zona Verde</w:t>
            </w:r>
          </w:p>
        </w:tc>
        <w:tc>
          <w:tcPr>
            <w:tcW w:w="613" w:type="pct"/>
            <w:vAlign w:val="center"/>
          </w:tcPr>
          <w:p w14:paraId="47D8D6C0"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23,44</w:t>
            </w:r>
          </w:p>
        </w:tc>
        <w:tc>
          <w:tcPr>
            <w:tcW w:w="852" w:type="pct"/>
            <w:vAlign w:val="center"/>
          </w:tcPr>
          <w:p w14:paraId="64B36E12"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19.502.402</w:t>
            </w:r>
          </w:p>
        </w:tc>
        <w:tc>
          <w:tcPr>
            <w:tcW w:w="913" w:type="pct"/>
            <w:vAlign w:val="center"/>
          </w:tcPr>
          <w:p w14:paraId="52929F13"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457.179.209</w:t>
            </w:r>
          </w:p>
        </w:tc>
      </w:tr>
      <w:tr w:rsidR="00D16510" w:rsidRPr="00626EED" w14:paraId="5F7693EE" w14:textId="77777777" w:rsidTr="00052C82">
        <w:tc>
          <w:tcPr>
            <w:tcW w:w="907" w:type="pct"/>
            <w:shd w:val="clear" w:color="auto" w:fill="auto"/>
            <w:vAlign w:val="center"/>
          </w:tcPr>
          <w:p w14:paraId="7BD5F428"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lastRenderedPageBreak/>
              <w:t>TPE2AS</w:t>
            </w:r>
          </w:p>
        </w:tc>
        <w:tc>
          <w:tcPr>
            <w:tcW w:w="1715" w:type="pct"/>
            <w:vAlign w:val="bottom"/>
          </w:tcPr>
          <w:p w14:paraId="5A048D27"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2” en Calzada Asfalto</w:t>
            </w:r>
          </w:p>
        </w:tc>
        <w:tc>
          <w:tcPr>
            <w:tcW w:w="613" w:type="pct"/>
            <w:vAlign w:val="center"/>
          </w:tcPr>
          <w:p w14:paraId="7BA7FD49"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2,22</w:t>
            </w:r>
          </w:p>
        </w:tc>
        <w:tc>
          <w:tcPr>
            <w:tcW w:w="852" w:type="pct"/>
            <w:vAlign w:val="center"/>
          </w:tcPr>
          <w:p w14:paraId="76ACDDD7"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38.507.475</w:t>
            </w:r>
          </w:p>
        </w:tc>
        <w:tc>
          <w:tcPr>
            <w:tcW w:w="913" w:type="pct"/>
            <w:vAlign w:val="center"/>
          </w:tcPr>
          <w:p w14:paraId="60C778EA"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85.659.878</w:t>
            </w:r>
          </w:p>
        </w:tc>
      </w:tr>
      <w:tr w:rsidR="00D16510" w:rsidRPr="00626EED" w14:paraId="4DEE42A7" w14:textId="77777777" w:rsidTr="00052C82">
        <w:tc>
          <w:tcPr>
            <w:tcW w:w="907" w:type="pct"/>
            <w:shd w:val="clear" w:color="auto" w:fill="auto"/>
            <w:vAlign w:val="center"/>
          </w:tcPr>
          <w:p w14:paraId="6315F304"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TPE2CO</w:t>
            </w:r>
          </w:p>
        </w:tc>
        <w:tc>
          <w:tcPr>
            <w:tcW w:w="1715" w:type="pct"/>
            <w:vAlign w:val="bottom"/>
          </w:tcPr>
          <w:p w14:paraId="5C18CD53"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2” en Calzada Concreto</w:t>
            </w:r>
          </w:p>
        </w:tc>
        <w:tc>
          <w:tcPr>
            <w:tcW w:w="613" w:type="pct"/>
            <w:vAlign w:val="center"/>
          </w:tcPr>
          <w:p w14:paraId="3E89C012"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7,28</w:t>
            </w:r>
          </w:p>
        </w:tc>
        <w:tc>
          <w:tcPr>
            <w:tcW w:w="852" w:type="pct"/>
            <w:vAlign w:val="center"/>
          </w:tcPr>
          <w:p w14:paraId="459A40FD"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78.421.119</w:t>
            </w:r>
          </w:p>
        </w:tc>
        <w:tc>
          <w:tcPr>
            <w:tcW w:w="913" w:type="pct"/>
            <w:vAlign w:val="center"/>
          </w:tcPr>
          <w:p w14:paraId="49BC0A91"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570.537.166</w:t>
            </w:r>
          </w:p>
        </w:tc>
      </w:tr>
      <w:tr w:rsidR="00D16510" w:rsidRPr="00626EED" w14:paraId="16A407F1" w14:textId="77777777" w:rsidTr="00052C82">
        <w:tc>
          <w:tcPr>
            <w:tcW w:w="907" w:type="pct"/>
            <w:shd w:val="clear" w:color="auto" w:fill="auto"/>
            <w:vAlign w:val="center"/>
          </w:tcPr>
          <w:p w14:paraId="487FE2AD"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TPE2TA</w:t>
            </w:r>
          </w:p>
        </w:tc>
        <w:tc>
          <w:tcPr>
            <w:tcW w:w="1715" w:type="pct"/>
            <w:vAlign w:val="bottom"/>
          </w:tcPr>
          <w:p w14:paraId="6D27D0CD"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2” en Andén Tableta, Baldosín, Gravilla</w:t>
            </w:r>
          </w:p>
        </w:tc>
        <w:tc>
          <w:tcPr>
            <w:tcW w:w="613" w:type="pct"/>
            <w:vAlign w:val="center"/>
          </w:tcPr>
          <w:p w14:paraId="2B822D07"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0,85</w:t>
            </w:r>
          </w:p>
        </w:tc>
        <w:tc>
          <w:tcPr>
            <w:tcW w:w="852" w:type="pct"/>
            <w:vAlign w:val="center"/>
          </w:tcPr>
          <w:p w14:paraId="3C063664"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61.969.450</w:t>
            </w:r>
          </w:p>
        </w:tc>
        <w:tc>
          <w:tcPr>
            <w:tcW w:w="913" w:type="pct"/>
            <w:vAlign w:val="center"/>
          </w:tcPr>
          <w:p w14:paraId="556173CB"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52.723.608</w:t>
            </w:r>
          </w:p>
        </w:tc>
      </w:tr>
      <w:tr w:rsidR="00D16510" w:rsidRPr="00626EED" w14:paraId="6EF99951" w14:textId="77777777" w:rsidTr="00052C82">
        <w:tc>
          <w:tcPr>
            <w:tcW w:w="907" w:type="pct"/>
            <w:shd w:val="clear" w:color="auto" w:fill="auto"/>
            <w:vAlign w:val="center"/>
          </w:tcPr>
          <w:p w14:paraId="2DD1702F"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TPE2ZV</w:t>
            </w:r>
          </w:p>
        </w:tc>
        <w:tc>
          <w:tcPr>
            <w:tcW w:w="1715" w:type="pct"/>
            <w:vAlign w:val="bottom"/>
          </w:tcPr>
          <w:p w14:paraId="56C9876D"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2” en Zona Verde</w:t>
            </w:r>
          </w:p>
        </w:tc>
        <w:tc>
          <w:tcPr>
            <w:tcW w:w="613" w:type="pct"/>
            <w:vAlign w:val="center"/>
          </w:tcPr>
          <w:p w14:paraId="0C5D3DF6"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32,57</w:t>
            </w:r>
          </w:p>
        </w:tc>
        <w:tc>
          <w:tcPr>
            <w:tcW w:w="852" w:type="pct"/>
            <w:vAlign w:val="center"/>
          </w:tcPr>
          <w:p w14:paraId="701EC647"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29.732.108</w:t>
            </w:r>
          </w:p>
        </w:tc>
        <w:tc>
          <w:tcPr>
            <w:tcW w:w="913" w:type="pct"/>
            <w:vAlign w:val="center"/>
          </w:tcPr>
          <w:p w14:paraId="67A98FAC"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968.333.140</w:t>
            </w:r>
          </w:p>
        </w:tc>
      </w:tr>
      <w:tr w:rsidR="00D16510" w:rsidRPr="00626EED" w14:paraId="7F0EE6B8" w14:textId="77777777" w:rsidTr="00052C82">
        <w:tc>
          <w:tcPr>
            <w:tcW w:w="907" w:type="pct"/>
            <w:shd w:val="clear" w:color="auto" w:fill="auto"/>
            <w:vAlign w:val="center"/>
          </w:tcPr>
          <w:p w14:paraId="787B9E7A"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TPE3/4AS</w:t>
            </w:r>
          </w:p>
        </w:tc>
        <w:tc>
          <w:tcPr>
            <w:tcW w:w="1715" w:type="pct"/>
            <w:vAlign w:val="bottom"/>
          </w:tcPr>
          <w:p w14:paraId="397B9772"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3/4” en Calzada Asfalto</w:t>
            </w:r>
          </w:p>
        </w:tc>
        <w:tc>
          <w:tcPr>
            <w:tcW w:w="613" w:type="pct"/>
            <w:vAlign w:val="center"/>
          </w:tcPr>
          <w:p w14:paraId="556DC442"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3,32</w:t>
            </w:r>
          </w:p>
        </w:tc>
        <w:tc>
          <w:tcPr>
            <w:tcW w:w="852" w:type="pct"/>
            <w:vAlign w:val="center"/>
          </w:tcPr>
          <w:p w14:paraId="6F0EFBA1"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67.643.185</w:t>
            </w:r>
          </w:p>
        </w:tc>
        <w:tc>
          <w:tcPr>
            <w:tcW w:w="913" w:type="pct"/>
            <w:vAlign w:val="center"/>
          </w:tcPr>
          <w:p w14:paraId="2CD83FA8"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224.825.655</w:t>
            </w:r>
          </w:p>
        </w:tc>
      </w:tr>
      <w:tr w:rsidR="00D16510" w:rsidRPr="00626EED" w14:paraId="390CD8BD" w14:textId="77777777" w:rsidTr="00052C82">
        <w:tc>
          <w:tcPr>
            <w:tcW w:w="907" w:type="pct"/>
            <w:shd w:val="clear" w:color="auto" w:fill="auto"/>
            <w:vAlign w:val="center"/>
          </w:tcPr>
          <w:p w14:paraId="79B6271D"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TPE3/4CO</w:t>
            </w:r>
          </w:p>
        </w:tc>
        <w:tc>
          <w:tcPr>
            <w:tcW w:w="1715" w:type="pct"/>
            <w:vAlign w:val="bottom"/>
          </w:tcPr>
          <w:p w14:paraId="5C07708E"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3/4” en Calzada Concreto</w:t>
            </w:r>
          </w:p>
        </w:tc>
        <w:tc>
          <w:tcPr>
            <w:tcW w:w="613" w:type="pct"/>
            <w:vAlign w:val="center"/>
          </w:tcPr>
          <w:p w14:paraId="2475DC84"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46,47</w:t>
            </w:r>
          </w:p>
        </w:tc>
        <w:tc>
          <w:tcPr>
            <w:tcW w:w="852" w:type="pct"/>
            <w:vAlign w:val="center"/>
          </w:tcPr>
          <w:p w14:paraId="58998121"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16.929.864</w:t>
            </w:r>
          </w:p>
        </w:tc>
        <w:tc>
          <w:tcPr>
            <w:tcW w:w="913" w:type="pct"/>
            <w:vAlign w:val="center"/>
          </w:tcPr>
          <w:p w14:paraId="13FBAC47"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786.688.477</w:t>
            </w:r>
          </w:p>
        </w:tc>
      </w:tr>
      <w:tr w:rsidR="00D16510" w:rsidRPr="00626EED" w14:paraId="017F8543" w14:textId="77777777" w:rsidTr="00052C82">
        <w:tc>
          <w:tcPr>
            <w:tcW w:w="907" w:type="pct"/>
            <w:shd w:val="clear" w:color="auto" w:fill="auto"/>
            <w:vAlign w:val="center"/>
          </w:tcPr>
          <w:p w14:paraId="3CE3A64C"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TPE3/4TA</w:t>
            </w:r>
          </w:p>
        </w:tc>
        <w:tc>
          <w:tcPr>
            <w:tcW w:w="1715" w:type="pct"/>
            <w:vAlign w:val="bottom"/>
          </w:tcPr>
          <w:p w14:paraId="046F9112"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3/4” en Andén Tableta, Baldosín, Gravilla</w:t>
            </w:r>
          </w:p>
        </w:tc>
        <w:tc>
          <w:tcPr>
            <w:tcW w:w="613" w:type="pct"/>
            <w:vAlign w:val="center"/>
          </w:tcPr>
          <w:p w14:paraId="471D22C0"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6,68</w:t>
            </w:r>
          </w:p>
        </w:tc>
        <w:tc>
          <w:tcPr>
            <w:tcW w:w="852" w:type="pct"/>
            <w:vAlign w:val="center"/>
          </w:tcPr>
          <w:p w14:paraId="43CAF6F7"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49.524.926</w:t>
            </w:r>
          </w:p>
        </w:tc>
        <w:tc>
          <w:tcPr>
            <w:tcW w:w="913" w:type="pct"/>
            <w:vAlign w:val="center"/>
          </w:tcPr>
          <w:p w14:paraId="5C714C0D"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330.940.410</w:t>
            </w:r>
          </w:p>
        </w:tc>
      </w:tr>
      <w:tr w:rsidR="00D16510" w:rsidRPr="00626EED" w14:paraId="7E7A0588" w14:textId="77777777" w:rsidTr="00052C82">
        <w:tc>
          <w:tcPr>
            <w:tcW w:w="907" w:type="pct"/>
            <w:shd w:val="clear" w:color="auto" w:fill="auto"/>
            <w:vAlign w:val="center"/>
          </w:tcPr>
          <w:p w14:paraId="14281C75"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TPE3/4ZV</w:t>
            </w:r>
          </w:p>
        </w:tc>
        <w:tc>
          <w:tcPr>
            <w:tcW w:w="1715" w:type="pct"/>
            <w:vAlign w:val="bottom"/>
          </w:tcPr>
          <w:p w14:paraId="61D8620F"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3/4” en Zona Verde</w:t>
            </w:r>
          </w:p>
        </w:tc>
        <w:tc>
          <w:tcPr>
            <w:tcW w:w="613" w:type="pct"/>
            <w:vAlign w:val="center"/>
          </w:tcPr>
          <w:p w14:paraId="4536CF93"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88,12</w:t>
            </w:r>
          </w:p>
        </w:tc>
        <w:tc>
          <w:tcPr>
            <w:tcW w:w="852" w:type="pct"/>
            <w:vAlign w:val="center"/>
          </w:tcPr>
          <w:p w14:paraId="62C60EC5"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17.120.660</w:t>
            </w:r>
          </w:p>
        </w:tc>
        <w:tc>
          <w:tcPr>
            <w:tcW w:w="913" w:type="pct"/>
            <w:vAlign w:val="center"/>
          </w:tcPr>
          <w:p w14:paraId="633189A2"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1.508.658.850</w:t>
            </w:r>
          </w:p>
        </w:tc>
      </w:tr>
      <w:tr w:rsidR="00D16510" w:rsidRPr="00626EED" w14:paraId="4D631F8C" w14:textId="77777777" w:rsidTr="00052C82">
        <w:tc>
          <w:tcPr>
            <w:tcW w:w="907" w:type="pct"/>
            <w:shd w:val="clear" w:color="auto" w:fill="auto"/>
            <w:vAlign w:val="center"/>
          </w:tcPr>
          <w:p w14:paraId="2A333203"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TPE3CO</w:t>
            </w:r>
          </w:p>
        </w:tc>
        <w:tc>
          <w:tcPr>
            <w:tcW w:w="1715" w:type="pct"/>
            <w:vAlign w:val="bottom"/>
          </w:tcPr>
          <w:p w14:paraId="09125D75"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3” en Calzada Concreto</w:t>
            </w:r>
          </w:p>
        </w:tc>
        <w:tc>
          <w:tcPr>
            <w:tcW w:w="613" w:type="pct"/>
            <w:vAlign w:val="center"/>
          </w:tcPr>
          <w:p w14:paraId="2098061B"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1,14</w:t>
            </w:r>
          </w:p>
        </w:tc>
        <w:tc>
          <w:tcPr>
            <w:tcW w:w="852" w:type="pct"/>
            <w:vAlign w:val="center"/>
          </w:tcPr>
          <w:p w14:paraId="032F00EB"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107.986.434</w:t>
            </w:r>
          </w:p>
        </w:tc>
        <w:tc>
          <w:tcPr>
            <w:tcW w:w="913" w:type="pct"/>
            <w:vAlign w:val="center"/>
          </w:tcPr>
          <w:p w14:paraId="3D42F94F"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122.629.394</w:t>
            </w:r>
          </w:p>
        </w:tc>
      </w:tr>
      <w:tr w:rsidR="00D16510" w:rsidRPr="00626EED" w14:paraId="1DDFC276" w14:textId="77777777" w:rsidTr="00052C82">
        <w:tc>
          <w:tcPr>
            <w:tcW w:w="907" w:type="pct"/>
            <w:shd w:val="clear" w:color="auto" w:fill="auto"/>
            <w:vAlign w:val="center"/>
          </w:tcPr>
          <w:p w14:paraId="6EBE1227"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TPE3TA</w:t>
            </w:r>
          </w:p>
        </w:tc>
        <w:tc>
          <w:tcPr>
            <w:tcW w:w="1715" w:type="pct"/>
            <w:vAlign w:val="bottom"/>
          </w:tcPr>
          <w:p w14:paraId="0CCB4946"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3” en Andén Tableta, Baldosín, Gravilla</w:t>
            </w:r>
          </w:p>
        </w:tc>
        <w:tc>
          <w:tcPr>
            <w:tcW w:w="613" w:type="pct"/>
            <w:vAlign w:val="center"/>
          </w:tcPr>
          <w:p w14:paraId="6DC6B381"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0,28</w:t>
            </w:r>
          </w:p>
        </w:tc>
        <w:tc>
          <w:tcPr>
            <w:tcW w:w="852" w:type="pct"/>
            <w:vAlign w:val="center"/>
          </w:tcPr>
          <w:p w14:paraId="7AE15B17"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84.228.774</w:t>
            </w:r>
          </w:p>
        </w:tc>
        <w:tc>
          <w:tcPr>
            <w:tcW w:w="913" w:type="pct"/>
            <w:vAlign w:val="center"/>
          </w:tcPr>
          <w:p w14:paraId="32706BAE"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23.306.102</w:t>
            </w:r>
          </w:p>
        </w:tc>
      </w:tr>
      <w:tr w:rsidR="00D16510" w:rsidRPr="00626EED" w14:paraId="40D971E5" w14:textId="77777777" w:rsidTr="00052C82">
        <w:tc>
          <w:tcPr>
            <w:tcW w:w="907" w:type="pct"/>
            <w:shd w:val="clear" w:color="auto" w:fill="auto"/>
            <w:vAlign w:val="center"/>
          </w:tcPr>
          <w:p w14:paraId="2C33F0F3"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TPE3ZV</w:t>
            </w:r>
          </w:p>
        </w:tc>
        <w:tc>
          <w:tcPr>
            <w:tcW w:w="1715" w:type="pct"/>
            <w:vAlign w:val="bottom"/>
          </w:tcPr>
          <w:p w14:paraId="5FAF6A13"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3” en Zona Verde</w:t>
            </w:r>
          </w:p>
        </w:tc>
        <w:tc>
          <w:tcPr>
            <w:tcW w:w="613" w:type="pct"/>
            <w:vAlign w:val="center"/>
          </w:tcPr>
          <w:p w14:paraId="678545E6"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9,30</w:t>
            </w:r>
          </w:p>
        </w:tc>
        <w:tc>
          <w:tcPr>
            <w:tcW w:w="852" w:type="pct"/>
            <w:vAlign w:val="center"/>
          </w:tcPr>
          <w:p w14:paraId="7ED77113"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49.081.249</w:t>
            </w:r>
          </w:p>
        </w:tc>
        <w:tc>
          <w:tcPr>
            <w:tcW w:w="913" w:type="pct"/>
            <w:vAlign w:val="center"/>
          </w:tcPr>
          <w:p w14:paraId="2A19F504"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456.519.418</w:t>
            </w:r>
          </w:p>
        </w:tc>
      </w:tr>
      <w:tr w:rsidR="00D16510" w:rsidRPr="00626EED" w14:paraId="7F379EE7" w14:textId="77777777" w:rsidTr="00052C82">
        <w:tc>
          <w:tcPr>
            <w:tcW w:w="907" w:type="pct"/>
            <w:shd w:val="clear" w:color="auto" w:fill="auto"/>
            <w:vAlign w:val="center"/>
          </w:tcPr>
          <w:p w14:paraId="70F3370E"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TPE4CO</w:t>
            </w:r>
          </w:p>
        </w:tc>
        <w:tc>
          <w:tcPr>
            <w:tcW w:w="1715" w:type="pct"/>
            <w:vAlign w:val="bottom"/>
          </w:tcPr>
          <w:p w14:paraId="3D93FE43"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4” en Calzada Concreto</w:t>
            </w:r>
          </w:p>
        </w:tc>
        <w:tc>
          <w:tcPr>
            <w:tcW w:w="613" w:type="pct"/>
            <w:vAlign w:val="center"/>
          </w:tcPr>
          <w:p w14:paraId="718E12A6"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2,95</w:t>
            </w:r>
          </w:p>
        </w:tc>
        <w:tc>
          <w:tcPr>
            <w:tcW w:w="852" w:type="pct"/>
            <w:vAlign w:val="center"/>
          </w:tcPr>
          <w:p w14:paraId="726E60FD"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127.297.314</w:t>
            </w:r>
          </w:p>
        </w:tc>
        <w:tc>
          <w:tcPr>
            <w:tcW w:w="913" w:type="pct"/>
            <w:vAlign w:val="center"/>
          </w:tcPr>
          <w:p w14:paraId="0F8BBF53"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375.947.156</w:t>
            </w:r>
          </w:p>
        </w:tc>
      </w:tr>
      <w:tr w:rsidR="00D16510" w:rsidRPr="00626EED" w14:paraId="46CBDEC0" w14:textId="77777777" w:rsidTr="00052C82">
        <w:tc>
          <w:tcPr>
            <w:tcW w:w="907" w:type="pct"/>
            <w:tcBorders>
              <w:bottom w:val="single" w:sz="4" w:space="0" w:color="auto"/>
            </w:tcBorders>
            <w:shd w:val="clear" w:color="auto" w:fill="auto"/>
            <w:vAlign w:val="center"/>
          </w:tcPr>
          <w:p w14:paraId="13D7F643"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TPE4TA</w:t>
            </w:r>
          </w:p>
        </w:tc>
        <w:tc>
          <w:tcPr>
            <w:tcW w:w="1715" w:type="pct"/>
            <w:tcBorders>
              <w:bottom w:val="single" w:sz="4" w:space="0" w:color="auto"/>
            </w:tcBorders>
            <w:vAlign w:val="bottom"/>
          </w:tcPr>
          <w:p w14:paraId="5F0F2302"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4” en Andén Tableta, Baldosín, Gravilla</w:t>
            </w:r>
          </w:p>
        </w:tc>
        <w:tc>
          <w:tcPr>
            <w:tcW w:w="613" w:type="pct"/>
            <w:tcBorders>
              <w:bottom w:val="single" w:sz="4" w:space="0" w:color="auto"/>
            </w:tcBorders>
            <w:vAlign w:val="center"/>
          </w:tcPr>
          <w:p w14:paraId="62BEE62E"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0,11</w:t>
            </w:r>
          </w:p>
        </w:tc>
        <w:tc>
          <w:tcPr>
            <w:tcW w:w="852" w:type="pct"/>
            <w:tcBorders>
              <w:bottom w:val="single" w:sz="4" w:space="0" w:color="auto"/>
            </w:tcBorders>
            <w:vAlign w:val="center"/>
          </w:tcPr>
          <w:p w14:paraId="50916679"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103.482.820</w:t>
            </w:r>
          </w:p>
        </w:tc>
        <w:tc>
          <w:tcPr>
            <w:tcW w:w="913" w:type="pct"/>
            <w:vAlign w:val="center"/>
          </w:tcPr>
          <w:p w14:paraId="75152225"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11.093.358</w:t>
            </w:r>
          </w:p>
        </w:tc>
      </w:tr>
      <w:tr w:rsidR="00513DF4" w:rsidRPr="00626EED" w14:paraId="17FCBA0F" w14:textId="77777777" w:rsidTr="00052C82">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162D4897" w14:textId="77777777" w:rsidR="00513DF4" w:rsidRPr="00513DF4" w:rsidRDefault="00513DF4" w:rsidP="00513DF4">
            <w:pPr>
              <w:ind w:left="22"/>
              <w:rPr>
                <w:rFonts w:ascii="Bookman Old Style" w:hAnsi="Bookman Old Style"/>
                <w:color w:val="000000"/>
                <w:sz w:val="18"/>
                <w:szCs w:val="18"/>
              </w:rPr>
            </w:pPr>
            <w:r w:rsidRPr="00513DF4">
              <w:rPr>
                <w:rFonts w:ascii="Bookman Old Style" w:hAnsi="Bookman Old Style"/>
                <w:color w:val="000000"/>
                <w:sz w:val="18"/>
                <w:szCs w:val="18"/>
              </w:rPr>
              <w:t>TPE4ZV</w:t>
            </w:r>
          </w:p>
        </w:tc>
        <w:tc>
          <w:tcPr>
            <w:tcW w:w="1715" w:type="pct"/>
            <w:tcBorders>
              <w:top w:val="single" w:sz="4" w:space="0" w:color="auto"/>
              <w:left w:val="single" w:sz="4" w:space="0" w:color="auto"/>
              <w:bottom w:val="single" w:sz="4" w:space="0" w:color="auto"/>
              <w:right w:val="single" w:sz="4" w:space="0" w:color="auto"/>
            </w:tcBorders>
            <w:vAlign w:val="bottom"/>
          </w:tcPr>
          <w:p w14:paraId="62467E5A" w14:textId="77777777" w:rsidR="00513DF4" w:rsidRPr="00513DF4" w:rsidRDefault="00513DF4" w:rsidP="00513DF4">
            <w:pPr>
              <w:ind w:left="0"/>
              <w:rPr>
                <w:rFonts w:ascii="Bookman Old Style" w:hAnsi="Bookman Old Style"/>
                <w:color w:val="000000"/>
                <w:sz w:val="18"/>
                <w:szCs w:val="18"/>
              </w:rPr>
            </w:pPr>
            <w:r w:rsidRPr="00513DF4">
              <w:rPr>
                <w:rFonts w:ascii="Bookman Old Style" w:hAnsi="Bookman Old Style"/>
                <w:color w:val="000000"/>
                <w:sz w:val="18"/>
                <w:szCs w:val="18"/>
              </w:rPr>
              <w:t>Tubería de polietileno de 4” en zona verde</w:t>
            </w:r>
          </w:p>
        </w:tc>
        <w:tc>
          <w:tcPr>
            <w:tcW w:w="613" w:type="pct"/>
            <w:tcBorders>
              <w:top w:val="single" w:sz="4" w:space="0" w:color="auto"/>
              <w:left w:val="single" w:sz="4" w:space="0" w:color="auto"/>
              <w:bottom w:val="single" w:sz="4" w:space="0" w:color="auto"/>
              <w:right w:val="single" w:sz="4" w:space="0" w:color="auto"/>
            </w:tcBorders>
            <w:vAlign w:val="center"/>
          </w:tcPr>
          <w:p w14:paraId="456A370F"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6,81</w:t>
            </w:r>
          </w:p>
        </w:tc>
        <w:tc>
          <w:tcPr>
            <w:tcW w:w="852" w:type="pct"/>
            <w:tcBorders>
              <w:top w:val="single" w:sz="4" w:space="0" w:color="auto"/>
              <w:left w:val="single" w:sz="4" w:space="0" w:color="auto"/>
              <w:bottom w:val="single" w:sz="4" w:space="0" w:color="auto"/>
              <w:right w:val="single" w:sz="4" w:space="0" w:color="auto"/>
            </w:tcBorders>
            <w:vAlign w:val="center"/>
          </w:tcPr>
          <w:p w14:paraId="16CF17AA"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68.459.852</w:t>
            </w:r>
          </w:p>
        </w:tc>
        <w:tc>
          <w:tcPr>
            <w:tcW w:w="913" w:type="pct"/>
            <w:tcBorders>
              <w:left w:val="single" w:sz="4" w:space="0" w:color="auto"/>
            </w:tcBorders>
            <w:vAlign w:val="center"/>
          </w:tcPr>
          <w:p w14:paraId="21CB86BD" w14:textId="77777777" w:rsidR="00513DF4" w:rsidRPr="00513DF4" w:rsidRDefault="00513DF4" w:rsidP="00513DF4">
            <w:pPr>
              <w:ind w:left="0"/>
              <w:jc w:val="center"/>
              <w:rPr>
                <w:rFonts w:ascii="Bookman Old Style" w:hAnsi="Bookman Old Style"/>
                <w:color w:val="000000"/>
                <w:sz w:val="18"/>
                <w:szCs w:val="18"/>
              </w:rPr>
            </w:pPr>
            <w:r w:rsidRPr="00513DF4">
              <w:rPr>
                <w:rFonts w:ascii="Bookman Old Style" w:hAnsi="Bookman Old Style"/>
                <w:color w:val="000000"/>
                <w:sz w:val="18"/>
                <w:szCs w:val="18"/>
              </w:rPr>
              <w:t>466.060.980</w:t>
            </w:r>
          </w:p>
        </w:tc>
      </w:tr>
      <w:tr w:rsidR="00D16510" w:rsidRPr="00626EED" w14:paraId="4B735BDE" w14:textId="77777777" w:rsidTr="00052C82">
        <w:tc>
          <w:tcPr>
            <w:tcW w:w="907" w:type="pct"/>
            <w:tcBorders>
              <w:top w:val="single" w:sz="4" w:space="0" w:color="auto"/>
              <w:left w:val="nil"/>
              <w:bottom w:val="nil"/>
              <w:right w:val="nil"/>
            </w:tcBorders>
            <w:shd w:val="clear" w:color="auto" w:fill="auto"/>
            <w:vAlign w:val="center"/>
          </w:tcPr>
          <w:p w14:paraId="557A8A2B" w14:textId="77777777" w:rsidR="00513DF4" w:rsidRPr="00513DF4" w:rsidRDefault="00513DF4" w:rsidP="00513DF4">
            <w:pPr>
              <w:ind w:left="22"/>
              <w:rPr>
                <w:rFonts w:ascii="Bookman Old Style" w:hAnsi="Bookman Old Style"/>
                <w:color w:val="000000"/>
                <w:sz w:val="18"/>
                <w:szCs w:val="18"/>
              </w:rPr>
            </w:pPr>
          </w:p>
        </w:tc>
        <w:tc>
          <w:tcPr>
            <w:tcW w:w="1715" w:type="pct"/>
            <w:tcBorders>
              <w:top w:val="single" w:sz="4" w:space="0" w:color="auto"/>
              <w:left w:val="nil"/>
              <w:bottom w:val="nil"/>
              <w:right w:val="nil"/>
            </w:tcBorders>
            <w:vAlign w:val="bottom"/>
          </w:tcPr>
          <w:p w14:paraId="591380B7" w14:textId="77777777" w:rsidR="00513DF4" w:rsidRPr="00513DF4" w:rsidRDefault="00513DF4" w:rsidP="00513DF4">
            <w:pPr>
              <w:ind w:left="0"/>
              <w:rPr>
                <w:rFonts w:ascii="Bookman Old Style" w:hAnsi="Bookman Old Style"/>
                <w:color w:val="000000"/>
                <w:sz w:val="18"/>
                <w:szCs w:val="18"/>
              </w:rPr>
            </w:pPr>
          </w:p>
        </w:tc>
        <w:tc>
          <w:tcPr>
            <w:tcW w:w="613" w:type="pct"/>
            <w:tcBorders>
              <w:top w:val="single" w:sz="4" w:space="0" w:color="auto"/>
              <w:left w:val="nil"/>
              <w:bottom w:val="nil"/>
              <w:right w:val="single" w:sz="4" w:space="0" w:color="auto"/>
            </w:tcBorders>
            <w:vAlign w:val="center"/>
          </w:tcPr>
          <w:p w14:paraId="5C3DD84D" w14:textId="77777777" w:rsidR="00513DF4" w:rsidRPr="00513DF4" w:rsidRDefault="00513DF4" w:rsidP="00513DF4">
            <w:pPr>
              <w:ind w:left="0"/>
              <w:jc w:val="center"/>
              <w:rPr>
                <w:rFonts w:ascii="Bookman Old Style" w:hAnsi="Bookman Old Style"/>
                <w:color w:val="000000"/>
                <w:sz w:val="18"/>
                <w:szCs w:val="18"/>
              </w:rPr>
            </w:pPr>
          </w:p>
        </w:tc>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FEA6C" w14:textId="77777777" w:rsidR="00513DF4" w:rsidRPr="00513DF4" w:rsidRDefault="00513DF4" w:rsidP="00513DF4">
            <w:pPr>
              <w:ind w:left="0"/>
              <w:jc w:val="right"/>
              <w:rPr>
                <w:rFonts w:ascii="Bookman Old Style" w:hAnsi="Bookman Old Style"/>
                <w:b/>
                <w:color w:val="000000"/>
                <w:sz w:val="18"/>
                <w:szCs w:val="18"/>
              </w:rPr>
            </w:pPr>
            <w:r w:rsidRPr="00513DF4">
              <w:rPr>
                <w:rFonts w:ascii="Bookman Old Style" w:hAnsi="Bookman Old Style"/>
                <w:b/>
                <w:color w:val="000000"/>
                <w:sz w:val="18"/>
                <w:szCs w:val="18"/>
              </w:rPr>
              <w:t>Total</w:t>
            </w:r>
          </w:p>
        </w:tc>
        <w:tc>
          <w:tcPr>
            <w:tcW w:w="913" w:type="pct"/>
            <w:tcBorders>
              <w:left w:val="single" w:sz="4" w:space="0" w:color="auto"/>
            </w:tcBorders>
            <w:shd w:val="clear" w:color="auto" w:fill="F2F2F2" w:themeFill="background1" w:themeFillShade="F2"/>
            <w:vAlign w:val="center"/>
          </w:tcPr>
          <w:p w14:paraId="50F11304" w14:textId="77777777" w:rsidR="00513DF4" w:rsidRPr="00513DF4" w:rsidRDefault="00513DF4" w:rsidP="00513DF4">
            <w:pPr>
              <w:ind w:left="0"/>
              <w:jc w:val="center"/>
              <w:rPr>
                <w:rFonts w:ascii="Bookman Old Style" w:hAnsi="Bookman Old Style"/>
                <w:b/>
                <w:color w:val="000000"/>
                <w:sz w:val="18"/>
                <w:szCs w:val="18"/>
              </w:rPr>
            </w:pPr>
            <w:r w:rsidRPr="00513DF4">
              <w:rPr>
                <w:rFonts w:ascii="Bookman Old Style" w:hAnsi="Bookman Old Style"/>
                <w:b/>
                <w:color w:val="000000"/>
                <w:sz w:val="18"/>
                <w:szCs w:val="18"/>
              </w:rPr>
              <w:t>21.882.841.760</w:t>
            </w:r>
          </w:p>
        </w:tc>
      </w:tr>
    </w:tbl>
    <w:p w14:paraId="23981E34" w14:textId="77777777" w:rsidR="00EC5C62" w:rsidRPr="008A165F" w:rsidRDefault="00EC5C62" w:rsidP="00EC5C62">
      <w:pPr>
        <w:adjustRightInd w:val="0"/>
        <w:spacing w:after="240"/>
        <w:ind w:left="0" w:right="23"/>
        <w:jc w:val="center"/>
        <w:rPr>
          <w:rFonts w:ascii="Bookman Old Style" w:hAnsi="Bookman Old Style"/>
          <w:sz w:val="20"/>
          <w:szCs w:val="20"/>
        </w:rPr>
      </w:pPr>
      <w:r w:rsidRPr="0041553C">
        <w:rPr>
          <w:rFonts w:ascii="Bookman Old Style" w:hAnsi="Bookman Old Style"/>
          <w:sz w:val="20"/>
          <w:szCs w:val="20"/>
        </w:rPr>
        <w:t>Cifra</w:t>
      </w:r>
      <w:r>
        <w:rPr>
          <w:rFonts w:ascii="Bookman Old Style" w:hAnsi="Bookman Old Style"/>
          <w:sz w:val="20"/>
          <w:szCs w:val="20"/>
        </w:rPr>
        <w:t>s en pesos de diciembre de 2014</w:t>
      </w:r>
    </w:p>
    <w:p w14:paraId="1DCB8078" w14:textId="77777777" w:rsidR="00581C8A" w:rsidRPr="00581C8A" w:rsidRDefault="00581C8A" w:rsidP="00EF2D18">
      <w:pPr>
        <w:adjustRightInd w:val="0"/>
        <w:spacing w:after="240"/>
        <w:ind w:left="0" w:right="23"/>
        <w:jc w:val="both"/>
        <w:rPr>
          <w:rFonts w:ascii="Bookman Old Style" w:hAnsi="Bookman Old Style"/>
          <w:sz w:val="20"/>
          <w:szCs w:val="20"/>
        </w:rPr>
      </w:pPr>
      <w:r w:rsidRPr="00581C8A">
        <w:rPr>
          <w:rFonts w:ascii="Bookman Old Style" w:hAnsi="Bookman Old Style"/>
          <w:b/>
          <w:sz w:val="20"/>
          <w:szCs w:val="20"/>
        </w:rPr>
        <w:t>Nota 1:</w:t>
      </w:r>
      <w:r>
        <w:rPr>
          <w:rFonts w:ascii="Bookman Old Style" w:hAnsi="Bookman Old Style"/>
          <w:sz w:val="20"/>
          <w:szCs w:val="20"/>
        </w:rPr>
        <w:t xml:space="preserve"> </w:t>
      </w:r>
      <w:r w:rsidRPr="00581C8A">
        <w:rPr>
          <w:rFonts w:ascii="Bookman Old Style" w:hAnsi="Bookman Old Style"/>
          <w:sz w:val="20"/>
          <w:szCs w:val="20"/>
        </w:rPr>
        <w:t xml:space="preserve">La cantidad </w:t>
      </w:r>
      <w:r w:rsidR="00EF2D18">
        <w:rPr>
          <w:rFonts w:ascii="Bookman Old Style" w:hAnsi="Bookman Old Style"/>
          <w:sz w:val="20"/>
          <w:szCs w:val="20"/>
        </w:rPr>
        <w:t>solicitada</w:t>
      </w:r>
      <w:r w:rsidRPr="00581C8A">
        <w:rPr>
          <w:rFonts w:ascii="Bookman Old Style" w:hAnsi="Bookman Old Style"/>
          <w:sz w:val="20"/>
          <w:szCs w:val="20"/>
        </w:rPr>
        <w:t xml:space="preserve"> de esta unidad constructiva está expresada en número de unidades, no en km</w:t>
      </w:r>
      <w:r>
        <w:rPr>
          <w:rFonts w:ascii="Bookman Old Style" w:hAnsi="Bookman Old Style"/>
          <w:sz w:val="20"/>
          <w:szCs w:val="20"/>
        </w:rPr>
        <w:t>.</w:t>
      </w:r>
    </w:p>
    <w:p w14:paraId="230C2B53" w14:textId="77777777" w:rsidR="00786D8B" w:rsidRDefault="004B2EB5" w:rsidP="00786D8B">
      <w:pPr>
        <w:spacing w:before="240" w:after="240"/>
        <w:ind w:left="0"/>
        <w:jc w:val="both"/>
        <w:rPr>
          <w:rFonts w:ascii="Bookman Old Style" w:hAnsi="Bookman Old Style"/>
          <w:lang w:val="es-ES_tradnl"/>
        </w:rPr>
      </w:pPr>
      <w:r>
        <w:rPr>
          <w:rFonts w:ascii="Bookman Old Style" w:hAnsi="Bookman Old Style"/>
          <w:lang w:val="es-ES_tradnl"/>
        </w:rPr>
        <w:t>L</w:t>
      </w:r>
      <w:r w:rsidR="00786D8B">
        <w:rPr>
          <w:rFonts w:ascii="Bookman Old Style" w:hAnsi="Bookman Old Style"/>
          <w:lang w:val="es-ES_tradnl"/>
        </w:rPr>
        <w:t xml:space="preserve">a Resolución CREG 202 de 2013 establece claramente que la Inversión Existente corresponde </w:t>
      </w:r>
      <w:r w:rsidR="00786D8B" w:rsidRPr="008A165F">
        <w:rPr>
          <w:rFonts w:ascii="Bookman Old Style" w:hAnsi="Bookman Old Style"/>
          <w:lang w:val="es-ES_tradnl"/>
        </w:rPr>
        <w:t xml:space="preserve">a la inversión reconocida como existente en la última revisión tarifaria, es decir, a los activos reconocidos antes </w:t>
      </w:r>
      <w:r w:rsidR="004B437F">
        <w:rPr>
          <w:rFonts w:ascii="Bookman Old Style" w:hAnsi="Bookman Old Style"/>
          <w:lang w:val="es-ES_tradnl"/>
        </w:rPr>
        <w:t xml:space="preserve">de </w:t>
      </w:r>
      <w:r w:rsidR="00786D8B" w:rsidRPr="008A165F">
        <w:rPr>
          <w:rFonts w:ascii="Bookman Old Style" w:hAnsi="Bookman Old Style"/>
          <w:lang w:val="es-ES_tradnl"/>
        </w:rPr>
        <w:t>que iniciara el Período Tarifario que culmina</w:t>
      </w:r>
      <w:r w:rsidR="00786D8B">
        <w:rPr>
          <w:rFonts w:ascii="Bookman Old Style" w:hAnsi="Bookman Old Style"/>
          <w:lang w:val="es-ES_tradnl"/>
        </w:rPr>
        <w:t xml:space="preserve"> y que corresponden a los aprobados mediante Resolución CREG 027 de 2004. Adicionalmente, establece que estos activos se homologarán a las unidades constructivas </w:t>
      </w:r>
      <w:r w:rsidR="00786D8B" w:rsidRPr="007139FF">
        <w:rPr>
          <w:rFonts w:ascii="Bookman Old Style" w:hAnsi="Bookman Old Style"/>
          <w:lang w:val="es-ES_tradnl"/>
        </w:rPr>
        <w:t>definidas en el Período Tarifario que culmina y valoradas a los costos reconocidos en dicho momento y ajustados conforme se encuentran definidas en el Anexo 4 y Anexo 5</w:t>
      </w:r>
      <w:r w:rsidR="00786D8B">
        <w:rPr>
          <w:rFonts w:ascii="Bookman Old Style" w:hAnsi="Bookman Old Style"/>
          <w:i/>
          <w:lang w:val="es-ES_tradnl"/>
        </w:rPr>
        <w:t>.</w:t>
      </w:r>
    </w:p>
    <w:p w14:paraId="24E6DDAE" w14:textId="77777777" w:rsidR="00786D8B" w:rsidRDefault="00786D8B" w:rsidP="00786D8B">
      <w:pPr>
        <w:spacing w:before="240" w:after="240"/>
        <w:ind w:left="0"/>
        <w:jc w:val="both"/>
        <w:rPr>
          <w:rFonts w:ascii="Bookman Old Style" w:hAnsi="Bookman Old Style"/>
          <w:lang w:val="es-ES_tradnl"/>
        </w:rPr>
      </w:pPr>
      <w:r>
        <w:rPr>
          <w:rFonts w:ascii="Bookman Old Style" w:hAnsi="Bookman Old Style"/>
          <w:lang w:val="es-ES_tradnl"/>
        </w:rPr>
        <w:t xml:space="preserve">En concordancia con lo anterior, la Inversión Existente de la empresa GASES DE LA GUAJIRA S.A. E.S.P. </w:t>
      </w:r>
      <w:r w:rsidR="004B2EB5">
        <w:rPr>
          <w:rFonts w:ascii="Bookman Old Style" w:hAnsi="Bookman Old Style"/>
          <w:lang w:val="es-ES_tradnl"/>
        </w:rPr>
        <w:t xml:space="preserve">debe corresponder </w:t>
      </w:r>
      <w:r>
        <w:rPr>
          <w:rFonts w:ascii="Bookman Old Style" w:hAnsi="Bookman Old Style"/>
          <w:lang w:val="es-ES_tradnl"/>
        </w:rPr>
        <w:t>a la aprobada en los numerales 4.9 del Anexo 4 y 5.9 del Anexo 5 de la Resolución CREG 202 de 2013.</w:t>
      </w:r>
    </w:p>
    <w:p w14:paraId="47D31D79" w14:textId="2CAAD903" w:rsidR="002D434C" w:rsidRDefault="002A689A" w:rsidP="002D434C">
      <w:pPr>
        <w:spacing w:before="240" w:after="240"/>
        <w:ind w:left="0"/>
        <w:jc w:val="both"/>
        <w:rPr>
          <w:rFonts w:ascii="Bookman Old Style" w:hAnsi="Bookman Old Style"/>
          <w:lang w:val="es-ES_tradnl"/>
        </w:rPr>
      </w:pPr>
      <w:r>
        <w:rPr>
          <w:rFonts w:ascii="Bookman Old Style" w:hAnsi="Bookman Old Style"/>
          <w:lang w:val="es-ES_tradnl"/>
        </w:rPr>
        <w:t xml:space="preserve">En el </w:t>
      </w:r>
      <w:r w:rsidRPr="002A689A">
        <w:rPr>
          <w:rFonts w:ascii="Bookman Old Style" w:hAnsi="Bookman Old Style"/>
          <w:lang w:val="es-ES_tradnl"/>
        </w:rPr>
        <w:fldChar w:fldCharType="begin"/>
      </w:r>
      <w:r w:rsidRPr="002A689A">
        <w:rPr>
          <w:rFonts w:ascii="Bookman Old Style" w:hAnsi="Bookman Old Style"/>
          <w:lang w:val="es-ES_tradnl"/>
        </w:rPr>
        <w:instrText xml:space="preserve"> REF _Ref530133390 \h  \* MERGEFORMAT </w:instrText>
      </w:r>
      <w:r w:rsidRPr="002A689A">
        <w:rPr>
          <w:rFonts w:ascii="Bookman Old Style" w:hAnsi="Bookman Old Style"/>
          <w:lang w:val="es-ES_tradnl"/>
        </w:rPr>
      </w:r>
      <w:r w:rsidRPr="002A689A">
        <w:rPr>
          <w:rFonts w:ascii="Bookman Old Style" w:hAnsi="Bookman Old Style"/>
          <w:lang w:val="es-ES_tradnl"/>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12</w:t>
      </w:r>
      <w:r w:rsidRPr="002A689A">
        <w:rPr>
          <w:rFonts w:ascii="Bookman Old Style" w:hAnsi="Bookman Old Style"/>
          <w:lang w:val="es-ES_tradnl"/>
        </w:rPr>
        <w:fldChar w:fldCharType="end"/>
      </w:r>
      <w:r w:rsidRPr="002A689A">
        <w:rPr>
          <w:rFonts w:ascii="Bookman Old Style" w:hAnsi="Bookman Old Style"/>
          <w:lang w:val="es-ES_tradnl"/>
        </w:rPr>
        <w:t xml:space="preserve"> </w:t>
      </w:r>
      <w:r>
        <w:rPr>
          <w:rFonts w:ascii="Bookman Old Style" w:hAnsi="Bookman Old Style"/>
          <w:lang w:val="es-ES_tradnl"/>
        </w:rPr>
        <w:t xml:space="preserve">se muestra la comparación de los valores establecidos en </w:t>
      </w:r>
      <w:r w:rsidR="006374CF">
        <w:rPr>
          <w:rFonts w:ascii="Bookman Old Style" w:hAnsi="Bookman Old Style"/>
          <w:lang w:val="es-ES_tradnl"/>
        </w:rPr>
        <w:br/>
      </w:r>
      <w:r>
        <w:rPr>
          <w:rFonts w:ascii="Bookman Old Style" w:hAnsi="Bookman Old Style"/>
          <w:lang w:val="es-ES_tradnl"/>
        </w:rPr>
        <w:t xml:space="preserve">la Resolución CREG 202 de 2013 Inversión Existente para la empresa </w:t>
      </w:r>
      <w:r w:rsidR="006374CF">
        <w:rPr>
          <w:rFonts w:ascii="Bookman Old Style" w:hAnsi="Bookman Old Style"/>
          <w:lang w:val="es-ES_tradnl"/>
        </w:rPr>
        <w:br/>
      </w:r>
      <w:r>
        <w:rPr>
          <w:rFonts w:ascii="Bookman Old Style" w:hAnsi="Bookman Old Style"/>
          <w:lang w:val="es-ES_tradnl"/>
        </w:rPr>
        <w:t>GASES DE LA GUAJIRA S.A. E.S.P. y la Inversión Existente aprobada a la empresa en la Resolución CREG 027 de 2018.</w:t>
      </w:r>
      <w:r w:rsidR="002D434C">
        <w:rPr>
          <w:rFonts w:ascii="Bookman Old Style" w:hAnsi="Bookman Old Style"/>
          <w:lang w:val="es-ES_tradnl"/>
        </w:rPr>
        <w:t xml:space="preserve"> </w:t>
      </w:r>
      <w:r w:rsidR="002D434C" w:rsidRPr="00626EED">
        <w:rPr>
          <w:rFonts w:ascii="Bookman Old Style" w:hAnsi="Bookman Old Style"/>
          <w:lang w:val="es-ES_tradnl"/>
        </w:rPr>
        <w:t>Se evidencia</w:t>
      </w:r>
      <w:r w:rsidR="002D434C">
        <w:rPr>
          <w:rFonts w:ascii="Bookman Old Style" w:hAnsi="Bookman Old Style"/>
          <w:lang w:val="es-ES_tradnl"/>
        </w:rPr>
        <w:t xml:space="preserve"> que existen diferencias en seis</w:t>
      </w:r>
      <w:r w:rsidR="002D434C" w:rsidRPr="00626EED">
        <w:rPr>
          <w:rFonts w:ascii="Bookman Old Style" w:hAnsi="Bookman Old Style"/>
          <w:lang w:val="es-ES_tradnl"/>
        </w:rPr>
        <w:t xml:space="preserve"> (</w:t>
      </w:r>
      <w:r w:rsidR="002D434C">
        <w:rPr>
          <w:rFonts w:ascii="Bookman Old Style" w:hAnsi="Bookman Old Style"/>
          <w:lang w:val="es-ES_tradnl"/>
        </w:rPr>
        <w:t>6</w:t>
      </w:r>
      <w:r w:rsidR="002D434C" w:rsidRPr="00626EED">
        <w:rPr>
          <w:rFonts w:ascii="Bookman Old Style" w:hAnsi="Bookman Old Style"/>
          <w:lang w:val="es-ES_tradnl"/>
        </w:rPr>
        <w:t xml:space="preserve">) de las </w:t>
      </w:r>
      <w:r w:rsidR="002D434C">
        <w:rPr>
          <w:rFonts w:ascii="Bookman Old Style" w:hAnsi="Bookman Old Style"/>
          <w:lang w:val="es-ES_tradnl"/>
        </w:rPr>
        <w:t>nueve</w:t>
      </w:r>
      <w:r w:rsidR="002D434C" w:rsidRPr="00626EED">
        <w:rPr>
          <w:rFonts w:ascii="Bookman Old Style" w:hAnsi="Bookman Old Style"/>
          <w:lang w:val="es-ES_tradnl"/>
        </w:rPr>
        <w:t xml:space="preserve"> (</w:t>
      </w:r>
      <w:r w:rsidR="002D434C">
        <w:rPr>
          <w:rFonts w:ascii="Bookman Old Style" w:hAnsi="Bookman Old Style"/>
          <w:lang w:val="es-ES_tradnl"/>
        </w:rPr>
        <w:t>9</w:t>
      </w:r>
      <w:r w:rsidR="002D434C" w:rsidRPr="00626EED">
        <w:rPr>
          <w:rFonts w:ascii="Bookman Old Style" w:hAnsi="Bookman Old Style"/>
          <w:lang w:val="es-ES_tradnl"/>
        </w:rPr>
        <w:t xml:space="preserve">) unidades constructivas </w:t>
      </w:r>
      <w:r w:rsidR="002D434C">
        <w:rPr>
          <w:rFonts w:ascii="Bookman Old Style" w:hAnsi="Bookman Old Style"/>
          <w:lang w:val="es-ES_tradnl"/>
        </w:rPr>
        <w:t>aprobadas en la Resolución CREG 202 de 2013 como Inversión Existente para la empresa</w:t>
      </w:r>
      <w:r w:rsidR="00AC1439">
        <w:rPr>
          <w:rFonts w:ascii="Bookman Old Style" w:hAnsi="Bookman Old Style"/>
          <w:lang w:val="es-ES_tradnl"/>
        </w:rPr>
        <w:t xml:space="preserve"> GASES </w:t>
      </w:r>
      <w:r w:rsidR="00AC1439">
        <w:rPr>
          <w:rFonts w:ascii="Bookman Old Style" w:hAnsi="Bookman Old Style"/>
          <w:lang w:val="es-ES_tradnl"/>
        </w:rPr>
        <w:lastRenderedPageBreak/>
        <w:t>DE LA GUAJIRA</w:t>
      </w:r>
      <w:r w:rsidR="002D434C" w:rsidRPr="00626EED">
        <w:rPr>
          <w:rFonts w:ascii="Bookman Old Style" w:hAnsi="Bookman Old Style"/>
          <w:lang w:val="es-ES_tradnl"/>
        </w:rPr>
        <w:t xml:space="preserve"> S.A. E.S.P.</w:t>
      </w:r>
      <w:r w:rsidR="002D44B4">
        <w:rPr>
          <w:rFonts w:ascii="Bookman Old Style" w:hAnsi="Bookman Old Style"/>
          <w:lang w:val="es-ES_tradnl"/>
        </w:rPr>
        <w:t xml:space="preserve"> </w:t>
      </w:r>
      <w:r w:rsidR="00B44ACF">
        <w:rPr>
          <w:rFonts w:ascii="Bookman Old Style" w:hAnsi="Bookman Old Style"/>
          <w:lang w:val="es-ES_tradnl"/>
        </w:rPr>
        <w:t xml:space="preserve">y que los </w:t>
      </w:r>
      <w:r w:rsidR="002D44B4">
        <w:rPr>
          <w:rFonts w:ascii="Bookman Old Style" w:hAnsi="Bookman Old Style"/>
          <w:lang w:val="es-ES_tradnl"/>
        </w:rPr>
        <w:t xml:space="preserve">costos asociados a estas diferencias </w:t>
      </w:r>
      <w:r w:rsidR="00B44ACF">
        <w:rPr>
          <w:rFonts w:ascii="Bookman Old Style" w:hAnsi="Bookman Old Style"/>
          <w:lang w:val="es-ES_tradnl"/>
        </w:rPr>
        <w:t>corresponden a $877.255.794.</w:t>
      </w:r>
    </w:p>
    <w:p w14:paraId="091E8CD1" w14:textId="38734445" w:rsidR="002A689A" w:rsidRDefault="002A689A" w:rsidP="002A689A">
      <w:pPr>
        <w:keepNext/>
        <w:adjustRightInd w:val="0"/>
        <w:spacing w:before="240"/>
        <w:ind w:left="0" w:right="23"/>
        <w:jc w:val="center"/>
        <w:rPr>
          <w:rFonts w:ascii="Bookman Old Style" w:hAnsi="Bookman Old Style"/>
          <w:b/>
        </w:rPr>
      </w:pPr>
      <w:bookmarkStart w:id="11" w:name="_Ref530133390"/>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12</w:t>
      </w:r>
      <w:r w:rsidRPr="005F5D91">
        <w:rPr>
          <w:rFonts w:ascii="Bookman Old Style" w:hAnsi="Bookman Old Style"/>
          <w:b/>
        </w:rPr>
        <w:fldChar w:fldCharType="end"/>
      </w:r>
      <w:bookmarkEnd w:id="11"/>
    </w:p>
    <w:tbl>
      <w:tblPr>
        <w:tblStyle w:val="Tablaconcuadrcula"/>
        <w:tblW w:w="5000" w:type="pct"/>
        <w:tblLook w:val="04A0" w:firstRow="1" w:lastRow="0" w:firstColumn="1" w:lastColumn="0" w:noHBand="0" w:noVBand="1"/>
      </w:tblPr>
      <w:tblGrid>
        <w:gridCol w:w="1579"/>
        <w:gridCol w:w="1623"/>
        <w:gridCol w:w="1645"/>
        <w:gridCol w:w="1645"/>
        <w:gridCol w:w="1200"/>
        <w:gridCol w:w="1654"/>
      </w:tblGrid>
      <w:tr w:rsidR="00EF07F2" w:rsidRPr="008A165F" w14:paraId="7780C34D" w14:textId="77777777" w:rsidTr="00EF07F2">
        <w:trPr>
          <w:trHeight w:val="289"/>
          <w:tblHeader/>
        </w:trPr>
        <w:tc>
          <w:tcPr>
            <w:tcW w:w="844" w:type="pct"/>
            <w:shd w:val="clear" w:color="auto" w:fill="D9D9D9" w:themeFill="background1" w:themeFillShade="D9"/>
            <w:vAlign w:val="center"/>
          </w:tcPr>
          <w:p w14:paraId="740CE9F1" w14:textId="77777777" w:rsidR="00B44ACF" w:rsidRPr="007B4944" w:rsidRDefault="00EF07F2" w:rsidP="00EF07F2">
            <w:pPr>
              <w:ind w:left="22"/>
              <w:jc w:val="center"/>
              <w:rPr>
                <w:rFonts w:ascii="Bookman Old Style" w:hAnsi="Bookman Old Style"/>
                <w:b/>
                <w:sz w:val="18"/>
                <w:szCs w:val="18"/>
                <w:lang w:val="es-ES_tradnl"/>
              </w:rPr>
            </w:pPr>
            <w:r>
              <w:rPr>
                <w:rFonts w:ascii="Bookman Old Style" w:hAnsi="Bookman Old Style"/>
                <w:b/>
                <w:sz w:val="18"/>
                <w:szCs w:val="18"/>
                <w:lang w:val="es-ES_tradnl"/>
              </w:rPr>
              <w:t>Un</w:t>
            </w:r>
            <w:r w:rsidR="00B44ACF" w:rsidRPr="007B4944">
              <w:rPr>
                <w:rFonts w:ascii="Bookman Old Style" w:hAnsi="Bookman Old Style"/>
                <w:b/>
                <w:sz w:val="18"/>
                <w:szCs w:val="18"/>
                <w:lang w:val="es-ES_tradnl"/>
              </w:rPr>
              <w:t>idad constructiva</w:t>
            </w:r>
          </w:p>
        </w:tc>
        <w:tc>
          <w:tcPr>
            <w:tcW w:w="868" w:type="pct"/>
            <w:shd w:val="clear" w:color="auto" w:fill="D9D9D9" w:themeFill="background1" w:themeFillShade="D9"/>
            <w:vAlign w:val="center"/>
          </w:tcPr>
          <w:p w14:paraId="2E77AF59" w14:textId="77777777" w:rsidR="00B44ACF" w:rsidRPr="007B4944" w:rsidRDefault="00B44ACF" w:rsidP="00B44ACF">
            <w:pPr>
              <w:ind w:left="22"/>
              <w:jc w:val="center"/>
              <w:rPr>
                <w:rFonts w:ascii="Bookman Old Style" w:hAnsi="Bookman Old Style"/>
                <w:b/>
                <w:sz w:val="18"/>
                <w:szCs w:val="18"/>
                <w:lang w:val="es-ES_tradnl"/>
              </w:rPr>
            </w:pPr>
            <w:r>
              <w:rPr>
                <w:rFonts w:ascii="Bookman Old Style" w:hAnsi="Bookman Old Style"/>
                <w:b/>
                <w:sz w:val="18"/>
                <w:szCs w:val="18"/>
                <w:lang w:val="es-ES_tradnl"/>
              </w:rPr>
              <w:t>Costo unitario</w:t>
            </w:r>
          </w:p>
        </w:tc>
        <w:tc>
          <w:tcPr>
            <w:tcW w:w="880" w:type="pct"/>
            <w:shd w:val="clear" w:color="auto" w:fill="D9D9D9" w:themeFill="background1" w:themeFillShade="D9"/>
            <w:vAlign w:val="center"/>
          </w:tcPr>
          <w:p w14:paraId="408EB948" w14:textId="77777777" w:rsidR="00B44ACF" w:rsidRPr="007B4944" w:rsidRDefault="00B44ACF" w:rsidP="00B44ACF">
            <w:pPr>
              <w:ind w:left="22"/>
              <w:jc w:val="center"/>
              <w:rPr>
                <w:rFonts w:ascii="Bookman Old Style" w:hAnsi="Bookman Old Style"/>
                <w:b/>
                <w:sz w:val="18"/>
                <w:szCs w:val="18"/>
                <w:lang w:val="es-ES_tradnl"/>
              </w:rPr>
            </w:pPr>
            <w:r>
              <w:rPr>
                <w:rFonts w:ascii="Bookman Old Style" w:hAnsi="Bookman Old Style"/>
                <w:b/>
                <w:sz w:val="18"/>
                <w:szCs w:val="18"/>
                <w:lang w:val="es-ES_tradnl"/>
              </w:rPr>
              <w:t xml:space="preserve">Anexo 5, </w:t>
            </w:r>
          </w:p>
          <w:p w14:paraId="3E66D1BA" w14:textId="77777777" w:rsidR="00B44ACF" w:rsidRPr="007B4944" w:rsidRDefault="00B44ACF" w:rsidP="00B44ACF">
            <w:pPr>
              <w:ind w:left="22"/>
              <w:jc w:val="center"/>
              <w:rPr>
                <w:rFonts w:ascii="Bookman Old Style" w:hAnsi="Bookman Old Style"/>
                <w:b/>
                <w:sz w:val="18"/>
                <w:szCs w:val="18"/>
                <w:lang w:val="es-ES_tradnl"/>
              </w:rPr>
            </w:pPr>
            <w:r w:rsidRPr="007B4944">
              <w:rPr>
                <w:rFonts w:ascii="Bookman Old Style" w:hAnsi="Bookman Old Style"/>
                <w:b/>
                <w:sz w:val="18"/>
                <w:szCs w:val="18"/>
                <w:lang w:val="es-ES_tradnl"/>
              </w:rPr>
              <w:t>Res. 202/13 (km)</w:t>
            </w:r>
          </w:p>
        </w:tc>
        <w:tc>
          <w:tcPr>
            <w:tcW w:w="880" w:type="pct"/>
            <w:shd w:val="clear" w:color="auto" w:fill="D9D9D9" w:themeFill="background1" w:themeFillShade="D9"/>
            <w:vAlign w:val="center"/>
          </w:tcPr>
          <w:p w14:paraId="0988ACDB" w14:textId="77777777" w:rsidR="00B44ACF" w:rsidRPr="007B4944" w:rsidRDefault="00B44ACF" w:rsidP="00B44ACF">
            <w:pPr>
              <w:ind w:left="22"/>
              <w:jc w:val="center"/>
              <w:rPr>
                <w:rFonts w:ascii="Bookman Old Style" w:hAnsi="Bookman Old Style"/>
                <w:b/>
                <w:sz w:val="18"/>
                <w:szCs w:val="18"/>
                <w:lang w:val="es-ES_tradnl"/>
              </w:rPr>
            </w:pPr>
            <w:r w:rsidRPr="007B4944">
              <w:rPr>
                <w:rFonts w:ascii="Bookman Old Style" w:hAnsi="Bookman Old Style"/>
                <w:b/>
                <w:sz w:val="18"/>
                <w:szCs w:val="18"/>
                <w:lang w:val="es-ES_tradnl"/>
              </w:rPr>
              <w:t>Aprobada</w:t>
            </w:r>
          </w:p>
          <w:p w14:paraId="5B5C10B1" w14:textId="77777777" w:rsidR="00B44ACF" w:rsidRPr="007B4944" w:rsidRDefault="00B44ACF" w:rsidP="00B44ACF">
            <w:pPr>
              <w:ind w:left="22"/>
              <w:jc w:val="center"/>
              <w:rPr>
                <w:rFonts w:ascii="Bookman Old Style" w:hAnsi="Bookman Old Style"/>
                <w:b/>
                <w:sz w:val="18"/>
                <w:szCs w:val="18"/>
                <w:lang w:val="es-ES_tradnl"/>
              </w:rPr>
            </w:pPr>
            <w:r w:rsidRPr="007B4944">
              <w:rPr>
                <w:rFonts w:ascii="Bookman Old Style" w:hAnsi="Bookman Old Style"/>
                <w:b/>
                <w:sz w:val="18"/>
                <w:szCs w:val="18"/>
                <w:lang w:val="es-ES_tradnl"/>
              </w:rPr>
              <w:t>Res. 027/18 (km)</w:t>
            </w:r>
          </w:p>
        </w:tc>
        <w:tc>
          <w:tcPr>
            <w:tcW w:w="642" w:type="pct"/>
            <w:shd w:val="clear" w:color="auto" w:fill="D9D9D9" w:themeFill="background1" w:themeFillShade="D9"/>
            <w:vAlign w:val="center"/>
          </w:tcPr>
          <w:p w14:paraId="75F94CE9" w14:textId="77777777" w:rsidR="00B44ACF" w:rsidRPr="007B4944" w:rsidRDefault="00B44ACF" w:rsidP="00B44ACF">
            <w:pPr>
              <w:ind w:left="22"/>
              <w:jc w:val="center"/>
              <w:rPr>
                <w:rFonts w:ascii="Bookman Old Style" w:hAnsi="Bookman Old Style"/>
                <w:b/>
                <w:sz w:val="18"/>
                <w:szCs w:val="18"/>
                <w:lang w:val="es-ES_tradnl"/>
              </w:rPr>
            </w:pPr>
            <w:r w:rsidRPr="007B4944">
              <w:rPr>
                <w:rFonts w:ascii="Bookman Old Style" w:hAnsi="Bookman Old Style"/>
                <w:b/>
                <w:sz w:val="18"/>
                <w:szCs w:val="18"/>
                <w:lang w:val="es-ES_tradnl"/>
              </w:rPr>
              <w:t>Diferencia (km)</w:t>
            </w:r>
          </w:p>
        </w:tc>
        <w:tc>
          <w:tcPr>
            <w:tcW w:w="885" w:type="pct"/>
            <w:shd w:val="clear" w:color="auto" w:fill="D9D9D9" w:themeFill="background1" w:themeFillShade="D9"/>
            <w:vAlign w:val="center"/>
          </w:tcPr>
          <w:p w14:paraId="78087516" w14:textId="77777777" w:rsidR="00B44ACF" w:rsidRPr="007B4944" w:rsidRDefault="00B44ACF" w:rsidP="00B44ACF">
            <w:pPr>
              <w:ind w:left="22"/>
              <w:jc w:val="center"/>
              <w:rPr>
                <w:rFonts w:ascii="Bookman Old Style" w:hAnsi="Bookman Old Style"/>
                <w:b/>
                <w:sz w:val="18"/>
                <w:szCs w:val="18"/>
                <w:lang w:val="es-ES_tradnl"/>
              </w:rPr>
            </w:pPr>
            <w:r>
              <w:rPr>
                <w:rFonts w:ascii="Bookman Old Style" w:hAnsi="Bookman Old Style"/>
                <w:b/>
                <w:sz w:val="18"/>
                <w:szCs w:val="18"/>
                <w:lang w:val="es-ES_tradnl"/>
              </w:rPr>
              <w:t>Costo total (Diferencia x Costo unitario)</w:t>
            </w:r>
          </w:p>
        </w:tc>
      </w:tr>
      <w:tr w:rsidR="00EF07F2" w:rsidRPr="008A165F" w14:paraId="061B33F7" w14:textId="77777777" w:rsidTr="00EF07F2">
        <w:trPr>
          <w:trHeight w:val="227"/>
        </w:trPr>
        <w:tc>
          <w:tcPr>
            <w:tcW w:w="844" w:type="pct"/>
            <w:shd w:val="clear" w:color="auto" w:fill="auto"/>
            <w:vAlign w:val="center"/>
          </w:tcPr>
          <w:p w14:paraId="21D159FC" w14:textId="77777777" w:rsidR="00B44ACF" w:rsidRPr="007B4944" w:rsidRDefault="00B44ACF" w:rsidP="00B44ACF">
            <w:pPr>
              <w:pStyle w:val="NormalWeb"/>
              <w:spacing w:before="0" w:beforeAutospacing="0" w:after="0" w:afterAutospacing="0"/>
              <w:jc w:val="left"/>
              <w:textAlignment w:val="bottom"/>
              <w:rPr>
                <w:color w:val="auto"/>
                <w:sz w:val="18"/>
                <w:szCs w:val="18"/>
                <w:lang w:val="es-ES_tradnl" w:eastAsia="es-ES"/>
              </w:rPr>
            </w:pPr>
            <w:r w:rsidRPr="007B4944">
              <w:rPr>
                <w:color w:val="auto"/>
                <w:sz w:val="18"/>
                <w:szCs w:val="18"/>
                <w:lang w:val="es-ES_tradnl" w:eastAsia="es-ES"/>
              </w:rPr>
              <w:t>TPE1CO</w:t>
            </w:r>
          </w:p>
        </w:tc>
        <w:tc>
          <w:tcPr>
            <w:tcW w:w="868" w:type="pct"/>
            <w:vAlign w:val="center"/>
          </w:tcPr>
          <w:p w14:paraId="7775D982" w14:textId="77777777" w:rsidR="00B44ACF" w:rsidRPr="007B4944" w:rsidRDefault="00B44ACF" w:rsidP="00B44ACF">
            <w:pPr>
              <w:pStyle w:val="NormalWeb"/>
              <w:spacing w:before="0" w:beforeAutospacing="0" w:after="0" w:afterAutospacing="0"/>
              <w:jc w:val="center"/>
              <w:textAlignment w:val="bottom"/>
              <w:rPr>
                <w:color w:val="auto"/>
                <w:sz w:val="18"/>
                <w:szCs w:val="18"/>
                <w:lang w:val="es-ES_tradnl" w:eastAsia="es-ES"/>
              </w:rPr>
            </w:pPr>
            <w:r w:rsidRPr="00BE0A4F">
              <w:rPr>
                <w:sz w:val="18"/>
                <w:szCs w:val="18"/>
              </w:rPr>
              <w:t>38.507.475</w:t>
            </w:r>
          </w:p>
        </w:tc>
        <w:tc>
          <w:tcPr>
            <w:tcW w:w="880" w:type="pct"/>
            <w:vAlign w:val="center"/>
          </w:tcPr>
          <w:p w14:paraId="7F263C92" w14:textId="77777777" w:rsidR="00B44ACF" w:rsidRPr="007B4944" w:rsidRDefault="00B44ACF" w:rsidP="00B44ACF">
            <w:pPr>
              <w:pStyle w:val="NormalWeb"/>
              <w:spacing w:before="0" w:beforeAutospacing="0" w:after="0" w:afterAutospacing="0"/>
              <w:jc w:val="center"/>
              <w:textAlignment w:val="bottom"/>
              <w:rPr>
                <w:color w:val="auto"/>
                <w:sz w:val="18"/>
                <w:szCs w:val="18"/>
                <w:lang w:val="es-ES_tradnl" w:eastAsia="es-ES"/>
              </w:rPr>
            </w:pPr>
            <w:r w:rsidRPr="007B4944">
              <w:rPr>
                <w:color w:val="auto"/>
                <w:sz w:val="18"/>
                <w:szCs w:val="18"/>
                <w:lang w:val="es-ES_tradnl" w:eastAsia="es-ES"/>
              </w:rPr>
              <w:t>26,7</w:t>
            </w:r>
          </w:p>
        </w:tc>
        <w:tc>
          <w:tcPr>
            <w:tcW w:w="880" w:type="pct"/>
            <w:vAlign w:val="center"/>
          </w:tcPr>
          <w:p w14:paraId="78EEA00D" w14:textId="77777777" w:rsidR="00B44ACF" w:rsidRPr="007B4944" w:rsidRDefault="00B44ACF" w:rsidP="00B44ACF">
            <w:pPr>
              <w:pStyle w:val="NormalWeb"/>
              <w:spacing w:before="0" w:beforeAutospacing="0" w:after="0" w:afterAutospacing="0"/>
              <w:jc w:val="center"/>
              <w:textAlignment w:val="bottom"/>
              <w:rPr>
                <w:color w:val="auto"/>
                <w:sz w:val="18"/>
                <w:szCs w:val="18"/>
                <w:lang w:val="es-ES_tradnl" w:eastAsia="es-ES"/>
              </w:rPr>
            </w:pPr>
            <w:r w:rsidRPr="007B4944">
              <w:rPr>
                <w:color w:val="auto"/>
                <w:sz w:val="18"/>
                <w:szCs w:val="18"/>
                <w:lang w:val="es-ES_tradnl" w:eastAsia="es-ES"/>
              </w:rPr>
              <w:t>21,6</w:t>
            </w:r>
          </w:p>
        </w:tc>
        <w:tc>
          <w:tcPr>
            <w:tcW w:w="642" w:type="pct"/>
            <w:vAlign w:val="center"/>
          </w:tcPr>
          <w:p w14:paraId="757F0C07" w14:textId="77777777" w:rsidR="00B44ACF" w:rsidRPr="007B4944" w:rsidRDefault="00B44ACF" w:rsidP="00B44ACF">
            <w:pPr>
              <w:pStyle w:val="NormalWeb"/>
              <w:spacing w:before="0" w:beforeAutospacing="0" w:after="0" w:afterAutospacing="0"/>
              <w:jc w:val="center"/>
              <w:textAlignment w:val="bottom"/>
              <w:rPr>
                <w:color w:val="auto"/>
                <w:sz w:val="18"/>
                <w:szCs w:val="18"/>
                <w:lang w:val="es-ES_tradnl" w:eastAsia="es-ES"/>
              </w:rPr>
            </w:pPr>
            <w:r w:rsidRPr="007B4944">
              <w:rPr>
                <w:color w:val="auto"/>
                <w:sz w:val="18"/>
                <w:szCs w:val="18"/>
                <w:lang w:val="es-ES_tradnl" w:eastAsia="es-ES"/>
              </w:rPr>
              <w:t>5,1</w:t>
            </w:r>
          </w:p>
        </w:tc>
        <w:tc>
          <w:tcPr>
            <w:tcW w:w="885" w:type="pct"/>
            <w:vAlign w:val="center"/>
          </w:tcPr>
          <w:p w14:paraId="25FD6BBF" w14:textId="77777777" w:rsidR="00B44ACF" w:rsidRPr="002B1BF3" w:rsidRDefault="00B44ACF" w:rsidP="00B44ACF">
            <w:pPr>
              <w:ind w:left="22" w:hanging="22"/>
              <w:jc w:val="center"/>
              <w:rPr>
                <w:rFonts w:ascii="Bookman Old Style" w:hAnsi="Bookman Old Style"/>
                <w:color w:val="000000"/>
                <w:sz w:val="18"/>
                <w:szCs w:val="18"/>
                <w:lang w:val="es-CO" w:eastAsia="es-CO"/>
              </w:rPr>
            </w:pPr>
            <w:r w:rsidRPr="002B1BF3">
              <w:rPr>
                <w:rFonts w:ascii="Bookman Old Style" w:hAnsi="Bookman Old Style"/>
                <w:color w:val="000000"/>
                <w:sz w:val="18"/>
                <w:szCs w:val="18"/>
                <w:lang w:val="es-CO" w:eastAsia="es-CO"/>
              </w:rPr>
              <w:t>196</w:t>
            </w:r>
            <w:r>
              <w:rPr>
                <w:rFonts w:ascii="Bookman Old Style" w:hAnsi="Bookman Old Style"/>
                <w:color w:val="000000"/>
                <w:sz w:val="18"/>
                <w:szCs w:val="18"/>
                <w:lang w:val="es-CO" w:eastAsia="es-CO"/>
              </w:rPr>
              <w:t>.</w:t>
            </w:r>
            <w:r w:rsidRPr="002B1BF3">
              <w:rPr>
                <w:rFonts w:ascii="Bookman Old Style" w:hAnsi="Bookman Old Style"/>
                <w:color w:val="000000"/>
                <w:sz w:val="18"/>
                <w:szCs w:val="18"/>
                <w:lang w:val="es-CO" w:eastAsia="es-CO"/>
              </w:rPr>
              <w:t>388</w:t>
            </w:r>
            <w:r>
              <w:rPr>
                <w:rFonts w:ascii="Bookman Old Style" w:hAnsi="Bookman Old Style"/>
                <w:color w:val="000000"/>
                <w:sz w:val="18"/>
                <w:szCs w:val="18"/>
                <w:lang w:val="es-CO" w:eastAsia="es-CO"/>
              </w:rPr>
              <w:t>.</w:t>
            </w:r>
            <w:r w:rsidRPr="002B1BF3">
              <w:rPr>
                <w:rFonts w:ascii="Bookman Old Style" w:hAnsi="Bookman Old Style"/>
                <w:color w:val="000000"/>
                <w:sz w:val="18"/>
                <w:szCs w:val="18"/>
                <w:lang w:val="es-CO" w:eastAsia="es-CO"/>
              </w:rPr>
              <w:t>123</w:t>
            </w:r>
          </w:p>
        </w:tc>
      </w:tr>
      <w:tr w:rsidR="00EF07F2" w:rsidRPr="008A165F" w14:paraId="47C56162" w14:textId="77777777" w:rsidTr="00EF07F2">
        <w:trPr>
          <w:trHeight w:val="227"/>
        </w:trPr>
        <w:tc>
          <w:tcPr>
            <w:tcW w:w="844" w:type="pct"/>
            <w:shd w:val="clear" w:color="auto" w:fill="auto"/>
            <w:vAlign w:val="center"/>
          </w:tcPr>
          <w:p w14:paraId="5CA53956" w14:textId="77777777" w:rsidR="00B44ACF" w:rsidRPr="007B4944" w:rsidRDefault="00B44ACF" w:rsidP="00B44ACF">
            <w:pPr>
              <w:ind w:left="22" w:hanging="22"/>
              <w:rPr>
                <w:rFonts w:ascii="Bookman Old Style" w:hAnsi="Bookman Old Style"/>
                <w:sz w:val="18"/>
                <w:szCs w:val="18"/>
                <w:lang w:val="es-ES_tradnl"/>
              </w:rPr>
            </w:pPr>
            <w:r w:rsidRPr="007B4944">
              <w:rPr>
                <w:rFonts w:ascii="Bookman Old Style" w:hAnsi="Bookman Old Style"/>
                <w:sz w:val="18"/>
                <w:szCs w:val="18"/>
                <w:lang w:val="es-ES_tradnl"/>
              </w:rPr>
              <w:t>TPE1/2CO</w:t>
            </w:r>
          </w:p>
        </w:tc>
        <w:tc>
          <w:tcPr>
            <w:tcW w:w="868" w:type="pct"/>
            <w:vAlign w:val="center"/>
          </w:tcPr>
          <w:p w14:paraId="49957155" w14:textId="77777777" w:rsidR="00B44ACF" w:rsidRPr="007403EC" w:rsidRDefault="00B44ACF" w:rsidP="00B44ACF">
            <w:pPr>
              <w:pStyle w:val="NormalWeb"/>
              <w:spacing w:before="0" w:beforeAutospacing="0" w:after="0" w:afterAutospacing="0"/>
              <w:jc w:val="center"/>
              <w:textAlignment w:val="bottom"/>
              <w:rPr>
                <w:sz w:val="18"/>
                <w:szCs w:val="18"/>
              </w:rPr>
            </w:pPr>
            <w:r w:rsidRPr="00BE0A4F">
              <w:rPr>
                <w:sz w:val="18"/>
                <w:szCs w:val="18"/>
              </w:rPr>
              <w:t>16.929.864</w:t>
            </w:r>
          </w:p>
        </w:tc>
        <w:tc>
          <w:tcPr>
            <w:tcW w:w="880" w:type="pct"/>
            <w:vAlign w:val="center"/>
          </w:tcPr>
          <w:p w14:paraId="0529A299"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689,8</w:t>
            </w:r>
          </w:p>
        </w:tc>
        <w:tc>
          <w:tcPr>
            <w:tcW w:w="880" w:type="pct"/>
            <w:vAlign w:val="center"/>
          </w:tcPr>
          <w:p w14:paraId="294F7D75"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657,2</w:t>
            </w:r>
          </w:p>
        </w:tc>
        <w:tc>
          <w:tcPr>
            <w:tcW w:w="642" w:type="pct"/>
            <w:vAlign w:val="center"/>
          </w:tcPr>
          <w:p w14:paraId="698CBBFB"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32,7</w:t>
            </w:r>
          </w:p>
        </w:tc>
        <w:tc>
          <w:tcPr>
            <w:tcW w:w="885" w:type="pct"/>
            <w:vAlign w:val="center"/>
          </w:tcPr>
          <w:p w14:paraId="57147B27" w14:textId="77777777" w:rsidR="00B44ACF" w:rsidRPr="002B1BF3" w:rsidRDefault="00B44ACF" w:rsidP="00B44ACF">
            <w:pPr>
              <w:ind w:left="22" w:hanging="22"/>
              <w:jc w:val="center"/>
              <w:rPr>
                <w:rFonts w:ascii="Bookman Old Style" w:hAnsi="Bookman Old Style"/>
                <w:color w:val="000000"/>
                <w:sz w:val="18"/>
                <w:szCs w:val="18"/>
                <w:lang w:val="es-CO" w:eastAsia="es-CO"/>
              </w:rPr>
            </w:pPr>
            <w:r w:rsidRPr="002B1BF3">
              <w:rPr>
                <w:rFonts w:ascii="Bookman Old Style" w:hAnsi="Bookman Old Style"/>
                <w:color w:val="000000"/>
                <w:sz w:val="18"/>
                <w:szCs w:val="18"/>
                <w:lang w:val="es-CO" w:eastAsia="es-CO"/>
              </w:rPr>
              <w:t>553</w:t>
            </w:r>
            <w:r>
              <w:rPr>
                <w:rFonts w:ascii="Bookman Old Style" w:hAnsi="Bookman Old Style"/>
                <w:color w:val="000000"/>
                <w:sz w:val="18"/>
                <w:szCs w:val="18"/>
                <w:lang w:val="es-CO" w:eastAsia="es-CO"/>
              </w:rPr>
              <w:t>.</w:t>
            </w:r>
            <w:r w:rsidRPr="002B1BF3">
              <w:rPr>
                <w:rFonts w:ascii="Bookman Old Style" w:hAnsi="Bookman Old Style"/>
                <w:color w:val="000000"/>
                <w:sz w:val="18"/>
                <w:szCs w:val="18"/>
                <w:lang w:val="es-CO" w:eastAsia="es-CO"/>
              </w:rPr>
              <w:t>606</w:t>
            </w:r>
            <w:r>
              <w:rPr>
                <w:rFonts w:ascii="Bookman Old Style" w:hAnsi="Bookman Old Style"/>
                <w:color w:val="000000"/>
                <w:sz w:val="18"/>
                <w:szCs w:val="18"/>
                <w:lang w:val="es-CO" w:eastAsia="es-CO"/>
              </w:rPr>
              <w:t>.</w:t>
            </w:r>
            <w:r w:rsidRPr="002B1BF3">
              <w:rPr>
                <w:rFonts w:ascii="Bookman Old Style" w:hAnsi="Bookman Old Style"/>
                <w:color w:val="000000"/>
                <w:sz w:val="18"/>
                <w:szCs w:val="18"/>
                <w:lang w:val="es-CO" w:eastAsia="es-CO"/>
              </w:rPr>
              <w:t>553</w:t>
            </w:r>
          </w:p>
        </w:tc>
      </w:tr>
      <w:tr w:rsidR="00EF07F2" w:rsidRPr="008A165F" w14:paraId="00ED2035" w14:textId="77777777" w:rsidTr="00EF07F2">
        <w:trPr>
          <w:trHeight w:val="227"/>
        </w:trPr>
        <w:tc>
          <w:tcPr>
            <w:tcW w:w="844" w:type="pct"/>
            <w:shd w:val="clear" w:color="auto" w:fill="auto"/>
            <w:vAlign w:val="center"/>
          </w:tcPr>
          <w:p w14:paraId="7A35BAC0" w14:textId="77777777" w:rsidR="00B44ACF" w:rsidRPr="007B4944" w:rsidRDefault="00B44ACF" w:rsidP="00B44ACF">
            <w:pPr>
              <w:ind w:left="22" w:hanging="22"/>
              <w:rPr>
                <w:rFonts w:ascii="Bookman Old Style" w:hAnsi="Bookman Old Style"/>
                <w:sz w:val="18"/>
                <w:szCs w:val="18"/>
                <w:lang w:val="es-ES_tradnl"/>
              </w:rPr>
            </w:pPr>
            <w:r w:rsidRPr="007B4944">
              <w:rPr>
                <w:rFonts w:ascii="Bookman Old Style" w:hAnsi="Bookman Old Style"/>
                <w:sz w:val="18"/>
                <w:szCs w:val="18"/>
                <w:lang w:val="es-ES_tradnl"/>
              </w:rPr>
              <w:t>TPE2AS</w:t>
            </w:r>
          </w:p>
        </w:tc>
        <w:tc>
          <w:tcPr>
            <w:tcW w:w="868" w:type="pct"/>
            <w:vAlign w:val="center"/>
          </w:tcPr>
          <w:p w14:paraId="7A4A42E5" w14:textId="77777777" w:rsidR="00B44ACF" w:rsidRPr="00BE0A4F" w:rsidRDefault="00B44ACF" w:rsidP="00B44ACF">
            <w:pPr>
              <w:pStyle w:val="NormalWeb"/>
              <w:spacing w:before="0" w:beforeAutospacing="0" w:after="0" w:afterAutospacing="0"/>
              <w:jc w:val="center"/>
              <w:textAlignment w:val="bottom"/>
              <w:rPr>
                <w:sz w:val="18"/>
                <w:szCs w:val="18"/>
              </w:rPr>
            </w:pPr>
            <w:r w:rsidRPr="00BE0A4F">
              <w:rPr>
                <w:sz w:val="18"/>
                <w:szCs w:val="18"/>
              </w:rPr>
              <w:t>38.507.475</w:t>
            </w:r>
          </w:p>
        </w:tc>
        <w:tc>
          <w:tcPr>
            <w:tcW w:w="880" w:type="pct"/>
            <w:vAlign w:val="center"/>
          </w:tcPr>
          <w:p w14:paraId="0DF541CE"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41,0</w:t>
            </w:r>
          </w:p>
        </w:tc>
        <w:tc>
          <w:tcPr>
            <w:tcW w:w="880" w:type="pct"/>
            <w:vAlign w:val="center"/>
          </w:tcPr>
          <w:p w14:paraId="14EA43FF"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40,5</w:t>
            </w:r>
          </w:p>
        </w:tc>
        <w:tc>
          <w:tcPr>
            <w:tcW w:w="642" w:type="pct"/>
            <w:vAlign w:val="center"/>
          </w:tcPr>
          <w:p w14:paraId="7A3F3E0A"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0,7</w:t>
            </w:r>
          </w:p>
        </w:tc>
        <w:tc>
          <w:tcPr>
            <w:tcW w:w="885" w:type="pct"/>
            <w:vAlign w:val="center"/>
          </w:tcPr>
          <w:p w14:paraId="673BEC82" w14:textId="77777777" w:rsidR="00B44ACF" w:rsidRPr="002B1BF3" w:rsidRDefault="00B44ACF" w:rsidP="00B44ACF">
            <w:pPr>
              <w:ind w:left="22" w:hanging="22"/>
              <w:jc w:val="center"/>
              <w:rPr>
                <w:rFonts w:ascii="Bookman Old Style" w:hAnsi="Bookman Old Style"/>
                <w:color w:val="000000"/>
                <w:sz w:val="18"/>
                <w:szCs w:val="18"/>
                <w:lang w:val="es-CO" w:eastAsia="es-CO"/>
              </w:rPr>
            </w:pPr>
            <w:r w:rsidRPr="002B1BF3">
              <w:rPr>
                <w:rFonts w:ascii="Bookman Old Style" w:hAnsi="Bookman Old Style"/>
                <w:color w:val="000000"/>
                <w:sz w:val="18"/>
                <w:szCs w:val="18"/>
                <w:lang w:val="es-CO" w:eastAsia="es-CO"/>
              </w:rPr>
              <w:t>26</w:t>
            </w:r>
            <w:r>
              <w:rPr>
                <w:rFonts w:ascii="Bookman Old Style" w:hAnsi="Bookman Old Style"/>
                <w:color w:val="000000"/>
                <w:sz w:val="18"/>
                <w:szCs w:val="18"/>
                <w:lang w:val="es-CO" w:eastAsia="es-CO"/>
              </w:rPr>
              <w:t>.</w:t>
            </w:r>
            <w:r w:rsidRPr="002B1BF3">
              <w:rPr>
                <w:rFonts w:ascii="Bookman Old Style" w:hAnsi="Bookman Old Style"/>
                <w:color w:val="000000"/>
                <w:sz w:val="18"/>
                <w:szCs w:val="18"/>
                <w:lang w:val="es-CO" w:eastAsia="es-CO"/>
              </w:rPr>
              <w:t>955</w:t>
            </w:r>
            <w:r>
              <w:rPr>
                <w:rFonts w:ascii="Bookman Old Style" w:hAnsi="Bookman Old Style"/>
                <w:color w:val="000000"/>
                <w:sz w:val="18"/>
                <w:szCs w:val="18"/>
                <w:lang w:val="es-CO" w:eastAsia="es-CO"/>
              </w:rPr>
              <w:t>.</w:t>
            </w:r>
            <w:r w:rsidRPr="002B1BF3">
              <w:rPr>
                <w:rFonts w:ascii="Bookman Old Style" w:hAnsi="Bookman Old Style"/>
                <w:color w:val="000000"/>
                <w:sz w:val="18"/>
                <w:szCs w:val="18"/>
                <w:lang w:val="es-CO" w:eastAsia="es-CO"/>
              </w:rPr>
              <w:t>233</w:t>
            </w:r>
          </w:p>
        </w:tc>
      </w:tr>
      <w:tr w:rsidR="00EF07F2" w:rsidRPr="008A165F" w14:paraId="0AF4F8A0" w14:textId="77777777" w:rsidTr="00EF07F2">
        <w:trPr>
          <w:trHeight w:val="227"/>
        </w:trPr>
        <w:tc>
          <w:tcPr>
            <w:tcW w:w="844" w:type="pct"/>
            <w:shd w:val="clear" w:color="auto" w:fill="auto"/>
            <w:vAlign w:val="center"/>
          </w:tcPr>
          <w:p w14:paraId="23F930BA" w14:textId="77777777" w:rsidR="00B44ACF" w:rsidRPr="007B4944" w:rsidRDefault="00B44ACF" w:rsidP="00B44ACF">
            <w:pPr>
              <w:ind w:left="22" w:hanging="22"/>
              <w:rPr>
                <w:rFonts w:ascii="Bookman Old Style" w:hAnsi="Bookman Old Style"/>
                <w:sz w:val="18"/>
                <w:szCs w:val="18"/>
                <w:lang w:val="es-ES_tradnl"/>
              </w:rPr>
            </w:pPr>
            <w:r w:rsidRPr="007B4944">
              <w:rPr>
                <w:rFonts w:ascii="Bookman Old Style" w:hAnsi="Bookman Old Style"/>
                <w:sz w:val="18"/>
                <w:szCs w:val="18"/>
                <w:lang w:val="es-ES_tradnl"/>
              </w:rPr>
              <w:t>TPE3AS</w:t>
            </w:r>
          </w:p>
        </w:tc>
        <w:tc>
          <w:tcPr>
            <w:tcW w:w="868" w:type="pct"/>
            <w:vAlign w:val="center"/>
          </w:tcPr>
          <w:p w14:paraId="29CF0E23" w14:textId="77777777" w:rsidR="00B44ACF" w:rsidRPr="00BE0A4F" w:rsidRDefault="00B44ACF" w:rsidP="00B44ACF">
            <w:pPr>
              <w:pStyle w:val="NormalWeb"/>
              <w:spacing w:before="0" w:beforeAutospacing="0" w:after="0" w:afterAutospacing="0"/>
              <w:jc w:val="center"/>
              <w:textAlignment w:val="bottom"/>
              <w:rPr>
                <w:sz w:val="18"/>
                <w:szCs w:val="18"/>
              </w:rPr>
            </w:pPr>
            <w:r w:rsidRPr="00BE0A4F">
              <w:rPr>
                <w:sz w:val="18"/>
                <w:szCs w:val="18"/>
              </w:rPr>
              <w:t>38.507.475</w:t>
            </w:r>
          </w:p>
        </w:tc>
        <w:tc>
          <w:tcPr>
            <w:tcW w:w="880" w:type="pct"/>
            <w:vAlign w:val="center"/>
          </w:tcPr>
          <w:p w14:paraId="075E2D65"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10,4</w:t>
            </w:r>
          </w:p>
        </w:tc>
        <w:tc>
          <w:tcPr>
            <w:tcW w:w="880" w:type="pct"/>
            <w:vAlign w:val="center"/>
          </w:tcPr>
          <w:p w14:paraId="43004143"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10,4</w:t>
            </w:r>
          </w:p>
        </w:tc>
        <w:tc>
          <w:tcPr>
            <w:tcW w:w="642" w:type="pct"/>
            <w:vAlign w:val="center"/>
          </w:tcPr>
          <w:p w14:paraId="7BD4870F"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0,2</w:t>
            </w:r>
          </w:p>
        </w:tc>
        <w:tc>
          <w:tcPr>
            <w:tcW w:w="885" w:type="pct"/>
            <w:vAlign w:val="center"/>
          </w:tcPr>
          <w:p w14:paraId="234E3932" w14:textId="77777777" w:rsidR="00B44ACF" w:rsidRPr="002B1BF3" w:rsidRDefault="00B44ACF" w:rsidP="00B44ACF">
            <w:pPr>
              <w:ind w:left="22" w:hanging="22"/>
              <w:jc w:val="center"/>
              <w:rPr>
                <w:rFonts w:ascii="Bookman Old Style" w:hAnsi="Bookman Old Style"/>
                <w:color w:val="000000"/>
                <w:sz w:val="18"/>
                <w:szCs w:val="18"/>
                <w:lang w:val="es-CO" w:eastAsia="es-CO"/>
              </w:rPr>
            </w:pPr>
            <w:r w:rsidRPr="002B1BF3">
              <w:rPr>
                <w:rFonts w:ascii="Bookman Old Style" w:hAnsi="Bookman Old Style"/>
                <w:color w:val="000000"/>
                <w:sz w:val="18"/>
                <w:szCs w:val="18"/>
                <w:lang w:val="es-CO" w:eastAsia="es-CO"/>
              </w:rPr>
              <w:t>7</w:t>
            </w:r>
            <w:r>
              <w:rPr>
                <w:rFonts w:ascii="Bookman Old Style" w:hAnsi="Bookman Old Style"/>
                <w:color w:val="000000"/>
                <w:sz w:val="18"/>
                <w:szCs w:val="18"/>
                <w:lang w:val="es-CO" w:eastAsia="es-CO"/>
              </w:rPr>
              <w:t>.</w:t>
            </w:r>
            <w:r w:rsidRPr="002B1BF3">
              <w:rPr>
                <w:rFonts w:ascii="Bookman Old Style" w:hAnsi="Bookman Old Style"/>
                <w:color w:val="000000"/>
                <w:sz w:val="18"/>
                <w:szCs w:val="18"/>
                <w:lang w:val="es-CO" w:eastAsia="es-CO"/>
              </w:rPr>
              <w:t>701</w:t>
            </w:r>
            <w:r>
              <w:rPr>
                <w:rFonts w:ascii="Bookman Old Style" w:hAnsi="Bookman Old Style"/>
                <w:color w:val="000000"/>
                <w:sz w:val="18"/>
                <w:szCs w:val="18"/>
                <w:lang w:val="es-CO" w:eastAsia="es-CO"/>
              </w:rPr>
              <w:t>.</w:t>
            </w:r>
            <w:r w:rsidRPr="002B1BF3">
              <w:rPr>
                <w:rFonts w:ascii="Bookman Old Style" w:hAnsi="Bookman Old Style"/>
                <w:color w:val="000000"/>
                <w:sz w:val="18"/>
                <w:szCs w:val="18"/>
                <w:lang w:val="es-CO" w:eastAsia="es-CO"/>
              </w:rPr>
              <w:t>495</w:t>
            </w:r>
          </w:p>
        </w:tc>
      </w:tr>
      <w:tr w:rsidR="00EF07F2" w:rsidRPr="008A165F" w14:paraId="4E86A9C6" w14:textId="77777777" w:rsidTr="00EF07F2">
        <w:trPr>
          <w:trHeight w:val="227"/>
        </w:trPr>
        <w:tc>
          <w:tcPr>
            <w:tcW w:w="844" w:type="pct"/>
            <w:tcBorders>
              <w:bottom w:val="single" w:sz="4" w:space="0" w:color="auto"/>
            </w:tcBorders>
            <w:shd w:val="clear" w:color="auto" w:fill="auto"/>
            <w:vAlign w:val="center"/>
          </w:tcPr>
          <w:p w14:paraId="72F2D435" w14:textId="77777777" w:rsidR="00B44ACF" w:rsidRPr="007B4944" w:rsidRDefault="00B44ACF" w:rsidP="00B44ACF">
            <w:pPr>
              <w:ind w:left="22" w:hanging="22"/>
              <w:rPr>
                <w:rFonts w:ascii="Bookman Old Style" w:hAnsi="Bookman Old Style"/>
                <w:sz w:val="18"/>
                <w:szCs w:val="18"/>
                <w:lang w:val="es-ES_tradnl"/>
              </w:rPr>
            </w:pPr>
            <w:r w:rsidRPr="007B4944">
              <w:rPr>
                <w:rFonts w:ascii="Bookman Old Style" w:hAnsi="Bookman Old Style"/>
                <w:sz w:val="18"/>
                <w:szCs w:val="18"/>
                <w:lang w:val="es-ES_tradnl"/>
              </w:rPr>
              <w:t>TPE3/4CO</w:t>
            </w:r>
          </w:p>
        </w:tc>
        <w:tc>
          <w:tcPr>
            <w:tcW w:w="868" w:type="pct"/>
            <w:vAlign w:val="center"/>
          </w:tcPr>
          <w:p w14:paraId="68C3FD65" w14:textId="77777777" w:rsidR="00B44ACF" w:rsidRPr="007403EC" w:rsidRDefault="00B44ACF" w:rsidP="00B44ACF">
            <w:pPr>
              <w:pStyle w:val="NormalWeb"/>
              <w:spacing w:before="0" w:beforeAutospacing="0" w:after="0" w:afterAutospacing="0"/>
              <w:jc w:val="center"/>
              <w:textAlignment w:val="bottom"/>
              <w:rPr>
                <w:sz w:val="18"/>
                <w:szCs w:val="18"/>
              </w:rPr>
            </w:pPr>
            <w:r w:rsidRPr="00BE0A4F">
              <w:rPr>
                <w:sz w:val="18"/>
                <w:szCs w:val="18"/>
              </w:rPr>
              <w:t>16.929.864</w:t>
            </w:r>
          </w:p>
        </w:tc>
        <w:tc>
          <w:tcPr>
            <w:tcW w:w="880" w:type="pct"/>
            <w:vAlign w:val="center"/>
          </w:tcPr>
          <w:p w14:paraId="41DD0D8B"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142,9</w:t>
            </w:r>
          </w:p>
        </w:tc>
        <w:tc>
          <w:tcPr>
            <w:tcW w:w="880" w:type="pct"/>
            <w:vAlign w:val="center"/>
          </w:tcPr>
          <w:p w14:paraId="585D5F04"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142,5</w:t>
            </w:r>
          </w:p>
        </w:tc>
        <w:tc>
          <w:tcPr>
            <w:tcW w:w="642" w:type="pct"/>
            <w:vAlign w:val="center"/>
          </w:tcPr>
          <w:p w14:paraId="11130E46"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0,4</w:t>
            </w:r>
          </w:p>
        </w:tc>
        <w:tc>
          <w:tcPr>
            <w:tcW w:w="885" w:type="pct"/>
            <w:vAlign w:val="center"/>
          </w:tcPr>
          <w:p w14:paraId="23174389" w14:textId="77777777" w:rsidR="00B44ACF" w:rsidRPr="002B1BF3" w:rsidRDefault="00B44ACF" w:rsidP="00B44ACF">
            <w:pPr>
              <w:ind w:left="22" w:hanging="22"/>
              <w:jc w:val="center"/>
              <w:rPr>
                <w:rFonts w:ascii="Bookman Old Style" w:hAnsi="Bookman Old Style"/>
                <w:color w:val="000000"/>
                <w:sz w:val="18"/>
                <w:szCs w:val="18"/>
                <w:lang w:val="es-CO" w:eastAsia="es-CO"/>
              </w:rPr>
            </w:pPr>
            <w:r w:rsidRPr="002B1BF3">
              <w:rPr>
                <w:rFonts w:ascii="Bookman Old Style" w:hAnsi="Bookman Old Style"/>
                <w:color w:val="000000"/>
                <w:sz w:val="18"/>
                <w:szCs w:val="18"/>
                <w:lang w:val="es-CO" w:eastAsia="es-CO"/>
              </w:rPr>
              <w:t>6</w:t>
            </w:r>
            <w:r>
              <w:rPr>
                <w:rFonts w:ascii="Bookman Old Style" w:hAnsi="Bookman Old Style"/>
                <w:color w:val="000000"/>
                <w:sz w:val="18"/>
                <w:szCs w:val="18"/>
                <w:lang w:val="es-CO" w:eastAsia="es-CO"/>
              </w:rPr>
              <w:t>.</w:t>
            </w:r>
            <w:r w:rsidRPr="002B1BF3">
              <w:rPr>
                <w:rFonts w:ascii="Bookman Old Style" w:hAnsi="Bookman Old Style"/>
                <w:color w:val="000000"/>
                <w:sz w:val="18"/>
                <w:szCs w:val="18"/>
                <w:lang w:val="es-CO" w:eastAsia="es-CO"/>
              </w:rPr>
              <w:t>771</w:t>
            </w:r>
            <w:r>
              <w:rPr>
                <w:rFonts w:ascii="Bookman Old Style" w:hAnsi="Bookman Old Style"/>
                <w:color w:val="000000"/>
                <w:sz w:val="18"/>
                <w:szCs w:val="18"/>
                <w:lang w:val="es-CO" w:eastAsia="es-CO"/>
              </w:rPr>
              <w:t>.</w:t>
            </w:r>
            <w:r w:rsidRPr="002B1BF3">
              <w:rPr>
                <w:rFonts w:ascii="Bookman Old Style" w:hAnsi="Bookman Old Style"/>
                <w:color w:val="000000"/>
                <w:sz w:val="18"/>
                <w:szCs w:val="18"/>
                <w:lang w:val="es-CO" w:eastAsia="es-CO"/>
              </w:rPr>
              <w:t>946</w:t>
            </w:r>
          </w:p>
        </w:tc>
      </w:tr>
      <w:tr w:rsidR="00EF07F2" w:rsidRPr="008A165F" w14:paraId="206E57D6" w14:textId="77777777" w:rsidTr="00EF07F2">
        <w:trPr>
          <w:trHeight w:val="227"/>
        </w:trPr>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1F2BE3F4" w14:textId="77777777" w:rsidR="00B44ACF" w:rsidRPr="007B4944" w:rsidRDefault="00B44ACF" w:rsidP="00B44ACF">
            <w:pPr>
              <w:ind w:left="22" w:hanging="22"/>
              <w:rPr>
                <w:rFonts w:ascii="Bookman Old Style" w:hAnsi="Bookman Old Style"/>
                <w:sz w:val="18"/>
                <w:szCs w:val="18"/>
                <w:lang w:val="es-ES_tradnl"/>
              </w:rPr>
            </w:pPr>
            <w:r w:rsidRPr="007B4944">
              <w:rPr>
                <w:rFonts w:ascii="Bookman Old Style" w:hAnsi="Bookman Old Style"/>
                <w:sz w:val="18"/>
                <w:szCs w:val="18"/>
                <w:lang w:val="es-ES_tradnl"/>
              </w:rPr>
              <w:t>TPE4AS</w:t>
            </w:r>
          </w:p>
        </w:tc>
        <w:tc>
          <w:tcPr>
            <w:tcW w:w="868" w:type="pct"/>
            <w:tcBorders>
              <w:left w:val="single" w:sz="4" w:space="0" w:color="auto"/>
              <w:right w:val="single" w:sz="4" w:space="0" w:color="auto"/>
            </w:tcBorders>
            <w:vAlign w:val="center"/>
          </w:tcPr>
          <w:p w14:paraId="71D4C501" w14:textId="77777777" w:rsidR="00B44ACF" w:rsidRPr="00BE0A4F" w:rsidRDefault="00B44ACF" w:rsidP="00B44ACF">
            <w:pPr>
              <w:pStyle w:val="NormalWeb"/>
              <w:spacing w:before="0" w:beforeAutospacing="0" w:after="0" w:afterAutospacing="0"/>
              <w:jc w:val="center"/>
              <w:textAlignment w:val="bottom"/>
              <w:rPr>
                <w:sz w:val="18"/>
                <w:szCs w:val="18"/>
              </w:rPr>
            </w:pPr>
            <w:r w:rsidRPr="00BE0A4F">
              <w:rPr>
                <w:sz w:val="18"/>
                <w:szCs w:val="18"/>
              </w:rPr>
              <w:t>38.507.475</w:t>
            </w:r>
          </w:p>
        </w:tc>
        <w:tc>
          <w:tcPr>
            <w:tcW w:w="880" w:type="pct"/>
            <w:tcBorders>
              <w:left w:val="single" w:sz="4" w:space="0" w:color="auto"/>
            </w:tcBorders>
            <w:vAlign w:val="center"/>
          </w:tcPr>
          <w:p w14:paraId="0A96AE81"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11,9</w:t>
            </w:r>
          </w:p>
        </w:tc>
        <w:tc>
          <w:tcPr>
            <w:tcW w:w="880" w:type="pct"/>
            <w:vAlign w:val="center"/>
          </w:tcPr>
          <w:p w14:paraId="51B13725"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11,9</w:t>
            </w:r>
          </w:p>
        </w:tc>
        <w:tc>
          <w:tcPr>
            <w:tcW w:w="642" w:type="pct"/>
            <w:vAlign w:val="center"/>
          </w:tcPr>
          <w:p w14:paraId="169D6DB2" w14:textId="77777777" w:rsidR="00B44ACF" w:rsidRPr="007B4944" w:rsidRDefault="00B44ACF" w:rsidP="00B44ACF">
            <w:pPr>
              <w:ind w:left="22" w:hanging="22"/>
              <w:jc w:val="center"/>
              <w:rPr>
                <w:rFonts w:ascii="Bookman Old Style" w:hAnsi="Bookman Old Style"/>
                <w:sz w:val="18"/>
                <w:szCs w:val="18"/>
                <w:lang w:val="es-ES_tradnl"/>
              </w:rPr>
            </w:pPr>
            <w:r>
              <w:rPr>
                <w:rFonts w:ascii="Bookman Old Style" w:hAnsi="Bookman Old Style"/>
                <w:sz w:val="18"/>
                <w:szCs w:val="18"/>
                <w:lang w:val="es-ES_tradnl"/>
              </w:rPr>
              <w:t>-</w:t>
            </w:r>
          </w:p>
        </w:tc>
        <w:tc>
          <w:tcPr>
            <w:tcW w:w="885" w:type="pct"/>
            <w:vAlign w:val="center"/>
          </w:tcPr>
          <w:p w14:paraId="308604AE" w14:textId="77777777" w:rsidR="00B44ACF" w:rsidRPr="002B1BF3" w:rsidRDefault="00B44ACF" w:rsidP="00B44ACF">
            <w:pPr>
              <w:ind w:left="22" w:hanging="22"/>
              <w:jc w:val="center"/>
              <w:rPr>
                <w:rFonts w:ascii="Bookman Old Style" w:hAnsi="Bookman Old Style"/>
                <w:color w:val="000000"/>
                <w:sz w:val="18"/>
                <w:szCs w:val="18"/>
                <w:lang w:val="es-CO" w:eastAsia="es-CO"/>
              </w:rPr>
            </w:pPr>
            <w:r>
              <w:rPr>
                <w:rFonts w:ascii="Bookman Old Style" w:hAnsi="Bookman Old Style"/>
                <w:color w:val="000000"/>
                <w:sz w:val="18"/>
                <w:szCs w:val="18"/>
                <w:lang w:val="es-CO" w:eastAsia="es-CO"/>
              </w:rPr>
              <w:t>-</w:t>
            </w:r>
          </w:p>
        </w:tc>
      </w:tr>
      <w:tr w:rsidR="00EF07F2" w:rsidRPr="008A165F" w14:paraId="21356136" w14:textId="77777777" w:rsidTr="00EF07F2">
        <w:trPr>
          <w:trHeight w:val="227"/>
        </w:trPr>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442C714D" w14:textId="77777777" w:rsidR="00B44ACF" w:rsidRPr="007B4944" w:rsidRDefault="00B44ACF" w:rsidP="00B44ACF">
            <w:pPr>
              <w:ind w:left="22" w:hanging="22"/>
              <w:rPr>
                <w:rFonts w:ascii="Bookman Old Style" w:hAnsi="Bookman Old Style"/>
                <w:sz w:val="18"/>
                <w:szCs w:val="18"/>
                <w:lang w:val="es-ES_tradnl"/>
              </w:rPr>
            </w:pPr>
            <w:r w:rsidRPr="007B4944">
              <w:rPr>
                <w:rFonts w:ascii="Bookman Old Style" w:hAnsi="Bookman Old Style"/>
                <w:sz w:val="18"/>
                <w:szCs w:val="18"/>
                <w:lang w:val="es-ES_tradnl"/>
              </w:rPr>
              <w:t>ERP3T3</w:t>
            </w:r>
          </w:p>
        </w:tc>
        <w:tc>
          <w:tcPr>
            <w:tcW w:w="868" w:type="pct"/>
            <w:tcBorders>
              <w:left w:val="single" w:sz="4" w:space="0" w:color="auto"/>
              <w:right w:val="single" w:sz="4" w:space="0" w:color="auto"/>
            </w:tcBorders>
            <w:vAlign w:val="center"/>
          </w:tcPr>
          <w:p w14:paraId="78037887" w14:textId="77777777" w:rsidR="00B44ACF" w:rsidRPr="007403EC" w:rsidRDefault="00B44ACF" w:rsidP="00B44ACF">
            <w:pPr>
              <w:pStyle w:val="NormalWeb"/>
              <w:spacing w:before="0" w:beforeAutospacing="0" w:after="0" w:afterAutospacing="0"/>
              <w:jc w:val="center"/>
              <w:textAlignment w:val="bottom"/>
              <w:rPr>
                <w:sz w:val="18"/>
                <w:szCs w:val="18"/>
              </w:rPr>
            </w:pPr>
            <w:r w:rsidRPr="007403EC">
              <w:rPr>
                <w:sz w:val="18"/>
                <w:szCs w:val="18"/>
              </w:rPr>
              <w:t>85.832.446</w:t>
            </w:r>
          </w:p>
        </w:tc>
        <w:tc>
          <w:tcPr>
            <w:tcW w:w="880" w:type="pct"/>
            <w:tcBorders>
              <w:left w:val="single" w:sz="4" w:space="0" w:color="auto"/>
            </w:tcBorders>
            <w:vAlign w:val="center"/>
          </w:tcPr>
          <w:p w14:paraId="3833BFEA"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2,0</w:t>
            </w:r>
          </w:p>
        </w:tc>
        <w:tc>
          <w:tcPr>
            <w:tcW w:w="880" w:type="pct"/>
            <w:vAlign w:val="center"/>
          </w:tcPr>
          <w:p w14:paraId="34564B00" w14:textId="77777777" w:rsidR="00B44ACF" w:rsidRPr="007B4944" w:rsidRDefault="00B44ACF" w:rsidP="00B44ACF">
            <w:pPr>
              <w:ind w:left="22" w:hanging="22"/>
              <w:jc w:val="center"/>
              <w:rPr>
                <w:rFonts w:ascii="Bookman Old Style" w:hAnsi="Bookman Old Style"/>
                <w:sz w:val="18"/>
                <w:szCs w:val="18"/>
                <w:lang w:val="es-ES_tradnl"/>
              </w:rPr>
            </w:pPr>
            <w:r>
              <w:rPr>
                <w:rFonts w:ascii="Bookman Old Style" w:hAnsi="Bookman Old Style"/>
                <w:sz w:val="18"/>
                <w:szCs w:val="18"/>
                <w:lang w:val="es-ES_tradnl"/>
              </w:rPr>
              <w:t>1</w:t>
            </w:r>
            <w:r w:rsidRPr="007B4944">
              <w:rPr>
                <w:rFonts w:ascii="Bookman Old Style" w:hAnsi="Bookman Old Style"/>
                <w:sz w:val="18"/>
                <w:szCs w:val="18"/>
                <w:lang w:val="es-ES_tradnl"/>
              </w:rPr>
              <w:t>,0</w:t>
            </w:r>
          </w:p>
        </w:tc>
        <w:tc>
          <w:tcPr>
            <w:tcW w:w="642" w:type="pct"/>
            <w:vAlign w:val="center"/>
          </w:tcPr>
          <w:p w14:paraId="6D88146A" w14:textId="77777777" w:rsidR="00B44ACF" w:rsidRPr="007B4944" w:rsidRDefault="00B44ACF" w:rsidP="00B44ACF">
            <w:pPr>
              <w:ind w:left="22" w:hanging="22"/>
              <w:jc w:val="center"/>
              <w:rPr>
                <w:rFonts w:ascii="Bookman Old Style" w:hAnsi="Bookman Old Style"/>
                <w:sz w:val="18"/>
                <w:szCs w:val="18"/>
                <w:lang w:val="es-ES_tradnl"/>
              </w:rPr>
            </w:pPr>
            <w:r>
              <w:rPr>
                <w:rFonts w:ascii="Bookman Old Style" w:hAnsi="Bookman Old Style"/>
                <w:sz w:val="18"/>
                <w:szCs w:val="18"/>
                <w:lang w:val="es-ES_tradnl"/>
              </w:rPr>
              <w:t>1</w:t>
            </w:r>
            <w:r w:rsidRPr="007B4944">
              <w:rPr>
                <w:rFonts w:ascii="Bookman Old Style" w:hAnsi="Bookman Old Style"/>
                <w:sz w:val="18"/>
                <w:szCs w:val="18"/>
                <w:lang w:val="es-ES_tradnl"/>
              </w:rPr>
              <w:t>,0</w:t>
            </w:r>
          </w:p>
        </w:tc>
        <w:tc>
          <w:tcPr>
            <w:tcW w:w="885" w:type="pct"/>
            <w:vAlign w:val="bottom"/>
          </w:tcPr>
          <w:p w14:paraId="18842969" w14:textId="77777777" w:rsidR="00B44ACF" w:rsidRPr="007B4944" w:rsidRDefault="00B44ACF" w:rsidP="00B44ACF">
            <w:pPr>
              <w:ind w:left="22" w:hanging="22"/>
              <w:jc w:val="center"/>
              <w:rPr>
                <w:rFonts w:ascii="Bookman Old Style" w:hAnsi="Bookman Old Style"/>
                <w:b/>
                <w:sz w:val="18"/>
                <w:szCs w:val="18"/>
                <w:lang w:val="es-ES_tradnl"/>
              </w:rPr>
            </w:pPr>
            <w:r w:rsidRPr="00BE0A4F">
              <w:rPr>
                <w:rFonts w:ascii="Bookman Old Style" w:hAnsi="Bookman Old Style"/>
                <w:sz w:val="18"/>
                <w:szCs w:val="18"/>
                <w:lang w:val="es-ES_tradnl"/>
              </w:rPr>
              <w:t>85.832.446</w:t>
            </w:r>
          </w:p>
        </w:tc>
      </w:tr>
      <w:tr w:rsidR="00EF07F2" w:rsidRPr="008A165F" w14:paraId="1136AA89" w14:textId="77777777" w:rsidTr="00EF07F2">
        <w:trPr>
          <w:trHeight w:val="227"/>
        </w:trPr>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17DF13B6" w14:textId="77777777" w:rsidR="00B44ACF" w:rsidRPr="00513DF4" w:rsidRDefault="00B44ACF" w:rsidP="00B44ACF">
            <w:pPr>
              <w:ind w:left="22"/>
              <w:rPr>
                <w:rFonts w:ascii="Bookman Old Style" w:hAnsi="Bookman Old Style"/>
                <w:color w:val="000000"/>
                <w:sz w:val="18"/>
                <w:szCs w:val="18"/>
              </w:rPr>
            </w:pPr>
            <w:r w:rsidRPr="00513DF4">
              <w:rPr>
                <w:rFonts w:ascii="Bookman Old Style" w:hAnsi="Bookman Old Style"/>
                <w:color w:val="000000"/>
                <w:sz w:val="18"/>
                <w:szCs w:val="18"/>
              </w:rPr>
              <w:t>CUSTM000062</w:t>
            </w:r>
          </w:p>
        </w:tc>
        <w:tc>
          <w:tcPr>
            <w:tcW w:w="868" w:type="pct"/>
            <w:tcBorders>
              <w:left w:val="single" w:sz="4" w:space="0" w:color="auto"/>
              <w:right w:val="single" w:sz="4" w:space="0" w:color="auto"/>
            </w:tcBorders>
            <w:vAlign w:val="center"/>
          </w:tcPr>
          <w:p w14:paraId="6403DE58" w14:textId="77777777" w:rsidR="00B44ACF" w:rsidRPr="007403EC" w:rsidRDefault="00B44ACF" w:rsidP="00B44ACF">
            <w:pPr>
              <w:pStyle w:val="NormalWeb"/>
              <w:spacing w:before="0" w:beforeAutospacing="0" w:after="0" w:afterAutospacing="0"/>
              <w:jc w:val="center"/>
              <w:textAlignment w:val="bottom"/>
              <w:rPr>
                <w:sz w:val="18"/>
                <w:szCs w:val="18"/>
              </w:rPr>
            </w:pPr>
            <w:r w:rsidRPr="007403EC">
              <w:rPr>
                <w:sz w:val="18"/>
                <w:szCs w:val="18"/>
              </w:rPr>
              <w:t>64.340.601</w:t>
            </w:r>
          </w:p>
        </w:tc>
        <w:tc>
          <w:tcPr>
            <w:tcW w:w="880" w:type="pct"/>
            <w:tcBorders>
              <w:left w:val="single" w:sz="4" w:space="0" w:color="auto"/>
            </w:tcBorders>
            <w:vAlign w:val="center"/>
          </w:tcPr>
          <w:p w14:paraId="0375BCC6"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2,0</w:t>
            </w:r>
          </w:p>
        </w:tc>
        <w:tc>
          <w:tcPr>
            <w:tcW w:w="880" w:type="pct"/>
            <w:vAlign w:val="center"/>
          </w:tcPr>
          <w:p w14:paraId="56D7B37F" w14:textId="77777777" w:rsidR="00B44ACF" w:rsidRPr="007B4944" w:rsidRDefault="00B44ACF" w:rsidP="00B44ACF">
            <w:pPr>
              <w:ind w:left="22" w:hanging="22"/>
              <w:jc w:val="center"/>
              <w:rPr>
                <w:rFonts w:ascii="Bookman Old Style" w:hAnsi="Bookman Old Style"/>
                <w:sz w:val="18"/>
                <w:szCs w:val="18"/>
                <w:lang w:val="es-ES_tradnl"/>
              </w:rPr>
            </w:pPr>
            <w:r>
              <w:rPr>
                <w:rFonts w:ascii="Bookman Old Style" w:hAnsi="Bookman Old Style"/>
                <w:sz w:val="18"/>
                <w:szCs w:val="18"/>
                <w:lang w:val="es-ES_tradnl"/>
              </w:rPr>
              <w:t>2</w:t>
            </w:r>
            <w:r w:rsidRPr="007B4944">
              <w:rPr>
                <w:rFonts w:ascii="Bookman Old Style" w:hAnsi="Bookman Old Style"/>
                <w:sz w:val="18"/>
                <w:szCs w:val="18"/>
                <w:lang w:val="es-ES_tradnl"/>
              </w:rPr>
              <w:t>,0</w:t>
            </w:r>
          </w:p>
        </w:tc>
        <w:tc>
          <w:tcPr>
            <w:tcW w:w="642" w:type="pct"/>
            <w:vAlign w:val="center"/>
          </w:tcPr>
          <w:p w14:paraId="2C0DF87D" w14:textId="77777777" w:rsidR="00B44ACF" w:rsidRPr="007B4944" w:rsidRDefault="00B44ACF" w:rsidP="00B44ACF">
            <w:pPr>
              <w:ind w:left="22" w:hanging="22"/>
              <w:jc w:val="center"/>
              <w:rPr>
                <w:rFonts w:ascii="Bookman Old Style" w:hAnsi="Bookman Old Style"/>
                <w:sz w:val="18"/>
                <w:szCs w:val="18"/>
                <w:lang w:val="es-ES_tradnl"/>
              </w:rPr>
            </w:pPr>
            <w:r>
              <w:rPr>
                <w:rFonts w:ascii="Bookman Old Style" w:hAnsi="Bookman Old Style"/>
                <w:sz w:val="18"/>
                <w:szCs w:val="18"/>
                <w:lang w:val="es-ES_tradnl"/>
              </w:rPr>
              <w:t>-</w:t>
            </w:r>
          </w:p>
        </w:tc>
        <w:tc>
          <w:tcPr>
            <w:tcW w:w="885" w:type="pct"/>
          </w:tcPr>
          <w:p w14:paraId="2F0295B9" w14:textId="77777777" w:rsidR="00B44ACF" w:rsidRDefault="00B44ACF" w:rsidP="00B44ACF">
            <w:pPr>
              <w:ind w:left="22" w:hanging="22"/>
              <w:jc w:val="center"/>
              <w:rPr>
                <w:rFonts w:ascii="Bookman Old Style" w:hAnsi="Bookman Old Style"/>
                <w:sz w:val="18"/>
                <w:szCs w:val="18"/>
                <w:lang w:val="es-ES_tradnl"/>
              </w:rPr>
            </w:pPr>
            <w:r>
              <w:rPr>
                <w:rFonts w:ascii="Bookman Old Style" w:hAnsi="Bookman Old Style"/>
                <w:sz w:val="18"/>
                <w:szCs w:val="18"/>
                <w:lang w:val="es-ES_tradnl"/>
              </w:rPr>
              <w:t>-</w:t>
            </w:r>
          </w:p>
        </w:tc>
      </w:tr>
      <w:tr w:rsidR="00EF07F2" w:rsidRPr="008A165F" w14:paraId="67778BE4" w14:textId="77777777" w:rsidTr="00EF07F2">
        <w:trPr>
          <w:trHeight w:val="227"/>
        </w:trPr>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7938F274" w14:textId="77777777" w:rsidR="00B44ACF" w:rsidRPr="00513DF4" w:rsidRDefault="00B44ACF" w:rsidP="00B44ACF">
            <w:pPr>
              <w:ind w:left="22"/>
              <w:rPr>
                <w:rFonts w:ascii="Bookman Old Style" w:hAnsi="Bookman Old Style"/>
                <w:color w:val="000000"/>
                <w:sz w:val="18"/>
                <w:szCs w:val="18"/>
              </w:rPr>
            </w:pPr>
            <w:r w:rsidRPr="00513DF4">
              <w:rPr>
                <w:rFonts w:ascii="Bookman Old Style" w:hAnsi="Bookman Old Style"/>
                <w:color w:val="000000"/>
                <w:sz w:val="18"/>
                <w:szCs w:val="18"/>
              </w:rPr>
              <w:t>CUSTM000498</w:t>
            </w:r>
          </w:p>
        </w:tc>
        <w:tc>
          <w:tcPr>
            <w:tcW w:w="868" w:type="pct"/>
            <w:tcBorders>
              <w:left w:val="single" w:sz="4" w:space="0" w:color="auto"/>
              <w:bottom w:val="single" w:sz="4" w:space="0" w:color="auto"/>
              <w:right w:val="single" w:sz="4" w:space="0" w:color="auto"/>
            </w:tcBorders>
            <w:vAlign w:val="center"/>
          </w:tcPr>
          <w:p w14:paraId="18BA3E2F" w14:textId="77777777" w:rsidR="00B44ACF" w:rsidRPr="007403EC" w:rsidRDefault="00B44ACF" w:rsidP="00B44ACF">
            <w:pPr>
              <w:pStyle w:val="NormalWeb"/>
              <w:spacing w:before="0" w:beforeAutospacing="0" w:after="0" w:afterAutospacing="0"/>
              <w:jc w:val="center"/>
              <w:textAlignment w:val="bottom"/>
              <w:rPr>
                <w:sz w:val="18"/>
                <w:szCs w:val="18"/>
              </w:rPr>
            </w:pPr>
            <w:r w:rsidRPr="007403EC">
              <w:rPr>
                <w:sz w:val="18"/>
                <w:szCs w:val="18"/>
              </w:rPr>
              <w:t>133.759.743</w:t>
            </w:r>
          </w:p>
        </w:tc>
        <w:tc>
          <w:tcPr>
            <w:tcW w:w="880" w:type="pct"/>
            <w:tcBorders>
              <w:left w:val="single" w:sz="4" w:space="0" w:color="auto"/>
            </w:tcBorders>
            <w:vAlign w:val="center"/>
          </w:tcPr>
          <w:p w14:paraId="3BF0563C"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1,0</w:t>
            </w:r>
          </w:p>
        </w:tc>
        <w:tc>
          <w:tcPr>
            <w:tcW w:w="880" w:type="pct"/>
            <w:vAlign w:val="center"/>
          </w:tcPr>
          <w:p w14:paraId="0E290861" w14:textId="77777777" w:rsidR="00B44ACF" w:rsidRPr="007B4944" w:rsidRDefault="00B44ACF" w:rsidP="00B44ACF">
            <w:pPr>
              <w:ind w:left="22" w:hanging="22"/>
              <w:jc w:val="center"/>
              <w:rPr>
                <w:rFonts w:ascii="Bookman Old Style" w:hAnsi="Bookman Old Style"/>
                <w:sz w:val="18"/>
                <w:szCs w:val="18"/>
                <w:lang w:val="es-ES_tradnl"/>
              </w:rPr>
            </w:pPr>
            <w:r w:rsidRPr="007B4944">
              <w:rPr>
                <w:rFonts w:ascii="Bookman Old Style" w:hAnsi="Bookman Old Style"/>
                <w:sz w:val="18"/>
                <w:szCs w:val="18"/>
                <w:lang w:val="es-ES_tradnl"/>
              </w:rPr>
              <w:t>1,0</w:t>
            </w:r>
          </w:p>
        </w:tc>
        <w:tc>
          <w:tcPr>
            <w:tcW w:w="642" w:type="pct"/>
            <w:vAlign w:val="center"/>
          </w:tcPr>
          <w:p w14:paraId="573316C7" w14:textId="77777777" w:rsidR="00B44ACF" w:rsidRPr="007B4944" w:rsidRDefault="00B44ACF" w:rsidP="00B44ACF">
            <w:pPr>
              <w:ind w:left="22" w:hanging="22"/>
              <w:jc w:val="center"/>
              <w:rPr>
                <w:rFonts w:ascii="Bookman Old Style" w:hAnsi="Bookman Old Style"/>
                <w:sz w:val="18"/>
                <w:szCs w:val="18"/>
                <w:lang w:val="es-ES_tradnl"/>
              </w:rPr>
            </w:pPr>
            <w:r>
              <w:rPr>
                <w:rFonts w:ascii="Bookman Old Style" w:hAnsi="Bookman Old Style"/>
                <w:sz w:val="18"/>
                <w:szCs w:val="18"/>
                <w:lang w:val="es-ES_tradnl"/>
              </w:rPr>
              <w:t>-</w:t>
            </w:r>
          </w:p>
        </w:tc>
        <w:tc>
          <w:tcPr>
            <w:tcW w:w="885" w:type="pct"/>
          </w:tcPr>
          <w:p w14:paraId="5DFDAA35" w14:textId="77777777" w:rsidR="00B44ACF" w:rsidRDefault="00B44ACF" w:rsidP="00B44ACF">
            <w:pPr>
              <w:ind w:left="22" w:hanging="22"/>
              <w:jc w:val="center"/>
              <w:rPr>
                <w:rFonts w:ascii="Bookman Old Style" w:hAnsi="Bookman Old Style"/>
                <w:sz w:val="18"/>
                <w:szCs w:val="18"/>
                <w:lang w:val="es-ES_tradnl"/>
              </w:rPr>
            </w:pPr>
            <w:r>
              <w:rPr>
                <w:rFonts w:ascii="Bookman Old Style" w:hAnsi="Bookman Old Style"/>
                <w:sz w:val="18"/>
                <w:szCs w:val="18"/>
                <w:lang w:val="es-ES_tradnl"/>
              </w:rPr>
              <w:t>-</w:t>
            </w:r>
          </w:p>
        </w:tc>
      </w:tr>
      <w:tr w:rsidR="00EF07F2" w:rsidRPr="008A165F" w14:paraId="74EF30F9" w14:textId="77777777" w:rsidTr="00C64CBD">
        <w:trPr>
          <w:trHeight w:val="362"/>
        </w:trPr>
        <w:tc>
          <w:tcPr>
            <w:tcW w:w="844" w:type="pct"/>
            <w:tcBorders>
              <w:top w:val="single" w:sz="4" w:space="0" w:color="auto"/>
              <w:left w:val="nil"/>
              <w:bottom w:val="nil"/>
              <w:right w:val="single" w:sz="4" w:space="0" w:color="auto"/>
            </w:tcBorders>
            <w:shd w:val="clear" w:color="auto" w:fill="FFFFFF" w:themeFill="background1"/>
            <w:vAlign w:val="bottom"/>
          </w:tcPr>
          <w:p w14:paraId="703EA575" w14:textId="77777777" w:rsidR="00B44ACF" w:rsidRPr="007B4944" w:rsidRDefault="00B44ACF" w:rsidP="00B44ACF">
            <w:pPr>
              <w:ind w:left="22" w:hanging="22"/>
              <w:jc w:val="right"/>
              <w:rPr>
                <w:rFonts w:ascii="Bookman Old Style" w:hAnsi="Bookman Old Style"/>
                <w:b/>
                <w:sz w:val="18"/>
                <w:szCs w:val="18"/>
                <w:lang w:val="es-ES_tradnl"/>
              </w:rPr>
            </w:pPr>
          </w:p>
        </w:tc>
        <w:tc>
          <w:tcPr>
            <w:tcW w:w="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5E6E78" w14:textId="77777777" w:rsidR="00B44ACF" w:rsidRPr="007B4944" w:rsidRDefault="00B44ACF" w:rsidP="00C64CBD">
            <w:pPr>
              <w:ind w:left="22" w:hanging="22"/>
              <w:jc w:val="center"/>
              <w:rPr>
                <w:rFonts w:ascii="Bookman Old Style" w:hAnsi="Bookman Old Style"/>
                <w:b/>
                <w:sz w:val="18"/>
                <w:szCs w:val="18"/>
                <w:lang w:val="es-ES_tradnl"/>
              </w:rPr>
            </w:pPr>
            <w:r w:rsidRPr="007B4944">
              <w:rPr>
                <w:rFonts w:ascii="Bookman Old Style" w:hAnsi="Bookman Old Style"/>
                <w:b/>
                <w:sz w:val="18"/>
                <w:szCs w:val="18"/>
                <w:lang w:val="es-ES_tradnl"/>
              </w:rPr>
              <w:t>Total</w:t>
            </w:r>
            <w:r>
              <w:rPr>
                <w:rFonts w:ascii="Bookman Old Style" w:hAnsi="Bookman Old Style"/>
                <w:b/>
                <w:sz w:val="18"/>
                <w:szCs w:val="18"/>
                <w:lang w:val="es-ES_tradnl"/>
              </w:rPr>
              <w:t xml:space="preserve"> (Nota 2)</w:t>
            </w:r>
          </w:p>
        </w:tc>
        <w:tc>
          <w:tcPr>
            <w:tcW w:w="880" w:type="pct"/>
            <w:tcBorders>
              <w:left w:val="single" w:sz="4" w:space="0" w:color="auto"/>
            </w:tcBorders>
            <w:shd w:val="clear" w:color="auto" w:fill="F2F2F2" w:themeFill="background1" w:themeFillShade="F2"/>
            <w:vAlign w:val="center"/>
          </w:tcPr>
          <w:p w14:paraId="77C0B9E5" w14:textId="77777777" w:rsidR="00B44ACF" w:rsidRPr="007B4944" w:rsidRDefault="00B44ACF" w:rsidP="00C64CBD">
            <w:pPr>
              <w:ind w:left="22" w:hanging="22"/>
              <w:jc w:val="center"/>
              <w:rPr>
                <w:rFonts w:ascii="Bookman Old Style" w:hAnsi="Bookman Old Style"/>
                <w:b/>
                <w:sz w:val="18"/>
                <w:szCs w:val="18"/>
                <w:lang w:val="es-ES_tradnl"/>
              </w:rPr>
            </w:pPr>
            <w:r w:rsidRPr="007B4944">
              <w:rPr>
                <w:rFonts w:ascii="Bookman Old Style" w:hAnsi="Bookman Old Style"/>
                <w:b/>
                <w:sz w:val="18"/>
                <w:szCs w:val="18"/>
                <w:lang w:val="es-ES_tradnl"/>
              </w:rPr>
              <w:t>922,7</w:t>
            </w:r>
          </w:p>
        </w:tc>
        <w:tc>
          <w:tcPr>
            <w:tcW w:w="880" w:type="pct"/>
            <w:shd w:val="clear" w:color="auto" w:fill="F2F2F2" w:themeFill="background1" w:themeFillShade="F2"/>
            <w:vAlign w:val="center"/>
          </w:tcPr>
          <w:p w14:paraId="37A89142" w14:textId="77777777" w:rsidR="00B44ACF" w:rsidRPr="007B4944" w:rsidRDefault="00B44ACF" w:rsidP="00C64CBD">
            <w:pPr>
              <w:ind w:left="22" w:hanging="22"/>
              <w:jc w:val="center"/>
              <w:rPr>
                <w:rFonts w:ascii="Bookman Old Style" w:hAnsi="Bookman Old Style"/>
                <w:b/>
                <w:sz w:val="18"/>
                <w:szCs w:val="18"/>
                <w:lang w:val="es-ES_tradnl"/>
              </w:rPr>
            </w:pPr>
            <w:r w:rsidRPr="007B4944">
              <w:rPr>
                <w:rFonts w:ascii="Bookman Old Style" w:hAnsi="Bookman Old Style"/>
                <w:b/>
                <w:sz w:val="18"/>
                <w:szCs w:val="18"/>
                <w:lang w:val="es-ES_tradnl"/>
              </w:rPr>
              <w:t>884,1</w:t>
            </w:r>
          </w:p>
        </w:tc>
        <w:tc>
          <w:tcPr>
            <w:tcW w:w="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D96F9C" w14:textId="77777777" w:rsidR="00B44ACF" w:rsidRPr="007B4944" w:rsidRDefault="00B44ACF" w:rsidP="00C64CBD">
            <w:pPr>
              <w:ind w:left="22" w:hanging="22"/>
              <w:jc w:val="center"/>
              <w:rPr>
                <w:rFonts w:ascii="Bookman Old Style" w:hAnsi="Bookman Old Style"/>
                <w:b/>
                <w:sz w:val="18"/>
                <w:szCs w:val="18"/>
                <w:lang w:val="es-ES_tradnl"/>
              </w:rPr>
            </w:pPr>
            <w:r w:rsidRPr="007B4944">
              <w:rPr>
                <w:rFonts w:ascii="Bookman Old Style" w:hAnsi="Bookman Old Style"/>
                <w:b/>
                <w:sz w:val="18"/>
                <w:szCs w:val="18"/>
                <w:lang w:val="es-ES_tradnl"/>
              </w:rPr>
              <w:t>39,1</w:t>
            </w:r>
          </w:p>
        </w:tc>
        <w:tc>
          <w:tcPr>
            <w:tcW w:w="8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B9D53" w14:textId="77777777" w:rsidR="00B44ACF" w:rsidRPr="007B4944" w:rsidRDefault="00B44ACF" w:rsidP="00C64CBD">
            <w:pPr>
              <w:ind w:left="22" w:hanging="22"/>
              <w:jc w:val="center"/>
              <w:rPr>
                <w:rFonts w:ascii="Bookman Old Style" w:hAnsi="Bookman Old Style"/>
                <w:b/>
                <w:sz w:val="18"/>
                <w:szCs w:val="18"/>
                <w:lang w:val="es-ES_tradnl"/>
              </w:rPr>
            </w:pPr>
            <w:r>
              <w:rPr>
                <w:rFonts w:ascii="Bookman Old Style" w:hAnsi="Bookman Old Style"/>
                <w:b/>
                <w:sz w:val="18"/>
                <w:szCs w:val="18"/>
                <w:lang w:val="es-ES_tradnl"/>
              </w:rPr>
              <w:t>877.255.794</w:t>
            </w:r>
          </w:p>
        </w:tc>
      </w:tr>
    </w:tbl>
    <w:p w14:paraId="1736A6A9" w14:textId="77777777" w:rsidR="00EF07F2" w:rsidRPr="008A165F" w:rsidRDefault="00EF07F2" w:rsidP="00EF07F2">
      <w:pPr>
        <w:adjustRightInd w:val="0"/>
        <w:spacing w:after="240"/>
        <w:ind w:left="0" w:right="23"/>
        <w:jc w:val="center"/>
        <w:rPr>
          <w:rFonts w:ascii="Bookman Old Style" w:hAnsi="Bookman Old Style"/>
          <w:sz w:val="20"/>
          <w:szCs w:val="20"/>
        </w:rPr>
      </w:pPr>
      <w:bookmarkStart w:id="12" w:name="_Ref530133399"/>
      <w:r w:rsidRPr="0041553C">
        <w:rPr>
          <w:rFonts w:ascii="Bookman Old Style" w:hAnsi="Bookman Old Style"/>
          <w:sz w:val="20"/>
          <w:szCs w:val="20"/>
        </w:rPr>
        <w:t>Cifra</w:t>
      </w:r>
      <w:r>
        <w:rPr>
          <w:rFonts w:ascii="Bookman Old Style" w:hAnsi="Bookman Old Style"/>
          <w:sz w:val="20"/>
          <w:szCs w:val="20"/>
        </w:rPr>
        <w:t>s en pesos de diciembre de 2014</w:t>
      </w:r>
    </w:p>
    <w:p w14:paraId="26A471F2" w14:textId="77777777" w:rsidR="006250AE" w:rsidRDefault="006250AE" w:rsidP="006250AE">
      <w:pPr>
        <w:adjustRightInd w:val="0"/>
        <w:ind w:left="0" w:right="23"/>
        <w:jc w:val="both"/>
        <w:rPr>
          <w:rFonts w:ascii="Bookman Old Style" w:hAnsi="Bookman Old Style"/>
          <w:sz w:val="20"/>
          <w:szCs w:val="20"/>
        </w:rPr>
      </w:pPr>
      <w:r w:rsidRPr="00581C8A">
        <w:rPr>
          <w:rFonts w:ascii="Bookman Old Style" w:hAnsi="Bookman Old Style"/>
          <w:b/>
          <w:sz w:val="20"/>
          <w:szCs w:val="20"/>
        </w:rPr>
        <w:t>Nota 1:</w:t>
      </w:r>
      <w:r>
        <w:rPr>
          <w:rFonts w:ascii="Bookman Old Style" w:hAnsi="Bookman Old Style"/>
          <w:sz w:val="20"/>
          <w:szCs w:val="20"/>
        </w:rPr>
        <w:t xml:space="preserve"> </w:t>
      </w:r>
      <w:r w:rsidRPr="00581C8A">
        <w:rPr>
          <w:rFonts w:ascii="Bookman Old Style" w:hAnsi="Bookman Old Style"/>
          <w:sz w:val="20"/>
          <w:szCs w:val="20"/>
        </w:rPr>
        <w:t xml:space="preserve">La cantidad </w:t>
      </w:r>
      <w:r>
        <w:rPr>
          <w:rFonts w:ascii="Bookman Old Style" w:hAnsi="Bookman Old Style"/>
          <w:sz w:val="20"/>
          <w:szCs w:val="20"/>
        </w:rPr>
        <w:t>solicitada</w:t>
      </w:r>
      <w:r w:rsidRPr="00581C8A">
        <w:rPr>
          <w:rFonts w:ascii="Bookman Old Style" w:hAnsi="Bookman Old Style"/>
          <w:sz w:val="20"/>
          <w:szCs w:val="20"/>
        </w:rPr>
        <w:t xml:space="preserve"> de esta unidad constructiva está expresada en número de unidades, no en km</w:t>
      </w:r>
      <w:r>
        <w:rPr>
          <w:rFonts w:ascii="Bookman Old Style" w:hAnsi="Bookman Old Style"/>
          <w:sz w:val="20"/>
          <w:szCs w:val="20"/>
        </w:rPr>
        <w:t>.</w:t>
      </w:r>
    </w:p>
    <w:p w14:paraId="0DB40E82" w14:textId="77777777" w:rsidR="006250AE" w:rsidRPr="00581C8A" w:rsidRDefault="006250AE" w:rsidP="006250AE">
      <w:pPr>
        <w:adjustRightInd w:val="0"/>
        <w:spacing w:after="240"/>
        <w:ind w:left="0" w:right="23"/>
        <w:jc w:val="both"/>
        <w:rPr>
          <w:rFonts w:ascii="Bookman Old Style" w:hAnsi="Bookman Old Style"/>
          <w:sz w:val="20"/>
          <w:szCs w:val="20"/>
        </w:rPr>
      </w:pPr>
      <w:r w:rsidRPr="006250AE">
        <w:rPr>
          <w:rFonts w:ascii="Bookman Old Style" w:hAnsi="Bookman Old Style"/>
          <w:b/>
          <w:sz w:val="20"/>
          <w:szCs w:val="20"/>
        </w:rPr>
        <w:t>Nota 2:</w:t>
      </w:r>
      <w:r>
        <w:rPr>
          <w:rFonts w:ascii="Bookman Old Style" w:hAnsi="Bookman Old Style"/>
          <w:sz w:val="20"/>
          <w:szCs w:val="20"/>
        </w:rPr>
        <w:t xml:space="preserve"> El total </w:t>
      </w:r>
      <w:r w:rsidR="003B7FC2">
        <w:rPr>
          <w:rFonts w:ascii="Bookman Old Style" w:hAnsi="Bookman Old Style"/>
          <w:sz w:val="20"/>
          <w:szCs w:val="20"/>
        </w:rPr>
        <w:t xml:space="preserve">de las columnas asociadas a cantidades de unidades constructivas </w:t>
      </w:r>
      <w:r>
        <w:rPr>
          <w:rFonts w:ascii="Bookman Old Style" w:hAnsi="Bookman Old Style"/>
          <w:sz w:val="20"/>
          <w:szCs w:val="20"/>
        </w:rPr>
        <w:t>incluye solamente las unidades asociadas a tubería y se encuentra expresado en km.</w:t>
      </w:r>
    </w:p>
    <w:bookmarkEnd w:id="12"/>
    <w:p w14:paraId="4F9D508A" w14:textId="77777777" w:rsidR="00786D8B" w:rsidRDefault="002D434C" w:rsidP="002D434C">
      <w:pPr>
        <w:spacing w:before="240" w:after="240"/>
        <w:ind w:left="0"/>
        <w:jc w:val="both"/>
        <w:rPr>
          <w:rFonts w:ascii="Bookman Old Style" w:hAnsi="Bookman Old Style"/>
          <w:lang w:val="es-ES_tradnl"/>
        </w:rPr>
      </w:pPr>
      <w:r w:rsidRPr="00626EED">
        <w:rPr>
          <w:rFonts w:ascii="Bookman Old Style" w:hAnsi="Bookman Old Style"/>
          <w:lang w:val="es-ES_tradnl"/>
        </w:rPr>
        <w:t>Teniendo en cuenta que para el cálculo del cargo aprobado</w:t>
      </w:r>
      <w:r w:rsidR="002D44B4">
        <w:rPr>
          <w:rFonts w:ascii="Bookman Old Style" w:hAnsi="Bookman Old Style"/>
          <w:lang w:val="es-ES_tradnl"/>
        </w:rPr>
        <w:t xml:space="preserve"> mediante la Resolución CREG 027</w:t>
      </w:r>
      <w:r w:rsidRPr="00626EED">
        <w:rPr>
          <w:rFonts w:ascii="Bookman Old Style" w:hAnsi="Bookman Old Style"/>
          <w:lang w:val="es-ES_tradnl"/>
        </w:rPr>
        <w:t xml:space="preserve"> de 201</w:t>
      </w:r>
      <w:r w:rsidR="002D44B4">
        <w:rPr>
          <w:rFonts w:ascii="Bookman Old Style" w:hAnsi="Bookman Old Style"/>
          <w:lang w:val="es-ES_tradnl"/>
        </w:rPr>
        <w:t>8</w:t>
      </w:r>
      <w:r w:rsidRPr="00626EED">
        <w:rPr>
          <w:rFonts w:ascii="Bookman Old Style" w:hAnsi="Bookman Old Style"/>
          <w:lang w:val="es-ES_tradnl"/>
        </w:rPr>
        <w:t xml:space="preserve"> no se consideraron $</w:t>
      </w:r>
      <w:r w:rsidR="00786D8B">
        <w:rPr>
          <w:rFonts w:ascii="Bookman Old Style" w:hAnsi="Bookman Old Style"/>
          <w:lang w:val="es-ES_tradnl"/>
        </w:rPr>
        <w:t>877</w:t>
      </w:r>
      <w:r w:rsidRPr="00626EED">
        <w:rPr>
          <w:rFonts w:ascii="Bookman Old Style" w:hAnsi="Bookman Old Style"/>
          <w:lang w:val="es-ES_tradnl"/>
        </w:rPr>
        <w:t>.</w:t>
      </w:r>
      <w:r w:rsidR="00786D8B">
        <w:rPr>
          <w:rFonts w:ascii="Bookman Old Style" w:hAnsi="Bookman Old Style"/>
          <w:lang w:val="es-ES_tradnl"/>
        </w:rPr>
        <w:t>255</w:t>
      </w:r>
      <w:r w:rsidR="00B44ACF">
        <w:rPr>
          <w:rFonts w:ascii="Bookman Old Style" w:hAnsi="Bookman Old Style"/>
          <w:lang w:val="es-ES_tradnl"/>
        </w:rPr>
        <w:t>.</w:t>
      </w:r>
      <w:r w:rsidR="00786D8B">
        <w:rPr>
          <w:rFonts w:ascii="Bookman Old Style" w:hAnsi="Bookman Old Style"/>
          <w:lang w:val="es-ES_tradnl"/>
        </w:rPr>
        <w:t>794</w:t>
      </w:r>
      <w:r w:rsidRPr="00626EED">
        <w:rPr>
          <w:rFonts w:ascii="Bookman Old Style" w:hAnsi="Bookman Old Style"/>
          <w:lang w:val="es-ES_tradnl"/>
        </w:rPr>
        <w:t xml:space="preserve"> correspondientes a Inversiones Existentes y eso conlleva a que no se remuneren en su totalidad las inversiones del mercado, se considera necesario </w:t>
      </w:r>
      <w:r w:rsidR="00786D8B">
        <w:rPr>
          <w:rFonts w:ascii="Bookman Old Style" w:hAnsi="Bookman Old Style"/>
          <w:lang w:val="es-ES_tradnl"/>
        </w:rPr>
        <w:t>modificar</w:t>
      </w:r>
      <w:r w:rsidRPr="00626EED">
        <w:rPr>
          <w:rFonts w:ascii="Bookman Old Style" w:hAnsi="Bookman Old Style"/>
          <w:lang w:val="es-ES_tradnl"/>
        </w:rPr>
        <w:t xml:space="preserve"> el cargo transitorio de distribución</w:t>
      </w:r>
      <w:r w:rsidRPr="00626EED" w:rsidDel="00C20E81">
        <w:rPr>
          <w:rFonts w:ascii="Bookman Old Style" w:hAnsi="Bookman Old Style"/>
          <w:lang w:val="es-ES_tradnl"/>
        </w:rPr>
        <w:t xml:space="preserve"> </w:t>
      </w:r>
      <w:r w:rsidRPr="00626EED">
        <w:rPr>
          <w:rFonts w:ascii="Bookman Old Style" w:hAnsi="Bookman Old Style"/>
          <w:lang w:val="es-ES_tradnl"/>
        </w:rPr>
        <w:t xml:space="preserve">para usuarios de uso residencial y el cargo transitorio de distribución para usuarios diferentes a los de uso residencial para el mercado conformado por los municipios de </w:t>
      </w:r>
      <w:r w:rsidR="00786D8B" w:rsidRPr="00786D8B">
        <w:rPr>
          <w:rFonts w:ascii="Bookman Old Style" w:hAnsi="Bookman Old Style"/>
          <w:lang w:val="es-ES_tradnl"/>
        </w:rPr>
        <w:t>Riohacha, Albania, Barrancas, Dibulla, Distracción, El Molino, Fonseca, Hatonuevo, Maicao, Manaure, San Juan del Cesar, Uribia, Urumita, Villanueva y La Jagua del Pilar.</w:t>
      </w:r>
    </w:p>
    <w:p w14:paraId="6127AAA1" w14:textId="62A65919" w:rsidR="006D66F1" w:rsidRDefault="00CE4880" w:rsidP="00902269">
      <w:pPr>
        <w:spacing w:before="240" w:after="240"/>
        <w:ind w:left="0"/>
        <w:jc w:val="both"/>
        <w:rPr>
          <w:rFonts w:ascii="Bookman Old Style" w:hAnsi="Bookman Old Style"/>
        </w:rPr>
      </w:pPr>
      <w:r>
        <w:rPr>
          <w:rFonts w:ascii="Bookman Old Style" w:hAnsi="Bookman Old Style"/>
          <w:lang w:val="es-ES_tradnl"/>
        </w:rPr>
        <w:t>Adicionalmente, se observa que la empresa report</w:t>
      </w:r>
      <w:r w:rsidR="006D66F1">
        <w:rPr>
          <w:rFonts w:ascii="Bookman Old Style" w:hAnsi="Bookman Old Style"/>
          <w:lang w:val="es-ES_tradnl"/>
        </w:rPr>
        <w:t>a 7,57 km de</w:t>
      </w:r>
      <w:r>
        <w:rPr>
          <w:rFonts w:ascii="Bookman Old Style" w:hAnsi="Bookman Old Style"/>
          <w:lang w:val="es-ES_tradnl"/>
        </w:rPr>
        <w:t xml:space="preserve"> unidades constructivas asociadas a tubería de polietileno de alta densidad (unidades constructivas TPE100-160ZV, TPE100-63ZV y TPE100-90ZV) como IE, a pesar de </w:t>
      </w:r>
      <w:r w:rsidR="006D66F1">
        <w:rPr>
          <w:rFonts w:ascii="Bookman Old Style" w:hAnsi="Bookman Old Style"/>
          <w:lang w:val="es-ES_tradnl"/>
        </w:rPr>
        <w:t>que reporta</w:t>
      </w:r>
      <w:r>
        <w:rPr>
          <w:rFonts w:ascii="Bookman Old Style" w:hAnsi="Bookman Old Style"/>
          <w:lang w:val="es-ES_tradnl"/>
        </w:rPr>
        <w:t xml:space="preserve"> el año 2013 como su fecha de inicio de operación. </w:t>
      </w:r>
      <w:r w:rsidR="004B437F">
        <w:rPr>
          <w:rFonts w:ascii="Bookman Old Style" w:hAnsi="Bookman Old Style"/>
          <w:lang w:val="es-ES_tradnl"/>
        </w:rPr>
        <w:t xml:space="preserve">Con el fin de aclarar dicha inconsistencia, </w:t>
      </w:r>
      <w:r w:rsidR="002E7F46">
        <w:rPr>
          <w:rFonts w:ascii="Bookman Old Style" w:hAnsi="Bookman Old Style"/>
        </w:rPr>
        <w:t>mediante</w:t>
      </w:r>
      <w:r w:rsidR="00902269">
        <w:rPr>
          <w:rFonts w:ascii="Bookman Old Style" w:hAnsi="Bookman Old Style"/>
        </w:rPr>
        <w:t xml:space="preserve"> auto de pruebas del 29 de agosto de 2018, la CREG solicita a la empresa </w:t>
      </w:r>
      <w:r w:rsidR="00902269" w:rsidRPr="002405D6">
        <w:rPr>
          <w:rFonts w:ascii="Bookman Old Style" w:hAnsi="Bookman Old Style"/>
        </w:rPr>
        <w:t xml:space="preserve">explicar la razón de </w:t>
      </w:r>
      <w:r w:rsidR="006D66F1">
        <w:rPr>
          <w:rFonts w:ascii="Bookman Old Style" w:hAnsi="Bookman Old Style"/>
        </w:rPr>
        <w:t>la clasificación de estas unidades constructivas como IE.</w:t>
      </w:r>
    </w:p>
    <w:p w14:paraId="49C9BCED" w14:textId="77777777" w:rsidR="006D66F1" w:rsidRDefault="006D66F1" w:rsidP="00902269">
      <w:pPr>
        <w:spacing w:before="240" w:after="240"/>
        <w:ind w:left="0"/>
        <w:jc w:val="both"/>
        <w:rPr>
          <w:rFonts w:ascii="Bookman Old Style" w:hAnsi="Bookman Old Style"/>
        </w:rPr>
      </w:pPr>
      <w:r>
        <w:rPr>
          <w:rFonts w:ascii="Bookman Old Style" w:hAnsi="Bookman Old Style"/>
        </w:rPr>
        <w:t xml:space="preserve">En respuesta a dicho requerimiento, la empresa manifiesta que </w:t>
      </w:r>
      <w:r w:rsidRPr="00854D89">
        <w:rPr>
          <w:rFonts w:ascii="Bookman Old Style" w:hAnsi="Bookman Old Style"/>
          <w:i/>
        </w:rPr>
        <w:t>“</w:t>
      </w:r>
      <w:r w:rsidR="00854D89" w:rsidRPr="00854D89">
        <w:rPr>
          <w:rFonts w:ascii="Bookman Old Style" w:hAnsi="Bookman Old Style"/>
          <w:i/>
        </w:rPr>
        <w:t>(s)e identificó un error en la fecha de inicio de operación reportada para las unidades constructivas del municipio de Albania</w:t>
      </w:r>
      <w:r w:rsidR="00854D89">
        <w:rPr>
          <w:rFonts w:ascii="Bookman Old Style" w:hAnsi="Bookman Old Style"/>
          <w:i/>
        </w:rPr>
        <w:t xml:space="preserve"> [corresponden a los 7,57 km de tubería de polietileno de </w:t>
      </w:r>
      <w:r w:rsidR="00854D89" w:rsidRPr="00854D89">
        <w:rPr>
          <w:rFonts w:ascii="Bookman Old Style" w:hAnsi="Bookman Old Style"/>
          <w:i/>
        </w:rPr>
        <w:t>alta</w:t>
      </w:r>
      <w:r w:rsidR="00854D89">
        <w:rPr>
          <w:rFonts w:ascii="Bookman Old Style" w:hAnsi="Bookman Old Style"/>
          <w:i/>
        </w:rPr>
        <w:t xml:space="preserve"> densidad]</w:t>
      </w:r>
      <w:r w:rsidR="00854D89" w:rsidRPr="00854D89">
        <w:rPr>
          <w:rFonts w:ascii="Bookman Old Style" w:hAnsi="Bookman Old Style"/>
          <w:i/>
        </w:rPr>
        <w:t>, ya que, aun cuando entró en operación en el año 2002 como gasoducto dedicado, la fecha correcta es el año 2006, dado que en este año se convirtió en gasoducto de uso, por lo cual debe ser catalogada como Inversión No Programada Existente (INPE)"</w:t>
      </w:r>
      <w:r w:rsidR="00854D89" w:rsidRPr="00854D89">
        <w:rPr>
          <w:rFonts w:ascii="Bookman Old Style" w:hAnsi="Bookman Old Style"/>
        </w:rPr>
        <w:t>.</w:t>
      </w:r>
    </w:p>
    <w:p w14:paraId="5B61B327" w14:textId="22B4F9B0" w:rsidR="006D66F1" w:rsidRDefault="008A5BDC" w:rsidP="00902269">
      <w:pPr>
        <w:spacing w:before="240" w:after="240"/>
        <w:ind w:left="0"/>
        <w:jc w:val="both"/>
        <w:rPr>
          <w:rFonts w:ascii="Bookman Old Style" w:hAnsi="Bookman Old Style"/>
        </w:rPr>
      </w:pPr>
      <w:r>
        <w:rPr>
          <w:rFonts w:ascii="Bookman Old Style" w:hAnsi="Bookman Old Style"/>
        </w:rPr>
        <w:lastRenderedPageBreak/>
        <w:t>Teniendo en cuenta que estas inversiones entraron e</w:t>
      </w:r>
      <w:r w:rsidR="002E7F46">
        <w:rPr>
          <w:rFonts w:ascii="Bookman Old Style" w:hAnsi="Bookman Old Style"/>
        </w:rPr>
        <w:t>n</w:t>
      </w:r>
      <w:r>
        <w:rPr>
          <w:rFonts w:ascii="Bookman Old Style" w:hAnsi="Bookman Old Style"/>
        </w:rPr>
        <w:t xml:space="preserve"> operación antes de la fecha de corte, </w:t>
      </w:r>
      <w:r w:rsidR="00854D89">
        <w:rPr>
          <w:rFonts w:ascii="Bookman Old Style" w:hAnsi="Bookman Old Style"/>
        </w:rPr>
        <w:t>la Comisión considera que estas unidades constructivas deben ser reconocidas como INPE</w:t>
      </w:r>
      <w:r>
        <w:rPr>
          <w:rFonts w:ascii="Bookman Old Style" w:hAnsi="Bookman Old Style"/>
        </w:rPr>
        <w:t xml:space="preserve"> y</w:t>
      </w:r>
      <w:r w:rsidR="00CF3859">
        <w:rPr>
          <w:rFonts w:ascii="Bookman Old Style" w:hAnsi="Bookman Old Style"/>
        </w:rPr>
        <w:t xml:space="preserve"> </w:t>
      </w:r>
      <w:r>
        <w:rPr>
          <w:rFonts w:ascii="Bookman Old Style" w:hAnsi="Bookman Old Style"/>
        </w:rPr>
        <w:t>e</w:t>
      </w:r>
      <w:r w:rsidR="00AC1439">
        <w:rPr>
          <w:rFonts w:ascii="Bookman Old Style" w:hAnsi="Bookman Old Style"/>
        </w:rPr>
        <w:t>l análisis correspondiente se muestra en el literal b</w:t>
      </w:r>
      <w:r>
        <w:rPr>
          <w:rFonts w:ascii="Bookman Old Style" w:hAnsi="Bookman Old Style"/>
        </w:rPr>
        <w:t>.</w:t>
      </w:r>
    </w:p>
    <w:p w14:paraId="4E22BDF4" w14:textId="77777777" w:rsidR="00CF3859" w:rsidRDefault="008A5BDC" w:rsidP="00CF3859">
      <w:pPr>
        <w:spacing w:before="240" w:after="240"/>
        <w:ind w:left="0"/>
        <w:jc w:val="both"/>
        <w:rPr>
          <w:rFonts w:ascii="Bookman Old Style" w:hAnsi="Bookman Old Style"/>
        </w:rPr>
      </w:pPr>
      <w:r>
        <w:rPr>
          <w:rFonts w:ascii="Bookman Old Style" w:hAnsi="Bookman Old Style"/>
        </w:rPr>
        <w:t>L</w:t>
      </w:r>
      <w:r w:rsidR="00CF3859">
        <w:rPr>
          <w:rFonts w:ascii="Bookman Old Style" w:hAnsi="Bookman Old Style"/>
        </w:rPr>
        <w:t xml:space="preserve">a empresa </w:t>
      </w:r>
      <w:r>
        <w:rPr>
          <w:rFonts w:ascii="Bookman Old Style" w:hAnsi="Bookman Old Style"/>
        </w:rPr>
        <w:t xml:space="preserve">también </w:t>
      </w:r>
      <w:r w:rsidR="00CF3859">
        <w:rPr>
          <w:rFonts w:ascii="Bookman Old Style" w:hAnsi="Bookman Old Style"/>
        </w:rPr>
        <w:t xml:space="preserve">manifiesta en la respuesta al auto de pruebas que </w:t>
      </w:r>
      <w:r w:rsidR="00CF3859" w:rsidRPr="00CF3859">
        <w:rPr>
          <w:rFonts w:ascii="Bookman Old Style" w:hAnsi="Bookman Old Style"/>
          <w:i/>
        </w:rPr>
        <w:t>"se identificó que 4 kilómetros asociados a tubería de polietileno de alta densidad ubicados en el municipio de Maicao</w:t>
      </w:r>
      <w:r w:rsidR="00CF3859">
        <w:rPr>
          <w:rFonts w:ascii="Bookman Old Style" w:hAnsi="Bookman Old Style"/>
          <w:i/>
        </w:rPr>
        <w:t xml:space="preserve"> [correspondientes a INPE]</w:t>
      </w:r>
      <w:r w:rsidR="00CF3859" w:rsidRPr="00CF3859">
        <w:rPr>
          <w:rFonts w:ascii="Bookman Old Style" w:hAnsi="Bookman Old Style"/>
          <w:i/>
        </w:rPr>
        <w:t>, fueron incluidos erróneamente en la solicitud No. 1019 de Apligas, debido a que su fecha de entrada en operación corresponde al año 2015"</w:t>
      </w:r>
      <w:r w:rsidR="00CF3859">
        <w:rPr>
          <w:rFonts w:ascii="Bookman Old Style" w:hAnsi="Bookman Old Style"/>
        </w:rPr>
        <w:t>.</w:t>
      </w:r>
    </w:p>
    <w:p w14:paraId="25DE0ADD" w14:textId="77777777" w:rsidR="00CF3859" w:rsidRDefault="008A5BDC" w:rsidP="00902269">
      <w:pPr>
        <w:spacing w:before="240" w:after="240"/>
        <w:ind w:left="0"/>
        <w:jc w:val="both"/>
        <w:rPr>
          <w:rFonts w:ascii="Bookman Old Style" w:hAnsi="Bookman Old Style"/>
        </w:rPr>
      </w:pPr>
      <w:r>
        <w:rPr>
          <w:rFonts w:ascii="Bookman Old Style" w:hAnsi="Bookman Old Style"/>
        </w:rPr>
        <w:t>Dado que la fecha de corte utilizada para el cálculo del cargo de la Resolución CREG 027 de 2018 es diciembre 31 de 2014, no se deben incluir inversiones posteriores a esta fecha. Por lo tanto</w:t>
      </w:r>
      <w:r w:rsidR="00CF3859">
        <w:rPr>
          <w:rFonts w:ascii="Bookman Old Style" w:hAnsi="Bookman Old Style"/>
        </w:rPr>
        <w:t>, la Comisión considera que estas unidades constructivas deben ser retiradas de la INPE reconocida</w:t>
      </w:r>
      <w:r>
        <w:rPr>
          <w:rFonts w:ascii="Bookman Old Style" w:hAnsi="Bookman Old Style"/>
        </w:rPr>
        <w:t xml:space="preserve"> y</w:t>
      </w:r>
      <w:r w:rsidR="00CF3859">
        <w:rPr>
          <w:rFonts w:ascii="Bookman Old Style" w:hAnsi="Bookman Old Style"/>
        </w:rPr>
        <w:t xml:space="preserve"> </w:t>
      </w:r>
      <w:r>
        <w:rPr>
          <w:rFonts w:ascii="Bookman Old Style" w:hAnsi="Bookman Old Style"/>
        </w:rPr>
        <w:t>e</w:t>
      </w:r>
      <w:r w:rsidR="00CF3859">
        <w:rPr>
          <w:rFonts w:ascii="Bookman Old Style" w:hAnsi="Bookman Old Style"/>
        </w:rPr>
        <w:t>l análisis correspondiente se muestra en el literal b</w:t>
      </w:r>
      <w:r>
        <w:rPr>
          <w:rFonts w:ascii="Bookman Old Style" w:hAnsi="Bookman Old Style"/>
        </w:rPr>
        <w:t xml:space="preserve"> a continuación</w:t>
      </w:r>
      <w:r w:rsidR="00CF3859">
        <w:rPr>
          <w:rFonts w:ascii="Bookman Old Style" w:hAnsi="Bookman Old Style"/>
        </w:rPr>
        <w:t>.</w:t>
      </w:r>
    </w:p>
    <w:p w14:paraId="5253963A" w14:textId="77777777" w:rsidR="006E702F" w:rsidRPr="00366E5B" w:rsidRDefault="006E702F" w:rsidP="006E702F">
      <w:pPr>
        <w:pStyle w:val="Ttulo5"/>
        <w:numPr>
          <w:ilvl w:val="0"/>
          <w:numId w:val="7"/>
        </w:numPr>
        <w:spacing w:before="360" w:after="240"/>
        <w:ind w:left="567" w:hanging="567"/>
        <w:jc w:val="both"/>
        <w:rPr>
          <w:rFonts w:ascii="Bookman Old Style" w:eastAsia="Calibri" w:hAnsi="Bookman Old Style"/>
          <w:sz w:val="24"/>
          <w:szCs w:val="24"/>
          <w:lang w:eastAsia="es-CO"/>
        </w:rPr>
      </w:pPr>
      <w:r w:rsidRPr="00366E5B">
        <w:rPr>
          <w:rFonts w:ascii="Bookman Old Style" w:eastAsia="Calibri" w:hAnsi="Bookman Old Style"/>
          <w:sz w:val="24"/>
          <w:szCs w:val="24"/>
          <w:lang w:eastAsia="es-CO"/>
        </w:rPr>
        <w:t>Inversión Programada en Nuevas Inversiones que fue reconocida y ejecutada en el período tarifario vigente (IPE) e Inversión ejecutada durante el período tarifario vigente y no prevista en el Programa de Nuevas Inversiones (INPE)</w:t>
      </w:r>
    </w:p>
    <w:p w14:paraId="6BB71605" w14:textId="79193380" w:rsidR="0088380D" w:rsidRDefault="0088380D" w:rsidP="0088380D">
      <w:pPr>
        <w:spacing w:before="240" w:after="240"/>
        <w:ind w:left="0"/>
        <w:jc w:val="both"/>
        <w:rPr>
          <w:rFonts w:ascii="Bookman Old Style" w:hAnsi="Bookman Old Style"/>
          <w:lang w:val="es-ES_tradnl"/>
        </w:rPr>
      </w:pPr>
      <w:r w:rsidRPr="0088380D">
        <w:rPr>
          <w:rFonts w:ascii="Bookman Old Style" w:hAnsi="Bookman Old Style"/>
          <w:lang w:val="es-ES_tradnl"/>
        </w:rPr>
        <w:t>El numeral 9.5 del Artículo 9 de la Resolución CREG 202 de 2013 dispone</w:t>
      </w:r>
      <w:r w:rsidR="005F55B3">
        <w:rPr>
          <w:rFonts w:ascii="Bookman Old Style" w:hAnsi="Bookman Old Style"/>
          <w:lang w:val="es-ES_tradnl"/>
        </w:rPr>
        <w:br/>
      </w:r>
      <w:r w:rsidRPr="0088380D">
        <w:rPr>
          <w:rFonts w:ascii="Bookman Old Style" w:hAnsi="Bookman Old Style"/>
          <w:lang w:val="es-ES_tradnl"/>
        </w:rPr>
        <w:t>que</w:t>
      </w:r>
      <w:r>
        <w:rPr>
          <w:rFonts w:ascii="Bookman Old Style" w:hAnsi="Bookman Old Style"/>
          <w:lang w:val="es-ES_tradnl"/>
        </w:rPr>
        <w:t xml:space="preserve"> la </w:t>
      </w:r>
      <w:r w:rsidRPr="0088380D">
        <w:rPr>
          <w:rFonts w:ascii="Bookman Old Style" w:hAnsi="Bookman Old Style"/>
          <w:lang w:val="es-ES_tradnl"/>
        </w:rPr>
        <w:t>Inversión Programada en nuevas inversiones que fue reconocida</w:t>
      </w:r>
      <w:r w:rsidR="005F55B3">
        <w:rPr>
          <w:rFonts w:ascii="Bookman Old Style" w:hAnsi="Bookman Old Style"/>
          <w:lang w:val="es-ES_tradnl"/>
        </w:rPr>
        <w:br/>
      </w:r>
      <w:r w:rsidRPr="0088380D">
        <w:rPr>
          <w:rFonts w:ascii="Bookman Old Style" w:hAnsi="Bookman Old Style"/>
          <w:lang w:val="es-ES_tradnl"/>
        </w:rPr>
        <w:t>y ejecutada en la anterior revisión tarifaria (IPE)</w:t>
      </w:r>
      <w:r>
        <w:rPr>
          <w:rFonts w:ascii="Bookman Old Style" w:hAnsi="Bookman Old Style"/>
          <w:lang w:val="es-ES_tradnl"/>
        </w:rPr>
        <w:t xml:space="preserve"> corresponde a la</w:t>
      </w:r>
      <w:r w:rsidRPr="0088380D">
        <w:rPr>
          <w:rFonts w:ascii="Bookman Old Style" w:hAnsi="Bookman Old Style"/>
          <w:i/>
          <w:lang w:val="es-ES_tradnl"/>
        </w:rPr>
        <w:t xml:space="preserve"> “(i)nversión</w:t>
      </w:r>
      <w:r w:rsidR="005F55B3">
        <w:rPr>
          <w:rFonts w:ascii="Bookman Old Style" w:hAnsi="Bookman Old Style"/>
          <w:i/>
          <w:lang w:val="es-ES_tradnl"/>
        </w:rPr>
        <w:br/>
      </w:r>
      <w:r w:rsidRPr="0088380D">
        <w:rPr>
          <w:rFonts w:ascii="Bookman Old Style" w:hAnsi="Bookman Old Style"/>
          <w:i/>
          <w:lang w:val="es-ES_tradnl"/>
        </w:rPr>
        <w:t xml:space="preserve">en activos que fueron reportados en el programa de nuevas inversiones en la anterior solicitud tarifaria y que se ejecutaron hasta la fecha de corte, homologadas a las Unidades Constructivas y valoradas a los costos unitarios que fueron establecidos en la Resolución CREG 011 de 2003 y ajustados conforme se relacionan en el </w:t>
      </w:r>
      <w:r w:rsidR="005F55B3">
        <w:rPr>
          <w:rFonts w:ascii="Bookman Old Style" w:hAnsi="Bookman Old Style"/>
          <w:i/>
          <w:lang w:val="es-ES_tradnl"/>
        </w:rPr>
        <w:t>ANEXO 6</w:t>
      </w:r>
      <w:r w:rsidRPr="0088380D">
        <w:rPr>
          <w:rFonts w:ascii="Bookman Old Style" w:hAnsi="Bookman Old Style"/>
          <w:i/>
          <w:lang w:val="es-ES_tradnl"/>
        </w:rPr>
        <w:t>. Esta inversión debe estar expresada a pesos de la Fecha Base”</w:t>
      </w:r>
      <w:r w:rsidRPr="000B65DE">
        <w:rPr>
          <w:rFonts w:ascii="Bookman Old Style" w:hAnsi="Bookman Old Style"/>
          <w:lang w:val="es-ES_tradnl"/>
        </w:rPr>
        <w:t>.</w:t>
      </w:r>
    </w:p>
    <w:p w14:paraId="69D4ADAF" w14:textId="2846FF14" w:rsidR="0088380D" w:rsidRPr="000B65DE" w:rsidRDefault="0088380D" w:rsidP="0088380D">
      <w:pPr>
        <w:spacing w:before="240" w:after="240"/>
        <w:ind w:left="0"/>
        <w:jc w:val="both"/>
        <w:rPr>
          <w:rFonts w:ascii="Bookman Old Style" w:hAnsi="Bookman Old Style"/>
          <w:lang w:val="es-ES_tradnl"/>
        </w:rPr>
      </w:pPr>
      <w:r>
        <w:rPr>
          <w:rFonts w:ascii="Bookman Old Style" w:hAnsi="Bookman Old Style"/>
          <w:lang w:val="es-ES_tradnl"/>
        </w:rPr>
        <w:t>El mismo numeral dispone que la I</w:t>
      </w:r>
      <w:r w:rsidRPr="0088380D">
        <w:rPr>
          <w:rFonts w:ascii="Bookman Old Style" w:hAnsi="Bookman Old Style"/>
          <w:lang w:val="es-ES_tradnl"/>
        </w:rPr>
        <w:t>nversión Ejecutada durante el período tarifario y No Prevista en el Programa de Nuevas Inversiones (INPE)</w:t>
      </w:r>
      <w:r>
        <w:rPr>
          <w:rFonts w:ascii="Bookman Old Style" w:hAnsi="Bookman Old Style"/>
          <w:b/>
          <w:lang w:val="es-ES_tradnl"/>
        </w:rPr>
        <w:t xml:space="preserve"> </w:t>
      </w:r>
      <w:r w:rsidRPr="0088380D">
        <w:rPr>
          <w:rFonts w:ascii="Bookman Old Style" w:hAnsi="Bookman Old Style"/>
          <w:lang w:val="es-ES_tradnl"/>
        </w:rPr>
        <w:t xml:space="preserve">corresponde a la </w:t>
      </w:r>
      <w:r w:rsidRPr="0088380D">
        <w:rPr>
          <w:rFonts w:ascii="Bookman Old Style" w:hAnsi="Bookman Old Style"/>
          <w:i/>
          <w:lang w:val="es-ES_tradnl"/>
        </w:rPr>
        <w:t xml:space="preserve">“(i)nversión en activos que fueron ejecutados hasta la fecha de corte y que no fueron reportados en el Programa de Nuevas Inversiones, homologados a las Unidades Constructivas y valorados a los costos establecidos en la Resolución CREG 011 de 2003 y listados en el </w:t>
      </w:r>
      <w:r w:rsidR="005F55B3">
        <w:rPr>
          <w:rFonts w:ascii="Bookman Old Style" w:hAnsi="Bookman Old Style"/>
          <w:i/>
          <w:lang w:val="es-ES_tradnl"/>
        </w:rPr>
        <w:t>ANEXO 6</w:t>
      </w:r>
      <w:r w:rsidRPr="0088380D">
        <w:rPr>
          <w:rFonts w:ascii="Bookman Old Style" w:hAnsi="Bookman Old Style"/>
          <w:i/>
          <w:lang w:val="es-ES_tradnl"/>
        </w:rPr>
        <w:t>. Éstas podrán incluir la reposición de Inversión Existente (IE) ejecutada</w:t>
      </w:r>
      <w:r w:rsidRPr="0088380D" w:rsidDel="007E23AD">
        <w:rPr>
          <w:rFonts w:ascii="Bookman Old Style" w:hAnsi="Bookman Old Style"/>
          <w:i/>
          <w:lang w:val="es-ES_tradnl"/>
        </w:rPr>
        <w:t xml:space="preserve"> </w:t>
      </w:r>
      <w:r w:rsidRPr="0088380D">
        <w:rPr>
          <w:rFonts w:ascii="Bookman Old Style" w:hAnsi="Bookman Old Style"/>
          <w:i/>
          <w:lang w:val="es-ES_tradnl"/>
        </w:rPr>
        <w:t xml:space="preserve">durante el período tarifario que culmina. En caso de corresponder a nuevas Unidades Constructivas se toma el valor de éstas tal y como están definidas en el </w:t>
      </w:r>
      <w:r w:rsidR="005F55B3">
        <w:rPr>
          <w:rFonts w:ascii="Bookman Old Style" w:hAnsi="Bookman Old Style"/>
          <w:i/>
          <w:lang w:val="es-ES_tradnl"/>
        </w:rPr>
        <w:t>ANEXO 8</w:t>
      </w:r>
      <w:r w:rsidRPr="0088380D">
        <w:rPr>
          <w:rFonts w:ascii="Bookman Old Style" w:hAnsi="Bookman Old Style"/>
          <w:i/>
          <w:lang w:val="es-ES_tradnl"/>
        </w:rPr>
        <w:t>. Esta inversión expresada a pesos de la Fecha Base</w:t>
      </w:r>
      <w:r>
        <w:rPr>
          <w:rFonts w:ascii="Bookman Old Style" w:hAnsi="Bookman Old Style"/>
          <w:lang w:val="es-ES_tradnl"/>
        </w:rPr>
        <w:t>”</w:t>
      </w:r>
      <w:r w:rsidRPr="000B65DE">
        <w:rPr>
          <w:rFonts w:ascii="Bookman Old Style" w:hAnsi="Bookman Old Style"/>
          <w:lang w:val="es-ES_tradnl"/>
        </w:rPr>
        <w:t>.</w:t>
      </w:r>
    </w:p>
    <w:p w14:paraId="1F17F3C2" w14:textId="0DE126BF" w:rsidR="00073AF2" w:rsidRPr="00B54287" w:rsidRDefault="00073AF2" w:rsidP="00073AF2">
      <w:pPr>
        <w:spacing w:before="240" w:after="240"/>
        <w:ind w:left="0"/>
        <w:jc w:val="both"/>
        <w:rPr>
          <w:rFonts w:ascii="Bookman Old Style" w:hAnsi="Bookman Old Style"/>
          <w:lang w:val="es-ES_tradnl"/>
        </w:rPr>
      </w:pPr>
      <w:r w:rsidRPr="00B54287">
        <w:rPr>
          <w:rFonts w:ascii="Bookman Old Style" w:hAnsi="Bookman Old Style"/>
          <w:lang w:val="es-ES_tradnl"/>
        </w:rPr>
        <w:t xml:space="preserve">El </w:t>
      </w:r>
      <w:r w:rsidR="00B54287" w:rsidRPr="00B54287">
        <w:rPr>
          <w:rFonts w:ascii="Bookman Old Style" w:hAnsi="Bookman Old Style"/>
          <w:lang w:val="es-ES_tradnl"/>
        </w:rPr>
        <w:fldChar w:fldCharType="begin"/>
      </w:r>
      <w:r w:rsidR="00B54287" w:rsidRPr="00B54287">
        <w:rPr>
          <w:rFonts w:ascii="Bookman Old Style" w:hAnsi="Bookman Old Style"/>
          <w:lang w:val="es-ES_tradnl"/>
        </w:rPr>
        <w:instrText xml:space="preserve"> REF _Ref530392472 \h  \* MERGEFORMAT </w:instrText>
      </w:r>
      <w:r w:rsidR="00B54287" w:rsidRPr="00B54287">
        <w:rPr>
          <w:rFonts w:ascii="Bookman Old Style" w:hAnsi="Bookman Old Style"/>
          <w:lang w:val="es-ES_tradnl"/>
        </w:rPr>
      </w:r>
      <w:r w:rsidR="00B54287" w:rsidRPr="00B54287">
        <w:rPr>
          <w:rFonts w:ascii="Bookman Old Style" w:hAnsi="Bookman Old Style"/>
          <w:lang w:val="es-ES_tradnl"/>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13</w:t>
      </w:r>
      <w:r w:rsidR="00B54287" w:rsidRPr="00B54287">
        <w:rPr>
          <w:rFonts w:ascii="Bookman Old Style" w:hAnsi="Bookman Old Style"/>
          <w:lang w:val="es-ES_tradnl"/>
        </w:rPr>
        <w:fldChar w:fldCharType="end"/>
      </w:r>
      <w:r w:rsidR="00B54287" w:rsidRPr="00B54287">
        <w:rPr>
          <w:rFonts w:ascii="Bookman Old Style" w:hAnsi="Bookman Old Style"/>
          <w:lang w:val="es-ES_tradnl"/>
        </w:rPr>
        <w:t xml:space="preserve"> </w:t>
      </w:r>
      <w:r w:rsidRPr="00B54287">
        <w:rPr>
          <w:rFonts w:ascii="Bookman Old Style" w:hAnsi="Bookman Old Style"/>
          <w:lang w:val="es-ES_tradnl"/>
        </w:rPr>
        <w:t>muestra la IPE e INPE solicitada por la empresa GASES DE LA GUAJIRA S.A. E.S.P. y la aprobada en la Resolución CREG 027 de 2018.</w:t>
      </w:r>
      <w:r w:rsidR="00B54287" w:rsidRPr="00B54287">
        <w:rPr>
          <w:rFonts w:ascii="Bookman Old Style" w:hAnsi="Bookman Old Style"/>
          <w:lang w:val="es-ES_tradnl"/>
        </w:rPr>
        <w:t xml:space="preserve"> Se observa que no existen diferencias entre lo solicitado y lo aprobado, a excepción de la unidad constructiva AMERP que fue reportada por la empresa como </w:t>
      </w:r>
      <w:r w:rsidR="00B54287" w:rsidRPr="00B54287">
        <w:rPr>
          <w:rFonts w:ascii="Bookman Old Style" w:hAnsi="Bookman Old Style"/>
          <w:lang w:val="es-ES_tradnl"/>
        </w:rPr>
        <w:lastRenderedPageBreak/>
        <w:t>Inversión Existente (IE) pero con el año 2014 como fecha de inicio de operación, por lo que se reconoció dentro de la INPE.</w:t>
      </w:r>
    </w:p>
    <w:p w14:paraId="74EF2381" w14:textId="26BB1AF5" w:rsidR="00B54287" w:rsidRDefault="00B54287" w:rsidP="00B54287">
      <w:pPr>
        <w:keepNext/>
        <w:adjustRightInd w:val="0"/>
        <w:spacing w:before="240"/>
        <w:ind w:left="0" w:right="23"/>
        <w:jc w:val="center"/>
        <w:rPr>
          <w:rFonts w:ascii="Bookman Old Style" w:hAnsi="Bookman Old Style"/>
          <w:b/>
        </w:rPr>
      </w:pPr>
      <w:bookmarkStart w:id="13" w:name="_Ref530392472"/>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13</w:t>
      </w:r>
      <w:r w:rsidRPr="005F5D91">
        <w:rPr>
          <w:rFonts w:ascii="Bookman Old Style" w:hAnsi="Bookman Old Style"/>
          <w:b/>
        </w:rPr>
        <w:fldChar w:fldCharType="end"/>
      </w:r>
      <w:bookmarkEnd w:id="13"/>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1513"/>
        <w:gridCol w:w="1514"/>
        <w:gridCol w:w="1514"/>
      </w:tblGrid>
      <w:tr w:rsidR="00BC22FD" w:rsidRPr="00073AF2" w14:paraId="3A7C51EF" w14:textId="77777777" w:rsidTr="005A0D14">
        <w:trPr>
          <w:trHeight w:val="300"/>
          <w:tblHeader/>
          <w:jc w:val="center"/>
        </w:trPr>
        <w:tc>
          <w:tcPr>
            <w:tcW w:w="2547" w:type="dxa"/>
            <w:shd w:val="clear" w:color="auto" w:fill="D9D9D9" w:themeFill="background1" w:themeFillShade="D9"/>
            <w:noWrap/>
            <w:vAlign w:val="center"/>
            <w:hideMark/>
          </w:tcPr>
          <w:p w14:paraId="1531F763" w14:textId="77777777" w:rsidR="00073AF2" w:rsidRPr="00073AF2" w:rsidRDefault="00073AF2" w:rsidP="005A0D14">
            <w:pPr>
              <w:ind w:left="0"/>
              <w:jc w:val="center"/>
              <w:rPr>
                <w:rFonts w:ascii="Bookman Old Style" w:hAnsi="Bookman Old Style"/>
                <w:sz w:val="20"/>
                <w:szCs w:val="20"/>
                <w:lang w:val="es-CO" w:eastAsia="es-CO"/>
              </w:rPr>
            </w:pPr>
            <w:r w:rsidRPr="005A0D14">
              <w:rPr>
                <w:rFonts w:ascii="Bookman Old Style" w:hAnsi="Bookman Old Style"/>
                <w:b/>
                <w:sz w:val="20"/>
                <w:szCs w:val="20"/>
                <w:lang w:val="es-ES_tradnl"/>
              </w:rPr>
              <w:t>Unidad constructiva</w:t>
            </w:r>
          </w:p>
        </w:tc>
        <w:tc>
          <w:tcPr>
            <w:tcW w:w="1513" w:type="dxa"/>
            <w:shd w:val="clear" w:color="auto" w:fill="D9D9D9" w:themeFill="background1" w:themeFillShade="D9"/>
            <w:noWrap/>
            <w:vAlign w:val="center"/>
            <w:hideMark/>
          </w:tcPr>
          <w:p w14:paraId="38EC5D9E" w14:textId="77777777" w:rsidR="00073AF2" w:rsidRPr="00073AF2" w:rsidRDefault="00BC22FD" w:rsidP="005A0D14">
            <w:pPr>
              <w:ind w:left="0"/>
              <w:jc w:val="center"/>
              <w:rPr>
                <w:rFonts w:ascii="Bookman Old Style" w:hAnsi="Bookman Old Style"/>
                <w:color w:val="000000"/>
                <w:sz w:val="20"/>
                <w:szCs w:val="20"/>
                <w:lang w:val="es-CO" w:eastAsia="es-CO"/>
              </w:rPr>
            </w:pPr>
            <w:r w:rsidRPr="005A0D14">
              <w:rPr>
                <w:rFonts w:ascii="Bookman Old Style" w:hAnsi="Bookman Old Style"/>
                <w:b/>
                <w:sz w:val="20"/>
                <w:szCs w:val="20"/>
                <w:lang w:val="es-ES_tradnl"/>
              </w:rPr>
              <w:t>Cantidad solicitada (km)</w:t>
            </w:r>
          </w:p>
        </w:tc>
        <w:tc>
          <w:tcPr>
            <w:tcW w:w="1514" w:type="dxa"/>
            <w:shd w:val="clear" w:color="auto" w:fill="D9D9D9" w:themeFill="background1" w:themeFillShade="D9"/>
            <w:noWrap/>
            <w:vAlign w:val="center"/>
            <w:hideMark/>
          </w:tcPr>
          <w:p w14:paraId="5ED04944" w14:textId="77777777" w:rsidR="00BC22FD" w:rsidRPr="005A0D14" w:rsidRDefault="00BC22FD" w:rsidP="005A0D14">
            <w:pPr>
              <w:ind w:left="22"/>
              <w:jc w:val="center"/>
              <w:rPr>
                <w:rFonts w:ascii="Bookman Old Style" w:hAnsi="Bookman Old Style"/>
                <w:b/>
                <w:sz w:val="20"/>
                <w:szCs w:val="20"/>
                <w:lang w:val="es-ES_tradnl"/>
              </w:rPr>
            </w:pPr>
            <w:r w:rsidRPr="005A0D14">
              <w:rPr>
                <w:rFonts w:ascii="Bookman Old Style" w:hAnsi="Bookman Old Style"/>
                <w:b/>
                <w:sz w:val="20"/>
                <w:szCs w:val="20"/>
                <w:lang w:val="es-ES_tradnl"/>
              </w:rPr>
              <w:t>Aprobada</w:t>
            </w:r>
          </w:p>
          <w:p w14:paraId="7797B1DB" w14:textId="77777777" w:rsidR="00073AF2" w:rsidRPr="00073AF2" w:rsidRDefault="00BC22FD" w:rsidP="005A0D14">
            <w:pPr>
              <w:ind w:left="0"/>
              <w:jc w:val="center"/>
              <w:rPr>
                <w:rFonts w:ascii="Bookman Old Style" w:hAnsi="Bookman Old Style"/>
                <w:color w:val="000000"/>
                <w:sz w:val="20"/>
                <w:szCs w:val="20"/>
                <w:lang w:val="es-CO" w:eastAsia="es-CO"/>
              </w:rPr>
            </w:pPr>
            <w:r w:rsidRPr="005A0D14">
              <w:rPr>
                <w:rFonts w:ascii="Bookman Old Style" w:hAnsi="Bookman Old Style"/>
                <w:b/>
                <w:sz w:val="20"/>
                <w:szCs w:val="20"/>
                <w:lang w:val="es-ES_tradnl"/>
              </w:rPr>
              <w:t>Res. 027/18 (km)</w:t>
            </w:r>
          </w:p>
        </w:tc>
        <w:tc>
          <w:tcPr>
            <w:tcW w:w="1514" w:type="dxa"/>
            <w:shd w:val="clear" w:color="auto" w:fill="D9D9D9" w:themeFill="background1" w:themeFillShade="D9"/>
            <w:noWrap/>
            <w:vAlign w:val="center"/>
            <w:hideMark/>
          </w:tcPr>
          <w:p w14:paraId="118F1DF1" w14:textId="77777777" w:rsidR="00073AF2" w:rsidRPr="00073AF2" w:rsidRDefault="00073AF2" w:rsidP="005A0D14">
            <w:pPr>
              <w:ind w:left="0"/>
              <w:jc w:val="center"/>
              <w:rPr>
                <w:rFonts w:ascii="Bookman Old Style" w:hAnsi="Bookman Old Style"/>
                <w:b/>
                <w:sz w:val="20"/>
                <w:szCs w:val="20"/>
                <w:lang w:val="es-ES_tradnl"/>
              </w:rPr>
            </w:pPr>
            <w:r w:rsidRPr="00073AF2">
              <w:rPr>
                <w:rFonts w:ascii="Bookman Old Style" w:hAnsi="Bookman Old Style"/>
                <w:b/>
                <w:sz w:val="20"/>
                <w:szCs w:val="20"/>
                <w:lang w:val="es-ES_tradnl"/>
              </w:rPr>
              <w:t>Diferencia</w:t>
            </w:r>
          </w:p>
        </w:tc>
      </w:tr>
      <w:tr w:rsidR="005A0D14" w:rsidRPr="00073AF2" w14:paraId="41363797" w14:textId="77777777" w:rsidTr="005A0D14">
        <w:trPr>
          <w:trHeight w:val="300"/>
          <w:jc w:val="center"/>
        </w:trPr>
        <w:tc>
          <w:tcPr>
            <w:tcW w:w="2547" w:type="dxa"/>
            <w:shd w:val="clear" w:color="auto" w:fill="auto"/>
            <w:noWrap/>
            <w:vAlign w:val="center"/>
            <w:hideMark/>
          </w:tcPr>
          <w:p w14:paraId="4E601E2E"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AMERP</w:t>
            </w:r>
            <w:r w:rsidR="00BC22FD" w:rsidRPr="005A0D14">
              <w:rPr>
                <w:rFonts w:ascii="Bookman Old Style" w:hAnsi="Bookman Old Style"/>
                <w:color w:val="000000"/>
                <w:sz w:val="20"/>
                <w:szCs w:val="20"/>
                <w:lang w:val="es-CO" w:eastAsia="es-CO"/>
              </w:rPr>
              <w:t xml:space="preserve"> (Nota 1)</w:t>
            </w:r>
          </w:p>
        </w:tc>
        <w:tc>
          <w:tcPr>
            <w:tcW w:w="1513" w:type="dxa"/>
            <w:shd w:val="clear" w:color="auto" w:fill="auto"/>
            <w:noWrap/>
            <w:vAlign w:val="center"/>
            <w:hideMark/>
          </w:tcPr>
          <w:p w14:paraId="5872BB2D"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c>
          <w:tcPr>
            <w:tcW w:w="1514" w:type="dxa"/>
            <w:shd w:val="clear" w:color="auto" w:fill="auto"/>
            <w:noWrap/>
            <w:vAlign w:val="center"/>
            <w:hideMark/>
          </w:tcPr>
          <w:p w14:paraId="44839FD7" w14:textId="77777777" w:rsidR="00073AF2" w:rsidRPr="00073AF2" w:rsidRDefault="00073AF2"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1</w:t>
            </w:r>
            <w:r w:rsidR="00BC22FD" w:rsidRPr="005A0D14">
              <w:rPr>
                <w:rFonts w:ascii="Bookman Old Style" w:hAnsi="Bookman Old Style"/>
                <w:color w:val="000000"/>
                <w:sz w:val="20"/>
                <w:szCs w:val="20"/>
                <w:lang w:val="es-CO" w:eastAsia="es-CO"/>
              </w:rPr>
              <w:t>,</w:t>
            </w:r>
            <w:r w:rsidRPr="005A0D14">
              <w:rPr>
                <w:rFonts w:ascii="Bookman Old Style" w:hAnsi="Bookman Old Style"/>
                <w:color w:val="000000"/>
                <w:sz w:val="20"/>
                <w:szCs w:val="20"/>
                <w:lang w:val="es-CO" w:eastAsia="es-CO"/>
              </w:rPr>
              <w:t>00</w:t>
            </w:r>
          </w:p>
        </w:tc>
        <w:tc>
          <w:tcPr>
            <w:tcW w:w="1514" w:type="dxa"/>
            <w:shd w:val="clear" w:color="auto" w:fill="auto"/>
            <w:noWrap/>
            <w:vAlign w:val="center"/>
            <w:hideMark/>
          </w:tcPr>
          <w:p w14:paraId="0897C391"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w:t>
            </w:r>
            <w:r w:rsidR="00BC22FD" w:rsidRPr="005A0D14">
              <w:rPr>
                <w:rFonts w:ascii="Bookman Old Style" w:hAnsi="Bookman Old Style"/>
                <w:color w:val="000000"/>
                <w:sz w:val="20"/>
                <w:szCs w:val="20"/>
                <w:lang w:val="es-CO" w:eastAsia="es-CO"/>
              </w:rPr>
              <w:t>.00</w:t>
            </w:r>
          </w:p>
        </w:tc>
      </w:tr>
      <w:tr w:rsidR="005A0D14" w:rsidRPr="00073AF2" w14:paraId="4E9A2FEA" w14:textId="77777777" w:rsidTr="005A0D14">
        <w:trPr>
          <w:trHeight w:val="300"/>
          <w:jc w:val="center"/>
        </w:trPr>
        <w:tc>
          <w:tcPr>
            <w:tcW w:w="2547" w:type="dxa"/>
            <w:shd w:val="clear" w:color="auto" w:fill="auto"/>
            <w:noWrap/>
            <w:vAlign w:val="center"/>
            <w:hideMark/>
          </w:tcPr>
          <w:p w14:paraId="57FF723F"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CUSTM000062</w:t>
            </w:r>
            <w:r w:rsidR="00BC22FD" w:rsidRPr="005A0D14">
              <w:rPr>
                <w:rFonts w:ascii="Bookman Old Style" w:hAnsi="Bookman Old Style"/>
                <w:color w:val="000000"/>
                <w:sz w:val="20"/>
                <w:szCs w:val="20"/>
                <w:lang w:val="es-CO" w:eastAsia="es-CO"/>
              </w:rPr>
              <w:t xml:space="preserve"> (Nota 1)</w:t>
            </w:r>
          </w:p>
        </w:tc>
        <w:tc>
          <w:tcPr>
            <w:tcW w:w="1513" w:type="dxa"/>
            <w:shd w:val="clear" w:color="auto" w:fill="auto"/>
            <w:noWrap/>
            <w:vAlign w:val="center"/>
            <w:hideMark/>
          </w:tcPr>
          <w:p w14:paraId="7DCEC548"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007358AA"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641D2ED3"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49993655" w14:textId="77777777" w:rsidTr="005A0D14">
        <w:trPr>
          <w:trHeight w:val="300"/>
          <w:jc w:val="center"/>
        </w:trPr>
        <w:tc>
          <w:tcPr>
            <w:tcW w:w="2547" w:type="dxa"/>
            <w:shd w:val="clear" w:color="auto" w:fill="auto"/>
            <w:noWrap/>
            <w:vAlign w:val="center"/>
            <w:hideMark/>
          </w:tcPr>
          <w:p w14:paraId="0C2D1275"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CUSTM000498</w:t>
            </w:r>
            <w:r w:rsidR="00BC22FD" w:rsidRPr="005A0D14">
              <w:rPr>
                <w:rFonts w:ascii="Bookman Old Style" w:hAnsi="Bookman Old Style"/>
                <w:color w:val="000000"/>
                <w:sz w:val="20"/>
                <w:szCs w:val="20"/>
                <w:lang w:val="es-CO" w:eastAsia="es-CO"/>
              </w:rPr>
              <w:t xml:space="preserve"> (Nota 1)</w:t>
            </w:r>
          </w:p>
        </w:tc>
        <w:tc>
          <w:tcPr>
            <w:tcW w:w="1513" w:type="dxa"/>
            <w:shd w:val="clear" w:color="auto" w:fill="auto"/>
            <w:noWrap/>
            <w:vAlign w:val="center"/>
            <w:hideMark/>
          </w:tcPr>
          <w:p w14:paraId="3829BBF1"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341BD130"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2A34E09A"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7801A63D" w14:textId="77777777" w:rsidTr="005A0D14">
        <w:trPr>
          <w:trHeight w:val="300"/>
          <w:jc w:val="center"/>
        </w:trPr>
        <w:tc>
          <w:tcPr>
            <w:tcW w:w="2547" w:type="dxa"/>
            <w:shd w:val="clear" w:color="auto" w:fill="auto"/>
            <w:noWrap/>
            <w:vAlign w:val="center"/>
            <w:hideMark/>
          </w:tcPr>
          <w:p w14:paraId="15C6322C"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ERP 3T3</w:t>
            </w:r>
            <w:r w:rsidR="00BC22FD" w:rsidRPr="005A0D14">
              <w:rPr>
                <w:rFonts w:ascii="Bookman Old Style" w:hAnsi="Bookman Old Style"/>
                <w:color w:val="000000"/>
                <w:sz w:val="20"/>
                <w:szCs w:val="20"/>
                <w:lang w:val="es-CO" w:eastAsia="es-CO"/>
              </w:rPr>
              <w:t xml:space="preserve"> (Nota 1)</w:t>
            </w:r>
          </w:p>
        </w:tc>
        <w:tc>
          <w:tcPr>
            <w:tcW w:w="1513" w:type="dxa"/>
            <w:shd w:val="clear" w:color="auto" w:fill="auto"/>
            <w:noWrap/>
            <w:vAlign w:val="center"/>
            <w:hideMark/>
          </w:tcPr>
          <w:p w14:paraId="6F7F8CE9"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0B4DB910"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tcPr>
          <w:p w14:paraId="3FC15C60"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6E91A49A" w14:textId="77777777" w:rsidTr="005A0D14">
        <w:trPr>
          <w:trHeight w:val="300"/>
          <w:jc w:val="center"/>
        </w:trPr>
        <w:tc>
          <w:tcPr>
            <w:tcW w:w="2547" w:type="dxa"/>
            <w:shd w:val="clear" w:color="auto" w:fill="auto"/>
            <w:noWrap/>
            <w:vAlign w:val="center"/>
            <w:hideMark/>
          </w:tcPr>
          <w:p w14:paraId="72536A6B"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PLI02</w:t>
            </w:r>
            <w:r w:rsidR="00BC22FD" w:rsidRPr="005A0D14">
              <w:rPr>
                <w:rFonts w:ascii="Bookman Old Style" w:hAnsi="Bookman Old Style"/>
                <w:color w:val="000000"/>
                <w:sz w:val="20"/>
                <w:szCs w:val="20"/>
                <w:lang w:val="es-CO" w:eastAsia="es-CO"/>
              </w:rPr>
              <w:t xml:space="preserve"> (Nota 1)</w:t>
            </w:r>
          </w:p>
        </w:tc>
        <w:tc>
          <w:tcPr>
            <w:tcW w:w="1513" w:type="dxa"/>
            <w:shd w:val="clear" w:color="auto" w:fill="auto"/>
            <w:noWrap/>
            <w:vAlign w:val="center"/>
            <w:hideMark/>
          </w:tcPr>
          <w:p w14:paraId="0526793F"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3006086E"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tcPr>
          <w:p w14:paraId="727E33AF"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05DA7F7E" w14:textId="77777777" w:rsidTr="005A0D14">
        <w:trPr>
          <w:trHeight w:val="300"/>
          <w:jc w:val="center"/>
        </w:trPr>
        <w:tc>
          <w:tcPr>
            <w:tcW w:w="2547" w:type="dxa"/>
            <w:shd w:val="clear" w:color="auto" w:fill="auto"/>
            <w:noWrap/>
            <w:vAlign w:val="center"/>
            <w:hideMark/>
          </w:tcPr>
          <w:p w14:paraId="646494AA"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TMP-1</w:t>
            </w:r>
            <w:r w:rsidR="00BC22FD" w:rsidRPr="005A0D14">
              <w:rPr>
                <w:rFonts w:ascii="Bookman Old Style" w:hAnsi="Bookman Old Style"/>
                <w:color w:val="000000"/>
                <w:sz w:val="20"/>
                <w:szCs w:val="20"/>
                <w:lang w:val="es-CO" w:eastAsia="es-CO"/>
              </w:rPr>
              <w:t xml:space="preserve"> (Nota 1)</w:t>
            </w:r>
          </w:p>
        </w:tc>
        <w:tc>
          <w:tcPr>
            <w:tcW w:w="1513" w:type="dxa"/>
            <w:shd w:val="clear" w:color="auto" w:fill="auto"/>
            <w:noWrap/>
            <w:vAlign w:val="center"/>
            <w:hideMark/>
          </w:tcPr>
          <w:p w14:paraId="01A82D2E"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2BD9F502"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tcPr>
          <w:p w14:paraId="63992983"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565EEBE0" w14:textId="77777777" w:rsidTr="005A0D14">
        <w:trPr>
          <w:trHeight w:val="300"/>
          <w:jc w:val="center"/>
        </w:trPr>
        <w:tc>
          <w:tcPr>
            <w:tcW w:w="2547" w:type="dxa"/>
            <w:shd w:val="clear" w:color="auto" w:fill="auto"/>
            <w:noWrap/>
            <w:vAlign w:val="center"/>
            <w:hideMark/>
          </w:tcPr>
          <w:p w14:paraId="2A59A7FE"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TMP-2</w:t>
            </w:r>
            <w:r w:rsidR="00BC22FD" w:rsidRPr="005A0D14">
              <w:rPr>
                <w:rFonts w:ascii="Bookman Old Style" w:hAnsi="Bookman Old Style"/>
                <w:color w:val="000000"/>
                <w:sz w:val="20"/>
                <w:szCs w:val="20"/>
                <w:lang w:val="es-CO" w:eastAsia="es-CO"/>
              </w:rPr>
              <w:t xml:space="preserve"> (Nota 1)</w:t>
            </w:r>
          </w:p>
        </w:tc>
        <w:tc>
          <w:tcPr>
            <w:tcW w:w="1513" w:type="dxa"/>
            <w:shd w:val="clear" w:color="auto" w:fill="auto"/>
            <w:noWrap/>
            <w:vAlign w:val="center"/>
            <w:hideMark/>
          </w:tcPr>
          <w:p w14:paraId="4C8E7CFC"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115DB4DA"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tcPr>
          <w:p w14:paraId="52EFD8D9"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16C2F8C4" w14:textId="77777777" w:rsidTr="005A0D14">
        <w:trPr>
          <w:trHeight w:val="300"/>
          <w:jc w:val="center"/>
        </w:trPr>
        <w:tc>
          <w:tcPr>
            <w:tcW w:w="2547" w:type="dxa"/>
            <w:shd w:val="clear" w:color="auto" w:fill="auto"/>
            <w:noWrap/>
            <w:vAlign w:val="center"/>
            <w:hideMark/>
          </w:tcPr>
          <w:p w14:paraId="128BD18F"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TMP-20</w:t>
            </w:r>
            <w:r w:rsidR="00BC22FD" w:rsidRPr="005A0D14">
              <w:rPr>
                <w:rFonts w:ascii="Bookman Old Style" w:hAnsi="Bookman Old Style"/>
                <w:color w:val="000000"/>
                <w:sz w:val="20"/>
                <w:szCs w:val="20"/>
                <w:lang w:val="es-CO" w:eastAsia="es-CO"/>
              </w:rPr>
              <w:t xml:space="preserve"> (Nota 1)</w:t>
            </w:r>
          </w:p>
        </w:tc>
        <w:tc>
          <w:tcPr>
            <w:tcW w:w="1513" w:type="dxa"/>
            <w:shd w:val="clear" w:color="auto" w:fill="auto"/>
            <w:noWrap/>
            <w:vAlign w:val="center"/>
            <w:hideMark/>
          </w:tcPr>
          <w:p w14:paraId="18F324FB"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42DE7658"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tcPr>
          <w:p w14:paraId="6B6EDA8B"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15D2D77E" w14:textId="77777777" w:rsidTr="005A0D14">
        <w:trPr>
          <w:trHeight w:val="300"/>
          <w:jc w:val="center"/>
        </w:trPr>
        <w:tc>
          <w:tcPr>
            <w:tcW w:w="2547" w:type="dxa"/>
            <w:shd w:val="clear" w:color="auto" w:fill="auto"/>
            <w:noWrap/>
            <w:vAlign w:val="center"/>
            <w:hideMark/>
          </w:tcPr>
          <w:p w14:paraId="50CE2AD4"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TMP-3</w:t>
            </w:r>
            <w:r w:rsidR="00BC22FD" w:rsidRPr="005A0D14">
              <w:rPr>
                <w:rFonts w:ascii="Bookman Old Style" w:hAnsi="Bookman Old Style"/>
                <w:color w:val="000000"/>
                <w:sz w:val="20"/>
                <w:szCs w:val="20"/>
                <w:lang w:val="es-CO" w:eastAsia="es-CO"/>
              </w:rPr>
              <w:t xml:space="preserve"> (Nota 1)</w:t>
            </w:r>
          </w:p>
        </w:tc>
        <w:tc>
          <w:tcPr>
            <w:tcW w:w="1513" w:type="dxa"/>
            <w:shd w:val="clear" w:color="auto" w:fill="auto"/>
            <w:noWrap/>
            <w:vAlign w:val="center"/>
            <w:hideMark/>
          </w:tcPr>
          <w:p w14:paraId="104DE6A1"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17955946"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tcPr>
          <w:p w14:paraId="578EA167"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69D21496" w14:textId="77777777" w:rsidTr="005A0D14">
        <w:trPr>
          <w:trHeight w:val="300"/>
          <w:jc w:val="center"/>
        </w:trPr>
        <w:tc>
          <w:tcPr>
            <w:tcW w:w="2547" w:type="dxa"/>
            <w:shd w:val="clear" w:color="auto" w:fill="auto"/>
            <w:noWrap/>
            <w:vAlign w:val="center"/>
            <w:hideMark/>
          </w:tcPr>
          <w:p w14:paraId="54A1C5E7"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TMP-4</w:t>
            </w:r>
            <w:r w:rsidR="00BC22FD" w:rsidRPr="005A0D14">
              <w:rPr>
                <w:rFonts w:ascii="Bookman Old Style" w:hAnsi="Bookman Old Style"/>
                <w:color w:val="000000"/>
                <w:sz w:val="20"/>
                <w:szCs w:val="20"/>
                <w:lang w:val="es-CO" w:eastAsia="es-CO"/>
              </w:rPr>
              <w:t xml:space="preserve"> (Nota 1)</w:t>
            </w:r>
          </w:p>
        </w:tc>
        <w:tc>
          <w:tcPr>
            <w:tcW w:w="1513" w:type="dxa"/>
            <w:shd w:val="clear" w:color="auto" w:fill="auto"/>
            <w:noWrap/>
            <w:vAlign w:val="center"/>
            <w:hideMark/>
          </w:tcPr>
          <w:p w14:paraId="5D32138C"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23</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6524B986"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23</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tcPr>
          <w:p w14:paraId="4CEE3773"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7F993951" w14:textId="77777777" w:rsidTr="005A0D14">
        <w:trPr>
          <w:trHeight w:val="300"/>
          <w:jc w:val="center"/>
        </w:trPr>
        <w:tc>
          <w:tcPr>
            <w:tcW w:w="2547" w:type="dxa"/>
            <w:shd w:val="clear" w:color="auto" w:fill="auto"/>
            <w:noWrap/>
            <w:vAlign w:val="center"/>
            <w:hideMark/>
          </w:tcPr>
          <w:p w14:paraId="3B6CA837"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TPE1/2AS</w:t>
            </w:r>
          </w:p>
        </w:tc>
        <w:tc>
          <w:tcPr>
            <w:tcW w:w="1513" w:type="dxa"/>
            <w:shd w:val="clear" w:color="auto" w:fill="auto"/>
            <w:noWrap/>
            <w:vAlign w:val="center"/>
            <w:hideMark/>
          </w:tcPr>
          <w:p w14:paraId="527E2B22"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44</w:t>
            </w:r>
          </w:p>
        </w:tc>
        <w:tc>
          <w:tcPr>
            <w:tcW w:w="1514" w:type="dxa"/>
            <w:shd w:val="clear" w:color="auto" w:fill="auto"/>
            <w:noWrap/>
            <w:vAlign w:val="center"/>
            <w:hideMark/>
          </w:tcPr>
          <w:p w14:paraId="4D49996F"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44</w:t>
            </w:r>
          </w:p>
        </w:tc>
        <w:tc>
          <w:tcPr>
            <w:tcW w:w="1514" w:type="dxa"/>
            <w:shd w:val="clear" w:color="auto" w:fill="auto"/>
            <w:noWrap/>
            <w:vAlign w:val="center"/>
          </w:tcPr>
          <w:p w14:paraId="1B900840"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1D9C3A61" w14:textId="77777777" w:rsidTr="005A0D14">
        <w:trPr>
          <w:trHeight w:val="300"/>
          <w:jc w:val="center"/>
        </w:trPr>
        <w:tc>
          <w:tcPr>
            <w:tcW w:w="2547" w:type="dxa"/>
            <w:shd w:val="clear" w:color="auto" w:fill="auto"/>
            <w:noWrap/>
            <w:vAlign w:val="center"/>
            <w:hideMark/>
          </w:tcPr>
          <w:p w14:paraId="3438CFDD"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TPE1/2CO</w:t>
            </w:r>
          </w:p>
        </w:tc>
        <w:tc>
          <w:tcPr>
            <w:tcW w:w="1513" w:type="dxa"/>
            <w:shd w:val="clear" w:color="auto" w:fill="auto"/>
            <w:noWrap/>
            <w:vAlign w:val="center"/>
            <w:hideMark/>
          </w:tcPr>
          <w:p w14:paraId="028B1972"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18</w:t>
            </w:r>
          </w:p>
        </w:tc>
        <w:tc>
          <w:tcPr>
            <w:tcW w:w="1514" w:type="dxa"/>
            <w:shd w:val="clear" w:color="auto" w:fill="auto"/>
            <w:noWrap/>
            <w:vAlign w:val="center"/>
            <w:hideMark/>
          </w:tcPr>
          <w:p w14:paraId="2D5BDAD2"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12</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18</w:t>
            </w:r>
          </w:p>
        </w:tc>
        <w:tc>
          <w:tcPr>
            <w:tcW w:w="1514" w:type="dxa"/>
            <w:shd w:val="clear" w:color="auto" w:fill="auto"/>
            <w:noWrap/>
            <w:vAlign w:val="center"/>
          </w:tcPr>
          <w:p w14:paraId="37E66ACE"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2F12478A" w14:textId="77777777" w:rsidTr="005A0D14">
        <w:trPr>
          <w:trHeight w:val="300"/>
          <w:jc w:val="center"/>
        </w:trPr>
        <w:tc>
          <w:tcPr>
            <w:tcW w:w="2547" w:type="dxa"/>
            <w:shd w:val="clear" w:color="auto" w:fill="auto"/>
            <w:noWrap/>
            <w:vAlign w:val="center"/>
            <w:hideMark/>
          </w:tcPr>
          <w:p w14:paraId="0D78510A"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TPE1/2TA</w:t>
            </w:r>
          </w:p>
        </w:tc>
        <w:tc>
          <w:tcPr>
            <w:tcW w:w="1513" w:type="dxa"/>
            <w:shd w:val="clear" w:color="auto" w:fill="auto"/>
            <w:noWrap/>
            <w:vAlign w:val="center"/>
            <w:hideMark/>
          </w:tcPr>
          <w:p w14:paraId="5BC9B024"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6</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06</w:t>
            </w:r>
          </w:p>
        </w:tc>
        <w:tc>
          <w:tcPr>
            <w:tcW w:w="1514" w:type="dxa"/>
            <w:shd w:val="clear" w:color="auto" w:fill="auto"/>
            <w:noWrap/>
            <w:vAlign w:val="center"/>
            <w:hideMark/>
          </w:tcPr>
          <w:p w14:paraId="6377482B"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6</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06</w:t>
            </w:r>
          </w:p>
        </w:tc>
        <w:tc>
          <w:tcPr>
            <w:tcW w:w="1514" w:type="dxa"/>
            <w:shd w:val="clear" w:color="auto" w:fill="auto"/>
            <w:noWrap/>
            <w:vAlign w:val="center"/>
          </w:tcPr>
          <w:p w14:paraId="72187375"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1C22B14A" w14:textId="77777777" w:rsidTr="005A0D14">
        <w:trPr>
          <w:trHeight w:val="300"/>
          <w:jc w:val="center"/>
        </w:trPr>
        <w:tc>
          <w:tcPr>
            <w:tcW w:w="2547" w:type="dxa"/>
            <w:shd w:val="clear" w:color="auto" w:fill="auto"/>
            <w:noWrap/>
            <w:vAlign w:val="center"/>
            <w:hideMark/>
          </w:tcPr>
          <w:p w14:paraId="6B4F52AB"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TPE1/2ZV</w:t>
            </w:r>
          </w:p>
        </w:tc>
        <w:tc>
          <w:tcPr>
            <w:tcW w:w="1513" w:type="dxa"/>
            <w:shd w:val="clear" w:color="auto" w:fill="auto"/>
            <w:noWrap/>
            <w:vAlign w:val="center"/>
            <w:hideMark/>
          </w:tcPr>
          <w:p w14:paraId="5D236CA5"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860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67</w:t>
            </w:r>
          </w:p>
        </w:tc>
        <w:tc>
          <w:tcPr>
            <w:tcW w:w="1514" w:type="dxa"/>
            <w:shd w:val="clear" w:color="auto" w:fill="auto"/>
            <w:noWrap/>
            <w:vAlign w:val="center"/>
            <w:hideMark/>
          </w:tcPr>
          <w:p w14:paraId="330BDFF7"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860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67</w:t>
            </w:r>
          </w:p>
        </w:tc>
        <w:tc>
          <w:tcPr>
            <w:tcW w:w="1514" w:type="dxa"/>
            <w:shd w:val="clear" w:color="auto" w:fill="auto"/>
            <w:noWrap/>
            <w:vAlign w:val="center"/>
          </w:tcPr>
          <w:p w14:paraId="699BE164"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5E874217" w14:textId="77777777" w:rsidTr="005A0D14">
        <w:trPr>
          <w:trHeight w:val="300"/>
          <w:jc w:val="center"/>
        </w:trPr>
        <w:tc>
          <w:tcPr>
            <w:tcW w:w="2547" w:type="dxa"/>
            <w:shd w:val="clear" w:color="auto" w:fill="auto"/>
            <w:noWrap/>
            <w:vAlign w:val="center"/>
            <w:hideMark/>
          </w:tcPr>
          <w:p w14:paraId="79F8364D"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TPE100-160ZV</w:t>
            </w:r>
          </w:p>
        </w:tc>
        <w:tc>
          <w:tcPr>
            <w:tcW w:w="1513" w:type="dxa"/>
            <w:shd w:val="clear" w:color="auto" w:fill="auto"/>
            <w:noWrap/>
            <w:vAlign w:val="center"/>
            <w:hideMark/>
          </w:tcPr>
          <w:p w14:paraId="424820AF"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8</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32</w:t>
            </w:r>
          </w:p>
        </w:tc>
        <w:tc>
          <w:tcPr>
            <w:tcW w:w="1514" w:type="dxa"/>
            <w:shd w:val="clear" w:color="auto" w:fill="auto"/>
            <w:noWrap/>
            <w:vAlign w:val="center"/>
            <w:hideMark/>
          </w:tcPr>
          <w:p w14:paraId="641AA506"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8</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32</w:t>
            </w:r>
          </w:p>
        </w:tc>
        <w:tc>
          <w:tcPr>
            <w:tcW w:w="1514" w:type="dxa"/>
            <w:shd w:val="clear" w:color="auto" w:fill="auto"/>
            <w:noWrap/>
            <w:vAlign w:val="center"/>
          </w:tcPr>
          <w:p w14:paraId="6D39D402"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375DC13C" w14:textId="77777777" w:rsidTr="005A0D14">
        <w:trPr>
          <w:trHeight w:val="300"/>
          <w:jc w:val="center"/>
        </w:trPr>
        <w:tc>
          <w:tcPr>
            <w:tcW w:w="2547" w:type="dxa"/>
            <w:shd w:val="clear" w:color="auto" w:fill="auto"/>
            <w:noWrap/>
            <w:vAlign w:val="center"/>
            <w:hideMark/>
          </w:tcPr>
          <w:p w14:paraId="05FF65D1"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TPE100-90ZV</w:t>
            </w:r>
          </w:p>
        </w:tc>
        <w:tc>
          <w:tcPr>
            <w:tcW w:w="1513" w:type="dxa"/>
            <w:shd w:val="clear" w:color="auto" w:fill="auto"/>
            <w:noWrap/>
            <w:vAlign w:val="center"/>
            <w:hideMark/>
          </w:tcPr>
          <w:p w14:paraId="31F1C743"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02</w:t>
            </w:r>
          </w:p>
        </w:tc>
        <w:tc>
          <w:tcPr>
            <w:tcW w:w="1514" w:type="dxa"/>
            <w:shd w:val="clear" w:color="auto" w:fill="auto"/>
            <w:noWrap/>
            <w:vAlign w:val="center"/>
            <w:hideMark/>
          </w:tcPr>
          <w:p w14:paraId="237621FE"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02</w:t>
            </w:r>
          </w:p>
        </w:tc>
        <w:tc>
          <w:tcPr>
            <w:tcW w:w="1514" w:type="dxa"/>
            <w:shd w:val="clear" w:color="auto" w:fill="auto"/>
            <w:noWrap/>
            <w:vAlign w:val="center"/>
          </w:tcPr>
          <w:p w14:paraId="0602E026"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156A5BCA" w14:textId="77777777" w:rsidTr="005A0D14">
        <w:trPr>
          <w:trHeight w:val="300"/>
          <w:jc w:val="center"/>
        </w:trPr>
        <w:tc>
          <w:tcPr>
            <w:tcW w:w="2547" w:type="dxa"/>
            <w:shd w:val="clear" w:color="auto" w:fill="auto"/>
            <w:noWrap/>
            <w:vAlign w:val="center"/>
            <w:hideMark/>
          </w:tcPr>
          <w:p w14:paraId="22CAF3D0"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TPE1AS</w:t>
            </w:r>
          </w:p>
        </w:tc>
        <w:tc>
          <w:tcPr>
            <w:tcW w:w="1513" w:type="dxa"/>
            <w:shd w:val="clear" w:color="auto" w:fill="auto"/>
            <w:noWrap/>
            <w:vAlign w:val="center"/>
            <w:hideMark/>
          </w:tcPr>
          <w:p w14:paraId="5EF8444F"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36</w:t>
            </w:r>
          </w:p>
        </w:tc>
        <w:tc>
          <w:tcPr>
            <w:tcW w:w="1514" w:type="dxa"/>
            <w:shd w:val="clear" w:color="auto" w:fill="auto"/>
            <w:noWrap/>
            <w:vAlign w:val="center"/>
            <w:hideMark/>
          </w:tcPr>
          <w:p w14:paraId="75616B0E"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36</w:t>
            </w:r>
          </w:p>
        </w:tc>
        <w:tc>
          <w:tcPr>
            <w:tcW w:w="1514" w:type="dxa"/>
            <w:shd w:val="clear" w:color="auto" w:fill="auto"/>
            <w:noWrap/>
            <w:vAlign w:val="center"/>
          </w:tcPr>
          <w:p w14:paraId="3554E88E"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32AE09F2" w14:textId="77777777" w:rsidTr="005A0D14">
        <w:trPr>
          <w:trHeight w:val="300"/>
          <w:jc w:val="center"/>
        </w:trPr>
        <w:tc>
          <w:tcPr>
            <w:tcW w:w="2547" w:type="dxa"/>
            <w:shd w:val="clear" w:color="auto" w:fill="auto"/>
            <w:noWrap/>
            <w:vAlign w:val="center"/>
            <w:hideMark/>
          </w:tcPr>
          <w:p w14:paraId="2C5023CF"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TPE1CO</w:t>
            </w:r>
          </w:p>
        </w:tc>
        <w:tc>
          <w:tcPr>
            <w:tcW w:w="1513" w:type="dxa"/>
            <w:shd w:val="clear" w:color="auto" w:fill="auto"/>
            <w:noWrap/>
            <w:vAlign w:val="center"/>
            <w:hideMark/>
          </w:tcPr>
          <w:p w14:paraId="197A845C"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76</w:t>
            </w:r>
          </w:p>
        </w:tc>
        <w:tc>
          <w:tcPr>
            <w:tcW w:w="1514" w:type="dxa"/>
            <w:shd w:val="clear" w:color="auto" w:fill="auto"/>
            <w:noWrap/>
            <w:vAlign w:val="center"/>
            <w:hideMark/>
          </w:tcPr>
          <w:p w14:paraId="0C346DD4"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76</w:t>
            </w:r>
          </w:p>
        </w:tc>
        <w:tc>
          <w:tcPr>
            <w:tcW w:w="1514" w:type="dxa"/>
            <w:shd w:val="clear" w:color="auto" w:fill="auto"/>
            <w:noWrap/>
            <w:vAlign w:val="center"/>
          </w:tcPr>
          <w:p w14:paraId="52661E87"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4C91B86D" w14:textId="77777777" w:rsidTr="005A0D14">
        <w:trPr>
          <w:trHeight w:val="300"/>
          <w:jc w:val="center"/>
        </w:trPr>
        <w:tc>
          <w:tcPr>
            <w:tcW w:w="2547" w:type="dxa"/>
            <w:shd w:val="clear" w:color="auto" w:fill="auto"/>
            <w:noWrap/>
            <w:vAlign w:val="center"/>
            <w:hideMark/>
          </w:tcPr>
          <w:p w14:paraId="59C047C7"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TPE1TA</w:t>
            </w:r>
          </w:p>
        </w:tc>
        <w:tc>
          <w:tcPr>
            <w:tcW w:w="1513" w:type="dxa"/>
            <w:shd w:val="clear" w:color="auto" w:fill="auto"/>
            <w:noWrap/>
            <w:vAlign w:val="center"/>
            <w:hideMark/>
          </w:tcPr>
          <w:p w14:paraId="408E8658"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11</w:t>
            </w:r>
          </w:p>
        </w:tc>
        <w:tc>
          <w:tcPr>
            <w:tcW w:w="1514" w:type="dxa"/>
            <w:shd w:val="clear" w:color="auto" w:fill="auto"/>
            <w:noWrap/>
            <w:vAlign w:val="center"/>
            <w:hideMark/>
          </w:tcPr>
          <w:p w14:paraId="36C4AAC5"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11</w:t>
            </w:r>
          </w:p>
        </w:tc>
        <w:tc>
          <w:tcPr>
            <w:tcW w:w="1514" w:type="dxa"/>
            <w:shd w:val="clear" w:color="auto" w:fill="auto"/>
            <w:noWrap/>
            <w:vAlign w:val="center"/>
          </w:tcPr>
          <w:p w14:paraId="31D82860"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16A499C5" w14:textId="77777777" w:rsidTr="005A0D14">
        <w:trPr>
          <w:trHeight w:val="300"/>
          <w:jc w:val="center"/>
        </w:trPr>
        <w:tc>
          <w:tcPr>
            <w:tcW w:w="2547" w:type="dxa"/>
            <w:shd w:val="clear" w:color="auto" w:fill="auto"/>
            <w:noWrap/>
            <w:vAlign w:val="center"/>
            <w:hideMark/>
          </w:tcPr>
          <w:p w14:paraId="0D5D075D"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TPE1ZV</w:t>
            </w:r>
          </w:p>
        </w:tc>
        <w:tc>
          <w:tcPr>
            <w:tcW w:w="1513" w:type="dxa"/>
            <w:shd w:val="clear" w:color="auto" w:fill="auto"/>
            <w:noWrap/>
            <w:vAlign w:val="center"/>
            <w:hideMark/>
          </w:tcPr>
          <w:p w14:paraId="44F0457D"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18</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28</w:t>
            </w:r>
          </w:p>
        </w:tc>
        <w:tc>
          <w:tcPr>
            <w:tcW w:w="1514" w:type="dxa"/>
            <w:shd w:val="clear" w:color="auto" w:fill="auto"/>
            <w:noWrap/>
            <w:vAlign w:val="center"/>
            <w:hideMark/>
          </w:tcPr>
          <w:p w14:paraId="50A6A9EC"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18</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28</w:t>
            </w:r>
          </w:p>
        </w:tc>
        <w:tc>
          <w:tcPr>
            <w:tcW w:w="1514" w:type="dxa"/>
            <w:shd w:val="clear" w:color="auto" w:fill="auto"/>
            <w:noWrap/>
            <w:vAlign w:val="center"/>
          </w:tcPr>
          <w:p w14:paraId="24D19096"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22E9A9E4" w14:textId="77777777" w:rsidTr="005A0D14">
        <w:trPr>
          <w:trHeight w:val="300"/>
          <w:jc w:val="center"/>
        </w:trPr>
        <w:tc>
          <w:tcPr>
            <w:tcW w:w="2547" w:type="dxa"/>
            <w:shd w:val="clear" w:color="auto" w:fill="auto"/>
            <w:noWrap/>
            <w:vAlign w:val="center"/>
            <w:hideMark/>
          </w:tcPr>
          <w:p w14:paraId="43ABD4C9"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TPE2AS</w:t>
            </w:r>
          </w:p>
        </w:tc>
        <w:tc>
          <w:tcPr>
            <w:tcW w:w="1513" w:type="dxa"/>
            <w:shd w:val="clear" w:color="auto" w:fill="auto"/>
            <w:noWrap/>
            <w:vAlign w:val="center"/>
            <w:hideMark/>
          </w:tcPr>
          <w:p w14:paraId="320F0208"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82</w:t>
            </w:r>
          </w:p>
        </w:tc>
        <w:tc>
          <w:tcPr>
            <w:tcW w:w="1514" w:type="dxa"/>
            <w:shd w:val="clear" w:color="auto" w:fill="auto"/>
            <w:noWrap/>
            <w:vAlign w:val="center"/>
            <w:hideMark/>
          </w:tcPr>
          <w:p w14:paraId="04CDACAD"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82</w:t>
            </w:r>
          </w:p>
        </w:tc>
        <w:tc>
          <w:tcPr>
            <w:tcW w:w="1514" w:type="dxa"/>
            <w:shd w:val="clear" w:color="auto" w:fill="auto"/>
            <w:noWrap/>
            <w:vAlign w:val="center"/>
          </w:tcPr>
          <w:p w14:paraId="61660C10"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1AA0A499" w14:textId="77777777" w:rsidTr="005A0D14">
        <w:trPr>
          <w:trHeight w:val="300"/>
          <w:jc w:val="center"/>
        </w:trPr>
        <w:tc>
          <w:tcPr>
            <w:tcW w:w="2547" w:type="dxa"/>
            <w:shd w:val="clear" w:color="auto" w:fill="auto"/>
            <w:noWrap/>
            <w:vAlign w:val="center"/>
            <w:hideMark/>
          </w:tcPr>
          <w:p w14:paraId="79274EC4"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TPE2CO</w:t>
            </w:r>
          </w:p>
        </w:tc>
        <w:tc>
          <w:tcPr>
            <w:tcW w:w="1513" w:type="dxa"/>
            <w:shd w:val="clear" w:color="auto" w:fill="auto"/>
            <w:noWrap/>
            <w:vAlign w:val="center"/>
            <w:hideMark/>
          </w:tcPr>
          <w:p w14:paraId="7405A538"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50</w:t>
            </w:r>
          </w:p>
        </w:tc>
        <w:tc>
          <w:tcPr>
            <w:tcW w:w="1514" w:type="dxa"/>
            <w:shd w:val="clear" w:color="auto" w:fill="auto"/>
            <w:noWrap/>
            <w:vAlign w:val="center"/>
            <w:hideMark/>
          </w:tcPr>
          <w:p w14:paraId="17A04477"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50</w:t>
            </w:r>
          </w:p>
        </w:tc>
        <w:tc>
          <w:tcPr>
            <w:tcW w:w="1514" w:type="dxa"/>
            <w:shd w:val="clear" w:color="auto" w:fill="auto"/>
            <w:noWrap/>
            <w:vAlign w:val="center"/>
          </w:tcPr>
          <w:p w14:paraId="7A6F4B17"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24DDD251" w14:textId="77777777" w:rsidTr="005A0D14">
        <w:trPr>
          <w:trHeight w:val="300"/>
          <w:jc w:val="center"/>
        </w:trPr>
        <w:tc>
          <w:tcPr>
            <w:tcW w:w="2547" w:type="dxa"/>
            <w:shd w:val="clear" w:color="auto" w:fill="auto"/>
            <w:noWrap/>
            <w:vAlign w:val="center"/>
            <w:hideMark/>
          </w:tcPr>
          <w:p w14:paraId="1FD74326"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TPE2ZV</w:t>
            </w:r>
          </w:p>
        </w:tc>
        <w:tc>
          <w:tcPr>
            <w:tcW w:w="1513" w:type="dxa"/>
            <w:shd w:val="clear" w:color="auto" w:fill="auto"/>
            <w:noWrap/>
            <w:vAlign w:val="center"/>
            <w:hideMark/>
          </w:tcPr>
          <w:p w14:paraId="2037B9CF"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114</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51</w:t>
            </w:r>
          </w:p>
        </w:tc>
        <w:tc>
          <w:tcPr>
            <w:tcW w:w="1514" w:type="dxa"/>
            <w:shd w:val="clear" w:color="auto" w:fill="auto"/>
            <w:noWrap/>
            <w:vAlign w:val="center"/>
            <w:hideMark/>
          </w:tcPr>
          <w:p w14:paraId="14E00C19"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114</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51</w:t>
            </w:r>
          </w:p>
        </w:tc>
        <w:tc>
          <w:tcPr>
            <w:tcW w:w="1514" w:type="dxa"/>
            <w:shd w:val="clear" w:color="auto" w:fill="auto"/>
            <w:noWrap/>
            <w:vAlign w:val="center"/>
          </w:tcPr>
          <w:p w14:paraId="723CE303"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2430F988" w14:textId="77777777" w:rsidTr="005A0D14">
        <w:trPr>
          <w:trHeight w:val="300"/>
          <w:jc w:val="center"/>
        </w:trPr>
        <w:tc>
          <w:tcPr>
            <w:tcW w:w="2547" w:type="dxa"/>
            <w:shd w:val="clear" w:color="auto" w:fill="auto"/>
            <w:noWrap/>
            <w:vAlign w:val="center"/>
            <w:hideMark/>
          </w:tcPr>
          <w:p w14:paraId="6CDA3A60"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TPE3/4AS</w:t>
            </w:r>
          </w:p>
        </w:tc>
        <w:tc>
          <w:tcPr>
            <w:tcW w:w="1513" w:type="dxa"/>
            <w:shd w:val="clear" w:color="auto" w:fill="auto"/>
            <w:noWrap/>
            <w:vAlign w:val="center"/>
            <w:hideMark/>
          </w:tcPr>
          <w:p w14:paraId="0AFE639F"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14</w:t>
            </w:r>
          </w:p>
        </w:tc>
        <w:tc>
          <w:tcPr>
            <w:tcW w:w="1514" w:type="dxa"/>
            <w:shd w:val="clear" w:color="auto" w:fill="auto"/>
            <w:noWrap/>
            <w:vAlign w:val="center"/>
            <w:hideMark/>
          </w:tcPr>
          <w:p w14:paraId="5C409038"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14</w:t>
            </w:r>
          </w:p>
        </w:tc>
        <w:tc>
          <w:tcPr>
            <w:tcW w:w="1514" w:type="dxa"/>
            <w:shd w:val="clear" w:color="auto" w:fill="auto"/>
            <w:noWrap/>
            <w:vAlign w:val="center"/>
          </w:tcPr>
          <w:p w14:paraId="33E99CCB"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146178F5" w14:textId="77777777" w:rsidTr="005A0D14">
        <w:trPr>
          <w:trHeight w:val="300"/>
          <w:jc w:val="center"/>
        </w:trPr>
        <w:tc>
          <w:tcPr>
            <w:tcW w:w="2547" w:type="dxa"/>
            <w:shd w:val="clear" w:color="auto" w:fill="auto"/>
            <w:noWrap/>
            <w:vAlign w:val="center"/>
            <w:hideMark/>
          </w:tcPr>
          <w:p w14:paraId="05E18B76"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TPE3/4CO</w:t>
            </w:r>
          </w:p>
        </w:tc>
        <w:tc>
          <w:tcPr>
            <w:tcW w:w="1513" w:type="dxa"/>
            <w:shd w:val="clear" w:color="auto" w:fill="auto"/>
            <w:noWrap/>
            <w:vAlign w:val="center"/>
            <w:hideMark/>
          </w:tcPr>
          <w:p w14:paraId="38AFD20F"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5</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98</w:t>
            </w:r>
          </w:p>
        </w:tc>
        <w:tc>
          <w:tcPr>
            <w:tcW w:w="1514" w:type="dxa"/>
            <w:shd w:val="clear" w:color="auto" w:fill="auto"/>
            <w:noWrap/>
            <w:vAlign w:val="center"/>
            <w:hideMark/>
          </w:tcPr>
          <w:p w14:paraId="4C1A5906"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5</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98</w:t>
            </w:r>
          </w:p>
        </w:tc>
        <w:tc>
          <w:tcPr>
            <w:tcW w:w="1514" w:type="dxa"/>
            <w:shd w:val="clear" w:color="auto" w:fill="auto"/>
            <w:noWrap/>
            <w:vAlign w:val="center"/>
          </w:tcPr>
          <w:p w14:paraId="29D61146"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6CE771CA" w14:textId="77777777" w:rsidTr="005A0D14">
        <w:trPr>
          <w:trHeight w:val="300"/>
          <w:jc w:val="center"/>
        </w:trPr>
        <w:tc>
          <w:tcPr>
            <w:tcW w:w="2547" w:type="dxa"/>
            <w:shd w:val="clear" w:color="auto" w:fill="auto"/>
            <w:noWrap/>
            <w:vAlign w:val="center"/>
            <w:hideMark/>
          </w:tcPr>
          <w:p w14:paraId="7A6A1043"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TPE3/4TA</w:t>
            </w:r>
          </w:p>
        </w:tc>
        <w:tc>
          <w:tcPr>
            <w:tcW w:w="1513" w:type="dxa"/>
            <w:shd w:val="clear" w:color="auto" w:fill="auto"/>
            <w:noWrap/>
            <w:vAlign w:val="center"/>
            <w:hideMark/>
          </w:tcPr>
          <w:p w14:paraId="51FEE28F"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hideMark/>
          </w:tcPr>
          <w:p w14:paraId="3A466A7B"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1</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00</w:t>
            </w:r>
          </w:p>
        </w:tc>
        <w:tc>
          <w:tcPr>
            <w:tcW w:w="1514" w:type="dxa"/>
            <w:shd w:val="clear" w:color="auto" w:fill="auto"/>
            <w:noWrap/>
            <w:vAlign w:val="center"/>
          </w:tcPr>
          <w:p w14:paraId="3A6FC50E"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1BFDE40F" w14:textId="77777777" w:rsidTr="005A0D14">
        <w:trPr>
          <w:trHeight w:val="300"/>
          <w:jc w:val="center"/>
        </w:trPr>
        <w:tc>
          <w:tcPr>
            <w:tcW w:w="2547" w:type="dxa"/>
            <w:shd w:val="clear" w:color="auto" w:fill="auto"/>
            <w:noWrap/>
            <w:vAlign w:val="center"/>
            <w:hideMark/>
          </w:tcPr>
          <w:p w14:paraId="06054C12"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TPE3/4ZV</w:t>
            </w:r>
          </w:p>
        </w:tc>
        <w:tc>
          <w:tcPr>
            <w:tcW w:w="1513" w:type="dxa"/>
            <w:shd w:val="clear" w:color="auto" w:fill="auto"/>
            <w:noWrap/>
            <w:vAlign w:val="center"/>
            <w:hideMark/>
          </w:tcPr>
          <w:p w14:paraId="1444016B"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53</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12</w:t>
            </w:r>
          </w:p>
        </w:tc>
        <w:tc>
          <w:tcPr>
            <w:tcW w:w="1514" w:type="dxa"/>
            <w:shd w:val="clear" w:color="auto" w:fill="auto"/>
            <w:noWrap/>
            <w:vAlign w:val="center"/>
            <w:hideMark/>
          </w:tcPr>
          <w:p w14:paraId="0FF7262A"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53</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12</w:t>
            </w:r>
          </w:p>
        </w:tc>
        <w:tc>
          <w:tcPr>
            <w:tcW w:w="1514" w:type="dxa"/>
            <w:shd w:val="clear" w:color="auto" w:fill="auto"/>
            <w:noWrap/>
            <w:vAlign w:val="center"/>
          </w:tcPr>
          <w:p w14:paraId="177FC6E4"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578D0E56" w14:textId="77777777" w:rsidTr="005A0D14">
        <w:trPr>
          <w:trHeight w:val="300"/>
          <w:jc w:val="center"/>
        </w:trPr>
        <w:tc>
          <w:tcPr>
            <w:tcW w:w="2547" w:type="dxa"/>
            <w:shd w:val="clear" w:color="auto" w:fill="auto"/>
            <w:noWrap/>
            <w:vAlign w:val="center"/>
            <w:hideMark/>
          </w:tcPr>
          <w:p w14:paraId="7622D502"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TPE3CO</w:t>
            </w:r>
          </w:p>
        </w:tc>
        <w:tc>
          <w:tcPr>
            <w:tcW w:w="1513" w:type="dxa"/>
            <w:shd w:val="clear" w:color="auto" w:fill="auto"/>
            <w:noWrap/>
            <w:vAlign w:val="center"/>
            <w:hideMark/>
          </w:tcPr>
          <w:p w14:paraId="3152AB75"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94</w:t>
            </w:r>
          </w:p>
        </w:tc>
        <w:tc>
          <w:tcPr>
            <w:tcW w:w="1514" w:type="dxa"/>
            <w:shd w:val="clear" w:color="auto" w:fill="auto"/>
            <w:noWrap/>
            <w:vAlign w:val="center"/>
            <w:hideMark/>
          </w:tcPr>
          <w:p w14:paraId="4B88798D"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94</w:t>
            </w:r>
          </w:p>
        </w:tc>
        <w:tc>
          <w:tcPr>
            <w:tcW w:w="1514" w:type="dxa"/>
            <w:shd w:val="clear" w:color="auto" w:fill="auto"/>
            <w:noWrap/>
            <w:vAlign w:val="center"/>
          </w:tcPr>
          <w:p w14:paraId="4DABEC17"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71AEB19E" w14:textId="77777777" w:rsidTr="005A0D14">
        <w:trPr>
          <w:trHeight w:val="300"/>
          <w:jc w:val="center"/>
        </w:trPr>
        <w:tc>
          <w:tcPr>
            <w:tcW w:w="2547" w:type="dxa"/>
            <w:shd w:val="clear" w:color="auto" w:fill="auto"/>
            <w:noWrap/>
            <w:vAlign w:val="center"/>
            <w:hideMark/>
          </w:tcPr>
          <w:p w14:paraId="596BED3B"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TPE3TA</w:t>
            </w:r>
          </w:p>
        </w:tc>
        <w:tc>
          <w:tcPr>
            <w:tcW w:w="1513" w:type="dxa"/>
            <w:shd w:val="clear" w:color="auto" w:fill="auto"/>
            <w:noWrap/>
            <w:vAlign w:val="center"/>
            <w:hideMark/>
          </w:tcPr>
          <w:p w14:paraId="1C78D12B"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12</w:t>
            </w:r>
          </w:p>
        </w:tc>
        <w:tc>
          <w:tcPr>
            <w:tcW w:w="1514" w:type="dxa"/>
            <w:shd w:val="clear" w:color="auto" w:fill="auto"/>
            <w:noWrap/>
            <w:vAlign w:val="center"/>
            <w:hideMark/>
          </w:tcPr>
          <w:p w14:paraId="61FD2534"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12</w:t>
            </w:r>
          </w:p>
        </w:tc>
        <w:tc>
          <w:tcPr>
            <w:tcW w:w="1514" w:type="dxa"/>
            <w:shd w:val="clear" w:color="auto" w:fill="auto"/>
            <w:noWrap/>
            <w:vAlign w:val="center"/>
          </w:tcPr>
          <w:p w14:paraId="478919C7"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51B1F00D" w14:textId="77777777" w:rsidTr="005A0D14">
        <w:trPr>
          <w:trHeight w:val="300"/>
          <w:jc w:val="center"/>
        </w:trPr>
        <w:tc>
          <w:tcPr>
            <w:tcW w:w="2547" w:type="dxa"/>
            <w:shd w:val="clear" w:color="auto" w:fill="auto"/>
            <w:noWrap/>
            <w:vAlign w:val="center"/>
            <w:hideMark/>
          </w:tcPr>
          <w:p w14:paraId="55E101CB"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TPE3ZV</w:t>
            </w:r>
          </w:p>
        </w:tc>
        <w:tc>
          <w:tcPr>
            <w:tcW w:w="1513" w:type="dxa"/>
            <w:shd w:val="clear" w:color="auto" w:fill="auto"/>
            <w:noWrap/>
            <w:vAlign w:val="center"/>
            <w:hideMark/>
          </w:tcPr>
          <w:p w14:paraId="340EAB47"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68</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35</w:t>
            </w:r>
          </w:p>
        </w:tc>
        <w:tc>
          <w:tcPr>
            <w:tcW w:w="1514" w:type="dxa"/>
            <w:shd w:val="clear" w:color="auto" w:fill="auto"/>
            <w:noWrap/>
            <w:vAlign w:val="center"/>
            <w:hideMark/>
          </w:tcPr>
          <w:p w14:paraId="31CD972A"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68</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35</w:t>
            </w:r>
          </w:p>
        </w:tc>
        <w:tc>
          <w:tcPr>
            <w:tcW w:w="1514" w:type="dxa"/>
            <w:shd w:val="clear" w:color="auto" w:fill="auto"/>
            <w:noWrap/>
            <w:vAlign w:val="center"/>
          </w:tcPr>
          <w:p w14:paraId="372CEDF7"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3EABB54F" w14:textId="77777777" w:rsidTr="005A0D14">
        <w:trPr>
          <w:trHeight w:val="300"/>
          <w:jc w:val="center"/>
        </w:trPr>
        <w:tc>
          <w:tcPr>
            <w:tcW w:w="2547" w:type="dxa"/>
            <w:shd w:val="clear" w:color="auto" w:fill="auto"/>
            <w:noWrap/>
            <w:vAlign w:val="center"/>
            <w:hideMark/>
          </w:tcPr>
          <w:p w14:paraId="3252FBF7"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TPE4CO</w:t>
            </w:r>
          </w:p>
        </w:tc>
        <w:tc>
          <w:tcPr>
            <w:tcW w:w="1513" w:type="dxa"/>
            <w:shd w:val="clear" w:color="auto" w:fill="auto"/>
            <w:noWrap/>
            <w:vAlign w:val="center"/>
            <w:hideMark/>
          </w:tcPr>
          <w:p w14:paraId="3498F305"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35</w:t>
            </w:r>
          </w:p>
        </w:tc>
        <w:tc>
          <w:tcPr>
            <w:tcW w:w="1514" w:type="dxa"/>
            <w:shd w:val="clear" w:color="auto" w:fill="auto"/>
            <w:noWrap/>
            <w:vAlign w:val="center"/>
            <w:hideMark/>
          </w:tcPr>
          <w:p w14:paraId="6AAFDACF"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0</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35</w:t>
            </w:r>
          </w:p>
        </w:tc>
        <w:tc>
          <w:tcPr>
            <w:tcW w:w="1514" w:type="dxa"/>
            <w:shd w:val="clear" w:color="auto" w:fill="auto"/>
            <w:noWrap/>
            <w:vAlign w:val="center"/>
          </w:tcPr>
          <w:p w14:paraId="776A28CA"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r w:rsidR="005A0D14" w:rsidRPr="00073AF2" w14:paraId="448B9A8E" w14:textId="77777777" w:rsidTr="005A0D14">
        <w:trPr>
          <w:trHeight w:val="300"/>
          <w:jc w:val="center"/>
        </w:trPr>
        <w:tc>
          <w:tcPr>
            <w:tcW w:w="2547" w:type="dxa"/>
            <w:shd w:val="clear" w:color="auto" w:fill="auto"/>
            <w:noWrap/>
            <w:vAlign w:val="center"/>
            <w:hideMark/>
          </w:tcPr>
          <w:p w14:paraId="5C576F24" w14:textId="77777777" w:rsidR="00073AF2" w:rsidRPr="00073AF2" w:rsidRDefault="00073AF2" w:rsidP="00BC22FD">
            <w:pPr>
              <w:ind w:left="0"/>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TPE4ZV</w:t>
            </w:r>
          </w:p>
        </w:tc>
        <w:tc>
          <w:tcPr>
            <w:tcW w:w="1513" w:type="dxa"/>
            <w:shd w:val="clear" w:color="auto" w:fill="auto"/>
            <w:noWrap/>
            <w:vAlign w:val="center"/>
            <w:hideMark/>
          </w:tcPr>
          <w:p w14:paraId="214F90F2"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33</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39</w:t>
            </w:r>
          </w:p>
        </w:tc>
        <w:tc>
          <w:tcPr>
            <w:tcW w:w="1514" w:type="dxa"/>
            <w:shd w:val="clear" w:color="auto" w:fill="auto"/>
            <w:noWrap/>
            <w:vAlign w:val="center"/>
            <w:hideMark/>
          </w:tcPr>
          <w:p w14:paraId="047857BA" w14:textId="77777777" w:rsidR="00073AF2" w:rsidRPr="00073AF2" w:rsidRDefault="00073AF2" w:rsidP="00BC22FD">
            <w:pPr>
              <w:ind w:left="0"/>
              <w:jc w:val="center"/>
              <w:rPr>
                <w:rFonts w:ascii="Bookman Old Style" w:hAnsi="Bookman Old Style"/>
                <w:color w:val="000000"/>
                <w:sz w:val="20"/>
                <w:szCs w:val="20"/>
                <w:lang w:val="es-CO" w:eastAsia="es-CO"/>
              </w:rPr>
            </w:pPr>
            <w:r w:rsidRPr="00073AF2">
              <w:rPr>
                <w:rFonts w:ascii="Bookman Old Style" w:hAnsi="Bookman Old Style"/>
                <w:color w:val="000000"/>
                <w:sz w:val="20"/>
                <w:szCs w:val="20"/>
                <w:lang w:val="es-CO" w:eastAsia="es-CO"/>
              </w:rPr>
              <w:t>33</w:t>
            </w:r>
            <w:r w:rsidR="00BC22FD" w:rsidRPr="005A0D14">
              <w:rPr>
                <w:rFonts w:ascii="Bookman Old Style" w:hAnsi="Bookman Old Style"/>
                <w:color w:val="000000"/>
                <w:sz w:val="20"/>
                <w:szCs w:val="20"/>
                <w:lang w:val="es-CO" w:eastAsia="es-CO"/>
              </w:rPr>
              <w:t>,</w:t>
            </w:r>
            <w:r w:rsidRPr="00073AF2">
              <w:rPr>
                <w:rFonts w:ascii="Bookman Old Style" w:hAnsi="Bookman Old Style"/>
                <w:color w:val="000000"/>
                <w:sz w:val="20"/>
                <w:szCs w:val="20"/>
                <w:lang w:val="es-CO" w:eastAsia="es-CO"/>
              </w:rPr>
              <w:t>39</w:t>
            </w:r>
          </w:p>
        </w:tc>
        <w:tc>
          <w:tcPr>
            <w:tcW w:w="1514" w:type="dxa"/>
            <w:shd w:val="clear" w:color="auto" w:fill="auto"/>
            <w:noWrap/>
            <w:vAlign w:val="center"/>
          </w:tcPr>
          <w:p w14:paraId="17CA3CCF" w14:textId="77777777" w:rsidR="00073AF2" w:rsidRPr="00073AF2" w:rsidRDefault="00BC22FD" w:rsidP="00BC22FD">
            <w:pPr>
              <w:ind w:left="0"/>
              <w:jc w:val="center"/>
              <w:rPr>
                <w:rFonts w:ascii="Bookman Old Style" w:hAnsi="Bookman Old Style"/>
                <w:color w:val="000000"/>
                <w:sz w:val="20"/>
                <w:szCs w:val="20"/>
                <w:lang w:val="es-CO" w:eastAsia="es-CO"/>
              </w:rPr>
            </w:pPr>
            <w:r w:rsidRPr="005A0D14">
              <w:rPr>
                <w:rFonts w:ascii="Bookman Old Style" w:hAnsi="Bookman Old Style"/>
                <w:color w:val="000000"/>
                <w:sz w:val="20"/>
                <w:szCs w:val="20"/>
                <w:lang w:val="es-CO" w:eastAsia="es-CO"/>
              </w:rPr>
              <w:t>-</w:t>
            </w:r>
          </w:p>
        </w:tc>
      </w:tr>
    </w:tbl>
    <w:p w14:paraId="3AB50CC2" w14:textId="77777777" w:rsidR="00BC22FD" w:rsidRDefault="00BC22FD" w:rsidP="00BC22FD">
      <w:pPr>
        <w:adjustRightInd w:val="0"/>
        <w:ind w:left="0" w:right="23"/>
        <w:jc w:val="both"/>
        <w:rPr>
          <w:rFonts w:ascii="Bookman Old Style" w:hAnsi="Bookman Old Style"/>
          <w:b/>
          <w:sz w:val="20"/>
          <w:szCs w:val="20"/>
        </w:rPr>
      </w:pPr>
    </w:p>
    <w:p w14:paraId="4EB739C7" w14:textId="77777777" w:rsidR="00BC22FD" w:rsidRDefault="00BC22FD" w:rsidP="00BC22FD">
      <w:pPr>
        <w:adjustRightInd w:val="0"/>
        <w:ind w:left="0" w:right="23"/>
        <w:jc w:val="both"/>
        <w:rPr>
          <w:rFonts w:ascii="Bookman Old Style" w:hAnsi="Bookman Old Style"/>
          <w:sz w:val="20"/>
          <w:szCs w:val="20"/>
        </w:rPr>
      </w:pPr>
      <w:r w:rsidRPr="00581C8A">
        <w:rPr>
          <w:rFonts w:ascii="Bookman Old Style" w:hAnsi="Bookman Old Style"/>
          <w:b/>
          <w:sz w:val="20"/>
          <w:szCs w:val="20"/>
        </w:rPr>
        <w:t>Nota 1:</w:t>
      </w:r>
      <w:r>
        <w:rPr>
          <w:rFonts w:ascii="Bookman Old Style" w:hAnsi="Bookman Old Style"/>
          <w:sz w:val="20"/>
          <w:szCs w:val="20"/>
        </w:rPr>
        <w:t xml:space="preserve"> </w:t>
      </w:r>
      <w:r w:rsidRPr="00581C8A">
        <w:rPr>
          <w:rFonts w:ascii="Bookman Old Style" w:hAnsi="Bookman Old Style"/>
          <w:sz w:val="20"/>
          <w:szCs w:val="20"/>
        </w:rPr>
        <w:t xml:space="preserve">La cantidad </w:t>
      </w:r>
      <w:r>
        <w:rPr>
          <w:rFonts w:ascii="Bookman Old Style" w:hAnsi="Bookman Old Style"/>
          <w:sz w:val="20"/>
          <w:szCs w:val="20"/>
        </w:rPr>
        <w:t>solicitada</w:t>
      </w:r>
      <w:r w:rsidRPr="00581C8A">
        <w:rPr>
          <w:rFonts w:ascii="Bookman Old Style" w:hAnsi="Bookman Old Style"/>
          <w:sz w:val="20"/>
          <w:szCs w:val="20"/>
        </w:rPr>
        <w:t xml:space="preserve"> de esta unidad constructiva está expresada en número de unidades, no en km</w:t>
      </w:r>
      <w:r>
        <w:rPr>
          <w:rFonts w:ascii="Bookman Old Style" w:hAnsi="Bookman Old Style"/>
          <w:sz w:val="20"/>
          <w:szCs w:val="20"/>
        </w:rPr>
        <w:t>.</w:t>
      </w:r>
    </w:p>
    <w:p w14:paraId="6630762F" w14:textId="04EFC3F6" w:rsidR="00AC1439" w:rsidRDefault="00EA2AA8" w:rsidP="00783CB8">
      <w:pPr>
        <w:spacing w:before="240" w:after="240"/>
        <w:ind w:left="0"/>
        <w:jc w:val="both"/>
        <w:rPr>
          <w:rFonts w:ascii="Bookman Old Style" w:hAnsi="Bookman Old Style"/>
          <w:lang w:val="es-ES_tradnl"/>
        </w:rPr>
      </w:pPr>
      <w:r>
        <w:rPr>
          <w:rFonts w:ascii="Bookman Old Style" w:hAnsi="Bookman Old Style"/>
          <w:lang w:val="es-ES_tradnl"/>
        </w:rPr>
        <w:t>Sin embargo</w:t>
      </w:r>
      <w:r w:rsidR="00065EFE">
        <w:rPr>
          <w:rFonts w:ascii="Bookman Old Style" w:hAnsi="Bookman Old Style"/>
          <w:lang w:val="es-ES_tradnl"/>
        </w:rPr>
        <w:t xml:space="preserve"> y</w:t>
      </w:r>
      <w:r w:rsidR="00AC1439">
        <w:rPr>
          <w:rFonts w:ascii="Bookman Old Style" w:hAnsi="Bookman Old Style"/>
          <w:lang w:val="es-ES_tradnl"/>
        </w:rPr>
        <w:t xml:space="preserve"> como se menciona en el literal a, la empresa reporta 7,57 km de unidades constructivas asociadas a tubería de polietileno de alta densidad </w:t>
      </w:r>
      <w:r w:rsidR="0006621E">
        <w:rPr>
          <w:rFonts w:ascii="Bookman Old Style" w:hAnsi="Bookman Old Style"/>
          <w:lang w:val="es-ES_tradnl"/>
        </w:rPr>
        <w:t>(unidades constructivas TPE100-160ZV, TPE100-63ZV y TPE100-90ZV)</w:t>
      </w:r>
      <w:r w:rsidR="004A5320">
        <w:rPr>
          <w:rFonts w:ascii="Bookman Old Style" w:hAnsi="Bookman Old Style"/>
          <w:lang w:val="es-ES_tradnl"/>
        </w:rPr>
        <w:br/>
      </w:r>
      <w:r w:rsidR="004A3E09">
        <w:rPr>
          <w:rFonts w:ascii="Bookman Old Style" w:hAnsi="Bookman Old Style"/>
          <w:lang w:val="es-ES_tradnl"/>
        </w:rPr>
        <w:t>que deben ser reconocidas como INPE</w:t>
      </w:r>
      <w:r w:rsidR="00065EFE">
        <w:rPr>
          <w:rFonts w:ascii="Bookman Old Style" w:hAnsi="Bookman Old Style"/>
          <w:lang w:val="es-ES_tradnl"/>
        </w:rPr>
        <w:t>, así como 4 km de la unidad constructiva TPE100-160ZV para el municipio de Maicao que deben retirarse de la INPE.</w:t>
      </w:r>
      <w:r w:rsidR="004A5320">
        <w:rPr>
          <w:rFonts w:ascii="Bookman Old Style" w:hAnsi="Bookman Old Style"/>
          <w:lang w:val="es-ES_tradnl"/>
        </w:rPr>
        <w:br/>
      </w:r>
      <w:r w:rsidR="00AC1439">
        <w:rPr>
          <w:rFonts w:ascii="Bookman Old Style" w:hAnsi="Bookman Old Style"/>
          <w:lang w:val="es-ES_tradnl"/>
        </w:rPr>
        <w:t xml:space="preserve">En el </w:t>
      </w:r>
      <w:r w:rsidR="00AC1439" w:rsidRPr="00AC1439">
        <w:rPr>
          <w:rFonts w:ascii="Bookman Old Style" w:hAnsi="Bookman Old Style"/>
          <w:lang w:val="es-ES_tradnl"/>
        </w:rPr>
        <w:fldChar w:fldCharType="begin"/>
      </w:r>
      <w:r w:rsidR="00AC1439" w:rsidRPr="00AC1439">
        <w:rPr>
          <w:rFonts w:ascii="Bookman Old Style" w:hAnsi="Bookman Old Style"/>
          <w:lang w:val="es-ES_tradnl"/>
        </w:rPr>
        <w:instrText xml:space="preserve"> REF _Ref530393955 \h  \* MERGEFORMAT </w:instrText>
      </w:r>
      <w:r w:rsidR="00AC1439" w:rsidRPr="00AC1439">
        <w:rPr>
          <w:rFonts w:ascii="Bookman Old Style" w:hAnsi="Bookman Old Style"/>
          <w:lang w:val="es-ES_tradnl"/>
        </w:rPr>
      </w:r>
      <w:r w:rsidR="00AC1439" w:rsidRPr="00AC1439">
        <w:rPr>
          <w:rFonts w:ascii="Bookman Old Style" w:hAnsi="Bookman Old Style"/>
          <w:lang w:val="es-ES_tradnl"/>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14</w:t>
      </w:r>
      <w:r w:rsidR="00AC1439" w:rsidRPr="00AC1439">
        <w:rPr>
          <w:rFonts w:ascii="Bookman Old Style" w:hAnsi="Bookman Old Style"/>
          <w:lang w:val="es-ES_tradnl"/>
        </w:rPr>
        <w:fldChar w:fldCharType="end"/>
      </w:r>
      <w:r w:rsidR="00AC1439">
        <w:rPr>
          <w:rFonts w:ascii="Bookman Old Style" w:hAnsi="Bookman Old Style"/>
          <w:lang w:val="es-ES_tradnl"/>
        </w:rPr>
        <w:t xml:space="preserve"> se muestran los costos </w:t>
      </w:r>
      <w:r w:rsidR="0006621E">
        <w:rPr>
          <w:rFonts w:ascii="Bookman Old Style" w:hAnsi="Bookman Old Style"/>
          <w:lang w:val="es-ES_tradnl"/>
        </w:rPr>
        <w:t xml:space="preserve">asociados </w:t>
      </w:r>
      <w:r w:rsidR="00783CB8">
        <w:rPr>
          <w:rFonts w:ascii="Bookman Old Style" w:hAnsi="Bookman Old Style"/>
          <w:lang w:val="es-ES_tradnl"/>
        </w:rPr>
        <w:t xml:space="preserve">a dichas unidades constructivas. </w:t>
      </w:r>
    </w:p>
    <w:p w14:paraId="6C32E2AE" w14:textId="7F1F4C48" w:rsidR="00AC1439" w:rsidRDefault="00AC1439" w:rsidP="00AC1439">
      <w:pPr>
        <w:keepNext/>
        <w:adjustRightInd w:val="0"/>
        <w:spacing w:before="240"/>
        <w:ind w:left="0" w:right="23"/>
        <w:jc w:val="center"/>
        <w:rPr>
          <w:rFonts w:ascii="Bookman Old Style" w:hAnsi="Bookman Old Style"/>
          <w:b/>
        </w:rPr>
      </w:pPr>
      <w:bookmarkStart w:id="14" w:name="_Ref530393955"/>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14</w:t>
      </w:r>
      <w:r w:rsidRPr="005F5D91">
        <w:rPr>
          <w:rFonts w:ascii="Bookman Old Style" w:hAnsi="Bookman Old Style"/>
          <w:b/>
        </w:rPr>
        <w:fldChar w:fldCharType="end"/>
      </w:r>
      <w:bookmarkEnd w:id="14"/>
    </w:p>
    <w:tbl>
      <w:tblPr>
        <w:tblStyle w:val="Tablaconcuadrcula"/>
        <w:tblW w:w="5000" w:type="pct"/>
        <w:jc w:val="center"/>
        <w:tblLook w:val="04A0" w:firstRow="1" w:lastRow="0" w:firstColumn="1" w:lastColumn="0" w:noHBand="0" w:noVBand="1"/>
      </w:tblPr>
      <w:tblGrid>
        <w:gridCol w:w="1837"/>
        <w:gridCol w:w="1772"/>
        <w:gridCol w:w="1774"/>
        <w:gridCol w:w="1275"/>
        <w:gridCol w:w="2688"/>
      </w:tblGrid>
      <w:tr w:rsidR="003A3EF0" w:rsidRPr="008A165F" w14:paraId="3CA7050D" w14:textId="77777777" w:rsidTr="003A3EF0">
        <w:trPr>
          <w:trHeight w:val="289"/>
          <w:tblHeader/>
          <w:jc w:val="center"/>
        </w:trPr>
        <w:tc>
          <w:tcPr>
            <w:tcW w:w="983" w:type="pct"/>
            <w:shd w:val="clear" w:color="auto" w:fill="D9D9D9" w:themeFill="background1" w:themeFillShade="D9"/>
            <w:vAlign w:val="center"/>
          </w:tcPr>
          <w:p w14:paraId="772F25D8" w14:textId="77777777" w:rsidR="003A3EF0" w:rsidRPr="0066365E" w:rsidRDefault="003A3EF0" w:rsidP="003A3EF0">
            <w:pPr>
              <w:ind w:left="22"/>
              <w:jc w:val="center"/>
              <w:rPr>
                <w:rFonts w:ascii="Bookman Old Style" w:hAnsi="Bookman Old Style"/>
                <w:b/>
                <w:sz w:val="20"/>
                <w:szCs w:val="20"/>
                <w:lang w:val="es-ES_tradnl"/>
              </w:rPr>
            </w:pPr>
            <w:r w:rsidRPr="0066365E">
              <w:rPr>
                <w:rFonts w:ascii="Bookman Old Style" w:hAnsi="Bookman Old Style"/>
                <w:b/>
                <w:sz w:val="20"/>
                <w:szCs w:val="20"/>
                <w:lang w:val="es-ES_tradnl"/>
              </w:rPr>
              <w:t>Unidad constructiva</w:t>
            </w:r>
          </w:p>
        </w:tc>
        <w:tc>
          <w:tcPr>
            <w:tcW w:w="948" w:type="pct"/>
            <w:shd w:val="clear" w:color="auto" w:fill="D9D9D9" w:themeFill="background1" w:themeFillShade="D9"/>
            <w:vAlign w:val="center"/>
          </w:tcPr>
          <w:p w14:paraId="66CBBA64" w14:textId="77777777" w:rsidR="003A3EF0" w:rsidRPr="0066365E" w:rsidRDefault="003A3EF0" w:rsidP="003A3EF0">
            <w:pPr>
              <w:ind w:left="22"/>
              <w:jc w:val="center"/>
              <w:rPr>
                <w:rFonts w:ascii="Bookman Old Style" w:hAnsi="Bookman Old Style"/>
                <w:b/>
                <w:sz w:val="20"/>
                <w:szCs w:val="20"/>
                <w:lang w:val="es-ES_tradnl"/>
              </w:rPr>
            </w:pPr>
            <w:r w:rsidRPr="0066365E">
              <w:rPr>
                <w:rFonts w:ascii="Bookman Old Style" w:hAnsi="Bookman Old Style"/>
                <w:b/>
                <w:sz w:val="20"/>
                <w:szCs w:val="20"/>
                <w:lang w:val="es-ES_tradnl"/>
              </w:rPr>
              <w:t>Costo unitario a pesos de diciembre de 2012</w:t>
            </w:r>
          </w:p>
        </w:tc>
        <w:tc>
          <w:tcPr>
            <w:tcW w:w="949" w:type="pct"/>
            <w:shd w:val="clear" w:color="auto" w:fill="D9D9D9" w:themeFill="background1" w:themeFillShade="D9"/>
            <w:vAlign w:val="center"/>
          </w:tcPr>
          <w:p w14:paraId="30BA6FF6" w14:textId="77777777" w:rsidR="003A3EF0" w:rsidRPr="0066365E" w:rsidRDefault="003A3EF0" w:rsidP="003A3EF0">
            <w:pPr>
              <w:ind w:left="22"/>
              <w:jc w:val="center"/>
              <w:rPr>
                <w:rFonts w:ascii="Bookman Old Style" w:hAnsi="Bookman Old Style"/>
                <w:b/>
                <w:sz w:val="20"/>
                <w:szCs w:val="20"/>
                <w:lang w:val="es-ES_tradnl"/>
              </w:rPr>
            </w:pPr>
            <w:r w:rsidRPr="0066365E">
              <w:rPr>
                <w:rFonts w:ascii="Bookman Old Style" w:hAnsi="Bookman Old Style"/>
                <w:b/>
                <w:sz w:val="20"/>
                <w:szCs w:val="20"/>
                <w:lang w:val="es-ES_tradnl"/>
              </w:rPr>
              <w:t xml:space="preserve">Costo unitario a pesos de </w:t>
            </w:r>
            <w:r>
              <w:rPr>
                <w:rFonts w:ascii="Bookman Old Style" w:hAnsi="Bookman Old Style"/>
                <w:b/>
                <w:sz w:val="20"/>
                <w:szCs w:val="20"/>
                <w:lang w:val="es-ES_tradnl"/>
              </w:rPr>
              <w:t>la fecha base</w:t>
            </w:r>
          </w:p>
        </w:tc>
        <w:tc>
          <w:tcPr>
            <w:tcW w:w="682" w:type="pct"/>
            <w:shd w:val="clear" w:color="auto" w:fill="D9D9D9" w:themeFill="background1" w:themeFillShade="D9"/>
            <w:vAlign w:val="center"/>
          </w:tcPr>
          <w:p w14:paraId="7B65FDD7" w14:textId="77777777" w:rsidR="003A3EF0" w:rsidRPr="0066365E" w:rsidRDefault="003A3EF0" w:rsidP="003A3EF0">
            <w:pPr>
              <w:ind w:left="22"/>
              <w:jc w:val="center"/>
              <w:rPr>
                <w:rFonts w:ascii="Bookman Old Style" w:hAnsi="Bookman Old Style"/>
                <w:b/>
                <w:sz w:val="20"/>
                <w:szCs w:val="20"/>
                <w:lang w:val="es-ES_tradnl"/>
              </w:rPr>
            </w:pPr>
            <w:r>
              <w:rPr>
                <w:rFonts w:ascii="Bookman Old Style" w:hAnsi="Bookman Old Style"/>
                <w:b/>
                <w:sz w:val="20"/>
                <w:szCs w:val="20"/>
                <w:lang w:val="es-ES_tradnl"/>
              </w:rPr>
              <w:t>Cantidad (km)</w:t>
            </w:r>
          </w:p>
        </w:tc>
        <w:tc>
          <w:tcPr>
            <w:tcW w:w="1438" w:type="pct"/>
            <w:shd w:val="clear" w:color="auto" w:fill="D9D9D9" w:themeFill="background1" w:themeFillShade="D9"/>
            <w:vAlign w:val="center"/>
          </w:tcPr>
          <w:p w14:paraId="12C81A45" w14:textId="77777777" w:rsidR="004A3E09" w:rsidRDefault="003A3EF0" w:rsidP="00065EFE">
            <w:pPr>
              <w:ind w:left="22"/>
              <w:jc w:val="center"/>
              <w:rPr>
                <w:rFonts w:ascii="Bookman Old Style" w:hAnsi="Bookman Old Style"/>
                <w:b/>
                <w:sz w:val="20"/>
                <w:szCs w:val="20"/>
                <w:lang w:val="es-ES_tradnl"/>
              </w:rPr>
            </w:pPr>
            <w:r>
              <w:rPr>
                <w:rFonts w:ascii="Bookman Old Style" w:hAnsi="Bookman Old Style"/>
                <w:b/>
                <w:sz w:val="20"/>
                <w:szCs w:val="20"/>
                <w:lang w:val="es-ES_tradnl"/>
              </w:rPr>
              <w:t>Costo total</w:t>
            </w:r>
          </w:p>
          <w:p w14:paraId="21A4719B" w14:textId="77777777" w:rsidR="003A3EF0" w:rsidRPr="0066365E" w:rsidRDefault="003A3EF0" w:rsidP="00065EFE">
            <w:pPr>
              <w:ind w:left="22"/>
              <w:jc w:val="center"/>
              <w:rPr>
                <w:rFonts w:ascii="Bookman Old Style" w:hAnsi="Bookman Old Style"/>
                <w:b/>
                <w:sz w:val="20"/>
                <w:szCs w:val="20"/>
                <w:lang w:val="es-ES_tradnl"/>
              </w:rPr>
            </w:pPr>
            <w:r>
              <w:rPr>
                <w:rFonts w:ascii="Bookman Old Style" w:hAnsi="Bookman Old Style"/>
                <w:b/>
                <w:sz w:val="20"/>
                <w:szCs w:val="20"/>
                <w:lang w:val="es-ES_tradnl"/>
              </w:rPr>
              <w:t>(Cantidad x Costo unitario)</w:t>
            </w:r>
          </w:p>
        </w:tc>
      </w:tr>
      <w:tr w:rsidR="003A3EF0" w:rsidRPr="008A165F" w14:paraId="1F054B85" w14:textId="77777777" w:rsidTr="003A3EF0">
        <w:trPr>
          <w:trHeight w:val="265"/>
          <w:jc w:val="center"/>
        </w:trPr>
        <w:tc>
          <w:tcPr>
            <w:tcW w:w="983" w:type="pct"/>
            <w:shd w:val="clear" w:color="auto" w:fill="auto"/>
            <w:vAlign w:val="center"/>
          </w:tcPr>
          <w:p w14:paraId="6E7990F9" w14:textId="77777777" w:rsidR="003A3EF0" w:rsidRPr="0066365E" w:rsidRDefault="003A3EF0" w:rsidP="003A3EF0">
            <w:pPr>
              <w:pStyle w:val="NormalWeb"/>
              <w:spacing w:before="0" w:beforeAutospacing="0" w:after="0" w:afterAutospacing="0"/>
              <w:jc w:val="left"/>
              <w:textAlignment w:val="bottom"/>
              <w:rPr>
                <w:color w:val="auto"/>
                <w:sz w:val="20"/>
                <w:szCs w:val="20"/>
                <w:lang w:val="es-ES_tradnl" w:eastAsia="es-ES"/>
              </w:rPr>
            </w:pPr>
            <w:r w:rsidRPr="0066365E">
              <w:rPr>
                <w:sz w:val="20"/>
                <w:szCs w:val="20"/>
                <w:lang w:val="es-ES_tradnl"/>
              </w:rPr>
              <w:t>TPE100-160ZV</w:t>
            </w:r>
          </w:p>
        </w:tc>
        <w:tc>
          <w:tcPr>
            <w:tcW w:w="948" w:type="pct"/>
            <w:vAlign w:val="center"/>
          </w:tcPr>
          <w:p w14:paraId="48BB84B6" w14:textId="77777777" w:rsidR="003A3EF0" w:rsidRPr="0066365E" w:rsidRDefault="003A3EF0" w:rsidP="003A3EF0">
            <w:pPr>
              <w:pStyle w:val="NormalWeb"/>
              <w:spacing w:before="0" w:beforeAutospacing="0" w:after="0" w:afterAutospacing="0"/>
              <w:jc w:val="center"/>
              <w:textAlignment w:val="bottom"/>
              <w:rPr>
                <w:color w:val="auto"/>
                <w:sz w:val="20"/>
                <w:szCs w:val="20"/>
                <w:lang w:val="es-ES_tradnl" w:eastAsia="es-ES"/>
              </w:rPr>
            </w:pPr>
            <w:r>
              <w:rPr>
                <w:color w:val="auto"/>
                <w:sz w:val="20"/>
                <w:szCs w:val="20"/>
                <w:lang w:val="es-ES_tradnl" w:eastAsia="es-ES"/>
              </w:rPr>
              <w:t>168.970.730</w:t>
            </w:r>
          </w:p>
        </w:tc>
        <w:tc>
          <w:tcPr>
            <w:tcW w:w="949" w:type="pct"/>
            <w:vAlign w:val="bottom"/>
          </w:tcPr>
          <w:p w14:paraId="5CDF1574" w14:textId="77777777" w:rsidR="003A3EF0" w:rsidRPr="0066365E" w:rsidRDefault="003A3EF0" w:rsidP="003A3EF0">
            <w:pPr>
              <w:pStyle w:val="NormalWeb"/>
              <w:spacing w:before="0" w:beforeAutospacing="0" w:after="0" w:afterAutospacing="0"/>
              <w:jc w:val="center"/>
              <w:textAlignment w:val="bottom"/>
              <w:rPr>
                <w:color w:val="auto"/>
                <w:sz w:val="20"/>
                <w:szCs w:val="20"/>
                <w:lang w:val="es-ES_tradnl" w:eastAsia="es-ES"/>
              </w:rPr>
            </w:pPr>
            <w:r>
              <w:rPr>
                <w:color w:val="auto"/>
                <w:sz w:val="20"/>
                <w:szCs w:val="20"/>
                <w:lang w:val="es-ES_tradnl" w:eastAsia="es-ES"/>
              </w:rPr>
              <w:t>178.781.839</w:t>
            </w:r>
          </w:p>
        </w:tc>
        <w:tc>
          <w:tcPr>
            <w:tcW w:w="682" w:type="pct"/>
            <w:vAlign w:val="center"/>
          </w:tcPr>
          <w:p w14:paraId="7546ED16" w14:textId="77777777" w:rsidR="003A3EF0" w:rsidRPr="00513DF4" w:rsidRDefault="003A3EF0" w:rsidP="003A3EF0">
            <w:pPr>
              <w:ind w:left="0"/>
              <w:jc w:val="center"/>
              <w:rPr>
                <w:rFonts w:ascii="Bookman Old Style" w:hAnsi="Bookman Old Style"/>
                <w:color w:val="000000"/>
                <w:sz w:val="18"/>
                <w:szCs w:val="18"/>
              </w:rPr>
            </w:pPr>
            <w:r w:rsidRPr="00513DF4">
              <w:rPr>
                <w:rFonts w:ascii="Bookman Old Style" w:hAnsi="Bookman Old Style"/>
                <w:color w:val="000000"/>
                <w:sz w:val="18"/>
                <w:szCs w:val="18"/>
              </w:rPr>
              <w:t>5,69</w:t>
            </w:r>
          </w:p>
        </w:tc>
        <w:tc>
          <w:tcPr>
            <w:tcW w:w="1438" w:type="pct"/>
            <w:vAlign w:val="center"/>
          </w:tcPr>
          <w:p w14:paraId="3D025F0D" w14:textId="77777777" w:rsidR="003A3EF0" w:rsidRPr="00513DF4" w:rsidRDefault="003A3EF0" w:rsidP="008F4BEA">
            <w:pPr>
              <w:ind w:left="0"/>
              <w:jc w:val="right"/>
              <w:rPr>
                <w:rFonts w:ascii="Bookman Old Style" w:hAnsi="Bookman Old Style"/>
                <w:color w:val="000000"/>
                <w:sz w:val="18"/>
                <w:szCs w:val="18"/>
              </w:rPr>
            </w:pPr>
            <w:r w:rsidRPr="00513DF4">
              <w:rPr>
                <w:rFonts w:ascii="Bookman Old Style" w:hAnsi="Bookman Old Style"/>
                <w:color w:val="000000"/>
                <w:sz w:val="18"/>
                <w:szCs w:val="18"/>
              </w:rPr>
              <w:t>1.017.2</w:t>
            </w:r>
            <w:r w:rsidR="008F4BEA">
              <w:rPr>
                <w:rFonts w:ascii="Bookman Old Style" w:hAnsi="Bookman Old Style"/>
                <w:color w:val="000000"/>
                <w:sz w:val="18"/>
                <w:szCs w:val="18"/>
              </w:rPr>
              <w:t>68</w:t>
            </w:r>
            <w:r w:rsidRPr="00513DF4">
              <w:rPr>
                <w:rFonts w:ascii="Bookman Old Style" w:hAnsi="Bookman Old Style"/>
                <w:color w:val="000000"/>
                <w:sz w:val="18"/>
                <w:szCs w:val="18"/>
              </w:rPr>
              <w:t>.</w:t>
            </w:r>
            <w:r w:rsidR="008F4BEA">
              <w:rPr>
                <w:rFonts w:ascii="Bookman Old Style" w:hAnsi="Bookman Old Style"/>
                <w:color w:val="000000"/>
                <w:sz w:val="18"/>
                <w:szCs w:val="18"/>
              </w:rPr>
              <w:t>664</w:t>
            </w:r>
          </w:p>
        </w:tc>
      </w:tr>
      <w:tr w:rsidR="003A3EF0" w:rsidRPr="008A165F" w14:paraId="236C44F8" w14:textId="77777777" w:rsidTr="003A3EF0">
        <w:trPr>
          <w:trHeight w:val="265"/>
          <w:jc w:val="center"/>
        </w:trPr>
        <w:tc>
          <w:tcPr>
            <w:tcW w:w="983" w:type="pct"/>
            <w:tcBorders>
              <w:bottom w:val="single" w:sz="4" w:space="0" w:color="auto"/>
            </w:tcBorders>
            <w:shd w:val="clear" w:color="auto" w:fill="auto"/>
            <w:vAlign w:val="center"/>
          </w:tcPr>
          <w:p w14:paraId="292EDFF8" w14:textId="77777777" w:rsidR="003A3EF0" w:rsidRPr="0066365E" w:rsidRDefault="003A3EF0" w:rsidP="003A3EF0">
            <w:pPr>
              <w:ind w:left="22" w:hanging="22"/>
              <w:rPr>
                <w:rFonts w:ascii="Bookman Old Style" w:hAnsi="Bookman Old Style"/>
                <w:sz w:val="20"/>
                <w:szCs w:val="20"/>
                <w:lang w:val="es-ES_tradnl"/>
              </w:rPr>
            </w:pPr>
            <w:r w:rsidRPr="0066365E">
              <w:rPr>
                <w:rFonts w:ascii="Bookman Old Style" w:hAnsi="Bookman Old Style"/>
                <w:sz w:val="20"/>
                <w:szCs w:val="20"/>
                <w:lang w:val="es-ES_tradnl"/>
              </w:rPr>
              <w:t>TPE100-63ZV</w:t>
            </w:r>
          </w:p>
        </w:tc>
        <w:tc>
          <w:tcPr>
            <w:tcW w:w="948" w:type="pct"/>
            <w:tcBorders>
              <w:bottom w:val="single" w:sz="4" w:space="0" w:color="auto"/>
            </w:tcBorders>
            <w:vAlign w:val="center"/>
          </w:tcPr>
          <w:p w14:paraId="0652FED8" w14:textId="77777777" w:rsidR="003A3EF0" w:rsidRPr="0066365E" w:rsidRDefault="003A3EF0" w:rsidP="003A3EF0">
            <w:pPr>
              <w:pStyle w:val="NormalWeb"/>
              <w:spacing w:before="0" w:beforeAutospacing="0" w:after="0" w:afterAutospacing="0"/>
              <w:jc w:val="center"/>
              <w:textAlignment w:val="bottom"/>
              <w:rPr>
                <w:sz w:val="20"/>
                <w:szCs w:val="20"/>
              </w:rPr>
            </w:pPr>
            <w:r>
              <w:rPr>
                <w:sz w:val="20"/>
                <w:szCs w:val="20"/>
              </w:rPr>
              <w:t>29.358.477</w:t>
            </w:r>
          </w:p>
        </w:tc>
        <w:tc>
          <w:tcPr>
            <w:tcW w:w="949" w:type="pct"/>
            <w:vAlign w:val="bottom"/>
          </w:tcPr>
          <w:p w14:paraId="39075E77" w14:textId="77777777" w:rsidR="003A3EF0" w:rsidRPr="0066365E" w:rsidRDefault="003A3EF0" w:rsidP="003A3EF0">
            <w:pPr>
              <w:pStyle w:val="NormalWeb"/>
              <w:spacing w:before="0" w:beforeAutospacing="0" w:after="0" w:afterAutospacing="0"/>
              <w:jc w:val="center"/>
              <w:textAlignment w:val="bottom"/>
              <w:rPr>
                <w:color w:val="auto"/>
                <w:sz w:val="20"/>
                <w:szCs w:val="20"/>
                <w:lang w:val="es-ES_tradnl" w:eastAsia="es-ES"/>
              </w:rPr>
            </w:pPr>
            <w:r>
              <w:rPr>
                <w:color w:val="auto"/>
                <w:sz w:val="20"/>
                <w:szCs w:val="20"/>
                <w:lang w:val="es-ES_tradnl" w:eastAsia="es-ES"/>
              </w:rPr>
              <w:t>31.063.146</w:t>
            </w:r>
          </w:p>
        </w:tc>
        <w:tc>
          <w:tcPr>
            <w:tcW w:w="682" w:type="pct"/>
            <w:vAlign w:val="center"/>
          </w:tcPr>
          <w:p w14:paraId="6ABFC555" w14:textId="77777777" w:rsidR="003A3EF0" w:rsidRPr="00513DF4" w:rsidRDefault="003A3EF0" w:rsidP="003A3EF0">
            <w:pPr>
              <w:ind w:left="0"/>
              <w:jc w:val="center"/>
              <w:rPr>
                <w:rFonts w:ascii="Bookman Old Style" w:hAnsi="Bookman Old Style"/>
                <w:color w:val="000000"/>
                <w:sz w:val="18"/>
                <w:szCs w:val="18"/>
              </w:rPr>
            </w:pPr>
            <w:r w:rsidRPr="00513DF4">
              <w:rPr>
                <w:rFonts w:ascii="Bookman Old Style" w:hAnsi="Bookman Old Style"/>
                <w:color w:val="000000"/>
                <w:sz w:val="18"/>
                <w:szCs w:val="18"/>
              </w:rPr>
              <w:t>0,34</w:t>
            </w:r>
          </w:p>
        </w:tc>
        <w:tc>
          <w:tcPr>
            <w:tcW w:w="1438" w:type="pct"/>
            <w:vAlign w:val="center"/>
          </w:tcPr>
          <w:p w14:paraId="5A02405E" w14:textId="77777777" w:rsidR="003A3EF0" w:rsidRPr="00513DF4" w:rsidRDefault="003A3EF0" w:rsidP="008F4BEA">
            <w:pPr>
              <w:ind w:left="0"/>
              <w:jc w:val="right"/>
              <w:rPr>
                <w:rFonts w:ascii="Bookman Old Style" w:hAnsi="Bookman Old Style"/>
                <w:color w:val="000000"/>
                <w:sz w:val="18"/>
                <w:szCs w:val="18"/>
              </w:rPr>
            </w:pPr>
            <w:r w:rsidRPr="00513DF4">
              <w:rPr>
                <w:rFonts w:ascii="Bookman Old Style" w:hAnsi="Bookman Old Style"/>
                <w:color w:val="000000"/>
                <w:sz w:val="18"/>
                <w:szCs w:val="18"/>
              </w:rPr>
              <w:t>10.</w:t>
            </w:r>
            <w:r w:rsidR="008F4BEA">
              <w:rPr>
                <w:rFonts w:ascii="Bookman Old Style" w:hAnsi="Bookman Old Style"/>
                <w:color w:val="000000"/>
                <w:sz w:val="18"/>
                <w:szCs w:val="18"/>
              </w:rPr>
              <w:t>561</w:t>
            </w:r>
            <w:r w:rsidRPr="00513DF4">
              <w:rPr>
                <w:rFonts w:ascii="Bookman Old Style" w:hAnsi="Bookman Old Style"/>
                <w:color w:val="000000"/>
                <w:sz w:val="18"/>
                <w:szCs w:val="18"/>
              </w:rPr>
              <w:t>.</w:t>
            </w:r>
            <w:r w:rsidR="008F4BEA">
              <w:rPr>
                <w:rFonts w:ascii="Bookman Old Style" w:hAnsi="Bookman Old Style"/>
                <w:color w:val="000000"/>
                <w:sz w:val="18"/>
                <w:szCs w:val="18"/>
              </w:rPr>
              <w:t>470</w:t>
            </w:r>
          </w:p>
        </w:tc>
      </w:tr>
      <w:tr w:rsidR="003A3EF0" w:rsidRPr="008A165F" w14:paraId="31847334" w14:textId="77777777" w:rsidTr="003A3EF0">
        <w:trPr>
          <w:trHeight w:val="265"/>
          <w:jc w:val="center"/>
        </w:trPr>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14:paraId="0B9EAA60" w14:textId="77777777" w:rsidR="003A3EF0" w:rsidRPr="0066365E" w:rsidRDefault="003A3EF0" w:rsidP="003A3EF0">
            <w:pPr>
              <w:ind w:left="22" w:hanging="22"/>
              <w:rPr>
                <w:rFonts w:ascii="Bookman Old Style" w:hAnsi="Bookman Old Style"/>
                <w:sz w:val="20"/>
                <w:szCs w:val="20"/>
                <w:lang w:val="es-ES_tradnl"/>
              </w:rPr>
            </w:pPr>
            <w:r w:rsidRPr="0066365E">
              <w:rPr>
                <w:rFonts w:ascii="Bookman Old Style" w:hAnsi="Bookman Old Style"/>
                <w:sz w:val="20"/>
                <w:szCs w:val="20"/>
                <w:lang w:val="es-ES_tradnl"/>
              </w:rPr>
              <w:t>TPE100-90ZV</w:t>
            </w:r>
          </w:p>
        </w:tc>
        <w:tc>
          <w:tcPr>
            <w:tcW w:w="948" w:type="pct"/>
            <w:tcBorders>
              <w:top w:val="single" w:sz="4" w:space="0" w:color="auto"/>
              <w:left w:val="single" w:sz="4" w:space="0" w:color="auto"/>
              <w:bottom w:val="single" w:sz="4" w:space="0" w:color="auto"/>
              <w:right w:val="single" w:sz="4" w:space="0" w:color="auto"/>
            </w:tcBorders>
            <w:vAlign w:val="center"/>
          </w:tcPr>
          <w:p w14:paraId="60FAD4E7" w14:textId="77777777" w:rsidR="003A3EF0" w:rsidRPr="0066365E" w:rsidRDefault="003A3EF0" w:rsidP="003A3EF0">
            <w:pPr>
              <w:pStyle w:val="NormalWeb"/>
              <w:spacing w:before="0" w:beforeAutospacing="0" w:after="0" w:afterAutospacing="0"/>
              <w:jc w:val="center"/>
              <w:textAlignment w:val="bottom"/>
              <w:rPr>
                <w:sz w:val="20"/>
                <w:szCs w:val="20"/>
              </w:rPr>
            </w:pPr>
            <w:r>
              <w:rPr>
                <w:sz w:val="20"/>
                <w:szCs w:val="20"/>
              </w:rPr>
              <w:t>47.767.031</w:t>
            </w:r>
          </w:p>
        </w:tc>
        <w:tc>
          <w:tcPr>
            <w:tcW w:w="949" w:type="pct"/>
            <w:tcBorders>
              <w:left w:val="single" w:sz="4" w:space="0" w:color="auto"/>
              <w:bottom w:val="single" w:sz="4" w:space="0" w:color="auto"/>
            </w:tcBorders>
            <w:vAlign w:val="bottom"/>
          </w:tcPr>
          <w:p w14:paraId="11C68C52" w14:textId="77777777" w:rsidR="003A3EF0" w:rsidRPr="0066365E" w:rsidRDefault="003A3EF0" w:rsidP="003A3EF0">
            <w:pPr>
              <w:pStyle w:val="NormalWeb"/>
              <w:spacing w:before="0" w:beforeAutospacing="0" w:after="0" w:afterAutospacing="0"/>
              <w:jc w:val="center"/>
              <w:textAlignment w:val="bottom"/>
              <w:rPr>
                <w:color w:val="auto"/>
                <w:sz w:val="20"/>
                <w:szCs w:val="20"/>
                <w:lang w:val="es-ES_tradnl" w:eastAsia="es-ES"/>
              </w:rPr>
            </w:pPr>
            <w:r>
              <w:rPr>
                <w:color w:val="auto"/>
                <w:sz w:val="20"/>
                <w:szCs w:val="20"/>
                <w:lang w:val="es-ES_tradnl" w:eastAsia="es-ES"/>
              </w:rPr>
              <w:t>50.540.574</w:t>
            </w:r>
          </w:p>
        </w:tc>
        <w:tc>
          <w:tcPr>
            <w:tcW w:w="682" w:type="pct"/>
            <w:vAlign w:val="center"/>
          </w:tcPr>
          <w:p w14:paraId="0901D692" w14:textId="77777777" w:rsidR="003A3EF0" w:rsidRPr="00513DF4" w:rsidRDefault="003A3EF0" w:rsidP="003A3EF0">
            <w:pPr>
              <w:ind w:left="0"/>
              <w:jc w:val="center"/>
              <w:rPr>
                <w:rFonts w:ascii="Bookman Old Style" w:hAnsi="Bookman Old Style"/>
                <w:color w:val="000000"/>
                <w:sz w:val="18"/>
                <w:szCs w:val="18"/>
              </w:rPr>
            </w:pPr>
            <w:r w:rsidRPr="00513DF4">
              <w:rPr>
                <w:rFonts w:ascii="Bookman Old Style" w:hAnsi="Bookman Old Style"/>
                <w:color w:val="000000"/>
                <w:sz w:val="18"/>
                <w:szCs w:val="18"/>
              </w:rPr>
              <w:t>1,54</w:t>
            </w:r>
          </w:p>
        </w:tc>
        <w:tc>
          <w:tcPr>
            <w:tcW w:w="1438" w:type="pct"/>
            <w:vAlign w:val="center"/>
          </w:tcPr>
          <w:p w14:paraId="26915C08" w14:textId="77777777" w:rsidR="003A3EF0" w:rsidRPr="00513DF4" w:rsidRDefault="008F4BEA" w:rsidP="008F4BEA">
            <w:pPr>
              <w:ind w:left="0"/>
              <w:jc w:val="right"/>
              <w:rPr>
                <w:rFonts w:ascii="Bookman Old Style" w:hAnsi="Bookman Old Style"/>
                <w:color w:val="000000"/>
                <w:sz w:val="18"/>
                <w:szCs w:val="18"/>
              </w:rPr>
            </w:pPr>
            <w:r>
              <w:rPr>
                <w:rFonts w:ascii="Bookman Old Style" w:hAnsi="Bookman Old Style"/>
                <w:color w:val="000000"/>
                <w:sz w:val="18"/>
                <w:szCs w:val="18"/>
              </w:rPr>
              <w:t>77.832.484</w:t>
            </w:r>
          </w:p>
        </w:tc>
      </w:tr>
      <w:tr w:rsidR="00065EFE" w:rsidRPr="008A165F" w14:paraId="5BA64B3F" w14:textId="77777777" w:rsidTr="003A3EF0">
        <w:trPr>
          <w:trHeight w:val="265"/>
          <w:jc w:val="center"/>
        </w:trPr>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14:paraId="414452A1" w14:textId="77777777" w:rsidR="00065EFE" w:rsidRPr="0066365E" w:rsidRDefault="00065EFE" w:rsidP="00065EFE">
            <w:pPr>
              <w:ind w:left="22" w:hanging="22"/>
              <w:rPr>
                <w:rFonts w:ascii="Bookman Old Style" w:hAnsi="Bookman Old Style"/>
                <w:sz w:val="20"/>
                <w:szCs w:val="20"/>
                <w:lang w:val="es-ES_tradnl"/>
              </w:rPr>
            </w:pPr>
            <w:r w:rsidRPr="0066365E">
              <w:rPr>
                <w:rFonts w:ascii="Bookman Old Style" w:hAnsi="Bookman Old Style"/>
                <w:sz w:val="20"/>
                <w:szCs w:val="20"/>
                <w:lang w:val="es-ES_tradnl"/>
              </w:rPr>
              <w:t>TPE100-160ZV</w:t>
            </w:r>
          </w:p>
        </w:tc>
        <w:tc>
          <w:tcPr>
            <w:tcW w:w="948" w:type="pct"/>
            <w:tcBorders>
              <w:top w:val="single" w:sz="4" w:space="0" w:color="auto"/>
              <w:left w:val="single" w:sz="4" w:space="0" w:color="auto"/>
              <w:bottom w:val="single" w:sz="4" w:space="0" w:color="auto"/>
              <w:right w:val="single" w:sz="4" w:space="0" w:color="auto"/>
            </w:tcBorders>
            <w:vAlign w:val="center"/>
          </w:tcPr>
          <w:p w14:paraId="7522C1ED" w14:textId="77777777" w:rsidR="00065EFE" w:rsidRPr="0066365E" w:rsidRDefault="00065EFE" w:rsidP="00065EFE">
            <w:pPr>
              <w:pStyle w:val="NormalWeb"/>
              <w:spacing w:before="0" w:beforeAutospacing="0" w:after="0" w:afterAutospacing="0"/>
              <w:jc w:val="center"/>
              <w:textAlignment w:val="bottom"/>
              <w:rPr>
                <w:color w:val="auto"/>
                <w:sz w:val="20"/>
                <w:szCs w:val="20"/>
                <w:lang w:val="es-ES_tradnl" w:eastAsia="es-ES"/>
              </w:rPr>
            </w:pPr>
            <w:r>
              <w:rPr>
                <w:color w:val="auto"/>
                <w:sz w:val="20"/>
                <w:szCs w:val="20"/>
                <w:lang w:val="es-ES_tradnl" w:eastAsia="es-ES"/>
              </w:rPr>
              <w:t>168.970.730</w:t>
            </w:r>
          </w:p>
        </w:tc>
        <w:tc>
          <w:tcPr>
            <w:tcW w:w="949" w:type="pct"/>
            <w:tcBorders>
              <w:left w:val="single" w:sz="4" w:space="0" w:color="auto"/>
              <w:bottom w:val="single" w:sz="4" w:space="0" w:color="auto"/>
            </w:tcBorders>
            <w:vAlign w:val="bottom"/>
          </w:tcPr>
          <w:p w14:paraId="5176A053" w14:textId="77777777" w:rsidR="00065EFE" w:rsidRDefault="00065EFE" w:rsidP="00065EFE">
            <w:pPr>
              <w:pStyle w:val="NormalWeb"/>
              <w:spacing w:before="0" w:beforeAutospacing="0" w:after="0" w:afterAutospacing="0"/>
              <w:jc w:val="center"/>
              <w:textAlignment w:val="bottom"/>
              <w:rPr>
                <w:color w:val="auto"/>
                <w:sz w:val="20"/>
                <w:szCs w:val="20"/>
                <w:lang w:val="es-ES_tradnl" w:eastAsia="es-ES"/>
              </w:rPr>
            </w:pPr>
            <w:r>
              <w:rPr>
                <w:color w:val="auto"/>
                <w:sz w:val="20"/>
                <w:szCs w:val="20"/>
                <w:lang w:val="es-ES_tradnl" w:eastAsia="es-ES"/>
              </w:rPr>
              <w:t>178.781.839</w:t>
            </w:r>
          </w:p>
        </w:tc>
        <w:tc>
          <w:tcPr>
            <w:tcW w:w="682" w:type="pct"/>
            <w:vAlign w:val="center"/>
          </w:tcPr>
          <w:p w14:paraId="4EF17A7A" w14:textId="77777777" w:rsidR="00065EFE" w:rsidRPr="00513DF4" w:rsidRDefault="00065EFE" w:rsidP="00065EFE">
            <w:pPr>
              <w:ind w:left="0"/>
              <w:jc w:val="center"/>
              <w:rPr>
                <w:rFonts w:ascii="Bookman Old Style" w:hAnsi="Bookman Old Style"/>
                <w:color w:val="000000"/>
                <w:sz w:val="18"/>
                <w:szCs w:val="18"/>
              </w:rPr>
            </w:pPr>
            <w:r>
              <w:rPr>
                <w:rFonts w:ascii="Bookman Old Style" w:hAnsi="Bookman Old Style"/>
                <w:color w:val="000000"/>
                <w:sz w:val="18"/>
                <w:szCs w:val="18"/>
              </w:rPr>
              <w:t>-4.00</w:t>
            </w:r>
          </w:p>
        </w:tc>
        <w:tc>
          <w:tcPr>
            <w:tcW w:w="1438" w:type="pct"/>
            <w:vAlign w:val="center"/>
          </w:tcPr>
          <w:p w14:paraId="20F46A7F" w14:textId="77777777" w:rsidR="00065EFE" w:rsidRPr="00513DF4" w:rsidRDefault="00065EFE" w:rsidP="00065EFE">
            <w:pPr>
              <w:ind w:left="0"/>
              <w:jc w:val="right"/>
              <w:rPr>
                <w:rFonts w:ascii="Bookman Old Style" w:hAnsi="Bookman Old Style"/>
                <w:color w:val="000000"/>
                <w:sz w:val="18"/>
                <w:szCs w:val="18"/>
              </w:rPr>
            </w:pPr>
            <w:r w:rsidRPr="008F4BEA">
              <w:rPr>
                <w:rFonts w:ascii="Bookman Old Style" w:hAnsi="Bookman Old Style"/>
                <w:color w:val="000000"/>
                <w:sz w:val="18"/>
                <w:szCs w:val="18"/>
              </w:rPr>
              <w:t>-675.882.920</w:t>
            </w:r>
          </w:p>
        </w:tc>
      </w:tr>
      <w:tr w:rsidR="00065EFE" w:rsidRPr="008A165F" w14:paraId="2CFFEC58" w14:textId="77777777" w:rsidTr="003A3EF0">
        <w:trPr>
          <w:trHeight w:val="265"/>
          <w:jc w:val="center"/>
        </w:trPr>
        <w:tc>
          <w:tcPr>
            <w:tcW w:w="983" w:type="pct"/>
            <w:tcBorders>
              <w:top w:val="single" w:sz="4" w:space="0" w:color="auto"/>
              <w:left w:val="nil"/>
              <w:bottom w:val="nil"/>
              <w:right w:val="nil"/>
            </w:tcBorders>
            <w:shd w:val="clear" w:color="auto" w:fill="auto"/>
            <w:vAlign w:val="center"/>
          </w:tcPr>
          <w:p w14:paraId="15A1AA2C" w14:textId="77777777" w:rsidR="00065EFE" w:rsidRPr="0066365E" w:rsidRDefault="00065EFE" w:rsidP="00065EFE">
            <w:pPr>
              <w:ind w:left="22" w:hanging="22"/>
              <w:rPr>
                <w:rFonts w:ascii="Bookman Old Style" w:hAnsi="Bookman Old Style"/>
                <w:sz w:val="20"/>
                <w:szCs w:val="20"/>
                <w:lang w:val="es-ES_tradnl"/>
              </w:rPr>
            </w:pPr>
          </w:p>
        </w:tc>
        <w:tc>
          <w:tcPr>
            <w:tcW w:w="948" w:type="pct"/>
            <w:tcBorders>
              <w:top w:val="single" w:sz="4" w:space="0" w:color="auto"/>
              <w:left w:val="nil"/>
              <w:bottom w:val="nil"/>
              <w:right w:val="single" w:sz="4" w:space="0" w:color="auto"/>
            </w:tcBorders>
            <w:vAlign w:val="center"/>
          </w:tcPr>
          <w:p w14:paraId="760A1E3E" w14:textId="77777777" w:rsidR="00065EFE" w:rsidRDefault="00065EFE" w:rsidP="00065EFE">
            <w:pPr>
              <w:pStyle w:val="NormalWeb"/>
              <w:spacing w:before="0" w:beforeAutospacing="0" w:after="0" w:afterAutospacing="0"/>
              <w:jc w:val="center"/>
              <w:textAlignment w:val="bottom"/>
              <w:rPr>
                <w:sz w:val="20"/>
                <w:szCs w:val="20"/>
              </w:rPr>
            </w:pPr>
          </w:p>
        </w:tc>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71C91" w14:textId="77777777" w:rsidR="00065EFE" w:rsidRPr="003A3EF0" w:rsidRDefault="00065EFE" w:rsidP="00065EFE">
            <w:pPr>
              <w:pStyle w:val="NormalWeb"/>
              <w:spacing w:before="0" w:beforeAutospacing="0" w:after="0" w:afterAutospacing="0"/>
              <w:jc w:val="right"/>
              <w:textAlignment w:val="bottom"/>
              <w:rPr>
                <w:b/>
                <w:color w:val="auto"/>
                <w:sz w:val="18"/>
                <w:szCs w:val="18"/>
                <w:lang w:val="es-ES_tradnl" w:eastAsia="es-ES"/>
              </w:rPr>
            </w:pPr>
            <w:r w:rsidRPr="003A3EF0">
              <w:rPr>
                <w:b/>
                <w:color w:val="auto"/>
                <w:sz w:val="18"/>
                <w:szCs w:val="18"/>
                <w:lang w:val="es-ES_tradnl" w:eastAsia="es-ES"/>
              </w:rPr>
              <w:t>Total</w:t>
            </w:r>
          </w:p>
        </w:tc>
        <w:tc>
          <w:tcPr>
            <w:tcW w:w="682" w:type="pct"/>
            <w:tcBorders>
              <w:left w:val="single" w:sz="4" w:space="0" w:color="auto"/>
            </w:tcBorders>
            <w:shd w:val="clear" w:color="auto" w:fill="F2F2F2" w:themeFill="background1" w:themeFillShade="F2"/>
          </w:tcPr>
          <w:p w14:paraId="464FE42E" w14:textId="77777777" w:rsidR="00065EFE" w:rsidRPr="003A3EF0" w:rsidRDefault="00065EFE" w:rsidP="00065EFE">
            <w:pPr>
              <w:pStyle w:val="NormalWeb"/>
              <w:spacing w:before="0" w:beforeAutospacing="0" w:after="0" w:afterAutospacing="0"/>
              <w:jc w:val="center"/>
              <w:textAlignment w:val="bottom"/>
              <w:rPr>
                <w:b/>
                <w:color w:val="auto"/>
                <w:sz w:val="18"/>
                <w:szCs w:val="18"/>
                <w:lang w:val="es-ES_tradnl" w:eastAsia="es-ES"/>
              </w:rPr>
            </w:pPr>
            <w:r w:rsidRPr="003A3EF0">
              <w:rPr>
                <w:b/>
                <w:color w:val="auto"/>
                <w:sz w:val="18"/>
                <w:szCs w:val="18"/>
                <w:lang w:val="es-ES_tradnl" w:eastAsia="es-ES"/>
              </w:rPr>
              <w:t>7,57</w:t>
            </w:r>
          </w:p>
        </w:tc>
        <w:tc>
          <w:tcPr>
            <w:tcW w:w="1438" w:type="pct"/>
            <w:shd w:val="clear" w:color="auto" w:fill="F2F2F2" w:themeFill="background1" w:themeFillShade="F2"/>
          </w:tcPr>
          <w:p w14:paraId="01F19C25" w14:textId="77777777" w:rsidR="00065EFE" w:rsidRPr="003A3EF0" w:rsidRDefault="008F4BEA" w:rsidP="00065EFE">
            <w:pPr>
              <w:pStyle w:val="NormalWeb"/>
              <w:spacing w:before="0" w:beforeAutospacing="0" w:after="0" w:afterAutospacing="0"/>
              <w:jc w:val="right"/>
              <w:textAlignment w:val="bottom"/>
              <w:rPr>
                <w:b/>
                <w:color w:val="auto"/>
                <w:sz w:val="18"/>
                <w:szCs w:val="18"/>
                <w:lang w:val="es-ES_tradnl" w:eastAsia="es-ES"/>
              </w:rPr>
            </w:pPr>
            <w:r>
              <w:rPr>
                <w:b/>
                <w:color w:val="auto"/>
                <w:sz w:val="18"/>
                <w:szCs w:val="18"/>
                <w:lang w:val="es-ES_tradnl" w:eastAsia="es-ES"/>
              </w:rPr>
              <w:t>429.779.699</w:t>
            </w:r>
          </w:p>
        </w:tc>
      </w:tr>
    </w:tbl>
    <w:p w14:paraId="711AA896" w14:textId="19FAB12F" w:rsidR="00176990" w:rsidRPr="003A63CC" w:rsidRDefault="00AA7CA4" w:rsidP="007A0300">
      <w:pPr>
        <w:spacing w:before="240" w:after="240"/>
        <w:ind w:left="0"/>
        <w:jc w:val="both"/>
        <w:rPr>
          <w:rFonts w:ascii="Bookman Old Style" w:hAnsi="Bookman Old Style"/>
          <w:lang w:val="es-ES_tradnl"/>
        </w:rPr>
      </w:pPr>
      <w:r w:rsidRPr="003A63CC">
        <w:rPr>
          <w:rFonts w:ascii="Bookman Old Style" w:hAnsi="Bookman Old Style"/>
          <w:lang w:val="es-ES_tradnl"/>
        </w:rPr>
        <w:t xml:space="preserve">Adicionalmente, se evidencia que la unidad constructiva TPE100-160ZV fue reconocida en la Resolución CREG 027 de 2018 a un </w:t>
      </w:r>
      <w:r w:rsidR="00176990" w:rsidRPr="003A63CC">
        <w:rPr>
          <w:rFonts w:ascii="Bookman Old Style" w:hAnsi="Bookman Old Style"/>
          <w:lang w:val="es-ES_tradnl"/>
        </w:rPr>
        <w:t>costo unitario de $168.970.730, valor que corresponde a la fecha diciembre de 2012</w:t>
      </w:r>
      <w:r w:rsidR="00D4539C">
        <w:rPr>
          <w:rFonts w:ascii="Bookman Old Style" w:hAnsi="Bookman Old Style"/>
          <w:lang w:val="es-ES_tradnl"/>
        </w:rPr>
        <w:t xml:space="preserve"> y no a la fecha base</w:t>
      </w:r>
      <w:r w:rsidR="00176990" w:rsidRPr="003A63CC">
        <w:rPr>
          <w:rFonts w:ascii="Bookman Old Style" w:hAnsi="Bookman Old Style"/>
          <w:lang w:val="es-ES_tradnl"/>
        </w:rPr>
        <w:t>. En el</w:t>
      </w:r>
      <w:r w:rsidR="007A0300" w:rsidRPr="003A63CC">
        <w:rPr>
          <w:rFonts w:ascii="Bookman Old Style" w:hAnsi="Bookman Old Style"/>
          <w:lang w:val="es-ES_tradnl"/>
        </w:rPr>
        <w:t xml:space="preserve"> </w:t>
      </w:r>
      <w:r w:rsidR="007A0300" w:rsidRPr="003A63CC">
        <w:rPr>
          <w:rFonts w:ascii="Bookman Old Style" w:hAnsi="Bookman Old Style"/>
          <w:lang w:val="es-ES_tradnl"/>
        </w:rPr>
        <w:fldChar w:fldCharType="begin"/>
      </w:r>
      <w:r w:rsidR="007A0300" w:rsidRPr="003A63CC">
        <w:rPr>
          <w:rFonts w:ascii="Bookman Old Style" w:hAnsi="Bookman Old Style"/>
          <w:lang w:val="es-ES_tradnl"/>
        </w:rPr>
        <w:instrText xml:space="preserve"> REF _Ref530406724 \h  \* MERGEFORMAT </w:instrText>
      </w:r>
      <w:r w:rsidR="007A0300" w:rsidRPr="003A63CC">
        <w:rPr>
          <w:rFonts w:ascii="Bookman Old Style" w:hAnsi="Bookman Old Style"/>
          <w:lang w:val="es-ES_tradnl"/>
        </w:rPr>
      </w:r>
      <w:r w:rsidR="007A0300" w:rsidRPr="003A63CC">
        <w:rPr>
          <w:rFonts w:ascii="Bookman Old Style" w:hAnsi="Bookman Old Style"/>
          <w:lang w:val="es-ES_tradnl"/>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15</w:t>
      </w:r>
      <w:r w:rsidR="007A0300" w:rsidRPr="003A63CC">
        <w:rPr>
          <w:rFonts w:ascii="Bookman Old Style" w:hAnsi="Bookman Old Style"/>
          <w:lang w:val="es-ES_tradnl"/>
        </w:rPr>
        <w:fldChar w:fldCharType="end"/>
      </w:r>
      <w:r w:rsidR="007A0300" w:rsidRPr="003A63CC">
        <w:rPr>
          <w:rFonts w:ascii="Bookman Old Style" w:hAnsi="Bookman Old Style"/>
          <w:lang w:val="es-ES_tradnl"/>
        </w:rPr>
        <w:t xml:space="preserve"> se muestran las cantidades de unidad constructiva TPE100-160ZV que se aprob</w:t>
      </w:r>
      <w:r w:rsidR="00765A53">
        <w:rPr>
          <w:rFonts w:ascii="Bookman Old Style" w:hAnsi="Bookman Old Style"/>
          <w:lang w:val="es-ES_tradnl"/>
        </w:rPr>
        <w:t>aron</w:t>
      </w:r>
      <w:r w:rsidR="007A0300" w:rsidRPr="003A63CC">
        <w:rPr>
          <w:rFonts w:ascii="Bookman Old Style" w:hAnsi="Bookman Old Style"/>
          <w:lang w:val="es-ES_tradnl"/>
        </w:rPr>
        <w:t xml:space="preserve"> en la Resolución CREG 027 de 2018</w:t>
      </w:r>
      <w:r w:rsidR="00D4539C">
        <w:rPr>
          <w:rFonts w:ascii="Bookman Old Style" w:hAnsi="Bookman Old Style"/>
          <w:lang w:val="es-ES_tradnl"/>
        </w:rPr>
        <w:t xml:space="preserve"> con este valor</w:t>
      </w:r>
      <w:r w:rsidR="007A0300" w:rsidRPr="003A63CC">
        <w:rPr>
          <w:rFonts w:ascii="Bookman Old Style" w:hAnsi="Bookman Old Style"/>
          <w:lang w:val="es-ES_tradnl"/>
        </w:rPr>
        <w:t>.</w:t>
      </w:r>
    </w:p>
    <w:p w14:paraId="26C27150" w14:textId="18B078C6" w:rsidR="00176990" w:rsidRDefault="00176990" w:rsidP="00176990">
      <w:pPr>
        <w:keepNext/>
        <w:adjustRightInd w:val="0"/>
        <w:spacing w:before="240"/>
        <w:ind w:left="0" w:right="23"/>
        <w:jc w:val="center"/>
        <w:rPr>
          <w:rFonts w:ascii="Bookman Old Style" w:hAnsi="Bookman Old Style"/>
          <w:b/>
        </w:rPr>
      </w:pPr>
      <w:bookmarkStart w:id="15" w:name="_Ref530406724"/>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15</w:t>
      </w:r>
      <w:r w:rsidRPr="005F5D91">
        <w:rPr>
          <w:rFonts w:ascii="Bookman Old Style" w:hAnsi="Bookman Old Style"/>
          <w:b/>
        </w:rPr>
        <w:fldChar w:fldCharType="end"/>
      </w:r>
      <w:bookmarkEnd w:id="15"/>
    </w:p>
    <w:tbl>
      <w:tblPr>
        <w:tblStyle w:val="Tablaconcuadrcula"/>
        <w:tblW w:w="5000" w:type="pct"/>
        <w:jc w:val="center"/>
        <w:tblLook w:val="04A0" w:firstRow="1" w:lastRow="0" w:firstColumn="1" w:lastColumn="0" w:noHBand="0" w:noVBand="1"/>
      </w:tblPr>
      <w:tblGrid>
        <w:gridCol w:w="2264"/>
        <w:gridCol w:w="1701"/>
        <w:gridCol w:w="1424"/>
        <w:gridCol w:w="1113"/>
        <w:gridCol w:w="1081"/>
        <w:gridCol w:w="1763"/>
      </w:tblGrid>
      <w:tr w:rsidR="007A0300" w:rsidRPr="008A165F" w14:paraId="61662E34" w14:textId="77777777" w:rsidTr="007A0300">
        <w:trPr>
          <w:trHeight w:val="289"/>
          <w:tblHeader/>
          <w:jc w:val="center"/>
        </w:trPr>
        <w:tc>
          <w:tcPr>
            <w:tcW w:w="1211" w:type="pct"/>
            <w:shd w:val="clear" w:color="auto" w:fill="D9D9D9" w:themeFill="background1" w:themeFillShade="D9"/>
            <w:vAlign w:val="center"/>
          </w:tcPr>
          <w:p w14:paraId="0C81D66B" w14:textId="77777777" w:rsidR="007A0300" w:rsidRPr="007A0300" w:rsidRDefault="007A0300" w:rsidP="00176990">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Municipio</w:t>
            </w:r>
          </w:p>
        </w:tc>
        <w:tc>
          <w:tcPr>
            <w:tcW w:w="910" w:type="pct"/>
            <w:shd w:val="clear" w:color="auto" w:fill="D9D9D9" w:themeFill="background1" w:themeFillShade="D9"/>
            <w:vAlign w:val="center"/>
          </w:tcPr>
          <w:p w14:paraId="6C0B7DDE" w14:textId="77777777" w:rsidR="007A0300" w:rsidRPr="007A0300" w:rsidRDefault="007A0300" w:rsidP="00176990">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Unidad constructiva</w:t>
            </w:r>
          </w:p>
        </w:tc>
        <w:tc>
          <w:tcPr>
            <w:tcW w:w="762" w:type="pct"/>
            <w:shd w:val="clear" w:color="auto" w:fill="D9D9D9" w:themeFill="background1" w:themeFillShade="D9"/>
            <w:vAlign w:val="center"/>
          </w:tcPr>
          <w:p w14:paraId="0FE893EE" w14:textId="77777777" w:rsidR="007A0300" w:rsidRPr="007A0300" w:rsidRDefault="007A0300" w:rsidP="00176990">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 xml:space="preserve">Costo unitario </w:t>
            </w:r>
          </w:p>
        </w:tc>
        <w:tc>
          <w:tcPr>
            <w:tcW w:w="595" w:type="pct"/>
            <w:shd w:val="clear" w:color="auto" w:fill="D9D9D9" w:themeFill="background1" w:themeFillShade="D9"/>
            <w:vAlign w:val="center"/>
          </w:tcPr>
          <w:p w14:paraId="687FC2B0" w14:textId="77777777" w:rsidR="007A0300" w:rsidRPr="007A0300" w:rsidRDefault="007A0300" w:rsidP="007A0300">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Tipo de inversión</w:t>
            </w:r>
          </w:p>
        </w:tc>
        <w:tc>
          <w:tcPr>
            <w:tcW w:w="578" w:type="pct"/>
            <w:shd w:val="clear" w:color="auto" w:fill="D9D9D9" w:themeFill="background1" w:themeFillShade="D9"/>
            <w:vAlign w:val="center"/>
          </w:tcPr>
          <w:p w14:paraId="085CC0BE" w14:textId="77777777" w:rsidR="007A0300" w:rsidRPr="007A0300" w:rsidRDefault="007A0300" w:rsidP="00176990">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Cantidad (km)</w:t>
            </w:r>
          </w:p>
        </w:tc>
        <w:tc>
          <w:tcPr>
            <w:tcW w:w="943" w:type="pct"/>
            <w:shd w:val="clear" w:color="auto" w:fill="D9D9D9" w:themeFill="background1" w:themeFillShade="D9"/>
            <w:vAlign w:val="center"/>
          </w:tcPr>
          <w:p w14:paraId="695AF497" w14:textId="77777777" w:rsidR="007A0300" w:rsidRPr="007A0300" w:rsidRDefault="007A0300" w:rsidP="00176990">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Costo total (Cantidad x Costo unitario)</w:t>
            </w:r>
          </w:p>
        </w:tc>
      </w:tr>
      <w:tr w:rsidR="007A0300" w:rsidRPr="008A165F" w14:paraId="677952F5" w14:textId="77777777" w:rsidTr="007A0300">
        <w:trPr>
          <w:trHeight w:val="519"/>
          <w:jc w:val="center"/>
        </w:trPr>
        <w:tc>
          <w:tcPr>
            <w:tcW w:w="1211" w:type="pct"/>
            <w:shd w:val="clear" w:color="auto" w:fill="auto"/>
            <w:vAlign w:val="center"/>
          </w:tcPr>
          <w:p w14:paraId="28076991" w14:textId="77777777" w:rsidR="007A0300" w:rsidRPr="007A0300" w:rsidRDefault="007A0300" w:rsidP="00176990">
            <w:pPr>
              <w:pStyle w:val="NormalWeb"/>
              <w:spacing w:before="0" w:beforeAutospacing="0" w:after="0" w:afterAutospacing="0"/>
              <w:jc w:val="left"/>
              <w:textAlignment w:val="bottom"/>
              <w:rPr>
                <w:color w:val="auto"/>
                <w:sz w:val="18"/>
                <w:szCs w:val="18"/>
                <w:lang w:val="es-ES_tradnl" w:eastAsia="es-ES"/>
              </w:rPr>
            </w:pPr>
            <w:r w:rsidRPr="007A0300">
              <w:rPr>
                <w:color w:val="auto"/>
                <w:sz w:val="18"/>
                <w:szCs w:val="18"/>
                <w:lang w:val="es-ES_tradnl" w:eastAsia="es-ES"/>
              </w:rPr>
              <w:t>Dibulla – La Guajira</w:t>
            </w:r>
          </w:p>
        </w:tc>
        <w:tc>
          <w:tcPr>
            <w:tcW w:w="910" w:type="pct"/>
            <w:vAlign w:val="center"/>
          </w:tcPr>
          <w:p w14:paraId="3F69B000" w14:textId="77777777" w:rsidR="007A0300" w:rsidRPr="007A0300" w:rsidRDefault="007A0300" w:rsidP="00176990">
            <w:pPr>
              <w:pStyle w:val="NormalWeb"/>
              <w:spacing w:before="0" w:beforeAutospacing="0" w:after="0" w:afterAutospacing="0"/>
              <w:jc w:val="center"/>
              <w:textAlignment w:val="bottom"/>
              <w:rPr>
                <w:color w:val="auto"/>
                <w:sz w:val="18"/>
                <w:szCs w:val="18"/>
                <w:lang w:val="es-ES_tradnl" w:eastAsia="es-ES"/>
              </w:rPr>
            </w:pPr>
            <w:r w:rsidRPr="007A0300">
              <w:rPr>
                <w:sz w:val="18"/>
                <w:szCs w:val="18"/>
                <w:lang w:val="es-ES_tradnl"/>
              </w:rPr>
              <w:t>TPE100-160ZV</w:t>
            </w:r>
          </w:p>
        </w:tc>
        <w:tc>
          <w:tcPr>
            <w:tcW w:w="762" w:type="pct"/>
            <w:vAlign w:val="center"/>
          </w:tcPr>
          <w:p w14:paraId="5491BF0C" w14:textId="77777777" w:rsidR="007A0300" w:rsidRPr="007A0300" w:rsidRDefault="007A0300" w:rsidP="00176990">
            <w:pPr>
              <w:pStyle w:val="NormalWeb"/>
              <w:spacing w:before="0" w:beforeAutospacing="0" w:after="0" w:afterAutospacing="0"/>
              <w:jc w:val="center"/>
              <w:textAlignment w:val="bottom"/>
              <w:rPr>
                <w:color w:val="auto"/>
                <w:sz w:val="18"/>
                <w:szCs w:val="18"/>
                <w:lang w:val="es-ES_tradnl" w:eastAsia="es-ES"/>
              </w:rPr>
            </w:pPr>
            <w:r w:rsidRPr="007A0300">
              <w:rPr>
                <w:color w:val="auto"/>
                <w:sz w:val="18"/>
                <w:szCs w:val="18"/>
                <w:lang w:val="es-ES_tradnl" w:eastAsia="es-ES"/>
              </w:rPr>
              <w:t>168.970.730</w:t>
            </w:r>
          </w:p>
        </w:tc>
        <w:tc>
          <w:tcPr>
            <w:tcW w:w="595" w:type="pct"/>
            <w:vAlign w:val="center"/>
          </w:tcPr>
          <w:p w14:paraId="765B2166" w14:textId="77777777" w:rsidR="007A0300" w:rsidRPr="007A0300" w:rsidRDefault="007A0300" w:rsidP="007A0300">
            <w:pPr>
              <w:ind w:left="0"/>
              <w:jc w:val="center"/>
              <w:rPr>
                <w:rFonts w:ascii="Bookman Old Style" w:hAnsi="Bookman Old Style"/>
                <w:color w:val="000000"/>
                <w:sz w:val="18"/>
                <w:szCs w:val="18"/>
              </w:rPr>
            </w:pPr>
            <w:r w:rsidRPr="007A0300">
              <w:rPr>
                <w:rFonts w:ascii="Bookman Old Style" w:hAnsi="Bookman Old Style"/>
                <w:color w:val="000000"/>
                <w:sz w:val="18"/>
                <w:szCs w:val="18"/>
              </w:rPr>
              <w:t>IPE</w:t>
            </w:r>
          </w:p>
        </w:tc>
        <w:tc>
          <w:tcPr>
            <w:tcW w:w="578" w:type="pct"/>
            <w:vAlign w:val="center"/>
          </w:tcPr>
          <w:p w14:paraId="211D316E" w14:textId="77777777" w:rsidR="007A0300" w:rsidRPr="007A0300" w:rsidRDefault="007A0300" w:rsidP="00176990">
            <w:pPr>
              <w:ind w:left="0"/>
              <w:jc w:val="center"/>
              <w:rPr>
                <w:rFonts w:ascii="Bookman Old Style" w:hAnsi="Bookman Old Style"/>
                <w:color w:val="000000"/>
                <w:sz w:val="18"/>
                <w:szCs w:val="18"/>
              </w:rPr>
            </w:pPr>
            <w:r w:rsidRPr="007A0300">
              <w:rPr>
                <w:rFonts w:ascii="Bookman Old Style" w:hAnsi="Bookman Old Style"/>
                <w:color w:val="000000"/>
                <w:sz w:val="18"/>
                <w:szCs w:val="18"/>
              </w:rPr>
              <w:t>4,32</w:t>
            </w:r>
          </w:p>
        </w:tc>
        <w:tc>
          <w:tcPr>
            <w:tcW w:w="943" w:type="pct"/>
            <w:vAlign w:val="center"/>
          </w:tcPr>
          <w:p w14:paraId="77FE07AC" w14:textId="77777777" w:rsidR="007A0300" w:rsidRPr="007A0300" w:rsidRDefault="007A0300" w:rsidP="00176990">
            <w:pPr>
              <w:ind w:left="0"/>
              <w:jc w:val="center"/>
              <w:rPr>
                <w:rFonts w:ascii="Bookman Old Style" w:hAnsi="Bookman Old Style"/>
                <w:color w:val="000000"/>
                <w:sz w:val="18"/>
                <w:szCs w:val="18"/>
              </w:rPr>
            </w:pPr>
            <w:r w:rsidRPr="007A0300">
              <w:rPr>
                <w:rFonts w:ascii="Bookman Old Style" w:hAnsi="Bookman Old Style"/>
                <w:color w:val="000000"/>
                <w:sz w:val="18"/>
                <w:szCs w:val="18"/>
              </w:rPr>
              <w:t>771.443.636</w:t>
            </w:r>
          </w:p>
        </w:tc>
      </w:tr>
      <w:tr w:rsidR="007A0300" w:rsidRPr="008A165F" w14:paraId="4B23AC89" w14:textId="77777777" w:rsidTr="007A0300">
        <w:trPr>
          <w:trHeight w:val="519"/>
          <w:jc w:val="center"/>
        </w:trPr>
        <w:tc>
          <w:tcPr>
            <w:tcW w:w="1211" w:type="pct"/>
            <w:shd w:val="clear" w:color="auto" w:fill="auto"/>
            <w:vAlign w:val="center"/>
          </w:tcPr>
          <w:p w14:paraId="34707C69" w14:textId="77777777" w:rsidR="007A0300" w:rsidRPr="007A0300" w:rsidRDefault="007A0300" w:rsidP="00176990">
            <w:pPr>
              <w:pStyle w:val="NormalWeb"/>
              <w:spacing w:before="0" w:beforeAutospacing="0" w:after="0" w:afterAutospacing="0"/>
              <w:jc w:val="left"/>
              <w:textAlignment w:val="bottom"/>
              <w:rPr>
                <w:color w:val="auto"/>
                <w:sz w:val="18"/>
                <w:szCs w:val="18"/>
                <w:lang w:val="es-ES_tradnl" w:eastAsia="es-ES"/>
              </w:rPr>
            </w:pPr>
            <w:r>
              <w:rPr>
                <w:color w:val="auto"/>
                <w:sz w:val="18"/>
                <w:szCs w:val="18"/>
                <w:lang w:val="es-ES_tradnl" w:eastAsia="es-ES"/>
              </w:rPr>
              <w:t>Maicao – La Guajira</w:t>
            </w:r>
            <w:r w:rsidR="00D4539C">
              <w:rPr>
                <w:color w:val="auto"/>
                <w:sz w:val="18"/>
                <w:szCs w:val="18"/>
                <w:lang w:val="es-ES_tradnl" w:eastAsia="es-ES"/>
              </w:rPr>
              <w:t xml:space="preserve"> (Nota 1)</w:t>
            </w:r>
          </w:p>
        </w:tc>
        <w:tc>
          <w:tcPr>
            <w:tcW w:w="910" w:type="pct"/>
            <w:vAlign w:val="center"/>
          </w:tcPr>
          <w:p w14:paraId="5A61A834" w14:textId="77777777" w:rsidR="007A0300" w:rsidRPr="007A0300" w:rsidRDefault="007A0300" w:rsidP="00176990">
            <w:pPr>
              <w:pStyle w:val="NormalWeb"/>
              <w:spacing w:before="0" w:beforeAutospacing="0" w:after="0" w:afterAutospacing="0"/>
              <w:jc w:val="center"/>
              <w:textAlignment w:val="bottom"/>
              <w:rPr>
                <w:sz w:val="18"/>
                <w:szCs w:val="18"/>
                <w:lang w:val="es-ES_tradnl"/>
              </w:rPr>
            </w:pPr>
            <w:r w:rsidRPr="007A0300">
              <w:rPr>
                <w:sz w:val="18"/>
                <w:szCs w:val="18"/>
                <w:lang w:val="es-ES_tradnl"/>
              </w:rPr>
              <w:t>TPE100-160ZV</w:t>
            </w:r>
          </w:p>
        </w:tc>
        <w:tc>
          <w:tcPr>
            <w:tcW w:w="762" w:type="pct"/>
            <w:vAlign w:val="center"/>
          </w:tcPr>
          <w:p w14:paraId="6F7EA77B" w14:textId="77777777" w:rsidR="007A0300" w:rsidRPr="007A0300" w:rsidRDefault="007A0300" w:rsidP="00176990">
            <w:pPr>
              <w:pStyle w:val="NormalWeb"/>
              <w:spacing w:before="0" w:beforeAutospacing="0" w:after="0" w:afterAutospacing="0"/>
              <w:jc w:val="center"/>
              <w:textAlignment w:val="bottom"/>
              <w:rPr>
                <w:color w:val="auto"/>
                <w:sz w:val="18"/>
                <w:szCs w:val="18"/>
                <w:lang w:val="es-ES_tradnl" w:eastAsia="es-ES"/>
              </w:rPr>
            </w:pPr>
            <w:r w:rsidRPr="007A0300">
              <w:rPr>
                <w:color w:val="auto"/>
                <w:sz w:val="18"/>
                <w:szCs w:val="18"/>
                <w:lang w:val="es-ES_tradnl" w:eastAsia="es-ES"/>
              </w:rPr>
              <w:t>168.970.730</w:t>
            </w:r>
          </w:p>
        </w:tc>
        <w:tc>
          <w:tcPr>
            <w:tcW w:w="595" w:type="pct"/>
            <w:vAlign w:val="center"/>
          </w:tcPr>
          <w:p w14:paraId="68EC1CA8" w14:textId="77777777" w:rsidR="007A0300" w:rsidRPr="007A0300" w:rsidRDefault="007A0300" w:rsidP="007A0300">
            <w:pPr>
              <w:ind w:left="0"/>
              <w:jc w:val="center"/>
              <w:rPr>
                <w:rFonts w:ascii="Bookman Old Style" w:hAnsi="Bookman Old Style"/>
                <w:color w:val="000000"/>
                <w:sz w:val="18"/>
                <w:szCs w:val="18"/>
              </w:rPr>
            </w:pPr>
            <w:r w:rsidRPr="007A0300">
              <w:rPr>
                <w:rFonts w:ascii="Bookman Old Style" w:hAnsi="Bookman Old Style"/>
                <w:color w:val="000000"/>
                <w:sz w:val="18"/>
                <w:szCs w:val="18"/>
              </w:rPr>
              <w:t>I</w:t>
            </w:r>
            <w:r>
              <w:rPr>
                <w:rFonts w:ascii="Bookman Old Style" w:hAnsi="Bookman Old Style"/>
                <w:color w:val="000000"/>
                <w:sz w:val="18"/>
                <w:szCs w:val="18"/>
              </w:rPr>
              <w:t>N</w:t>
            </w:r>
            <w:r w:rsidRPr="007A0300">
              <w:rPr>
                <w:rFonts w:ascii="Bookman Old Style" w:hAnsi="Bookman Old Style"/>
                <w:color w:val="000000"/>
                <w:sz w:val="18"/>
                <w:szCs w:val="18"/>
              </w:rPr>
              <w:t>PE</w:t>
            </w:r>
          </w:p>
        </w:tc>
        <w:tc>
          <w:tcPr>
            <w:tcW w:w="578" w:type="pct"/>
            <w:vAlign w:val="center"/>
          </w:tcPr>
          <w:p w14:paraId="4514465A" w14:textId="77777777" w:rsidR="007A0300" w:rsidRPr="007A0300" w:rsidRDefault="007A0300" w:rsidP="00176990">
            <w:pPr>
              <w:ind w:left="0"/>
              <w:jc w:val="center"/>
              <w:rPr>
                <w:rFonts w:ascii="Bookman Old Style" w:hAnsi="Bookman Old Style"/>
                <w:color w:val="000000"/>
                <w:sz w:val="18"/>
                <w:szCs w:val="18"/>
              </w:rPr>
            </w:pPr>
            <w:r>
              <w:rPr>
                <w:rFonts w:ascii="Bookman Old Style" w:hAnsi="Bookman Old Style"/>
                <w:color w:val="000000"/>
                <w:sz w:val="18"/>
                <w:szCs w:val="18"/>
              </w:rPr>
              <w:t>4,00</w:t>
            </w:r>
          </w:p>
        </w:tc>
        <w:tc>
          <w:tcPr>
            <w:tcW w:w="943" w:type="pct"/>
            <w:vAlign w:val="center"/>
          </w:tcPr>
          <w:p w14:paraId="35DBC50F" w14:textId="77777777" w:rsidR="007A0300" w:rsidRPr="007A0300" w:rsidRDefault="007A0300" w:rsidP="00176990">
            <w:pPr>
              <w:ind w:left="0"/>
              <w:jc w:val="center"/>
              <w:rPr>
                <w:rFonts w:ascii="Bookman Old Style" w:hAnsi="Bookman Old Style"/>
                <w:color w:val="000000"/>
                <w:sz w:val="18"/>
                <w:szCs w:val="18"/>
              </w:rPr>
            </w:pPr>
            <w:r w:rsidRPr="008F4BEA">
              <w:rPr>
                <w:rFonts w:ascii="Bookman Old Style" w:hAnsi="Bookman Old Style"/>
                <w:color w:val="000000"/>
                <w:sz w:val="18"/>
                <w:szCs w:val="18"/>
              </w:rPr>
              <w:t>675.882.920</w:t>
            </w:r>
          </w:p>
        </w:tc>
      </w:tr>
    </w:tbl>
    <w:p w14:paraId="329EE6AD" w14:textId="77777777" w:rsidR="00D4539C" w:rsidRPr="00D4539C" w:rsidRDefault="00D4539C" w:rsidP="00D4539C">
      <w:pPr>
        <w:spacing w:after="240"/>
        <w:ind w:left="0"/>
        <w:jc w:val="both"/>
        <w:rPr>
          <w:rFonts w:ascii="Bookman Old Style" w:hAnsi="Bookman Old Style"/>
          <w:sz w:val="20"/>
          <w:szCs w:val="20"/>
          <w:lang w:val="es-ES_tradnl"/>
        </w:rPr>
      </w:pPr>
      <w:r w:rsidRPr="00D4539C">
        <w:rPr>
          <w:rFonts w:ascii="Bookman Old Style" w:hAnsi="Bookman Old Style"/>
          <w:b/>
          <w:sz w:val="20"/>
          <w:szCs w:val="20"/>
          <w:lang w:val="es-ES_tradnl"/>
        </w:rPr>
        <w:t>Nota 1:</w:t>
      </w:r>
      <w:r w:rsidRPr="00D4539C">
        <w:rPr>
          <w:rFonts w:ascii="Bookman Old Style" w:hAnsi="Bookman Old Style"/>
          <w:sz w:val="20"/>
          <w:szCs w:val="20"/>
          <w:lang w:val="es-ES_tradnl"/>
        </w:rPr>
        <w:t xml:space="preserve"> Esta inversión del municipio de Maicao corresponden a los 4 km de TPE100-160ZV que se retiraron de la INPE.</w:t>
      </w:r>
    </w:p>
    <w:p w14:paraId="15044BB3" w14:textId="29C073C2" w:rsidR="00176990" w:rsidRPr="003A63CC" w:rsidRDefault="006D7B5D" w:rsidP="003A63CC">
      <w:pPr>
        <w:spacing w:before="240" w:after="240"/>
        <w:ind w:left="0"/>
        <w:jc w:val="both"/>
        <w:rPr>
          <w:rFonts w:ascii="Bookman Old Style" w:hAnsi="Bookman Old Style"/>
          <w:lang w:val="es-ES_tradnl"/>
        </w:rPr>
      </w:pPr>
      <w:r>
        <w:rPr>
          <w:rFonts w:ascii="Bookman Old Style" w:hAnsi="Bookman Old Style"/>
          <w:lang w:val="es-ES_tradnl"/>
        </w:rPr>
        <w:t xml:space="preserve">Dado que la Resolución CREG 202 de 2013 dispone que las inversiones se deben expresar en pesos de la fecha base, la Comisión considera que se debe ajustar el valor al cual se reconocieron las inversiones del </w:t>
      </w:r>
      <w:r w:rsidRPr="006D7B5D">
        <w:rPr>
          <w:rFonts w:ascii="Bookman Old Style" w:hAnsi="Bookman Old Style"/>
          <w:lang w:val="es-ES_tradnl"/>
        </w:rPr>
        <w:fldChar w:fldCharType="begin"/>
      </w:r>
      <w:r w:rsidRPr="006D7B5D">
        <w:rPr>
          <w:rFonts w:ascii="Bookman Old Style" w:hAnsi="Bookman Old Style"/>
          <w:lang w:val="es-ES_tradnl"/>
        </w:rPr>
        <w:instrText xml:space="preserve"> REF _Ref530406724 \h  \* MERGEFORMAT </w:instrText>
      </w:r>
      <w:r w:rsidRPr="006D7B5D">
        <w:rPr>
          <w:rFonts w:ascii="Bookman Old Style" w:hAnsi="Bookman Old Style"/>
          <w:lang w:val="es-ES_tradnl"/>
        </w:rPr>
      </w:r>
      <w:r w:rsidRPr="006D7B5D">
        <w:rPr>
          <w:rFonts w:ascii="Bookman Old Style" w:hAnsi="Bookman Old Style"/>
          <w:lang w:val="es-ES_tradnl"/>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15</w:t>
      </w:r>
      <w:r w:rsidRPr="006D7B5D">
        <w:rPr>
          <w:rFonts w:ascii="Bookman Old Style" w:hAnsi="Bookman Old Style"/>
          <w:lang w:val="es-ES_tradnl"/>
        </w:rPr>
        <w:fldChar w:fldCharType="end"/>
      </w:r>
      <w:r>
        <w:rPr>
          <w:rFonts w:ascii="Bookman Old Style" w:hAnsi="Bookman Old Style"/>
          <w:lang w:val="es-ES_tradnl"/>
        </w:rPr>
        <w:t>. Así las cosas, s</w:t>
      </w:r>
      <w:r w:rsidR="003A63CC" w:rsidRPr="003A63CC">
        <w:rPr>
          <w:rFonts w:ascii="Bookman Old Style" w:hAnsi="Bookman Old Style"/>
          <w:lang w:val="es-ES_tradnl"/>
        </w:rPr>
        <w:t xml:space="preserve">e determina </w:t>
      </w:r>
      <w:r>
        <w:rPr>
          <w:rFonts w:ascii="Bookman Old Style" w:hAnsi="Bookman Old Style"/>
          <w:lang w:val="es-ES_tradnl"/>
        </w:rPr>
        <w:t xml:space="preserve">que </w:t>
      </w:r>
      <w:r w:rsidR="003A63CC" w:rsidRPr="003A63CC">
        <w:rPr>
          <w:rFonts w:ascii="Bookman Old Style" w:hAnsi="Bookman Old Style"/>
          <w:lang w:val="es-ES_tradnl"/>
        </w:rPr>
        <w:t>el valor dejado de reconocer de IPE por la valoración de la unidad TPE100-160ZV a pesos de diciembre de 2012 y no de la fecha base</w:t>
      </w:r>
      <w:r>
        <w:rPr>
          <w:rFonts w:ascii="Bookman Old Style" w:hAnsi="Bookman Old Style"/>
          <w:lang w:val="es-ES_tradnl"/>
        </w:rPr>
        <w:t xml:space="preserve"> </w:t>
      </w:r>
      <w:r w:rsidR="003A63CC" w:rsidRPr="003A63CC">
        <w:rPr>
          <w:rFonts w:ascii="Bookman Old Style" w:hAnsi="Bookman Old Style"/>
          <w:lang w:val="es-ES_tradnl"/>
        </w:rPr>
        <w:t>corresponde a $42.383.991</w:t>
      </w:r>
      <w:r w:rsidR="00765A53">
        <w:rPr>
          <w:rFonts w:ascii="Bookman Old Style" w:hAnsi="Bookman Old Style"/>
          <w:lang w:val="es-ES_tradnl"/>
        </w:rPr>
        <w:t xml:space="preserve"> (</w:t>
      </w:r>
      <w:r w:rsidR="00765A53" w:rsidRPr="00765A53">
        <w:rPr>
          <w:rFonts w:ascii="Bookman Old Style" w:hAnsi="Bookman Old Style"/>
          <w:lang w:val="es-ES_tradnl"/>
        </w:rPr>
        <w:fldChar w:fldCharType="begin"/>
      </w:r>
      <w:r w:rsidR="00765A53" w:rsidRPr="00765A53">
        <w:rPr>
          <w:rFonts w:ascii="Bookman Old Style" w:hAnsi="Bookman Old Style"/>
          <w:lang w:val="es-ES_tradnl"/>
        </w:rPr>
        <w:instrText xml:space="preserve"> REF _Ref530407297 \h  \* MERGEFORMAT </w:instrText>
      </w:r>
      <w:r w:rsidR="00765A53" w:rsidRPr="00765A53">
        <w:rPr>
          <w:rFonts w:ascii="Bookman Old Style" w:hAnsi="Bookman Old Style"/>
          <w:lang w:val="es-ES_tradnl"/>
        </w:rPr>
      </w:r>
      <w:r w:rsidR="00765A53" w:rsidRPr="00765A53">
        <w:rPr>
          <w:rFonts w:ascii="Bookman Old Style" w:hAnsi="Bookman Old Style"/>
          <w:lang w:val="es-ES_tradnl"/>
        </w:rPr>
        <w:fldChar w:fldCharType="separate"/>
      </w:r>
      <w:r w:rsidR="00E37041" w:rsidRPr="00E37041">
        <w:rPr>
          <w:rFonts w:ascii="Bookman Old Style" w:hAnsi="Bookman Old Style"/>
        </w:rPr>
        <w:t xml:space="preserve">Cuadro </w:t>
      </w:r>
      <w:r w:rsidR="00E37041" w:rsidRPr="00E37041">
        <w:rPr>
          <w:rFonts w:ascii="Bookman Old Style" w:hAnsi="Bookman Old Style"/>
          <w:noProof/>
        </w:rPr>
        <w:t>16</w:t>
      </w:r>
      <w:r w:rsidR="00765A53" w:rsidRPr="00765A53">
        <w:rPr>
          <w:rFonts w:ascii="Bookman Old Style" w:hAnsi="Bookman Old Style"/>
          <w:lang w:val="es-ES_tradnl"/>
        </w:rPr>
        <w:fldChar w:fldCharType="end"/>
      </w:r>
      <w:r w:rsidR="00765A53">
        <w:rPr>
          <w:rFonts w:ascii="Bookman Old Style" w:hAnsi="Bookman Old Style"/>
          <w:lang w:val="es-ES_tradnl"/>
        </w:rPr>
        <w:t>)</w:t>
      </w:r>
      <w:r w:rsidR="003A63CC" w:rsidRPr="003A63CC">
        <w:rPr>
          <w:rFonts w:ascii="Bookman Old Style" w:hAnsi="Bookman Old Style"/>
          <w:lang w:val="es-ES_tradnl"/>
        </w:rPr>
        <w:t>.</w:t>
      </w:r>
    </w:p>
    <w:p w14:paraId="60D8C520" w14:textId="6335F04E" w:rsidR="003A63CC" w:rsidRDefault="003A63CC" w:rsidP="003A63CC">
      <w:pPr>
        <w:keepNext/>
        <w:adjustRightInd w:val="0"/>
        <w:spacing w:before="240"/>
        <w:ind w:left="0" w:right="23"/>
        <w:jc w:val="center"/>
        <w:rPr>
          <w:rFonts w:ascii="Bookman Old Style" w:hAnsi="Bookman Old Style"/>
          <w:b/>
        </w:rPr>
      </w:pPr>
      <w:bookmarkStart w:id="16" w:name="_Ref530407297"/>
      <w:r w:rsidRPr="005F5D91">
        <w:rPr>
          <w:rFonts w:ascii="Bookman Old Style" w:hAnsi="Bookman Old Style"/>
          <w:b/>
        </w:rPr>
        <w:t xml:space="preserve">Cuadro </w:t>
      </w:r>
      <w:r w:rsidRPr="005F5D91">
        <w:rPr>
          <w:rFonts w:ascii="Bookman Old Style" w:hAnsi="Bookman Old Style"/>
          <w:b/>
        </w:rPr>
        <w:fldChar w:fldCharType="begin"/>
      </w:r>
      <w:r w:rsidRPr="005F5D91">
        <w:rPr>
          <w:rFonts w:ascii="Bookman Old Style" w:hAnsi="Bookman Old Style"/>
          <w:b/>
        </w:rPr>
        <w:instrText xml:space="preserve"> SEQ Cuadro \* ARABIC </w:instrText>
      </w:r>
      <w:r w:rsidRPr="005F5D91">
        <w:rPr>
          <w:rFonts w:ascii="Bookman Old Style" w:hAnsi="Bookman Old Style"/>
          <w:b/>
        </w:rPr>
        <w:fldChar w:fldCharType="separate"/>
      </w:r>
      <w:r w:rsidR="00E37041">
        <w:rPr>
          <w:rFonts w:ascii="Bookman Old Style" w:hAnsi="Bookman Old Style"/>
          <w:b/>
          <w:noProof/>
        </w:rPr>
        <w:t>16</w:t>
      </w:r>
      <w:r w:rsidRPr="005F5D91">
        <w:rPr>
          <w:rFonts w:ascii="Bookman Old Style" w:hAnsi="Bookman Old Style"/>
          <w:b/>
        </w:rPr>
        <w:fldChar w:fldCharType="end"/>
      </w:r>
      <w:bookmarkEnd w:id="16"/>
    </w:p>
    <w:tbl>
      <w:tblPr>
        <w:tblStyle w:val="Tablaconcuadrcula"/>
        <w:tblW w:w="5000" w:type="pct"/>
        <w:jc w:val="center"/>
        <w:tblLook w:val="04A0" w:firstRow="1" w:lastRow="0" w:firstColumn="1" w:lastColumn="0" w:noHBand="0" w:noVBand="1"/>
      </w:tblPr>
      <w:tblGrid>
        <w:gridCol w:w="2255"/>
        <w:gridCol w:w="1498"/>
        <w:gridCol w:w="1499"/>
        <w:gridCol w:w="1286"/>
        <w:gridCol w:w="1157"/>
        <w:gridCol w:w="1651"/>
      </w:tblGrid>
      <w:tr w:rsidR="003A63CC" w:rsidRPr="008A165F" w14:paraId="22DCCF60" w14:textId="77777777" w:rsidTr="003A63CC">
        <w:trPr>
          <w:trHeight w:val="289"/>
          <w:tblHeader/>
          <w:jc w:val="center"/>
        </w:trPr>
        <w:tc>
          <w:tcPr>
            <w:tcW w:w="1206" w:type="pct"/>
            <w:shd w:val="clear" w:color="auto" w:fill="D9D9D9" w:themeFill="background1" w:themeFillShade="D9"/>
            <w:vAlign w:val="center"/>
          </w:tcPr>
          <w:p w14:paraId="770F582E" w14:textId="77777777" w:rsidR="003A63CC" w:rsidRPr="007A0300" w:rsidRDefault="003A63CC" w:rsidP="003A63CC">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Municipio</w:t>
            </w:r>
          </w:p>
        </w:tc>
        <w:tc>
          <w:tcPr>
            <w:tcW w:w="801" w:type="pct"/>
            <w:shd w:val="clear" w:color="auto" w:fill="D9D9D9" w:themeFill="background1" w:themeFillShade="D9"/>
            <w:vAlign w:val="center"/>
          </w:tcPr>
          <w:p w14:paraId="22B6CAB5" w14:textId="77777777" w:rsidR="003A63CC" w:rsidRPr="007A0300" w:rsidRDefault="003A63CC" w:rsidP="003A63CC">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 xml:space="preserve">Costo unitario </w:t>
            </w:r>
            <w:r>
              <w:rPr>
                <w:rFonts w:ascii="Bookman Old Style" w:hAnsi="Bookman Old Style"/>
                <w:b/>
                <w:sz w:val="18"/>
                <w:szCs w:val="18"/>
                <w:lang w:val="es-ES_tradnl"/>
              </w:rPr>
              <w:t>a diciembre de 2012</w:t>
            </w:r>
          </w:p>
        </w:tc>
        <w:tc>
          <w:tcPr>
            <w:tcW w:w="802" w:type="pct"/>
            <w:shd w:val="clear" w:color="auto" w:fill="D9D9D9" w:themeFill="background1" w:themeFillShade="D9"/>
            <w:vAlign w:val="center"/>
          </w:tcPr>
          <w:p w14:paraId="598B4E1B" w14:textId="77777777" w:rsidR="003A63CC" w:rsidRPr="007A0300" w:rsidRDefault="003A63CC" w:rsidP="003A63CC">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 xml:space="preserve">Costo unitario </w:t>
            </w:r>
            <w:r>
              <w:rPr>
                <w:rFonts w:ascii="Bookman Old Style" w:hAnsi="Bookman Old Style"/>
                <w:b/>
                <w:sz w:val="18"/>
                <w:szCs w:val="18"/>
                <w:lang w:val="es-ES_tradnl"/>
              </w:rPr>
              <w:t>a fecha base</w:t>
            </w:r>
          </w:p>
        </w:tc>
        <w:tc>
          <w:tcPr>
            <w:tcW w:w="688" w:type="pct"/>
            <w:shd w:val="clear" w:color="auto" w:fill="D9D9D9" w:themeFill="background1" w:themeFillShade="D9"/>
            <w:vAlign w:val="center"/>
          </w:tcPr>
          <w:p w14:paraId="50403F2B" w14:textId="77777777" w:rsidR="003A63CC" w:rsidRPr="007A0300" w:rsidRDefault="003A63CC" w:rsidP="003A63CC">
            <w:pPr>
              <w:ind w:left="22"/>
              <w:jc w:val="center"/>
              <w:rPr>
                <w:rFonts w:ascii="Bookman Old Style" w:hAnsi="Bookman Old Style"/>
                <w:b/>
                <w:sz w:val="18"/>
                <w:szCs w:val="18"/>
                <w:lang w:val="es-ES_tradnl"/>
              </w:rPr>
            </w:pPr>
            <w:r>
              <w:rPr>
                <w:rFonts w:ascii="Bookman Old Style" w:hAnsi="Bookman Old Style"/>
                <w:b/>
                <w:sz w:val="18"/>
                <w:szCs w:val="18"/>
                <w:lang w:val="es-ES_tradnl"/>
              </w:rPr>
              <w:t>Diferencia</w:t>
            </w:r>
          </w:p>
        </w:tc>
        <w:tc>
          <w:tcPr>
            <w:tcW w:w="619" w:type="pct"/>
            <w:shd w:val="clear" w:color="auto" w:fill="D9D9D9" w:themeFill="background1" w:themeFillShade="D9"/>
            <w:vAlign w:val="center"/>
          </w:tcPr>
          <w:p w14:paraId="4BC43AE6" w14:textId="77777777" w:rsidR="003A63CC" w:rsidRPr="007A0300" w:rsidRDefault="003A63CC" w:rsidP="003A63CC">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Cantidad (km)</w:t>
            </w:r>
          </w:p>
        </w:tc>
        <w:tc>
          <w:tcPr>
            <w:tcW w:w="883" w:type="pct"/>
            <w:shd w:val="clear" w:color="auto" w:fill="D9D9D9" w:themeFill="background1" w:themeFillShade="D9"/>
            <w:vAlign w:val="center"/>
          </w:tcPr>
          <w:p w14:paraId="42146112" w14:textId="77777777" w:rsidR="003A63CC" w:rsidRPr="007A0300" w:rsidRDefault="003A63CC" w:rsidP="003A63CC">
            <w:pPr>
              <w:ind w:left="22"/>
              <w:jc w:val="center"/>
              <w:rPr>
                <w:rFonts w:ascii="Bookman Old Style" w:hAnsi="Bookman Old Style"/>
                <w:b/>
                <w:sz w:val="18"/>
                <w:szCs w:val="18"/>
                <w:lang w:val="es-ES_tradnl"/>
              </w:rPr>
            </w:pPr>
            <w:r w:rsidRPr="007A0300">
              <w:rPr>
                <w:rFonts w:ascii="Bookman Old Style" w:hAnsi="Bookman Old Style"/>
                <w:b/>
                <w:sz w:val="18"/>
                <w:szCs w:val="18"/>
                <w:lang w:val="es-ES_tradnl"/>
              </w:rPr>
              <w:t xml:space="preserve">Costo total (Cantidad x </w:t>
            </w:r>
            <w:r>
              <w:rPr>
                <w:rFonts w:ascii="Bookman Old Style" w:hAnsi="Bookman Old Style"/>
                <w:b/>
                <w:sz w:val="18"/>
                <w:szCs w:val="18"/>
                <w:lang w:val="es-ES_tradnl"/>
              </w:rPr>
              <w:t>Diferencia</w:t>
            </w:r>
            <w:r w:rsidRPr="007A0300">
              <w:rPr>
                <w:rFonts w:ascii="Bookman Old Style" w:hAnsi="Bookman Old Style"/>
                <w:b/>
                <w:sz w:val="18"/>
                <w:szCs w:val="18"/>
                <w:lang w:val="es-ES_tradnl"/>
              </w:rPr>
              <w:t>)</w:t>
            </w:r>
          </w:p>
        </w:tc>
      </w:tr>
      <w:tr w:rsidR="003A63CC" w:rsidRPr="008A165F" w14:paraId="069D6AF5" w14:textId="77777777" w:rsidTr="003A63CC">
        <w:trPr>
          <w:trHeight w:val="519"/>
          <w:jc w:val="center"/>
        </w:trPr>
        <w:tc>
          <w:tcPr>
            <w:tcW w:w="1206" w:type="pct"/>
            <w:shd w:val="clear" w:color="auto" w:fill="auto"/>
            <w:vAlign w:val="center"/>
          </w:tcPr>
          <w:p w14:paraId="0C0C5591" w14:textId="77777777" w:rsidR="003A63CC" w:rsidRPr="007A0300" w:rsidRDefault="003A63CC" w:rsidP="003A63CC">
            <w:pPr>
              <w:pStyle w:val="NormalWeb"/>
              <w:spacing w:before="0" w:beforeAutospacing="0" w:after="0" w:afterAutospacing="0"/>
              <w:jc w:val="left"/>
              <w:textAlignment w:val="bottom"/>
              <w:rPr>
                <w:color w:val="auto"/>
                <w:sz w:val="18"/>
                <w:szCs w:val="18"/>
                <w:lang w:val="es-ES_tradnl" w:eastAsia="es-ES"/>
              </w:rPr>
            </w:pPr>
            <w:r w:rsidRPr="007A0300">
              <w:rPr>
                <w:color w:val="auto"/>
                <w:sz w:val="18"/>
                <w:szCs w:val="18"/>
                <w:lang w:val="es-ES_tradnl" w:eastAsia="es-ES"/>
              </w:rPr>
              <w:t>Dibulla – La Guajira</w:t>
            </w:r>
          </w:p>
        </w:tc>
        <w:tc>
          <w:tcPr>
            <w:tcW w:w="801" w:type="pct"/>
            <w:vAlign w:val="center"/>
          </w:tcPr>
          <w:p w14:paraId="503B5E49" w14:textId="77777777" w:rsidR="003A63CC" w:rsidRPr="007A0300" w:rsidRDefault="003A63CC" w:rsidP="003A63CC">
            <w:pPr>
              <w:pStyle w:val="NormalWeb"/>
              <w:spacing w:before="0" w:beforeAutospacing="0" w:after="0" w:afterAutospacing="0"/>
              <w:jc w:val="center"/>
              <w:textAlignment w:val="bottom"/>
              <w:rPr>
                <w:color w:val="auto"/>
                <w:sz w:val="18"/>
                <w:szCs w:val="18"/>
                <w:lang w:val="es-ES_tradnl" w:eastAsia="es-ES"/>
              </w:rPr>
            </w:pPr>
            <w:r w:rsidRPr="007A0300">
              <w:rPr>
                <w:color w:val="auto"/>
                <w:sz w:val="18"/>
                <w:szCs w:val="18"/>
                <w:lang w:val="es-ES_tradnl" w:eastAsia="es-ES"/>
              </w:rPr>
              <w:t>168.970.730</w:t>
            </w:r>
          </w:p>
        </w:tc>
        <w:tc>
          <w:tcPr>
            <w:tcW w:w="802" w:type="pct"/>
            <w:vAlign w:val="center"/>
          </w:tcPr>
          <w:p w14:paraId="109D02B8" w14:textId="77777777" w:rsidR="003A63CC" w:rsidRDefault="003A63CC" w:rsidP="003A63CC">
            <w:pPr>
              <w:pStyle w:val="NormalWeb"/>
              <w:spacing w:before="0" w:beforeAutospacing="0" w:after="0" w:afterAutospacing="0"/>
              <w:jc w:val="center"/>
              <w:textAlignment w:val="bottom"/>
              <w:rPr>
                <w:color w:val="auto"/>
                <w:sz w:val="20"/>
                <w:szCs w:val="20"/>
                <w:lang w:val="es-ES_tradnl" w:eastAsia="es-ES"/>
              </w:rPr>
            </w:pPr>
            <w:r>
              <w:rPr>
                <w:color w:val="auto"/>
                <w:sz w:val="20"/>
                <w:szCs w:val="20"/>
                <w:lang w:val="es-ES_tradnl" w:eastAsia="es-ES"/>
              </w:rPr>
              <w:t>178.781.839</w:t>
            </w:r>
          </w:p>
        </w:tc>
        <w:tc>
          <w:tcPr>
            <w:tcW w:w="688" w:type="pct"/>
            <w:vAlign w:val="center"/>
          </w:tcPr>
          <w:p w14:paraId="727E0B68" w14:textId="77777777" w:rsidR="003A63CC" w:rsidRPr="007A0300" w:rsidRDefault="003A63CC" w:rsidP="003A63CC">
            <w:pPr>
              <w:ind w:left="0"/>
              <w:jc w:val="center"/>
              <w:rPr>
                <w:rFonts w:ascii="Bookman Old Style" w:hAnsi="Bookman Old Style"/>
                <w:color w:val="000000"/>
                <w:sz w:val="18"/>
                <w:szCs w:val="18"/>
              </w:rPr>
            </w:pPr>
            <w:r>
              <w:rPr>
                <w:rFonts w:ascii="Bookman Old Style" w:hAnsi="Bookman Old Style"/>
                <w:color w:val="000000"/>
                <w:sz w:val="18"/>
                <w:szCs w:val="18"/>
              </w:rPr>
              <w:t>9.811.109</w:t>
            </w:r>
          </w:p>
        </w:tc>
        <w:tc>
          <w:tcPr>
            <w:tcW w:w="619" w:type="pct"/>
            <w:vAlign w:val="center"/>
          </w:tcPr>
          <w:p w14:paraId="68888852" w14:textId="77777777" w:rsidR="003A63CC" w:rsidRPr="007A0300" w:rsidRDefault="003A63CC" w:rsidP="003A63CC">
            <w:pPr>
              <w:ind w:left="0"/>
              <w:jc w:val="center"/>
              <w:rPr>
                <w:rFonts w:ascii="Bookman Old Style" w:hAnsi="Bookman Old Style"/>
                <w:color w:val="000000"/>
                <w:sz w:val="18"/>
                <w:szCs w:val="18"/>
              </w:rPr>
            </w:pPr>
            <w:r w:rsidRPr="007A0300">
              <w:rPr>
                <w:rFonts w:ascii="Bookman Old Style" w:hAnsi="Bookman Old Style"/>
                <w:color w:val="000000"/>
                <w:sz w:val="18"/>
                <w:szCs w:val="18"/>
              </w:rPr>
              <w:t>4,32</w:t>
            </w:r>
          </w:p>
        </w:tc>
        <w:tc>
          <w:tcPr>
            <w:tcW w:w="883" w:type="pct"/>
            <w:vAlign w:val="center"/>
          </w:tcPr>
          <w:p w14:paraId="58E28F39" w14:textId="77777777" w:rsidR="003A63CC" w:rsidRPr="007A0300" w:rsidRDefault="003A63CC" w:rsidP="003A63CC">
            <w:pPr>
              <w:ind w:left="0"/>
              <w:jc w:val="center"/>
              <w:rPr>
                <w:rFonts w:ascii="Bookman Old Style" w:hAnsi="Bookman Old Style"/>
                <w:color w:val="000000"/>
                <w:sz w:val="18"/>
                <w:szCs w:val="18"/>
              </w:rPr>
            </w:pPr>
            <w:r>
              <w:rPr>
                <w:rFonts w:ascii="Bookman Old Style" w:hAnsi="Bookman Old Style"/>
                <w:color w:val="000000"/>
                <w:sz w:val="18"/>
                <w:szCs w:val="18"/>
              </w:rPr>
              <w:t>42.383.991</w:t>
            </w:r>
          </w:p>
        </w:tc>
      </w:tr>
    </w:tbl>
    <w:p w14:paraId="723E75D9" w14:textId="0C651946" w:rsidR="00626EED" w:rsidRPr="00626EED" w:rsidRDefault="003A63CC" w:rsidP="008A3957">
      <w:pPr>
        <w:spacing w:before="240" w:after="240"/>
        <w:ind w:left="0"/>
        <w:jc w:val="both"/>
        <w:rPr>
          <w:rFonts w:ascii="Bookman Old Style" w:hAnsi="Bookman Old Style"/>
          <w:lang w:val="es-CO"/>
        </w:rPr>
      </w:pPr>
      <w:r w:rsidRPr="00626EED">
        <w:rPr>
          <w:rFonts w:ascii="Bookman Old Style" w:hAnsi="Bookman Old Style"/>
          <w:lang w:val="es-ES_tradnl"/>
        </w:rPr>
        <w:t>Teniendo en cuenta que para el cálculo del cargo aprobado</w:t>
      </w:r>
      <w:r>
        <w:rPr>
          <w:rFonts w:ascii="Bookman Old Style" w:hAnsi="Bookman Old Style"/>
          <w:lang w:val="es-ES_tradnl"/>
        </w:rPr>
        <w:t xml:space="preserve"> mediante la Resolución CREG 027</w:t>
      </w:r>
      <w:r w:rsidRPr="00626EED">
        <w:rPr>
          <w:rFonts w:ascii="Bookman Old Style" w:hAnsi="Bookman Old Style"/>
          <w:lang w:val="es-ES_tradnl"/>
        </w:rPr>
        <w:t xml:space="preserve"> de 201</w:t>
      </w:r>
      <w:r>
        <w:rPr>
          <w:rFonts w:ascii="Bookman Old Style" w:hAnsi="Bookman Old Style"/>
          <w:lang w:val="es-ES_tradnl"/>
        </w:rPr>
        <w:t>8</w:t>
      </w:r>
      <w:r w:rsidRPr="00626EED">
        <w:rPr>
          <w:rFonts w:ascii="Bookman Old Style" w:hAnsi="Bookman Old Style"/>
          <w:lang w:val="es-ES_tradnl"/>
        </w:rPr>
        <w:t xml:space="preserve"> no se consideraron </w:t>
      </w:r>
      <w:r w:rsidR="00D4539C" w:rsidRPr="00626EED">
        <w:rPr>
          <w:rFonts w:ascii="Bookman Old Style" w:hAnsi="Bookman Old Style"/>
          <w:lang w:val="es-ES_tradnl"/>
        </w:rPr>
        <w:t>$</w:t>
      </w:r>
      <w:r w:rsidR="00D4539C">
        <w:rPr>
          <w:rFonts w:ascii="Bookman Old Style" w:hAnsi="Bookman Old Style"/>
          <w:lang w:val="es-ES_tradnl"/>
        </w:rPr>
        <w:t>429</w:t>
      </w:r>
      <w:r w:rsidR="00D4539C" w:rsidRPr="00626EED">
        <w:rPr>
          <w:rFonts w:ascii="Bookman Old Style" w:hAnsi="Bookman Old Style"/>
          <w:lang w:val="es-ES_tradnl"/>
        </w:rPr>
        <w:t>.</w:t>
      </w:r>
      <w:r w:rsidR="00D4539C">
        <w:rPr>
          <w:rFonts w:ascii="Bookman Old Style" w:hAnsi="Bookman Old Style"/>
          <w:lang w:val="es-ES_tradnl"/>
        </w:rPr>
        <w:t>779.699</w:t>
      </w:r>
      <w:r w:rsidR="00D4539C" w:rsidRPr="00626EED">
        <w:rPr>
          <w:rFonts w:ascii="Bookman Old Style" w:hAnsi="Bookman Old Style"/>
          <w:lang w:val="es-ES_tradnl"/>
        </w:rPr>
        <w:t xml:space="preserve">  correspondientes a I</w:t>
      </w:r>
      <w:r w:rsidR="00D4539C">
        <w:rPr>
          <w:rFonts w:ascii="Bookman Old Style" w:hAnsi="Bookman Old Style"/>
          <w:lang w:val="es-ES_tradnl"/>
        </w:rPr>
        <w:t>NPE</w:t>
      </w:r>
      <w:r w:rsidR="00D4539C" w:rsidRPr="00626EED">
        <w:rPr>
          <w:rFonts w:ascii="Bookman Old Style" w:hAnsi="Bookman Old Style"/>
          <w:lang w:val="es-ES_tradnl"/>
        </w:rPr>
        <w:t xml:space="preserve"> </w:t>
      </w:r>
      <w:r w:rsidR="00D4539C">
        <w:rPr>
          <w:rFonts w:ascii="Bookman Old Style" w:hAnsi="Bookman Old Style"/>
          <w:lang w:val="es-ES_tradnl"/>
        </w:rPr>
        <w:t xml:space="preserve">y </w:t>
      </w:r>
      <w:r w:rsidRPr="00626EED">
        <w:rPr>
          <w:rFonts w:ascii="Bookman Old Style" w:hAnsi="Bookman Old Style"/>
          <w:lang w:val="es-ES_tradnl"/>
        </w:rPr>
        <w:t>$</w:t>
      </w:r>
      <w:r>
        <w:rPr>
          <w:rFonts w:ascii="Bookman Old Style" w:hAnsi="Bookman Old Style"/>
          <w:lang w:val="es-ES_tradnl"/>
        </w:rPr>
        <w:t>42</w:t>
      </w:r>
      <w:r w:rsidRPr="00626EED">
        <w:rPr>
          <w:rFonts w:ascii="Bookman Old Style" w:hAnsi="Bookman Old Style"/>
          <w:lang w:val="es-ES_tradnl"/>
        </w:rPr>
        <w:t>.</w:t>
      </w:r>
      <w:r>
        <w:rPr>
          <w:rFonts w:ascii="Bookman Old Style" w:hAnsi="Bookman Old Style"/>
          <w:lang w:val="es-ES_tradnl"/>
        </w:rPr>
        <w:t>383.991</w:t>
      </w:r>
      <w:r w:rsidRPr="00626EED">
        <w:rPr>
          <w:rFonts w:ascii="Bookman Old Style" w:hAnsi="Bookman Old Style"/>
          <w:lang w:val="es-ES_tradnl"/>
        </w:rPr>
        <w:t xml:space="preserve"> correspondientes a I</w:t>
      </w:r>
      <w:r>
        <w:rPr>
          <w:rFonts w:ascii="Bookman Old Style" w:hAnsi="Bookman Old Style"/>
          <w:lang w:val="es-ES_tradnl"/>
        </w:rPr>
        <w:t>PE</w:t>
      </w:r>
      <w:r w:rsidRPr="00626EED">
        <w:rPr>
          <w:rFonts w:ascii="Bookman Old Style" w:hAnsi="Bookman Old Style"/>
          <w:lang w:val="es-ES_tradnl"/>
        </w:rPr>
        <w:t xml:space="preserve"> y eso conlleva a que no se remuneren en su totalidad las inversiones del mercado, se considera necesario </w:t>
      </w:r>
      <w:r>
        <w:rPr>
          <w:rFonts w:ascii="Bookman Old Style" w:hAnsi="Bookman Old Style"/>
          <w:lang w:val="es-ES_tradnl"/>
        </w:rPr>
        <w:t>modificar</w:t>
      </w:r>
      <w:r w:rsidRPr="00626EED">
        <w:rPr>
          <w:rFonts w:ascii="Bookman Old Style" w:hAnsi="Bookman Old Style"/>
          <w:lang w:val="es-ES_tradnl"/>
        </w:rPr>
        <w:t xml:space="preserve"> el cargo transitorio de distribución</w:t>
      </w:r>
      <w:r w:rsidRPr="00626EED" w:rsidDel="00C20E81">
        <w:rPr>
          <w:rFonts w:ascii="Bookman Old Style" w:hAnsi="Bookman Old Style"/>
          <w:lang w:val="es-ES_tradnl"/>
        </w:rPr>
        <w:t xml:space="preserve"> </w:t>
      </w:r>
      <w:r w:rsidRPr="00626EED">
        <w:rPr>
          <w:rFonts w:ascii="Bookman Old Style" w:hAnsi="Bookman Old Style"/>
          <w:lang w:val="es-ES_tradnl"/>
        </w:rPr>
        <w:t xml:space="preserve">para usuarios de uso residencial y el cargo transitorio de distribución para usuarios diferentes a los de uso residencial para el mercado conformado por los municipios de </w:t>
      </w:r>
      <w:r w:rsidRPr="00786D8B">
        <w:rPr>
          <w:rFonts w:ascii="Bookman Old Style" w:hAnsi="Bookman Old Style"/>
          <w:lang w:val="es-ES_tradnl"/>
        </w:rPr>
        <w:t>Riohacha, Albania, Barrancas, Dibulla, Distracción, El Molino, Fonseca, Hatonuevo, Maicao, Manaure, San Juan del Cesar, Uribia, Urumita, Villanueva y La Jagua del Pilar.</w:t>
      </w:r>
      <w:r w:rsidR="00A207E7" w:rsidDel="00A207E7">
        <w:rPr>
          <w:rFonts w:ascii="Bookman Old Style" w:hAnsi="Bookman Old Style"/>
          <w:lang w:val="es-ES_tradnl"/>
        </w:rPr>
        <w:t xml:space="preserve"> </w:t>
      </w:r>
    </w:p>
    <w:p w14:paraId="613C0090" w14:textId="314F88B0" w:rsidR="00626EED" w:rsidRPr="00626EED" w:rsidRDefault="00626EED" w:rsidP="00D1599A">
      <w:pPr>
        <w:spacing w:before="240" w:after="240"/>
        <w:ind w:left="0"/>
        <w:jc w:val="both"/>
        <w:rPr>
          <w:rFonts w:ascii="Bookman Old Style" w:hAnsi="Bookman Old Style"/>
          <w:lang w:val="es-ES_tradnl"/>
        </w:rPr>
      </w:pPr>
      <w:r w:rsidRPr="00626EED">
        <w:rPr>
          <w:rFonts w:ascii="Bookman Old Style" w:hAnsi="Bookman Old Style"/>
          <w:lang w:val="es-ES_tradnl"/>
        </w:rPr>
        <w:t xml:space="preserve">La </w:t>
      </w:r>
      <w:r w:rsidRPr="006F101E">
        <w:rPr>
          <w:rFonts w:ascii="Bookman Old Style" w:hAnsi="Bookman Old Style"/>
          <w:lang w:val="es-ES_tradnl"/>
        </w:rPr>
        <w:t xml:space="preserve">Comisión de Regulación de Energía y Gas en su sesión </w:t>
      </w:r>
      <w:r w:rsidR="006F101E">
        <w:rPr>
          <w:rFonts w:ascii="Bookman Old Style" w:hAnsi="Bookman Old Style"/>
          <w:lang w:val="es-ES_tradnl"/>
        </w:rPr>
        <w:t>891</w:t>
      </w:r>
      <w:r w:rsidRPr="006F101E">
        <w:rPr>
          <w:rFonts w:ascii="Bookman Old Style" w:hAnsi="Bookman Old Style"/>
          <w:lang w:val="es-ES_tradnl"/>
        </w:rPr>
        <w:t xml:space="preserve"> del </w:t>
      </w:r>
      <w:r w:rsidR="006F101E">
        <w:rPr>
          <w:rFonts w:ascii="Bookman Old Style" w:hAnsi="Bookman Old Style"/>
          <w:lang w:val="es-ES_tradnl"/>
        </w:rPr>
        <w:t>29</w:t>
      </w:r>
      <w:r w:rsidR="00D1599A" w:rsidRPr="006F101E">
        <w:rPr>
          <w:rFonts w:ascii="Bookman Old Style" w:hAnsi="Bookman Old Style"/>
          <w:lang w:val="es-ES_tradnl"/>
        </w:rPr>
        <w:t xml:space="preserve"> de noviembre</w:t>
      </w:r>
      <w:r w:rsidRPr="006F101E">
        <w:rPr>
          <w:rFonts w:ascii="Bookman Old Style" w:hAnsi="Bookman Old Style"/>
          <w:lang w:val="es-ES_tradnl"/>
        </w:rPr>
        <w:t xml:space="preserve"> de 2018, acordó expedir la presente resolución.</w:t>
      </w:r>
    </w:p>
    <w:p w14:paraId="55EE8288" w14:textId="77777777" w:rsidR="00045D3D" w:rsidRDefault="00045D3D" w:rsidP="00045D3D">
      <w:pPr>
        <w:suppressAutoHyphens/>
        <w:jc w:val="center"/>
        <w:rPr>
          <w:rFonts w:ascii="Bookman Old Style" w:hAnsi="Bookman Old Style"/>
          <w:b/>
          <w:spacing w:val="-3"/>
        </w:rPr>
      </w:pPr>
    </w:p>
    <w:p w14:paraId="3A127CAA" w14:textId="77777777"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14:paraId="724556C1" w14:textId="77777777" w:rsidR="00045D3D" w:rsidRDefault="00045D3D" w:rsidP="00045D3D">
      <w:pPr>
        <w:jc w:val="center"/>
        <w:rPr>
          <w:rFonts w:ascii="Bookman Old Style" w:hAnsi="Bookman Old Style"/>
        </w:rPr>
      </w:pPr>
    </w:p>
    <w:p w14:paraId="691E1183" w14:textId="77777777" w:rsidR="00045D3D" w:rsidRDefault="00045D3D" w:rsidP="00DF3CA2">
      <w:pPr>
        <w:ind w:left="0"/>
        <w:jc w:val="both"/>
        <w:rPr>
          <w:rFonts w:ascii="Bookman Old Style" w:hAnsi="Bookman Old Style" w:cs="Arial"/>
        </w:rPr>
      </w:pPr>
      <w:r w:rsidRPr="00D1599A">
        <w:rPr>
          <w:rFonts w:ascii="Bookman Old Style" w:hAnsi="Bookman Old Style"/>
          <w:b/>
        </w:rPr>
        <w:t xml:space="preserve">ARTÍCULO 1. </w:t>
      </w:r>
      <w:r w:rsidR="00D1599A" w:rsidRPr="00D1599A">
        <w:rPr>
          <w:rFonts w:ascii="Bookman Old Style" w:eastAsia="Calibri" w:hAnsi="Bookman Old Style" w:cs="Century Gothic"/>
          <w:lang w:eastAsia="es-CO"/>
        </w:rPr>
        <w:t>Modificar el Artículo 3 “Inversión Base</w:t>
      </w:r>
      <w:r w:rsidR="00D1599A" w:rsidRPr="00D1599A">
        <w:rPr>
          <w:rFonts w:ascii="Bookman Old Style" w:hAnsi="Bookman Old Style" w:cs="Arial"/>
        </w:rPr>
        <w:t>” de la Re</w:t>
      </w:r>
      <w:r w:rsidR="00AB6DFC">
        <w:rPr>
          <w:rFonts w:ascii="Bookman Old Style" w:hAnsi="Bookman Old Style" w:cs="Arial"/>
        </w:rPr>
        <w:t>solución CREG 027</w:t>
      </w:r>
      <w:r w:rsidR="00D1599A" w:rsidRPr="00D1599A">
        <w:rPr>
          <w:rFonts w:ascii="Bookman Old Style" w:hAnsi="Bookman Old Style" w:cs="Arial"/>
        </w:rPr>
        <w:t xml:space="preserve"> de 201</w:t>
      </w:r>
      <w:r w:rsidR="00AB6DFC">
        <w:rPr>
          <w:rFonts w:ascii="Bookman Old Style" w:hAnsi="Bookman Old Style" w:cs="Arial"/>
        </w:rPr>
        <w:t>8</w:t>
      </w:r>
      <w:r w:rsidR="00D1599A" w:rsidRPr="00D1599A">
        <w:rPr>
          <w:rFonts w:ascii="Bookman Old Style" w:hAnsi="Bookman Old Style" w:cs="Arial"/>
        </w:rPr>
        <w:t>, el cual quedará así:</w:t>
      </w:r>
    </w:p>
    <w:p w14:paraId="4192C1E8" w14:textId="77777777" w:rsidR="00D1599A" w:rsidRDefault="00D1599A" w:rsidP="00DF3CA2">
      <w:pPr>
        <w:ind w:left="0"/>
        <w:jc w:val="both"/>
        <w:rPr>
          <w:rFonts w:ascii="Bookman Old Style" w:hAnsi="Bookman Old Style" w:cs="Arial"/>
        </w:rPr>
      </w:pPr>
    </w:p>
    <w:p w14:paraId="3625A9AA" w14:textId="77777777" w:rsidR="00D1599A" w:rsidRPr="00D1599A" w:rsidRDefault="00D1599A" w:rsidP="00D1599A">
      <w:pPr>
        <w:adjustRightInd w:val="0"/>
        <w:ind w:left="284" w:right="20"/>
        <w:jc w:val="both"/>
        <w:rPr>
          <w:rFonts w:ascii="Bookman Old Style" w:hAnsi="Bookman Old Style" w:cs="Arial"/>
          <w:i/>
          <w:sz w:val="22"/>
          <w:szCs w:val="22"/>
        </w:rPr>
      </w:pPr>
      <w:r w:rsidRPr="00D1599A">
        <w:rPr>
          <w:rFonts w:ascii="Bookman Old Style" w:hAnsi="Bookman Old Style" w:cs="Arial"/>
          <w:b/>
          <w:i/>
          <w:sz w:val="22"/>
          <w:szCs w:val="22"/>
        </w:rPr>
        <w:t xml:space="preserve">“ARTÍCULO 3. Inversión Base. </w:t>
      </w:r>
      <w:r w:rsidRPr="00D1599A">
        <w:rPr>
          <w:rFonts w:ascii="Bookman Old Style" w:hAnsi="Bookman Old Style" w:cs="Arial"/>
          <w:i/>
          <w:sz w:val="22"/>
          <w:szCs w:val="22"/>
        </w:rPr>
        <w:t>La Inversión Base para determinar los cargos de distribución transitorios para el Mercado Relevante de Distribución definido en el artículo 1 de esta Resolución se compone como se indica a continuación:</w:t>
      </w:r>
    </w:p>
    <w:p w14:paraId="5DEAA411" w14:textId="77777777" w:rsidR="00D1599A" w:rsidRPr="00D1599A" w:rsidRDefault="00D1599A" w:rsidP="00D1599A">
      <w:pPr>
        <w:adjustRightInd w:val="0"/>
        <w:ind w:left="284" w:right="20"/>
        <w:jc w:val="both"/>
        <w:rPr>
          <w:rFonts w:ascii="Bookman Old Style" w:hAnsi="Bookman Old Style" w:cs="Arial"/>
          <w:b/>
          <w:i/>
          <w:sz w:val="22"/>
          <w:szCs w:val="22"/>
        </w:rPr>
      </w:pPr>
    </w:p>
    <w:p w14:paraId="0DA4FAB1" w14:textId="77777777" w:rsidR="00D1599A" w:rsidRPr="008962EE" w:rsidRDefault="00D1599A" w:rsidP="00D1599A">
      <w:pPr>
        <w:adjustRightInd w:val="0"/>
        <w:ind w:left="284" w:right="20"/>
        <w:jc w:val="both"/>
        <w:rPr>
          <w:rFonts w:ascii="Bookman Old Style" w:hAnsi="Bookman Old Style" w:cs="Arial"/>
          <w:i/>
          <w:sz w:val="22"/>
          <w:szCs w:val="22"/>
        </w:rPr>
      </w:pPr>
      <w:r w:rsidRPr="008962EE">
        <w:rPr>
          <w:rFonts w:ascii="Bookman Old Style" w:hAnsi="Bookman Old Style"/>
          <w:b/>
          <w:i/>
          <w:sz w:val="22"/>
          <w:szCs w:val="22"/>
          <w:lang w:val="es-ES_tradnl"/>
        </w:rPr>
        <w:t>3.1. Inversión Existente (IE):</w:t>
      </w:r>
      <w:r w:rsidRPr="008962EE">
        <w:rPr>
          <w:rFonts w:ascii="Bookman Old Style" w:hAnsi="Bookman Old Style"/>
          <w:i/>
          <w:sz w:val="22"/>
          <w:szCs w:val="22"/>
          <w:lang w:val="es-ES_tradnl"/>
        </w:rPr>
        <w:t xml:space="preserve"> Inversión reconocida como existente en la última revisión tarifaria, </w:t>
      </w:r>
      <w:r w:rsidRPr="008962EE">
        <w:rPr>
          <w:rFonts w:ascii="Bookman Old Style" w:hAnsi="Bookman Old Style" w:cs="Arial"/>
          <w:i/>
          <w:sz w:val="22"/>
          <w:szCs w:val="22"/>
        </w:rPr>
        <w:t>corresponde a un valor de $1</w:t>
      </w:r>
      <w:r w:rsidR="008962EE" w:rsidRPr="008962EE">
        <w:rPr>
          <w:rFonts w:ascii="Bookman Old Style" w:hAnsi="Bookman Old Style" w:cs="Arial"/>
          <w:i/>
          <w:sz w:val="22"/>
          <w:szCs w:val="22"/>
        </w:rPr>
        <w:t>8</w:t>
      </w:r>
      <w:r w:rsidRPr="008962EE">
        <w:rPr>
          <w:rFonts w:ascii="Bookman Old Style" w:hAnsi="Bookman Old Style" w:cs="Arial"/>
          <w:i/>
          <w:sz w:val="22"/>
          <w:szCs w:val="22"/>
        </w:rPr>
        <w:t>.</w:t>
      </w:r>
      <w:r w:rsidR="008962EE" w:rsidRPr="008962EE">
        <w:rPr>
          <w:rFonts w:ascii="Bookman Old Style" w:hAnsi="Bookman Old Style" w:cs="Arial"/>
          <w:i/>
          <w:sz w:val="22"/>
          <w:szCs w:val="22"/>
        </w:rPr>
        <w:t>014</w:t>
      </w:r>
      <w:r w:rsidRPr="008962EE">
        <w:rPr>
          <w:rFonts w:ascii="Bookman Old Style" w:hAnsi="Bookman Old Style" w:cs="Arial"/>
          <w:i/>
          <w:sz w:val="22"/>
          <w:szCs w:val="22"/>
        </w:rPr>
        <w:t>.</w:t>
      </w:r>
      <w:r w:rsidR="008962EE" w:rsidRPr="008962EE">
        <w:rPr>
          <w:rFonts w:ascii="Bookman Old Style" w:hAnsi="Bookman Old Style" w:cs="Arial"/>
          <w:i/>
          <w:sz w:val="22"/>
          <w:szCs w:val="22"/>
        </w:rPr>
        <w:t>372</w:t>
      </w:r>
      <w:r w:rsidRPr="008962EE">
        <w:rPr>
          <w:rFonts w:ascii="Bookman Old Style" w:hAnsi="Bookman Old Style" w:cs="Arial"/>
          <w:i/>
          <w:sz w:val="22"/>
          <w:szCs w:val="22"/>
        </w:rPr>
        <w:t>.</w:t>
      </w:r>
      <w:r w:rsidR="008962EE" w:rsidRPr="008962EE">
        <w:rPr>
          <w:rFonts w:ascii="Bookman Old Style" w:hAnsi="Bookman Old Style" w:cs="Arial"/>
          <w:i/>
          <w:sz w:val="22"/>
          <w:szCs w:val="22"/>
        </w:rPr>
        <w:t>697</w:t>
      </w:r>
      <w:r w:rsidRPr="008962EE">
        <w:rPr>
          <w:rFonts w:ascii="Bookman Old Style" w:hAnsi="Bookman Old Style" w:cs="Arial"/>
          <w:i/>
          <w:sz w:val="22"/>
          <w:szCs w:val="22"/>
        </w:rPr>
        <w:t xml:space="preserve"> ($ 31 de diciembre de 2014) y su descripción se presenta en el documento CREG 022 de 2018 que soporta la presente Resolución.</w:t>
      </w:r>
    </w:p>
    <w:p w14:paraId="0D321BF7" w14:textId="77777777" w:rsidR="00D1599A" w:rsidRPr="008962EE" w:rsidRDefault="00D1599A" w:rsidP="00D1599A">
      <w:pPr>
        <w:adjustRightInd w:val="0"/>
        <w:ind w:left="284" w:right="20"/>
        <w:jc w:val="both"/>
        <w:rPr>
          <w:rFonts w:ascii="Bookman Old Style" w:hAnsi="Bookman Old Style" w:cs="Arial"/>
          <w:i/>
          <w:sz w:val="22"/>
          <w:szCs w:val="22"/>
        </w:rPr>
      </w:pPr>
    </w:p>
    <w:p w14:paraId="56678708" w14:textId="77777777" w:rsidR="00D1599A" w:rsidRPr="008962EE" w:rsidRDefault="00D1599A" w:rsidP="00D1599A">
      <w:pPr>
        <w:adjustRightInd w:val="0"/>
        <w:ind w:left="284" w:right="20"/>
        <w:jc w:val="both"/>
        <w:rPr>
          <w:rFonts w:ascii="Bookman Old Style" w:hAnsi="Bookman Old Style" w:cs="Arial"/>
          <w:i/>
          <w:sz w:val="22"/>
          <w:szCs w:val="22"/>
        </w:rPr>
      </w:pPr>
      <w:r w:rsidRPr="008962EE">
        <w:rPr>
          <w:rFonts w:ascii="Bookman Old Style" w:hAnsi="Bookman Old Style"/>
          <w:b/>
          <w:i/>
          <w:sz w:val="22"/>
          <w:szCs w:val="22"/>
          <w:lang w:val="es-ES_tradnl"/>
        </w:rPr>
        <w:t xml:space="preserve">3.2. Inversión Programada en nuevas inversiones que fue reconocida y ejecutada en la anterior revisión tarifaria (IPE): </w:t>
      </w:r>
      <w:r w:rsidRPr="008962EE">
        <w:rPr>
          <w:rFonts w:ascii="Bookman Old Style" w:hAnsi="Bookman Old Style"/>
          <w:i/>
          <w:sz w:val="22"/>
          <w:szCs w:val="22"/>
          <w:lang w:val="es-ES_tradnl"/>
        </w:rPr>
        <w:t>Inversión en activos que fueron reportados en el programa de nuevas inversiones en la anterior solicitud tarifaria y que se ejecutaron hasta diciembre de 2014</w:t>
      </w:r>
      <w:r w:rsidRPr="008962EE">
        <w:rPr>
          <w:rFonts w:ascii="Bookman Old Style" w:hAnsi="Bookman Old Style" w:cs="Arial"/>
          <w:i/>
          <w:sz w:val="22"/>
          <w:szCs w:val="22"/>
        </w:rPr>
        <w:t xml:space="preserve"> corresponde a un valor de $23.6</w:t>
      </w:r>
      <w:r w:rsidR="008962EE" w:rsidRPr="008962EE">
        <w:rPr>
          <w:rFonts w:ascii="Bookman Old Style" w:hAnsi="Bookman Old Style" w:cs="Arial"/>
          <w:i/>
          <w:sz w:val="22"/>
          <w:szCs w:val="22"/>
        </w:rPr>
        <w:t>77</w:t>
      </w:r>
      <w:r w:rsidRPr="008962EE">
        <w:rPr>
          <w:rFonts w:ascii="Bookman Old Style" w:hAnsi="Bookman Old Style" w:cs="Arial"/>
          <w:i/>
          <w:sz w:val="22"/>
          <w:szCs w:val="22"/>
        </w:rPr>
        <w:t>.</w:t>
      </w:r>
      <w:r w:rsidR="008962EE" w:rsidRPr="008962EE">
        <w:rPr>
          <w:rFonts w:ascii="Bookman Old Style" w:hAnsi="Bookman Old Style" w:cs="Arial"/>
          <w:i/>
          <w:sz w:val="22"/>
          <w:szCs w:val="22"/>
        </w:rPr>
        <w:t>012</w:t>
      </w:r>
      <w:r w:rsidRPr="008962EE">
        <w:rPr>
          <w:rFonts w:ascii="Bookman Old Style" w:hAnsi="Bookman Old Style" w:cs="Arial"/>
          <w:i/>
          <w:sz w:val="22"/>
          <w:szCs w:val="22"/>
        </w:rPr>
        <w:t>.</w:t>
      </w:r>
      <w:r w:rsidR="008962EE" w:rsidRPr="008962EE">
        <w:rPr>
          <w:rFonts w:ascii="Bookman Old Style" w:hAnsi="Bookman Old Style" w:cs="Arial"/>
          <w:i/>
          <w:sz w:val="22"/>
          <w:szCs w:val="22"/>
        </w:rPr>
        <w:t>696</w:t>
      </w:r>
      <w:r w:rsidRPr="008962EE">
        <w:rPr>
          <w:rFonts w:ascii="Bookman Old Style" w:hAnsi="Bookman Old Style" w:cs="Arial"/>
          <w:i/>
          <w:sz w:val="22"/>
          <w:szCs w:val="22"/>
        </w:rPr>
        <w:t xml:space="preserve"> ($ 31 de diciembre de 2014) y su descripción se presenta en el documento CREG 022 de 2018 que soporta la presente Resolución.</w:t>
      </w:r>
    </w:p>
    <w:p w14:paraId="5CB40F80" w14:textId="77777777" w:rsidR="00D1599A" w:rsidRPr="008962EE" w:rsidRDefault="00D1599A" w:rsidP="00D1599A">
      <w:pPr>
        <w:adjustRightInd w:val="0"/>
        <w:ind w:left="284" w:right="20"/>
        <w:jc w:val="both"/>
        <w:rPr>
          <w:rFonts w:ascii="Bookman Old Style" w:hAnsi="Bookman Old Style" w:cs="Arial"/>
          <w:i/>
          <w:sz w:val="22"/>
          <w:szCs w:val="22"/>
        </w:rPr>
      </w:pPr>
    </w:p>
    <w:p w14:paraId="02C39A4A" w14:textId="77777777" w:rsidR="00D1599A" w:rsidRPr="00D1599A" w:rsidRDefault="00D1599A" w:rsidP="00D1599A">
      <w:pPr>
        <w:keepNext/>
        <w:tabs>
          <w:tab w:val="left" w:pos="0"/>
        </w:tabs>
        <w:ind w:left="284"/>
        <w:jc w:val="both"/>
        <w:rPr>
          <w:rFonts w:ascii="Bookman Old Style" w:hAnsi="Bookman Old Style" w:cs="Arial"/>
          <w:i/>
          <w:sz w:val="22"/>
          <w:szCs w:val="22"/>
        </w:rPr>
      </w:pPr>
      <w:r w:rsidRPr="008962EE">
        <w:rPr>
          <w:rFonts w:ascii="Bookman Old Style" w:hAnsi="Bookman Old Style" w:cs="Arial"/>
          <w:b/>
          <w:i/>
          <w:sz w:val="22"/>
          <w:szCs w:val="22"/>
        </w:rPr>
        <w:t>3.3.</w:t>
      </w:r>
      <w:r w:rsidRPr="008962EE">
        <w:rPr>
          <w:rFonts w:ascii="Bookman Old Style" w:hAnsi="Bookman Old Style"/>
          <w:b/>
          <w:i/>
          <w:sz w:val="22"/>
          <w:szCs w:val="22"/>
          <w:lang w:val="es-ES_tradnl"/>
        </w:rPr>
        <w:t xml:space="preserve"> Inversión Ejecutada durante el período tarifario y No Prevista en el Programa de Nuevas Inversiones (INPE): </w:t>
      </w:r>
      <w:r w:rsidRPr="008962EE">
        <w:rPr>
          <w:rFonts w:ascii="Bookman Old Style" w:hAnsi="Bookman Old Style"/>
          <w:i/>
          <w:sz w:val="22"/>
          <w:szCs w:val="22"/>
          <w:lang w:val="es-ES_tradnl"/>
        </w:rPr>
        <w:t xml:space="preserve">Inversión en activos que fueron ejecutados hasta diciembre de 2014 y que no fueron reportados en el Programa de Nuevas Inversiones, </w:t>
      </w:r>
      <w:r w:rsidRPr="008962EE">
        <w:rPr>
          <w:rFonts w:ascii="Bookman Old Style" w:hAnsi="Bookman Old Style" w:cs="Arial"/>
          <w:i/>
          <w:sz w:val="22"/>
          <w:szCs w:val="22"/>
        </w:rPr>
        <w:t>corresponde a un valor de $</w:t>
      </w:r>
      <w:r w:rsidR="008962EE" w:rsidRPr="008962EE">
        <w:rPr>
          <w:rFonts w:ascii="Bookman Old Style" w:hAnsi="Bookman Old Style" w:cs="Arial"/>
          <w:i/>
          <w:sz w:val="22"/>
          <w:szCs w:val="22"/>
        </w:rPr>
        <w:t>1.205</w:t>
      </w:r>
      <w:r w:rsidRPr="008962EE">
        <w:rPr>
          <w:rFonts w:ascii="Bookman Old Style" w:hAnsi="Bookman Old Style" w:cs="Arial"/>
          <w:i/>
          <w:sz w:val="22"/>
          <w:szCs w:val="22"/>
        </w:rPr>
        <w:t>.</w:t>
      </w:r>
      <w:r w:rsidR="008962EE" w:rsidRPr="008962EE">
        <w:rPr>
          <w:rFonts w:ascii="Bookman Old Style" w:hAnsi="Bookman Old Style" w:cs="Arial"/>
          <w:i/>
          <w:sz w:val="22"/>
          <w:szCs w:val="22"/>
        </w:rPr>
        <w:t>662</w:t>
      </w:r>
      <w:r w:rsidRPr="008962EE">
        <w:rPr>
          <w:rFonts w:ascii="Bookman Old Style" w:hAnsi="Bookman Old Style" w:cs="Arial"/>
          <w:i/>
          <w:sz w:val="22"/>
          <w:szCs w:val="22"/>
        </w:rPr>
        <w:t>.</w:t>
      </w:r>
      <w:r w:rsidR="008962EE" w:rsidRPr="008962EE">
        <w:rPr>
          <w:rFonts w:ascii="Bookman Old Style" w:hAnsi="Bookman Old Style" w:cs="Arial"/>
          <w:i/>
          <w:sz w:val="22"/>
          <w:szCs w:val="22"/>
        </w:rPr>
        <w:t>619</w:t>
      </w:r>
      <w:r w:rsidRPr="008962EE">
        <w:rPr>
          <w:rFonts w:ascii="Bookman Old Style" w:hAnsi="Bookman Old Style" w:cs="Arial"/>
          <w:i/>
          <w:sz w:val="22"/>
          <w:szCs w:val="22"/>
        </w:rPr>
        <w:t xml:space="preserve"> ($ 31 de diciembre de 2014) y su descripción se presenta en el documento CREG 022 de 2018 que soporta la presente Resolución.</w:t>
      </w:r>
    </w:p>
    <w:p w14:paraId="2502B4DE" w14:textId="77777777" w:rsidR="00D1599A" w:rsidRPr="00D1599A" w:rsidRDefault="00D1599A" w:rsidP="00D1599A">
      <w:pPr>
        <w:keepNext/>
        <w:tabs>
          <w:tab w:val="left" w:pos="0"/>
        </w:tabs>
        <w:ind w:left="284"/>
        <w:jc w:val="both"/>
        <w:rPr>
          <w:rFonts w:ascii="Bookman Old Style" w:hAnsi="Bookman Old Style" w:cs="Arial"/>
          <w:i/>
          <w:sz w:val="22"/>
          <w:szCs w:val="22"/>
        </w:rPr>
      </w:pPr>
    </w:p>
    <w:p w14:paraId="73E17407" w14:textId="77777777" w:rsidR="00D1599A" w:rsidRPr="00D1599A" w:rsidRDefault="00D1599A" w:rsidP="00D1599A">
      <w:pPr>
        <w:adjustRightInd w:val="0"/>
        <w:ind w:left="284" w:right="20"/>
        <w:jc w:val="both"/>
        <w:rPr>
          <w:rFonts w:ascii="Bookman Old Style" w:hAnsi="Bookman Old Style" w:cs="Arial"/>
          <w:i/>
          <w:sz w:val="22"/>
          <w:szCs w:val="22"/>
        </w:rPr>
      </w:pPr>
      <w:r w:rsidRPr="00D1599A">
        <w:rPr>
          <w:rFonts w:ascii="Bookman Old Style" w:hAnsi="Bookman Old Style" w:cs="Arial"/>
          <w:b/>
          <w:i/>
          <w:sz w:val="22"/>
          <w:szCs w:val="22"/>
        </w:rPr>
        <w:t xml:space="preserve">3.4. Programa de Nuevas Inversiones para Municipios Nuevos (INPI). </w:t>
      </w:r>
      <w:r w:rsidRPr="00D1599A">
        <w:rPr>
          <w:rFonts w:ascii="Bookman Old Style" w:hAnsi="Bookman Old Style" w:cs="Arial"/>
          <w:i/>
          <w:sz w:val="22"/>
          <w:szCs w:val="22"/>
        </w:rPr>
        <w:t>El Programa de Nuevas Inversiones corresponde a un valor de $0 ($ 31 de diciembre de 2014).</w:t>
      </w:r>
    </w:p>
    <w:p w14:paraId="2B2D170C" w14:textId="77777777" w:rsidR="00D1599A" w:rsidRPr="00D1599A" w:rsidRDefault="00D1599A" w:rsidP="00D1599A">
      <w:pPr>
        <w:adjustRightInd w:val="0"/>
        <w:ind w:left="284" w:right="20"/>
        <w:jc w:val="both"/>
        <w:rPr>
          <w:rFonts w:ascii="Bookman Old Style" w:hAnsi="Bookman Old Style" w:cs="Arial"/>
          <w:i/>
          <w:sz w:val="22"/>
          <w:szCs w:val="22"/>
        </w:rPr>
      </w:pPr>
    </w:p>
    <w:p w14:paraId="7BD9ED6A" w14:textId="77777777" w:rsidR="00D1599A" w:rsidRPr="00D1599A" w:rsidRDefault="00D1599A" w:rsidP="00D1599A">
      <w:pPr>
        <w:adjustRightInd w:val="0"/>
        <w:ind w:left="284" w:right="20"/>
        <w:jc w:val="both"/>
        <w:rPr>
          <w:rFonts w:ascii="Bookman Old Style" w:hAnsi="Bookman Old Style" w:cs="Arial"/>
          <w:i/>
          <w:sz w:val="22"/>
          <w:szCs w:val="22"/>
        </w:rPr>
      </w:pPr>
      <w:r w:rsidRPr="00D1599A">
        <w:rPr>
          <w:rFonts w:ascii="Bookman Old Style" w:hAnsi="Bookman Old Style" w:cs="Arial"/>
          <w:b/>
          <w:i/>
          <w:sz w:val="22"/>
          <w:szCs w:val="22"/>
        </w:rPr>
        <w:t xml:space="preserve">3.5. Valoración de la Inversión Base. </w:t>
      </w:r>
      <w:r w:rsidRPr="00D1599A">
        <w:rPr>
          <w:rFonts w:ascii="Bookman Old Style" w:hAnsi="Bookman Old Style" w:cs="Arial"/>
          <w:i/>
          <w:sz w:val="22"/>
          <w:szCs w:val="22"/>
        </w:rPr>
        <w:t>Aplicando la metodología contenida en la Resolución CREG 202 de 2013 y sus modificaciones y adiciones, se calcularon conforme a las formulas establecidas en los numerales 9.1.1.1. y 9.2.1.1. del artículo 9 para la componente que remunera la inversión base, aplicable a usuarios de uso residencial y a usuarios diferentes a los de uso residencial y se obtuvieron las siguientes variables principales:</w:t>
      </w:r>
    </w:p>
    <w:p w14:paraId="7275F557" w14:textId="77777777" w:rsidR="00D1599A" w:rsidRPr="00D1599A" w:rsidRDefault="00D1599A" w:rsidP="00D1599A">
      <w:pPr>
        <w:adjustRightInd w:val="0"/>
        <w:ind w:left="0" w:right="20"/>
        <w:jc w:val="both"/>
        <w:rPr>
          <w:b/>
          <w:i/>
          <w:sz w:val="40"/>
        </w:rPr>
      </w:pPr>
    </w:p>
    <w:tbl>
      <w:tblPr>
        <w:tblW w:w="485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7"/>
        <w:gridCol w:w="2336"/>
        <w:gridCol w:w="2337"/>
        <w:gridCol w:w="2337"/>
      </w:tblGrid>
      <w:tr w:rsidR="00D1599A" w:rsidRPr="00D1599A" w14:paraId="0CBB23E3" w14:textId="77777777" w:rsidTr="00D1599A">
        <w:trPr>
          <w:tblHeader/>
        </w:trPr>
        <w:tc>
          <w:tcPr>
            <w:tcW w:w="5000" w:type="pct"/>
            <w:gridSpan w:val="4"/>
            <w:shd w:val="clear" w:color="auto" w:fill="D9D9D9"/>
            <w:vAlign w:val="center"/>
          </w:tcPr>
          <w:p w14:paraId="3251F1EF" w14:textId="77777777" w:rsidR="00D1599A" w:rsidRPr="00D1599A" w:rsidRDefault="00D1599A" w:rsidP="0088380D">
            <w:pPr>
              <w:ind w:left="29"/>
              <w:jc w:val="center"/>
              <w:rPr>
                <w:rFonts w:ascii="Bookman Old Style" w:hAnsi="Bookman Old Style"/>
                <w:b/>
                <w:i/>
                <w:sz w:val="22"/>
                <w:szCs w:val="22"/>
              </w:rPr>
            </w:pPr>
            <w:r w:rsidRPr="00D1599A">
              <w:rPr>
                <w:rFonts w:ascii="Bookman Old Style" w:hAnsi="Bookman Old Style"/>
                <w:b/>
                <w:i/>
                <w:sz w:val="22"/>
                <w:szCs w:val="22"/>
              </w:rPr>
              <w:t>Usuarios de Uso Residencial</w:t>
            </w:r>
          </w:p>
        </w:tc>
      </w:tr>
      <w:tr w:rsidR="00D1599A" w:rsidRPr="00D1599A" w14:paraId="4BBD6C64" w14:textId="77777777" w:rsidTr="00D1599A">
        <w:trPr>
          <w:tblHeader/>
        </w:trPr>
        <w:tc>
          <w:tcPr>
            <w:tcW w:w="1134" w:type="pct"/>
            <w:vMerge w:val="restart"/>
            <w:shd w:val="clear" w:color="auto" w:fill="D9D9D9"/>
            <w:vAlign w:val="center"/>
          </w:tcPr>
          <w:p w14:paraId="025C6893" w14:textId="77777777" w:rsidR="00D1599A" w:rsidRPr="00D1599A" w:rsidRDefault="00D1599A" w:rsidP="0088380D">
            <w:pPr>
              <w:ind w:left="29"/>
              <w:jc w:val="center"/>
              <w:rPr>
                <w:rFonts w:ascii="Bookman Old Style" w:hAnsi="Bookman Old Style"/>
                <w:b/>
                <w:i/>
                <w:sz w:val="22"/>
                <w:szCs w:val="22"/>
              </w:rPr>
            </w:pPr>
            <w:r w:rsidRPr="00D1599A">
              <w:rPr>
                <w:rFonts w:ascii="Bookman Old Style" w:hAnsi="Bookman Old Style"/>
                <w:b/>
                <w:i/>
                <w:sz w:val="22"/>
                <w:szCs w:val="22"/>
              </w:rPr>
              <w:t>Variable</w:t>
            </w:r>
          </w:p>
        </w:tc>
        <w:tc>
          <w:tcPr>
            <w:tcW w:w="3866" w:type="pct"/>
            <w:gridSpan w:val="3"/>
            <w:shd w:val="clear" w:color="auto" w:fill="D9D9D9"/>
            <w:vAlign w:val="center"/>
          </w:tcPr>
          <w:p w14:paraId="2E249037" w14:textId="77777777" w:rsidR="00D1599A" w:rsidRPr="00D1599A" w:rsidRDefault="00D1599A" w:rsidP="0088380D">
            <w:pPr>
              <w:ind w:left="29"/>
              <w:jc w:val="center"/>
              <w:rPr>
                <w:rFonts w:ascii="Bookman Old Style" w:hAnsi="Bookman Old Style"/>
                <w:b/>
                <w:i/>
                <w:sz w:val="22"/>
                <w:szCs w:val="22"/>
              </w:rPr>
            </w:pPr>
            <w:r w:rsidRPr="00D1599A">
              <w:rPr>
                <w:rFonts w:ascii="Bookman Old Style" w:hAnsi="Bookman Old Style"/>
                <w:b/>
                <w:i/>
                <w:sz w:val="22"/>
                <w:szCs w:val="22"/>
              </w:rPr>
              <w:t>Valor ($31 Dic 2014)</w:t>
            </w:r>
          </w:p>
        </w:tc>
      </w:tr>
      <w:tr w:rsidR="00D1599A" w:rsidRPr="00D1599A" w14:paraId="29EF81FF" w14:textId="77777777" w:rsidTr="00D1599A">
        <w:trPr>
          <w:trHeight w:val="119"/>
          <w:tblHeader/>
        </w:trPr>
        <w:tc>
          <w:tcPr>
            <w:tcW w:w="1134" w:type="pct"/>
            <w:vMerge/>
            <w:shd w:val="clear" w:color="auto" w:fill="D9D9D9"/>
            <w:vAlign w:val="center"/>
          </w:tcPr>
          <w:p w14:paraId="3CF42413" w14:textId="77777777" w:rsidR="00D1599A" w:rsidRPr="00D1599A" w:rsidRDefault="00D1599A" w:rsidP="0088380D">
            <w:pPr>
              <w:ind w:left="29"/>
              <w:jc w:val="center"/>
              <w:rPr>
                <w:rFonts w:ascii="Bookman Old Style" w:hAnsi="Bookman Old Style"/>
                <w:i/>
                <w:sz w:val="22"/>
                <w:szCs w:val="22"/>
              </w:rPr>
            </w:pPr>
          </w:p>
        </w:tc>
        <w:tc>
          <w:tcPr>
            <w:tcW w:w="1288" w:type="pct"/>
            <w:shd w:val="clear" w:color="auto" w:fill="D9D9D9"/>
            <w:vAlign w:val="center"/>
          </w:tcPr>
          <w:p w14:paraId="7D18CE61" w14:textId="77777777" w:rsidR="00D1599A" w:rsidRPr="00D1599A" w:rsidRDefault="00D1599A" w:rsidP="0088380D">
            <w:pPr>
              <w:ind w:left="29"/>
              <w:jc w:val="center"/>
              <w:rPr>
                <w:rFonts w:ascii="Bookman Old Style" w:hAnsi="Bookman Old Style"/>
                <w:b/>
                <w:i/>
                <w:sz w:val="22"/>
                <w:szCs w:val="22"/>
              </w:rPr>
            </w:pPr>
            <w:r w:rsidRPr="00D1599A">
              <w:rPr>
                <w:rFonts w:ascii="Bookman Old Style" w:hAnsi="Bookman Old Style"/>
                <w:b/>
                <w:i/>
                <w:sz w:val="22"/>
                <w:szCs w:val="22"/>
              </w:rPr>
              <w:t>2017</w:t>
            </w:r>
          </w:p>
        </w:tc>
        <w:tc>
          <w:tcPr>
            <w:tcW w:w="1289" w:type="pct"/>
            <w:shd w:val="clear" w:color="auto" w:fill="D9D9D9"/>
            <w:vAlign w:val="center"/>
          </w:tcPr>
          <w:p w14:paraId="3BB26B81" w14:textId="77777777" w:rsidR="00D1599A" w:rsidRPr="00D1599A" w:rsidRDefault="00D1599A" w:rsidP="0088380D">
            <w:pPr>
              <w:ind w:left="29"/>
              <w:jc w:val="center"/>
              <w:rPr>
                <w:rFonts w:ascii="Bookman Old Style" w:hAnsi="Bookman Old Style"/>
                <w:b/>
                <w:i/>
                <w:sz w:val="22"/>
                <w:szCs w:val="22"/>
              </w:rPr>
            </w:pPr>
            <w:r w:rsidRPr="00D1599A">
              <w:rPr>
                <w:rFonts w:ascii="Bookman Old Style" w:hAnsi="Bookman Old Style"/>
                <w:b/>
                <w:i/>
                <w:sz w:val="22"/>
                <w:szCs w:val="22"/>
              </w:rPr>
              <w:t>2018</w:t>
            </w:r>
          </w:p>
        </w:tc>
        <w:tc>
          <w:tcPr>
            <w:tcW w:w="1289" w:type="pct"/>
            <w:shd w:val="clear" w:color="auto" w:fill="D9D9D9"/>
            <w:vAlign w:val="center"/>
          </w:tcPr>
          <w:p w14:paraId="46D30EE7" w14:textId="77777777" w:rsidR="00D1599A" w:rsidRPr="00D1599A" w:rsidRDefault="00D1599A" w:rsidP="0088380D">
            <w:pPr>
              <w:ind w:left="29"/>
              <w:jc w:val="center"/>
              <w:rPr>
                <w:rFonts w:ascii="Bookman Old Style" w:hAnsi="Bookman Old Style"/>
                <w:b/>
                <w:i/>
                <w:sz w:val="22"/>
                <w:szCs w:val="22"/>
              </w:rPr>
            </w:pPr>
            <w:r w:rsidRPr="00D1599A">
              <w:rPr>
                <w:rFonts w:ascii="Bookman Old Style" w:hAnsi="Bookman Old Style"/>
                <w:b/>
                <w:i/>
                <w:sz w:val="22"/>
                <w:szCs w:val="22"/>
              </w:rPr>
              <w:t>2019 – 2020 - 2021</w:t>
            </w:r>
          </w:p>
        </w:tc>
      </w:tr>
      <w:tr w:rsidR="00F00A5C" w:rsidRPr="0052303E" w14:paraId="5161A14B" w14:textId="77777777" w:rsidTr="00F00A5C">
        <w:trPr>
          <w:trHeight w:val="378"/>
        </w:trPr>
        <w:tc>
          <w:tcPr>
            <w:tcW w:w="1134" w:type="pct"/>
            <w:shd w:val="clear" w:color="auto" w:fill="auto"/>
            <w:vAlign w:val="center"/>
          </w:tcPr>
          <w:p w14:paraId="645AD173" w14:textId="77777777" w:rsidR="00F00A5C" w:rsidRPr="0052303E" w:rsidRDefault="0052303E" w:rsidP="00F00A5C">
            <w:pPr>
              <w:ind w:left="29"/>
              <w:rPr>
                <w:rFonts w:ascii="Bookman Old Style" w:hAnsi="Bookman Old Style"/>
                <w:i/>
                <w:sz w:val="22"/>
                <w:szCs w:val="22"/>
              </w:rPr>
            </w:pPr>
            <m:oMathPara>
              <m:oMathParaPr>
                <m:jc m:val="left"/>
              </m:oMathParaPr>
              <m:oMath>
                <m:r>
                  <w:rPr>
                    <w:rFonts w:ascii="Cambria Math" w:hAnsi="Cambria Math"/>
                    <w:sz w:val="22"/>
                    <w:szCs w:val="22"/>
                  </w:rPr>
                  <m:t>IBM</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RPk</m:t>
                    </m:r>
                  </m:sub>
                </m:sSub>
              </m:oMath>
            </m:oMathPara>
          </w:p>
        </w:tc>
        <w:tc>
          <w:tcPr>
            <w:tcW w:w="1288" w:type="pct"/>
            <w:tcBorders>
              <w:top w:val="single" w:sz="4" w:space="0" w:color="auto"/>
              <w:left w:val="single" w:sz="4" w:space="0" w:color="auto"/>
              <w:bottom w:val="single" w:sz="4" w:space="0" w:color="auto"/>
              <w:right w:val="single" w:sz="4" w:space="0" w:color="auto"/>
            </w:tcBorders>
            <w:shd w:val="clear" w:color="auto" w:fill="auto"/>
            <w:vAlign w:val="center"/>
          </w:tcPr>
          <w:p w14:paraId="0B22235D" w14:textId="77777777" w:rsidR="00F00A5C" w:rsidRPr="0052303E" w:rsidRDefault="004E4A0B" w:rsidP="004E4A0B">
            <w:pPr>
              <w:ind w:left="0"/>
              <w:jc w:val="center"/>
              <w:rPr>
                <w:rFonts w:ascii="Bookman Old Style" w:hAnsi="Bookman Old Style"/>
                <w:i/>
                <w:color w:val="000000"/>
                <w:sz w:val="22"/>
                <w:szCs w:val="22"/>
                <w:lang w:val="es-CO" w:eastAsia="es-CO"/>
              </w:rPr>
            </w:pPr>
            <w:r w:rsidRPr="0052303E">
              <w:rPr>
                <w:rFonts w:ascii="Bookman Old Style" w:hAnsi="Bookman Old Style"/>
                <w:i/>
                <w:color w:val="000000"/>
                <w:sz w:val="22"/>
                <w:szCs w:val="22"/>
              </w:rPr>
              <w:t>2.224.003.</w:t>
            </w:r>
            <w:r w:rsidR="00F00A5C" w:rsidRPr="0052303E">
              <w:rPr>
                <w:rFonts w:ascii="Bookman Old Style" w:hAnsi="Bookman Old Style"/>
                <w:i/>
                <w:color w:val="000000"/>
                <w:sz w:val="22"/>
                <w:szCs w:val="22"/>
              </w:rPr>
              <w:t>162</w:t>
            </w:r>
          </w:p>
        </w:tc>
        <w:tc>
          <w:tcPr>
            <w:tcW w:w="1289" w:type="pct"/>
            <w:tcBorders>
              <w:top w:val="single" w:sz="4" w:space="0" w:color="auto"/>
              <w:left w:val="nil"/>
              <w:bottom w:val="single" w:sz="4" w:space="0" w:color="auto"/>
              <w:right w:val="single" w:sz="4" w:space="0" w:color="auto"/>
            </w:tcBorders>
            <w:shd w:val="clear" w:color="auto" w:fill="auto"/>
            <w:vAlign w:val="center"/>
          </w:tcPr>
          <w:p w14:paraId="37B3608E" w14:textId="77777777" w:rsidR="00F00A5C" w:rsidRPr="0052303E" w:rsidRDefault="004E4A0B"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2.257.457.</w:t>
            </w:r>
            <w:r w:rsidR="00F00A5C" w:rsidRPr="0052303E">
              <w:rPr>
                <w:rFonts w:ascii="Bookman Old Style" w:hAnsi="Bookman Old Style"/>
                <w:i/>
                <w:color w:val="000000"/>
                <w:sz w:val="22"/>
                <w:szCs w:val="22"/>
              </w:rPr>
              <w:t>774</w:t>
            </w:r>
          </w:p>
        </w:tc>
        <w:tc>
          <w:tcPr>
            <w:tcW w:w="1289" w:type="pct"/>
            <w:tcBorders>
              <w:top w:val="single" w:sz="4" w:space="0" w:color="auto"/>
              <w:left w:val="nil"/>
              <w:bottom w:val="single" w:sz="4" w:space="0" w:color="auto"/>
              <w:right w:val="single" w:sz="4" w:space="0" w:color="auto"/>
            </w:tcBorders>
            <w:shd w:val="clear" w:color="auto" w:fill="auto"/>
            <w:vAlign w:val="center"/>
          </w:tcPr>
          <w:p w14:paraId="778C0325" w14:textId="77777777" w:rsidR="00F00A5C" w:rsidRPr="0052303E" w:rsidRDefault="00F00A5C"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w:t>
            </w:r>
            <w:r w:rsidR="004E4A0B" w:rsidRPr="0052303E">
              <w:rPr>
                <w:rFonts w:ascii="Bookman Old Style" w:hAnsi="Bookman Old Style"/>
                <w:i/>
                <w:color w:val="000000"/>
                <w:sz w:val="22"/>
                <w:szCs w:val="22"/>
              </w:rPr>
              <w:t>.</w:t>
            </w:r>
            <w:r w:rsidRPr="0052303E">
              <w:rPr>
                <w:rFonts w:ascii="Bookman Old Style" w:hAnsi="Bookman Old Style"/>
                <w:i/>
                <w:color w:val="000000"/>
                <w:sz w:val="22"/>
                <w:szCs w:val="22"/>
              </w:rPr>
              <w:t>033</w:t>
            </w:r>
            <w:r w:rsidR="004E4A0B" w:rsidRPr="0052303E">
              <w:rPr>
                <w:rFonts w:ascii="Bookman Old Style" w:hAnsi="Bookman Old Style"/>
                <w:i/>
                <w:color w:val="000000"/>
                <w:sz w:val="22"/>
                <w:szCs w:val="22"/>
              </w:rPr>
              <w:t>.</w:t>
            </w:r>
            <w:r w:rsidRPr="0052303E">
              <w:rPr>
                <w:rFonts w:ascii="Bookman Old Style" w:hAnsi="Bookman Old Style"/>
                <w:i/>
                <w:color w:val="000000"/>
                <w:sz w:val="22"/>
                <w:szCs w:val="22"/>
              </w:rPr>
              <w:t>904</w:t>
            </w:r>
            <w:r w:rsidR="004E4A0B" w:rsidRPr="0052303E">
              <w:rPr>
                <w:rFonts w:ascii="Bookman Old Style" w:hAnsi="Bookman Old Style"/>
                <w:i/>
                <w:color w:val="000000"/>
                <w:sz w:val="22"/>
                <w:szCs w:val="22"/>
              </w:rPr>
              <w:t>.</w:t>
            </w:r>
            <w:r w:rsidRPr="0052303E">
              <w:rPr>
                <w:rFonts w:ascii="Bookman Old Style" w:hAnsi="Bookman Old Style"/>
                <w:i/>
                <w:color w:val="000000"/>
                <w:sz w:val="22"/>
                <w:szCs w:val="22"/>
              </w:rPr>
              <w:t>49</w:t>
            </w:r>
            <w:r w:rsidR="004E4A0B" w:rsidRPr="0052303E">
              <w:rPr>
                <w:rFonts w:ascii="Bookman Old Style" w:hAnsi="Bookman Old Style"/>
                <w:i/>
                <w:color w:val="000000"/>
                <w:sz w:val="22"/>
                <w:szCs w:val="22"/>
              </w:rPr>
              <w:t>7</w:t>
            </w:r>
          </w:p>
        </w:tc>
      </w:tr>
      <w:tr w:rsidR="00F00A5C" w:rsidRPr="0052303E" w14:paraId="48C6D6D0" w14:textId="77777777" w:rsidTr="00F00A5C">
        <w:trPr>
          <w:trHeight w:val="378"/>
        </w:trPr>
        <w:tc>
          <w:tcPr>
            <w:tcW w:w="1134" w:type="pct"/>
            <w:shd w:val="clear" w:color="auto" w:fill="auto"/>
            <w:vAlign w:val="center"/>
          </w:tcPr>
          <w:p w14:paraId="2975A805" w14:textId="77777777" w:rsidR="00F00A5C" w:rsidRPr="0052303E" w:rsidRDefault="0052303E" w:rsidP="00F00A5C">
            <w:pPr>
              <w:ind w:left="29"/>
              <w:rPr>
                <w:rFonts w:ascii="Bookman Old Style" w:hAnsi="Bookman Old Style"/>
                <w:i/>
                <w:sz w:val="22"/>
                <w:szCs w:val="22"/>
              </w:rPr>
            </w:pPr>
            <m:oMathPara>
              <m:oMathParaPr>
                <m:jc m:val="left"/>
              </m:oMathParaPr>
              <m:oMath>
                <m:r>
                  <w:rPr>
                    <w:rFonts w:ascii="Cambria Math" w:hAnsi="Cambria Math"/>
                    <w:sz w:val="22"/>
                    <w:szCs w:val="22"/>
                  </w:rPr>
                  <m:t>IBM</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RSk</m:t>
                    </m:r>
                  </m:sub>
                </m:sSub>
              </m:oMath>
            </m:oMathPara>
          </w:p>
        </w:tc>
        <w:tc>
          <w:tcPr>
            <w:tcW w:w="1288" w:type="pct"/>
            <w:tcBorders>
              <w:top w:val="nil"/>
              <w:left w:val="single" w:sz="4" w:space="0" w:color="auto"/>
              <w:bottom w:val="single" w:sz="4" w:space="0" w:color="auto"/>
              <w:right w:val="single" w:sz="4" w:space="0" w:color="auto"/>
            </w:tcBorders>
            <w:shd w:val="clear" w:color="auto" w:fill="auto"/>
            <w:vAlign w:val="center"/>
          </w:tcPr>
          <w:p w14:paraId="21BB7F44" w14:textId="77777777" w:rsidR="00F00A5C" w:rsidRPr="0052303E" w:rsidRDefault="004E4A0B"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4.614.717.533</w:t>
            </w:r>
          </w:p>
        </w:tc>
        <w:tc>
          <w:tcPr>
            <w:tcW w:w="1289" w:type="pct"/>
            <w:tcBorders>
              <w:top w:val="nil"/>
              <w:left w:val="nil"/>
              <w:bottom w:val="single" w:sz="4" w:space="0" w:color="auto"/>
              <w:right w:val="single" w:sz="4" w:space="0" w:color="auto"/>
            </w:tcBorders>
            <w:shd w:val="clear" w:color="auto" w:fill="auto"/>
            <w:vAlign w:val="center"/>
          </w:tcPr>
          <w:p w14:paraId="310E1711" w14:textId="77777777" w:rsidR="00F00A5C" w:rsidRPr="0052303E" w:rsidRDefault="004E4A0B"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4.</w:t>
            </w:r>
            <w:r w:rsidR="00F00A5C" w:rsidRPr="0052303E">
              <w:rPr>
                <w:rFonts w:ascii="Bookman Old Style" w:hAnsi="Bookman Old Style"/>
                <w:i/>
                <w:color w:val="000000"/>
                <w:sz w:val="22"/>
                <w:szCs w:val="22"/>
              </w:rPr>
              <w:t>684</w:t>
            </w:r>
            <w:r w:rsidRPr="0052303E">
              <w:rPr>
                <w:rFonts w:ascii="Bookman Old Style" w:hAnsi="Bookman Old Style"/>
                <w:i/>
                <w:color w:val="000000"/>
                <w:sz w:val="22"/>
                <w:szCs w:val="22"/>
              </w:rPr>
              <w:t>.</w:t>
            </w:r>
            <w:r w:rsidR="00F00A5C" w:rsidRPr="0052303E">
              <w:rPr>
                <w:rFonts w:ascii="Bookman Old Style" w:hAnsi="Bookman Old Style"/>
                <w:i/>
                <w:color w:val="000000"/>
                <w:sz w:val="22"/>
                <w:szCs w:val="22"/>
              </w:rPr>
              <w:t>134</w:t>
            </w:r>
            <w:r w:rsidRPr="0052303E">
              <w:rPr>
                <w:rFonts w:ascii="Bookman Old Style" w:hAnsi="Bookman Old Style"/>
                <w:i/>
                <w:color w:val="000000"/>
                <w:sz w:val="22"/>
                <w:szCs w:val="22"/>
              </w:rPr>
              <w:t>.</w:t>
            </w:r>
            <w:r w:rsidR="00F00A5C" w:rsidRPr="0052303E">
              <w:rPr>
                <w:rFonts w:ascii="Bookman Old Style" w:hAnsi="Bookman Old Style"/>
                <w:i/>
                <w:color w:val="000000"/>
                <w:sz w:val="22"/>
                <w:szCs w:val="22"/>
              </w:rPr>
              <w:t>513</w:t>
            </w:r>
          </w:p>
        </w:tc>
        <w:tc>
          <w:tcPr>
            <w:tcW w:w="1289" w:type="pct"/>
            <w:tcBorders>
              <w:top w:val="nil"/>
              <w:left w:val="nil"/>
              <w:bottom w:val="single" w:sz="4" w:space="0" w:color="auto"/>
              <w:right w:val="single" w:sz="4" w:space="0" w:color="auto"/>
            </w:tcBorders>
            <w:shd w:val="clear" w:color="auto" w:fill="auto"/>
            <w:vAlign w:val="center"/>
          </w:tcPr>
          <w:p w14:paraId="0497A5F8" w14:textId="77777777" w:rsidR="00F00A5C" w:rsidRPr="0052303E" w:rsidRDefault="00F00A5C"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4</w:t>
            </w:r>
            <w:r w:rsidR="004E4A0B" w:rsidRPr="0052303E">
              <w:rPr>
                <w:rFonts w:ascii="Bookman Old Style" w:hAnsi="Bookman Old Style"/>
                <w:i/>
                <w:color w:val="000000"/>
                <w:sz w:val="22"/>
                <w:szCs w:val="22"/>
              </w:rPr>
              <w:t>.</w:t>
            </w:r>
            <w:r w:rsidRPr="0052303E">
              <w:rPr>
                <w:rFonts w:ascii="Bookman Old Style" w:hAnsi="Bookman Old Style"/>
                <w:i/>
                <w:color w:val="000000"/>
                <w:sz w:val="22"/>
                <w:szCs w:val="22"/>
              </w:rPr>
              <w:t>220</w:t>
            </w:r>
            <w:r w:rsidR="004E4A0B" w:rsidRPr="0052303E">
              <w:rPr>
                <w:rFonts w:ascii="Bookman Old Style" w:hAnsi="Bookman Old Style"/>
                <w:i/>
                <w:color w:val="000000"/>
                <w:sz w:val="22"/>
                <w:szCs w:val="22"/>
              </w:rPr>
              <w:t>.</w:t>
            </w:r>
            <w:r w:rsidRPr="0052303E">
              <w:rPr>
                <w:rFonts w:ascii="Bookman Old Style" w:hAnsi="Bookman Old Style"/>
                <w:i/>
                <w:color w:val="000000"/>
                <w:sz w:val="22"/>
                <w:szCs w:val="22"/>
              </w:rPr>
              <w:t>270</w:t>
            </w:r>
            <w:r w:rsidR="004E4A0B" w:rsidRPr="0052303E">
              <w:rPr>
                <w:rFonts w:ascii="Bookman Old Style" w:hAnsi="Bookman Old Style"/>
                <w:i/>
                <w:color w:val="000000"/>
                <w:sz w:val="22"/>
                <w:szCs w:val="22"/>
              </w:rPr>
              <w:t>.</w:t>
            </w:r>
            <w:r w:rsidRPr="0052303E">
              <w:rPr>
                <w:rFonts w:ascii="Bookman Old Style" w:hAnsi="Bookman Old Style"/>
                <w:i/>
                <w:color w:val="000000"/>
                <w:sz w:val="22"/>
                <w:szCs w:val="22"/>
              </w:rPr>
              <w:t>411</w:t>
            </w:r>
          </w:p>
        </w:tc>
      </w:tr>
      <w:tr w:rsidR="00F00A5C" w:rsidRPr="0052303E" w14:paraId="524929E0" w14:textId="77777777" w:rsidTr="00F00A5C">
        <w:trPr>
          <w:trHeight w:val="378"/>
        </w:trPr>
        <w:tc>
          <w:tcPr>
            <w:tcW w:w="1134" w:type="pct"/>
            <w:shd w:val="clear" w:color="auto" w:fill="auto"/>
            <w:vAlign w:val="center"/>
          </w:tcPr>
          <w:p w14:paraId="0F2BBA7D" w14:textId="77777777" w:rsidR="00F00A5C" w:rsidRPr="0052303E" w:rsidRDefault="00D27D74" w:rsidP="00F00A5C">
            <w:pPr>
              <w:ind w:left="29"/>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Tk</m:t>
                    </m:r>
                  </m:sub>
                </m:sSub>
              </m:oMath>
            </m:oMathPara>
          </w:p>
        </w:tc>
        <w:tc>
          <w:tcPr>
            <w:tcW w:w="1288" w:type="pct"/>
            <w:tcBorders>
              <w:top w:val="nil"/>
              <w:left w:val="single" w:sz="4" w:space="0" w:color="auto"/>
              <w:bottom w:val="single" w:sz="4" w:space="0" w:color="auto"/>
              <w:right w:val="single" w:sz="4" w:space="0" w:color="auto"/>
            </w:tcBorders>
            <w:shd w:val="clear" w:color="auto" w:fill="auto"/>
            <w:vAlign w:val="center"/>
          </w:tcPr>
          <w:p w14:paraId="1B9E077B" w14:textId="77777777" w:rsidR="00F00A5C" w:rsidRPr="0052303E" w:rsidRDefault="00F00A5C"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24</w:t>
            </w:r>
            <w:r w:rsidR="004E4A0B" w:rsidRPr="0052303E">
              <w:rPr>
                <w:rFonts w:ascii="Bookman Old Style" w:hAnsi="Bookman Old Style"/>
                <w:i/>
                <w:color w:val="000000"/>
                <w:sz w:val="22"/>
                <w:szCs w:val="22"/>
              </w:rPr>
              <w:t>.</w:t>
            </w:r>
            <w:r w:rsidRPr="0052303E">
              <w:rPr>
                <w:rFonts w:ascii="Bookman Old Style" w:hAnsi="Bookman Old Style"/>
                <w:i/>
                <w:color w:val="000000"/>
                <w:sz w:val="22"/>
                <w:szCs w:val="22"/>
              </w:rPr>
              <w:t>561</w:t>
            </w:r>
            <w:r w:rsidR="004E4A0B" w:rsidRPr="0052303E">
              <w:rPr>
                <w:rFonts w:ascii="Bookman Old Style" w:hAnsi="Bookman Old Style"/>
                <w:i/>
                <w:color w:val="000000"/>
                <w:sz w:val="22"/>
                <w:szCs w:val="22"/>
              </w:rPr>
              <w:t>.225</w:t>
            </w:r>
          </w:p>
        </w:tc>
        <w:tc>
          <w:tcPr>
            <w:tcW w:w="1289" w:type="pct"/>
            <w:tcBorders>
              <w:top w:val="nil"/>
              <w:left w:val="nil"/>
              <w:bottom w:val="single" w:sz="4" w:space="0" w:color="auto"/>
              <w:right w:val="single" w:sz="4" w:space="0" w:color="auto"/>
            </w:tcBorders>
            <w:shd w:val="clear" w:color="auto" w:fill="auto"/>
            <w:vAlign w:val="center"/>
          </w:tcPr>
          <w:p w14:paraId="1891CAC2" w14:textId="77777777" w:rsidR="00F00A5C" w:rsidRPr="0052303E" w:rsidRDefault="004E4A0B"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24.561.</w:t>
            </w:r>
            <w:r w:rsidR="00F00A5C" w:rsidRPr="0052303E">
              <w:rPr>
                <w:rFonts w:ascii="Bookman Old Style" w:hAnsi="Bookman Old Style"/>
                <w:i/>
                <w:color w:val="000000"/>
                <w:sz w:val="22"/>
                <w:szCs w:val="22"/>
              </w:rPr>
              <w:t>22</w:t>
            </w:r>
            <w:r w:rsidRPr="0052303E">
              <w:rPr>
                <w:rFonts w:ascii="Bookman Old Style" w:hAnsi="Bookman Old Style"/>
                <w:i/>
                <w:color w:val="000000"/>
                <w:sz w:val="22"/>
                <w:szCs w:val="22"/>
              </w:rPr>
              <w:t>5</w:t>
            </w:r>
          </w:p>
        </w:tc>
        <w:tc>
          <w:tcPr>
            <w:tcW w:w="1289" w:type="pct"/>
            <w:tcBorders>
              <w:top w:val="nil"/>
              <w:left w:val="nil"/>
              <w:bottom w:val="single" w:sz="4" w:space="0" w:color="auto"/>
              <w:right w:val="single" w:sz="4" w:space="0" w:color="auto"/>
            </w:tcBorders>
            <w:shd w:val="clear" w:color="auto" w:fill="auto"/>
            <w:vAlign w:val="center"/>
          </w:tcPr>
          <w:p w14:paraId="2C1C3C7C" w14:textId="77777777" w:rsidR="00F00A5C" w:rsidRPr="0052303E" w:rsidRDefault="004E4A0B"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24.561.</w:t>
            </w:r>
            <w:r w:rsidR="00F00A5C" w:rsidRPr="0052303E">
              <w:rPr>
                <w:rFonts w:ascii="Bookman Old Style" w:hAnsi="Bookman Old Style"/>
                <w:i/>
                <w:color w:val="000000"/>
                <w:sz w:val="22"/>
                <w:szCs w:val="22"/>
              </w:rPr>
              <w:t>22</w:t>
            </w:r>
            <w:r w:rsidRPr="0052303E">
              <w:rPr>
                <w:rFonts w:ascii="Bookman Old Style" w:hAnsi="Bookman Old Style"/>
                <w:i/>
                <w:color w:val="000000"/>
                <w:sz w:val="22"/>
                <w:szCs w:val="22"/>
              </w:rPr>
              <w:t>5</w:t>
            </w:r>
          </w:p>
        </w:tc>
      </w:tr>
      <w:tr w:rsidR="00F00A5C" w:rsidRPr="0052303E" w14:paraId="4902D965" w14:textId="77777777" w:rsidTr="00F00A5C">
        <w:trPr>
          <w:trHeight w:val="378"/>
        </w:trPr>
        <w:tc>
          <w:tcPr>
            <w:tcW w:w="1134" w:type="pct"/>
            <w:shd w:val="clear" w:color="auto" w:fill="auto"/>
            <w:vAlign w:val="center"/>
          </w:tcPr>
          <w:p w14:paraId="5BD8657E" w14:textId="77777777" w:rsidR="00F00A5C" w:rsidRPr="0052303E" w:rsidRDefault="00D27D74" w:rsidP="00F00A5C">
            <w:pPr>
              <w:ind w:left="29"/>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NoResRSk</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Resk</m:t>
                    </m:r>
                  </m:sub>
                </m:sSub>
              </m:oMath>
            </m:oMathPara>
          </w:p>
        </w:tc>
        <w:tc>
          <w:tcPr>
            <w:tcW w:w="1288" w:type="pct"/>
            <w:tcBorders>
              <w:top w:val="nil"/>
              <w:left w:val="single" w:sz="4" w:space="0" w:color="auto"/>
              <w:bottom w:val="single" w:sz="4" w:space="0" w:color="auto"/>
              <w:right w:val="single" w:sz="4" w:space="0" w:color="auto"/>
            </w:tcBorders>
            <w:shd w:val="clear" w:color="auto" w:fill="auto"/>
            <w:vAlign w:val="center"/>
          </w:tcPr>
          <w:p w14:paraId="17BA7AED" w14:textId="77777777" w:rsidR="00F00A5C" w:rsidRPr="0052303E" w:rsidRDefault="004E4A0B"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20.116.</w:t>
            </w:r>
            <w:r w:rsidR="00F00A5C" w:rsidRPr="0052303E">
              <w:rPr>
                <w:rFonts w:ascii="Bookman Old Style" w:hAnsi="Bookman Old Style"/>
                <w:i/>
                <w:color w:val="000000"/>
                <w:sz w:val="22"/>
                <w:szCs w:val="22"/>
              </w:rPr>
              <w:t>53</w:t>
            </w:r>
            <w:r w:rsidRPr="0052303E">
              <w:rPr>
                <w:rFonts w:ascii="Bookman Old Style" w:hAnsi="Bookman Old Style"/>
                <w:i/>
                <w:color w:val="000000"/>
                <w:sz w:val="22"/>
                <w:szCs w:val="22"/>
              </w:rPr>
              <w:t>2</w:t>
            </w:r>
          </w:p>
        </w:tc>
        <w:tc>
          <w:tcPr>
            <w:tcW w:w="1289" w:type="pct"/>
            <w:tcBorders>
              <w:top w:val="nil"/>
              <w:left w:val="nil"/>
              <w:bottom w:val="single" w:sz="4" w:space="0" w:color="auto"/>
              <w:right w:val="single" w:sz="4" w:space="0" w:color="auto"/>
            </w:tcBorders>
            <w:shd w:val="clear" w:color="auto" w:fill="auto"/>
            <w:vAlign w:val="center"/>
          </w:tcPr>
          <w:p w14:paraId="680A9C01" w14:textId="77777777" w:rsidR="00F00A5C" w:rsidRPr="0052303E" w:rsidRDefault="00F00A5C"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20</w:t>
            </w:r>
            <w:r w:rsidR="004E4A0B" w:rsidRPr="0052303E">
              <w:rPr>
                <w:rFonts w:ascii="Bookman Old Style" w:hAnsi="Bookman Old Style"/>
                <w:i/>
                <w:color w:val="000000"/>
                <w:sz w:val="22"/>
                <w:szCs w:val="22"/>
              </w:rPr>
              <w:t>.</w:t>
            </w:r>
            <w:r w:rsidRPr="0052303E">
              <w:rPr>
                <w:rFonts w:ascii="Bookman Old Style" w:hAnsi="Bookman Old Style"/>
                <w:i/>
                <w:color w:val="000000"/>
                <w:sz w:val="22"/>
                <w:szCs w:val="22"/>
              </w:rPr>
              <w:t>116</w:t>
            </w:r>
            <w:r w:rsidR="004E4A0B" w:rsidRPr="0052303E">
              <w:rPr>
                <w:rFonts w:ascii="Bookman Old Style" w:hAnsi="Bookman Old Style"/>
                <w:i/>
                <w:color w:val="000000"/>
                <w:sz w:val="22"/>
                <w:szCs w:val="22"/>
              </w:rPr>
              <w:t>.</w:t>
            </w:r>
            <w:r w:rsidRPr="0052303E">
              <w:rPr>
                <w:rFonts w:ascii="Bookman Old Style" w:hAnsi="Bookman Old Style"/>
                <w:i/>
                <w:color w:val="000000"/>
                <w:sz w:val="22"/>
                <w:szCs w:val="22"/>
              </w:rPr>
              <w:t>53</w:t>
            </w:r>
            <w:r w:rsidR="004E4A0B" w:rsidRPr="0052303E">
              <w:rPr>
                <w:rFonts w:ascii="Bookman Old Style" w:hAnsi="Bookman Old Style"/>
                <w:i/>
                <w:color w:val="000000"/>
                <w:sz w:val="22"/>
                <w:szCs w:val="22"/>
              </w:rPr>
              <w:t>2</w:t>
            </w:r>
          </w:p>
        </w:tc>
        <w:tc>
          <w:tcPr>
            <w:tcW w:w="1289" w:type="pct"/>
            <w:tcBorders>
              <w:top w:val="nil"/>
              <w:left w:val="nil"/>
              <w:bottom w:val="single" w:sz="4" w:space="0" w:color="auto"/>
              <w:right w:val="single" w:sz="4" w:space="0" w:color="auto"/>
            </w:tcBorders>
            <w:shd w:val="clear" w:color="auto" w:fill="auto"/>
            <w:vAlign w:val="center"/>
          </w:tcPr>
          <w:p w14:paraId="7A0FBE42" w14:textId="77777777" w:rsidR="00F00A5C" w:rsidRPr="0052303E" w:rsidRDefault="004E4A0B" w:rsidP="004E4A0B">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20.</w:t>
            </w:r>
            <w:r w:rsidR="00F00A5C" w:rsidRPr="0052303E">
              <w:rPr>
                <w:rFonts w:ascii="Bookman Old Style" w:hAnsi="Bookman Old Style"/>
                <w:i/>
                <w:color w:val="000000"/>
                <w:sz w:val="22"/>
                <w:szCs w:val="22"/>
              </w:rPr>
              <w:t>116</w:t>
            </w:r>
            <w:r w:rsidRPr="0052303E">
              <w:rPr>
                <w:rFonts w:ascii="Bookman Old Style" w:hAnsi="Bookman Old Style"/>
                <w:i/>
                <w:color w:val="000000"/>
                <w:sz w:val="22"/>
                <w:szCs w:val="22"/>
              </w:rPr>
              <w:t>.</w:t>
            </w:r>
            <w:r w:rsidR="00F00A5C" w:rsidRPr="0052303E">
              <w:rPr>
                <w:rFonts w:ascii="Bookman Old Style" w:hAnsi="Bookman Old Style"/>
                <w:i/>
                <w:color w:val="000000"/>
                <w:sz w:val="22"/>
                <w:szCs w:val="22"/>
              </w:rPr>
              <w:t>53</w:t>
            </w:r>
            <w:r w:rsidRPr="0052303E">
              <w:rPr>
                <w:rFonts w:ascii="Bookman Old Style" w:hAnsi="Bookman Old Style"/>
                <w:i/>
                <w:color w:val="000000"/>
                <w:sz w:val="22"/>
                <w:szCs w:val="22"/>
              </w:rPr>
              <w:t>2</w:t>
            </w:r>
          </w:p>
        </w:tc>
      </w:tr>
    </w:tbl>
    <w:p w14:paraId="0D5AD56E" w14:textId="77777777" w:rsidR="00D1599A" w:rsidRPr="0052303E" w:rsidRDefault="00D1599A" w:rsidP="00D1599A">
      <w:pPr>
        <w:rPr>
          <w:i/>
          <w:sz w:val="22"/>
          <w:szCs w:val="22"/>
        </w:rPr>
      </w:pPr>
    </w:p>
    <w:tbl>
      <w:tblPr>
        <w:tblW w:w="485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312"/>
        <w:gridCol w:w="2314"/>
        <w:gridCol w:w="2314"/>
      </w:tblGrid>
      <w:tr w:rsidR="00D1599A" w:rsidRPr="0052303E" w14:paraId="4199FAF8" w14:textId="77777777" w:rsidTr="00D1599A">
        <w:tc>
          <w:tcPr>
            <w:tcW w:w="5000" w:type="pct"/>
            <w:gridSpan w:val="4"/>
            <w:shd w:val="clear" w:color="auto" w:fill="D9D9D9"/>
            <w:vAlign w:val="center"/>
          </w:tcPr>
          <w:p w14:paraId="70BA995A" w14:textId="77777777" w:rsidR="00D1599A" w:rsidRPr="0052303E" w:rsidRDefault="00D1599A" w:rsidP="0088380D">
            <w:pPr>
              <w:ind w:left="0"/>
              <w:jc w:val="center"/>
              <w:rPr>
                <w:rFonts w:ascii="Bookman Old Style" w:hAnsi="Bookman Old Style"/>
                <w:b/>
                <w:i/>
                <w:sz w:val="22"/>
                <w:szCs w:val="22"/>
              </w:rPr>
            </w:pPr>
            <w:r w:rsidRPr="0052303E">
              <w:rPr>
                <w:rFonts w:ascii="Bookman Old Style" w:hAnsi="Bookman Old Style"/>
                <w:b/>
                <w:i/>
                <w:sz w:val="22"/>
                <w:szCs w:val="22"/>
              </w:rPr>
              <w:t>Usuarios Diferentes a los de Uso Residencial</w:t>
            </w:r>
          </w:p>
        </w:tc>
      </w:tr>
      <w:tr w:rsidR="00D1599A" w:rsidRPr="0052303E" w14:paraId="01CBD0F1" w14:textId="77777777" w:rsidTr="00D1599A">
        <w:tc>
          <w:tcPr>
            <w:tcW w:w="1173" w:type="pct"/>
            <w:vMerge w:val="restart"/>
            <w:shd w:val="clear" w:color="auto" w:fill="D9D9D9"/>
            <w:vAlign w:val="center"/>
          </w:tcPr>
          <w:p w14:paraId="4B3DDDE0" w14:textId="77777777" w:rsidR="00D1599A" w:rsidRPr="0052303E" w:rsidRDefault="00D1599A" w:rsidP="0088380D">
            <w:pPr>
              <w:ind w:left="0"/>
              <w:jc w:val="center"/>
              <w:rPr>
                <w:rFonts w:ascii="Bookman Old Style" w:hAnsi="Bookman Old Style"/>
                <w:b/>
                <w:i/>
                <w:sz w:val="22"/>
                <w:szCs w:val="22"/>
              </w:rPr>
            </w:pPr>
            <w:r w:rsidRPr="0052303E">
              <w:rPr>
                <w:rFonts w:ascii="Bookman Old Style" w:hAnsi="Bookman Old Style"/>
                <w:b/>
                <w:i/>
                <w:sz w:val="22"/>
                <w:szCs w:val="22"/>
              </w:rPr>
              <w:t>Variable</w:t>
            </w:r>
          </w:p>
        </w:tc>
        <w:tc>
          <w:tcPr>
            <w:tcW w:w="3827" w:type="pct"/>
            <w:gridSpan w:val="3"/>
            <w:shd w:val="clear" w:color="auto" w:fill="D9D9D9"/>
            <w:vAlign w:val="center"/>
          </w:tcPr>
          <w:p w14:paraId="1F75B5CA" w14:textId="77777777" w:rsidR="00D1599A" w:rsidRPr="0052303E" w:rsidRDefault="00D1599A" w:rsidP="0088380D">
            <w:pPr>
              <w:ind w:left="0"/>
              <w:jc w:val="center"/>
              <w:rPr>
                <w:rFonts w:ascii="Bookman Old Style" w:hAnsi="Bookman Old Style"/>
                <w:b/>
                <w:i/>
                <w:sz w:val="22"/>
                <w:szCs w:val="22"/>
              </w:rPr>
            </w:pPr>
            <w:r w:rsidRPr="0052303E">
              <w:rPr>
                <w:rFonts w:ascii="Bookman Old Style" w:hAnsi="Bookman Old Style"/>
                <w:b/>
                <w:i/>
                <w:sz w:val="22"/>
                <w:szCs w:val="22"/>
              </w:rPr>
              <w:t>Valor ($31 Dic 2014)</w:t>
            </w:r>
          </w:p>
        </w:tc>
      </w:tr>
      <w:tr w:rsidR="00D1599A" w:rsidRPr="0052303E" w14:paraId="259120B4" w14:textId="77777777" w:rsidTr="00D1599A">
        <w:trPr>
          <w:trHeight w:val="119"/>
        </w:trPr>
        <w:tc>
          <w:tcPr>
            <w:tcW w:w="1173" w:type="pct"/>
            <w:vMerge/>
            <w:shd w:val="clear" w:color="auto" w:fill="D9D9D9"/>
            <w:vAlign w:val="center"/>
          </w:tcPr>
          <w:p w14:paraId="031B56C4" w14:textId="77777777" w:rsidR="00D1599A" w:rsidRPr="0052303E" w:rsidRDefault="00D1599A" w:rsidP="0088380D">
            <w:pPr>
              <w:ind w:left="0"/>
              <w:jc w:val="center"/>
              <w:rPr>
                <w:rFonts w:ascii="Bookman Old Style" w:hAnsi="Bookman Old Style"/>
                <w:i/>
                <w:sz w:val="22"/>
                <w:szCs w:val="22"/>
              </w:rPr>
            </w:pPr>
          </w:p>
        </w:tc>
        <w:tc>
          <w:tcPr>
            <w:tcW w:w="1275" w:type="pct"/>
            <w:shd w:val="clear" w:color="auto" w:fill="D9D9D9"/>
            <w:vAlign w:val="center"/>
          </w:tcPr>
          <w:p w14:paraId="4ADC4CEF" w14:textId="77777777" w:rsidR="00D1599A" w:rsidRPr="0052303E" w:rsidRDefault="00D1599A" w:rsidP="0088380D">
            <w:pPr>
              <w:ind w:left="0"/>
              <w:jc w:val="center"/>
              <w:rPr>
                <w:rFonts w:ascii="Bookman Old Style" w:hAnsi="Bookman Old Style"/>
                <w:b/>
                <w:i/>
                <w:sz w:val="22"/>
                <w:szCs w:val="22"/>
              </w:rPr>
            </w:pPr>
            <w:r w:rsidRPr="0052303E">
              <w:rPr>
                <w:rFonts w:ascii="Bookman Old Style" w:hAnsi="Bookman Old Style"/>
                <w:b/>
                <w:i/>
                <w:sz w:val="22"/>
                <w:szCs w:val="22"/>
              </w:rPr>
              <w:t>2017</w:t>
            </w:r>
          </w:p>
        </w:tc>
        <w:tc>
          <w:tcPr>
            <w:tcW w:w="1276" w:type="pct"/>
            <w:shd w:val="clear" w:color="auto" w:fill="D9D9D9"/>
            <w:vAlign w:val="center"/>
          </w:tcPr>
          <w:p w14:paraId="0080525A" w14:textId="77777777" w:rsidR="00D1599A" w:rsidRPr="0052303E" w:rsidRDefault="00D1599A" w:rsidP="0088380D">
            <w:pPr>
              <w:ind w:left="0"/>
              <w:jc w:val="center"/>
              <w:rPr>
                <w:rFonts w:ascii="Bookman Old Style" w:hAnsi="Bookman Old Style"/>
                <w:b/>
                <w:i/>
                <w:sz w:val="22"/>
                <w:szCs w:val="22"/>
              </w:rPr>
            </w:pPr>
            <w:r w:rsidRPr="0052303E">
              <w:rPr>
                <w:rFonts w:ascii="Bookman Old Style" w:hAnsi="Bookman Old Style"/>
                <w:b/>
                <w:i/>
                <w:sz w:val="22"/>
                <w:szCs w:val="22"/>
              </w:rPr>
              <w:t>2018</w:t>
            </w:r>
          </w:p>
        </w:tc>
        <w:tc>
          <w:tcPr>
            <w:tcW w:w="1276" w:type="pct"/>
            <w:shd w:val="clear" w:color="auto" w:fill="D9D9D9"/>
            <w:vAlign w:val="center"/>
          </w:tcPr>
          <w:p w14:paraId="55E3F73F" w14:textId="77777777" w:rsidR="00D1599A" w:rsidRPr="0052303E" w:rsidRDefault="00D1599A" w:rsidP="0088380D">
            <w:pPr>
              <w:ind w:left="0"/>
              <w:jc w:val="center"/>
              <w:rPr>
                <w:rFonts w:ascii="Bookman Old Style" w:hAnsi="Bookman Old Style"/>
                <w:b/>
                <w:i/>
                <w:sz w:val="22"/>
                <w:szCs w:val="22"/>
              </w:rPr>
            </w:pPr>
            <w:r w:rsidRPr="0052303E">
              <w:rPr>
                <w:rFonts w:ascii="Bookman Old Style" w:hAnsi="Bookman Old Style"/>
                <w:b/>
                <w:i/>
                <w:sz w:val="22"/>
                <w:szCs w:val="22"/>
              </w:rPr>
              <w:t>2019 – 2020 - 2021</w:t>
            </w:r>
          </w:p>
        </w:tc>
      </w:tr>
      <w:tr w:rsidR="00EA2A18" w:rsidRPr="0052303E" w14:paraId="092DA7FB" w14:textId="77777777" w:rsidTr="00EA2A18">
        <w:trPr>
          <w:trHeight w:val="378"/>
        </w:trPr>
        <w:tc>
          <w:tcPr>
            <w:tcW w:w="1173" w:type="pct"/>
            <w:shd w:val="clear" w:color="auto" w:fill="auto"/>
            <w:vAlign w:val="center"/>
          </w:tcPr>
          <w:p w14:paraId="4BA05F26" w14:textId="77777777" w:rsidR="00EA2A18" w:rsidRPr="0052303E" w:rsidRDefault="0052303E" w:rsidP="00EA2A18">
            <w:pPr>
              <w:ind w:left="0"/>
              <w:rPr>
                <w:rFonts w:ascii="Bookman Old Style" w:hAnsi="Bookman Old Style"/>
                <w:i/>
                <w:sz w:val="22"/>
                <w:szCs w:val="22"/>
              </w:rPr>
            </w:pPr>
            <m:oMathPara>
              <m:oMathParaPr>
                <m:jc m:val="left"/>
              </m:oMathParaPr>
              <m:oMath>
                <m:r>
                  <w:rPr>
                    <w:rFonts w:ascii="Cambria Math" w:hAnsi="Cambria Math"/>
                    <w:sz w:val="22"/>
                    <w:szCs w:val="22"/>
                  </w:rPr>
                  <m:t>IBM</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RPk</m:t>
                    </m:r>
                  </m:sub>
                </m:sSub>
              </m:oMath>
            </m:oMathPara>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14:paraId="626F12C3" w14:textId="77777777" w:rsidR="00EA2A18" w:rsidRPr="0052303E" w:rsidRDefault="0052303E" w:rsidP="0052303E">
            <w:pPr>
              <w:ind w:left="0"/>
              <w:jc w:val="center"/>
              <w:rPr>
                <w:rFonts w:ascii="Bookman Old Style" w:hAnsi="Bookman Old Style"/>
                <w:i/>
                <w:color w:val="000000"/>
                <w:sz w:val="22"/>
                <w:szCs w:val="22"/>
                <w:lang w:val="es-CO" w:eastAsia="es-CO"/>
              </w:rPr>
            </w:pPr>
            <w:r w:rsidRPr="0052303E">
              <w:rPr>
                <w:rFonts w:ascii="Bookman Old Style" w:hAnsi="Bookman Old Style"/>
                <w:i/>
                <w:color w:val="000000"/>
                <w:sz w:val="22"/>
                <w:szCs w:val="22"/>
              </w:rPr>
              <w:t>2.224.003.162</w:t>
            </w:r>
          </w:p>
        </w:tc>
        <w:tc>
          <w:tcPr>
            <w:tcW w:w="1276" w:type="pct"/>
            <w:tcBorders>
              <w:top w:val="single" w:sz="4" w:space="0" w:color="auto"/>
              <w:left w:val="nil"/>
              <w:bottom w:val="single" w:sz="4" w:space="0" w:color="auto"/>
              <w:right w:val="single" w:sz="4" w:space="0" w:color="auto"/>
            </w:tcBorders>
            <w:shd w:val="clear" w:color="auto" w:fill="auto"/>
            <w:vAlign w:val="center"/>
          </w:tcPr>
          <w:p w14:paraId="5A2FBA80" w14:textId="77777777" w:rsidR="00EA2A18" w:rsidRPr="0052303E" w:rsidRDefault="00EA2A18" w:rsidP="0052303E">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257</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457</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774</w:t>
            </w:r>
          </w:p>
        </w:tc>
        <w:tc>
          <w:tcPr>
            <w:tcW w:w="1276" w:type="pct"/>
            <w:tcBorders>
              <w:top w:val="single" w:sz="4" w:space="0" w:color="auto"/>
              <w:left w:val="nil"/>
              <w:bottom w:val="single" w:sz="4" w:space="0" w:color="auto"/>
              <w:right w:val="single" w:sz="4" w:space="0" w:color="auto"/>
            </w:tcBorders>
            <w:shd w:val="clear" w:color="auto" w:fill="auto"/>
            <w:vAlign w:val="center"/>
          </w:tcPr>
          <w:p w14:paraId="74129D69" w14:textId="77777777" w:rsidR="00EA2A18" w:rsidRPr="0052303E" w:rsidRDefault="00EA2A18" w:rsidP="0052303E">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033</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904</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49</w:t>
            </w:r>
            <w:r w:rsidR="0052303E" w:rsidRPr="0052303E">
              <w:rPr>
                <w:rFonts w:ascii="Bookman Old Style" w:hAnsi="Bookman Old Style"/>
                <w:i/>
                <w:color w:val="000000"/>
                <w:sz w:val="22"/>
                <w:szCs w:val="22"/>
              </w:rPr>
              <w:t>7</w:t>
            </w:r>
          </w:p>
        </w:tc>
      </w:tr>
      <w:tr w:rsidR="00EA2A18" w:rsidRPr="0052303E" w14:paraId="5F344863" w14:textId="77777777" w:rsidTr="00EA2A18">
        <w:trPr>
          <w:trHeight w:val="378"/>
        </w:trPr>
        <w:tc>
          <w:tcPr>
            <w:tcW w:w="1173" w:type="pct"/>
            <w:shd w:val="clear" w:color="auto" w:fill="auto"/>
            <w:vAlign w:val="center"/>
          </w:tcPr>
          <w:p w14:paraId="3791EBC6" w14:textId="77777777" w:rsidR="00EA2A18" w:rsidRPr="0052303E" w:rsidRDefault="0052303E" w:rsidP="00EA2A18">
            <w:pPr>
              <w:ind w:left="0"/>
              <w:rPr>
                <w:rFonts w:ascii="Bookman Old Style" w:hAnsi="Bookman Old Style"/>
                <w:i/>
                <w:sz w:val="22"/>
                <w:szCs w:val="22"/>
              </w:rPr>
            </w:pPr>
            <m:oMathPara>
              <m:oMathParaPr>
                <m:jc m:val="left"/>
              </m:oMathParaPr>
              <m:oMath>
                <m:r>
                  <w:rPr>
                    <w:rFonts w:ascii="Cambria Math" w:hAnsi="Cambria Math"/>
                    <w:sz w:val="22"/>
                    <w:szCs w:val="22"/>
                  </w:rPr>
                  <m:t>IBM</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RS(NoRes)k</m:t>
                    </m:r>
                  </m:sub>
                </m:sSub>
              </m:oMath>
            </m:oMathPara>
          </w:p>
        </w:tc>
        <w:tc>
          <w:tcPr>
            <w:tcW w:w="1275" w:type="pct"/>
            <w:tcBorders>
              <w:top w:val="nil"/>
              <w:left w:val="single" w:sz="4" w:space="0" w:color="auto"/>
              <w:bottom w:val="single" w:sz="4" w:space="0" w:color="auto"/>
              <w:right w:val="single" w:sz="4" w:space="0" w:color="auto"/>
            </w:tcBorders>
            <w:shd w:val="clear" w:color="auto" w:fill="auto"/>
            <w:vAlign w:val="center"/>
          </w:tcPr>
          <w:p w14:paraId="740EEF7B" w14:textId="77777777" w:rsidR="00EA2A18" w:rsidRPr="0052303E" w:rsidRDefault="00EA2A18" w:rsidP="0052303E">
            <w:pPr>
              <w:ind w:left="0"/>
              <w:jc w:val="center"/>
              <w:rPr>
                <w:rFonts w:ascii="Bookman Old Style" w:hAnsi="Bookman Old Style"/>
                <w:i/>
                <w:sz w:val="22"/>
                <w:szCs w:val="22"/>
              </w:rPr>
            </w:pPr>
            <w:r w:rsidRPr="0052303E">
              <w:rPr>
                <w:rFonts w:ascii="Bookman Old Style" w:hAnsi="Bookman Old Style"/>
                <w:i/>
                <w:sz w:val="22"/>
                <w:szCs w:val="22"/>
              </w:rPr>
              <w:t>880</w:t>
            </w:r>
            <w:r w:rsidR="0052303E" w:rsidRPr="0052303E">
              <w:rPr>
                <w:rFonts w:ascii="Bookman Old Style" w:hAnsi="Bookman Old Style"/>
                <w:i/>
                <w:sz w:val="22"/>
                <w:szCs w:val="22"/>
              </w:rPr>
              <w:t>.</w:t>
            </w:r>
            <w:r w:rsidRPr="0052303E">
              <w:rPr>
                <w:rFonts w:ascii="Bookman Old Style" w:hAnsi="Bookman Old Style"/>
                <w:i/>
                <w:sz w:val="22"/>
                <w:szCs w:val="22"/>
              </w:rPr>
              <w:t>813</w:t>
            </w:r>
            <w:r w:rsidR="0052303E" w:rsidRPr="0052303E">
              <w:rPr>
                <w:rFonts w:ascii="Bookman Old Style" w:hAnsi="Bookman Old Style"/>
                <w:i/>
                <w:sz w:val="22"/>
                <w:szCs w:val="22"/>
              </w:rPr>
              <w:t>.</w:t>
            </w:r>
            <w:r w:rsidRPr="0052303E">
              <w:rPr>
                <w:rFonts w:ascii="Bookman Old Style" w:hAnsi="Bookman Old Style"/>
                <w:i/>
                <w:sz w:val="22"/>
                <w:szCs w:val="22"/>
              </w:rPr>
              <w:t>55</w:t>
            </w:r>
            <w:r w:rsidR="0052303E" w:rsidRPr="0052303E">
              <w:rPr>
                <w:rFonts w:ascii="Bookman Old Style" w:hAnsi="Bookman Old Style"/>
                <w:i/>
                <w:sz w:val="22"/>
                <w:szCs w:val="22"/>
              </w:rPr>
              <w:t>4</w:t>
            </w:r>
          </w:p>
        </w:tc>
        <w:tc>
          <w:tcPr>
            <w:tcW w:w="1276" w:type="pct"/>
            <w:tcBorders>
              <w:top w:val="nil"/>
              <w:left w:val="nil"/>
              <w:bottom w:val="single" w:sz="4" w:space="0" w:color="auto"/>
              <w:right w:val="single" w:sz="4" w:space="0" w:color="auto"/>
            </w:tcBorders>
            <w:shd w:val="clear" w:color="auto" w:fill="auto"/>
            <w:vAlign w:val="center"/>
          </w:tcPr>
          <w:p w14:paraId="7C0638BE" w14:textId="77777777" w:rsidR="00EA2A18" w:rsidRPr="0052303E" w:rsidRDefault="00EA2A18" w:rsidP="0052303E">
            <w:pPr>
              <w:ind w:left="0"/>
              <w:jc w:val="center"/>
              <w:rPr>
                <w:rFonts w:ascii="Bookman Old Style" w:hAnsi="Bookman Old Style"/>
                <w:i/>
                <w:sz w:val="22"/>
                <w:szCs w:val="22"/>
              </w:rPr>
            </w:pPr>
            <w:r w:rsidRPr="0052303E">
              <w:rPr>
                <w:rFonts w:ascii="Bookman Old Style" w:hAnsi="Bookman Old Style"/>
                <w:i/>
                <w:sz w:val="22"/>
                <w:szCs w:val="22"/>
              </w:rPr>
              <w:t>894</w:t>
            </w:r>
            <w:r w:rsidR="0052303E" w:rsidRPr="0052303E">
              <w:rPr>
                <w:rFonts w:ascii="Bookman Old Style" w:hAnsi="Bookman Old Style"/>
                <w:i/>
                <w:sz w:val="22"/>
                <w:szCs w:val="22"/>
              </w:rPr>
              <w:t>.</w:t>
            </w:r>
            <w:r w:rsidRPr="0052303E">
              <w:rPr>
                <w:rFonts w:ascii="Bookman Old Style" w:hAnsi="Bookman Old Style"/>
                <w:i/>
                <w:sz w:val="22"/>
                <w:szCs w:val="22"/>
              </w:rPr>
              <w:t>063</w:t>
            </w:r>
            <w:r w:rsidR="0052303E" w:rsidRPr="0052303E">
              <w:rPr>
                <w:rFonts w:ascii="Bookman Old Style" w:hAnsi="Bookman Old Style"/>
                <w:i/>
                <w:sz w:val="22"/>
                <w:szCs w:val="22"/>
              </w:rPr>
              <w:t>.</w:t>
            </w:r>
            <w:r w:rsidRPr="0052303E">
              <w:rPr>
                <w:rFonts w:ascii="Bookman Old Style" w:hAnsi="Bookman Old Style"/>
                <w:i/>
                <w:sz w:val="22"/>
                <w:szCs w:val="22"/>
              </w:rPr>
              <w:t>209</w:t>
            </w:r>
          </w:p>
        </w:tc>
        <w:tc>
          <w:tcPr>
            <w:tcW w:w="1276" w:type="pct"/>
            <w:tcBorders>
              <w:top w:val="nil"/>
              <w:left w:val="nil"/>
              <w:bottom w:val="single" w:sz="4" w:space="0" w:color="auto"/>
              <w:right w:val="single" w:sz="4" w:space="0" w:color="auto"/>
            </w:tcBorders>
            <w:shd w:val="clear" w:color="auto" w:fill="auto"/>
            <w:vAlign w:val="center"/>
          </w:tcPr>
          <w:p w14:paraId="15BBC2FE" w14:textId="77777777" w:rsidR="00EA2A18" w:rsidRPr="0052303E" w:rsidRDefault="00EA2A18" w:rsidP="0052303E">
            <w:pPr>
              <w:ind w:left="0"/>
              <w:jc w:val="center"/>
              <w:rPr>
                <w:rFonts w:ascii="Bookman Old Style" w:hAnsi="Bookman Old Style"/>
                <w:i/>
                <w:sz w:val="22"/>
                <w:szCs w:val="22"/>
              </w:rPr>
            </w:pPr>
            <w:r w:rsidRPr="0052303E">
              <w:rPr>
                <w:rFonts w:ascii="Bookman Old Style" w:hAnsi="Bookman Old Style"/>
                <w:i/>
                <w:sz w:val="22"/>
                <w:szCs w:val="22"/>
              </w:rPr>
              <w:t>805</w:t>
            </w:r>
            <w:r w:rsidR="0052303E" w:rsidRPr="0052303E">
              <w:rPr>
                <w:rFonts w:ascii="Bookman Old Style" w:hAnsi="Bookman Old Style"/>
                <w:i/>
                <w:sz w:val="22"/>
                <w:szCs w:val="22"/>
              </w:rPr>
              <w:t>.</w:t>
            </w:r>
            <w:r w:rsidRPr="0052303E">
              <w:rPr>
                <w:rFonts w:ascii="Bookman Old Style" w:hAnsi="Bookman Old Style"/>
                <w:i/>
                <w:sz w:val="22"/>
                <w:szCs w:val="22"/>
              </w:rPr>
              <w:t>525</w:t>
            </w:r>
            <w:r w:rsidR="0052303E" w:rsidRPr="0052303E">
              <w:rPr>
                <w:rFonts w:ascii="Bookman Old Style" w:hAnsi="Bookman Old Style"/>
                <w:i/>
                <w:sz w:val="22"/>
                <w:szCs w:val="22"/>
              </w:rPr>
              <w:t>.</w:t>
            </w:r>
            <w:r w:rsidRPr="0052303E">
              <w:rPr>
                <w:rFonts w:ascii="Bookman Old Style" w:hAnsi="Bookman Old Style"/>
                <w:i/>
                <w:sz w:val="22"/>
                <w:szCs w:val="22"/>
              </w:rPr>
              <w:t>225</w:t>
            </w:r>
          </w:p>
        </w:tc>
      </w:tr>
      <w:tr w:rsidR="00EA2A18" w:rsidRPr="0052303E" w14:paraId="2D91A65D" w14:textId="77777777" w:rsidTr="00EA2A18">
        <w:trPr>
          <w:trHeight w:val="378"/>
        </w:trPr>
        <w:tc>
          <w:tcPr>
            <w:tcW w:w="1173" w:type="pct"/>
            <w:shd w:val="clear" w:color="auto" w:fill="auto"/>
            <w:vAlign w:val="center"/>
          </w:tcPr>
          <w:p w14:paraId="73C9EE0E" w14:textId="77777777" w:rsidR="00EA2A18" w:rsidRPr="0052303E" w:rsidRDefault="00D27D74" w:rsidP="00EA2A18">
            <w:pPr>
              <w:ind w:left="0"/>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Tk</m:t>
                    </m:r>
                  </m:sub>
                </m:sSub>
              </m:oMath>
            </m:oMathPara>
          </w:p>
        </w:tc>
        <w:tc>
          <w:tcPr>
            <w:tcW w:w="1275" w:type="pct"/>
            <w:tcBorders>
              <w:top w:val="nil"/>
              <w:left w:val="single" w:sz="4" w:space="0" w:color="auto"/>
              <w:bottom w:val="single" w:sz="4" w:space="0" w:color="auto"/>
              <w:right w:val="single" w:sz="4" w:space="0" w:color="auto"/>
            </w:tcBorders>
            <w:shd w:val="clear" w:color="auto" w:fill="auto"/>
            <w:vAlign w:val="center"/>
          </w:tcPr>
          <w:p w14:paraId="24BE851A" w14:textId="77777777" w:rsidR="00EA2A18" w:rsidRPr="0052303E" w:rsidRDefault="00EA2A18" w:rsidP="0052303E">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24</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561</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22</w:t>
            </w:r>
            <w:r w:rsidR="0052303E" w:rsidRPr="0052303E">
              <w:rPr>
                <w:rFonts w:ascii="Bookman Old Style" w:hAnsi="Bookman Old Style"/>
                <w:i/>
                <w:color w:val="000000"/>
                <w:sz w:val="22"/>
                <w:szCs w:val="22"/>
              </w:rPr>
              <w:t>5</w:t>
            </w:r>
          </w:p>
        </w:tc>
        <w:tc>
          <w:tcPr>
            <w:tcW w:w="1276" w:type="pct"/>
            <w:tcBorders>
              <w:top w:val="nil"/>
              <w:left w:val="nil"/>
              <w:bottom w:val="single" w:sz="4" w:space="0" w:color="auto"/>
              <w:right w:val="single" w:sz="4" w:space="0" w:color="auto"/>
            </w:tcBorders>
            <w:shd w:val="clear" w:color="auto" w:fill="auto"/>
            <w:vAlign w:val="center"/>
          </w:tcPr>
          <w:p w14:paraId="3C04ED38" w14:textId="77777777" w:rsidR="00EA2A18" w:rsidRPr="0052303E" w:rsidRDefault="00EA2A18" w:rsidP="0052303E">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24</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561</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22</w:t>
            </w:r>
            <w:r w:rsidR="0052303E" w:rsidRPr="0052303E">
              <w:rPr>
                <w:rFonts w:ascii="Bookman Old Style" w:hAnsi="Bookman Old Style"/>
                <w:i/>
                <w:color w:val="000000"/>
                <w:sz w:val="22"/>
                <w:szCs w:val="22"/>
              </w:rPr>
              <w:t>5</w:t>
            </w:r>
          </w:p>
        </w:tc>
        <w:tc>
          <w:tcPr>
            <w:tcW w:w="1276" w:type="pct"/>
            <w:tcBorders>
              <w:top w:val="nil"/>
              <w:left w:val="nil"/>
              <w:bottom w:val="single" w:sz="4" w:space="0" w:color="auto"/>
              <w:right w:val="single" w:sz="4" w:space="0" w:color="auto"/>
            </w:tcBorders>
            <w:shd w:val="clear" w:color="auto" w:fill="auto"/>
            <w:vAlign w:val="center"/>
          </w:tcPr>
          <w:p w14:paraId="240D4EB8" w14:textId="77777777" w:rsidR="00EA2A18" w:rsidRPr="0052303E" w:rsidRDefault="00EA2A18" w:rsidP="0052303E">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24</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561</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22</w:t>
            </w:r>
            <w:r w:rsidR="0052303E" w:rsidRPr="0052303E">
              <w:rPr>
                <w:rFonts w:ascii="Bookman Old Style" w:hAnsi="Bookman Old Style"/>
                <w:i/>
                <w:color w:val="000000"/>
                <w:sz w:val="22"/>
                <w:szCs w:val="22"/>
              </w:rPr>
              <w:t>5</w:t>
            </w:r>
          </w:p>
        </w:tc>
      </w:tr>
      <w:tr w:rsidR="00EA2A18" w:rsidRPr="0052303E" w14:paraId="7338EA61" w14:textId="77777777" w:rsidTr="00EA2A18">
        <w:trPr>
          <w:trHeight w:val="332"/>
        </w:trPr>
        <w:tc>
          <w:tcPr>
            <w:tcW w:w="1173" w:type="pct"/>
            <w:shd w:val="clear" w:color="auto" w:fill="auto"/>
            <w:vAlign w:val="center"/>
          </w:tcPr>
          <w:p w14:paraId="47A7F622" w14:textId="77777777" w:rsidR="00EA2A18" w:rsidRPr="0052303E" w:rsidRDefault="00D27D74" w:rsidP="00EA2A18">
            <w:pPr>
              <w:ind w:left="0"/>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Tk</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Resk</m:t>
                    </m:r>
                  </m:sub>
                </m:sSub>
              </m:oMath>
            </m:oMathPara>
          </w:p>
        </w:tc>
        <w:tc>
          <w:tcPr>
            <w:tcW w:w="1275" w:type="pct"/>
            <w:tcBorders>
              <w:top w:val="nil"/>
              <w:left w:val="single" w:sz="4" w:space="0" w:color="auto"/>
              <w:bottom w:val="single" w:sz="4" w:space="0" w:color="auto"/>
              <w:right w:val="single" w:sz="4" w:space="0" w:color="auto"/>
            </w:tcBorders>
            <w:shd w:val="clear" w:color="auto" w:fill="auto"/>
            <w:vAlign w:val="center"/>
          </w:tcPr>
          <w:p w14:paraId="119A409C" w14:textId="77777777" w:rsidR="00EA2A18" w:rsidRPr="0052303E" w:rsidRDefault="00EA2A18" w:rsidP="0052303E">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8</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284</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346</w:t>
            </w:r>
          </w:p>
        </w:tc>
        <w:tc>
          <w:tcPr>
            <w:tcW w:w="1276" w:type="pct"/>
            <w:tcBorders>
              <w:top w:val="nil"/>
              <w:left w:val="nil"/>
              <w:bottom w:val="single" w:sz="4" w:space="0" w:color="auto"/>
              <w:right w:val="single" w:sz="4" w:space="0" w:color="auto"/>
            </w:tcBorders>
            <w:shd w:val="clear" w:color="auto" w:fill="auto"/>
            <w:vAlign w:val="center"/>
          </w:tcPr>
          <w:p w14:paraId="65AD545F" w14:textId="77777777" w:rsidR="00EA2A18" w:rsidRPr="0052303E" w:rsidRDefault="00EA2A18" w:rsidP="0052303E">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8</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284</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346</w:t>
            </w:r>
          </w:p>
        </w:tc>
        <w:tc>
          <w:tcPr>
            <w:tcW w:w="1276" w:type="pct"/>
            <w:tcBorders>
              <w:top w:val="nil"/>
              <w:left w:val="nil"/>
              <w:bottom w:val="single" w:sz="4" w:space="0" w:color="auto"/>
              <w:right w:val="single" w:sz="4" w:space="0" w:color="auto"/>
            </w:tcBorders>
            <w:shd w:val="clear" w:color="auto" w:fill="auto"/>
            <w:vAlign w:val="center"/>
          </w:tcPr>
          <w:p w14:paraId="458AA717" w14:textId="77777777" w:rsidR="00EA2A18" w:rsidRPr="0052303E" w:rsidRDefault="00EA2A18" w:rsidP="0052303E">
            <w:pPr>
              <w:ind w:left="0"/>
              <w:jc w:val="center"/>
              <w:rPr>
                <w:rFonts w:ascii="Bookman Old Style" w:hAnsi="Bookman Old Style"/>
                <w:i/>
                <w:color w:val="000000"/>
                <w:sz w:val="22"/>
                <w:szCs w:val="22"/>
              </w:rPr>
            </w:pPr>
            <w:r w:rsidRPr="0052303E">
              <w:rPr>
                <w:rFonts w:ascii="Bookman Old Style" w:hAnsi="Bookman Old Style"/>
                <w:i/>
                <w:color w:val="000000"/>
                <w:sz w:val="22"/>
                <w:szCs w:val="22"/>
              </w:rPr>
              <w:t>8</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284</w:t>
            </w:r>
            <w:r w:rsidR="0052303E" w:rsidRPr="0052303E">
              <w:rPr>
                <w:rFonts w:ascii="Bookman Old Style" w:hAnsi="Bookman Old Style"/>
                <w:i/>
                <w:color w:val="000000"/>
                <w:sz w:val="22"/>
                <w:szCs w:val="22"/>
              </w:rPr>
              <w:t>.</w:t>
            </w:r>
            <w:r w:rsidRPr="0052303E">
              <w:rPr>
                <w:rFonts w:ascii="Bookman Old Style" w:hAnsi="Bookman Old Style"/>
                <w:i/>
                <w:color w:val="000000"/>
                <w:sz w:val="22"/>
                <w:szCs w:val="22"/>
              </w:rPr>
              <w:t>346</w:t>
            </w:r>
          </w:p>
        </w:tc>
      </w:tr>
    </w:tbl>
    <w:p w14:paraId="698480F3" w14:textId="77777777" w:rsidR="00D1599A" w:rsidRDefault="00D1599A" w:rsidP="00DF3CA2">
      <w:pPr>
        <w:ind w:left="0"/>
        <w:jc w:val="both"/>
        <w:rPr>
          <w:rFonts w:ascii="Bookman Old Style" w:hAnsi="Bookman Old Style" w:cs="Arial"/>
        </w:rPr>
      </w:pPr>
    </w:p>
    <w:p w14:paraId="1B53D1E8" w14:textId="77777777" w:rsidR="00045D3D" w:rsidRDefault="00045D3D" w:rsidP="0052303E">
      <w:pPr>
        <w:ind w:left="0"/>
        <w:jc w:val="both"/>
        <w:rPr>
          <w:rFonts w:ascii="Bookman Old Style" w:hAnsi="Bookman Old Style"/>
          <w:i/>
          <w:sz w:val="22"/>
        </w:rPr>
      </w:pPr>
      <w:r w:rsidRPr="002A782A">
        <w:rPr>
          <w:rFonts w:ascii="Bookman Old Style" w:hAnsi="Bookman Old Style"/>
          <w:b/>
        </w:rPr>
        <w:t xml:space="preserve">ARTÍCULO </w:t>
      </w:r>
      <w:r>
        <w:rPr>
          <w:rFonts w:ascii="Bookman Old Style" w:hAnsi="Bookman Old Style"/>
          <w:b/>
        </w:rPr>
        <w:t>2</w:t>
      </w:r>
      <w:r w:rsidRPr="002A782A">
        <w:rPr>
          <w:rFonts w:ascii="Bookman Old Style" w:hAnsi="Bookman Old Style"/>
          <w:b/>
        </w:rPr>
        <w:t>.</w:t>
      </w:r>
      <w:r w:rsidR="0052303E">
        <w:rPr>
          <w:rFonts w:ascii="Bookman Old Style" w:hAnsi="Bookman Old Style"/>
          <w:i/>
          <w:sz w:val="22"/>
        </w:rPr>
        <w:t xml:space="preserve"> </w:t>
      </w:r>
      <w:r w:rsidR="0052303E" w:rsidRPr="00D1599A">
        <w:rPr>
          <w:rFonts w:ascii="Bookman Old Style" w:eastAsia="Calibri" w:hAnsi="Bookman Old Style" w:cs="Century Gothic"/>
          <w:lang w:eastAsia="es-CO"/>
        </w:rPr>
        <w:t xml:space="preserve">Modificar el Artículo </w:t>
      </w:r>
      <w:r w:rsidR="0052303E">
        <w:rPr>
          <w:rFonts w:ascii="Bookman Old Style" w:eastAsia="Calibri" w:hAnsi="Bookman Old Style" w:cs="Century Gothic"/>
          <w:lang w:eastAsia="es-CO"/>
        </w:rPr>
        <w:t>4</w:t>
      </w:r>
      <w:r w:rsidR="0052303E" w:rsidRPr="00D1599A">
        <w:rPr>
          <w:rFonts w:ascii="Bookman Old Style" w:eastAsia="Calibri" w:hAnsi="Bookman Old Style" w:cs="Century Gothic"/>
          <w:lang w:eastAsia="es-CO"/>
        </w:rPr>
        <w:t xml:space="preserve"> “</w:t>
      </w:r>
      <w:r w:rsidR="0052303E" w:rsidRPr="0052303E">
        <w:rPr>
          <w:rFonts w:ascii="Bookman Old Style" w:hAnsi="Bookman Old Style" w:cs="Arial"/>
        </w:rPr>
        <w:t>Gastos de Administración, Operación y Mantenimiento - AOM</w:t>
      </w:r>
      <w:r w:rsidR="0052303E" w:rsidRPr="00D1599A">
        <w:rPr>
          <w:rFonts w:ascii="Bookman Old Style" w:hAnsi="Bookman Old Style" w:cs="Arial"/>
        </w:rPr>
        <w:t>” de la Re</w:t>
      </w:r>
      <w:r w:rsidR="0052303E">
        <w:rPr>
          <w:rFonts w:ascii="Bookman Old Style" w:hAnsi="Bookman Old Style" w:cs="Arial"/>
        </w:rPr>
        <w:t>solución CREG 027</w:t>
      </w:r>
      <w:r w:rsidR="0052303E" w:rsidRPr="00D1599A">
        <w:rPr>
          <w:rFonts w:ascii="Bookman Old Style" w:hAnsi="Bookman Old Style" w:cs="Arial"/>
        </w:rPr>
        <w:t xml:space="preserve"> de 201</w:t>
      </w:r>
      <w:r w:rsidR="0052303E">
        <w:rPr>
          <w:rFonts w:ascii="Bookman Old Style" w:hAnsi="Bookman Old Style" w:cs="Arial"/>
        </w:rPr>
        <w:t>8</w:t>
      </w:r>
      <w:r w:rsidR="0052303E" w:rsidRPr="00D1599A">
        <w:rPr>
          <w:rFonts w:ascii="Bookman Old Style" w:hAnsi="Bookman Old Style" w:cs="Arial"/>
        </w:rPr>
        <w:t>, el cual quedará así:</w:t>
      </w:r>
    </w:p>
    <w:p w14:paraId="79A86CC5" w14:textId="77777777" w:rsidR="0052303E" w:rsidRDefault="0052303E" w:rsidP="00045D3D">
      <w:pPr>
        <w:jc w:val="both"/>
        <w:rPr>
          <w:rFonts w:ascii="Bookman Old Style" w:hAnsi="Bookman Old Style"/>
          <w:i/>
          <w:sz w:val="22"/>
        </w:rPr>
      </w:pPr>
    </w:p>
    <w:p w14:paraId="4D61CA4F" w14:textId="77777777" w:rsidR="0052303E" w:rsidRPr="00222A6B" w:rsidRDefault="005D506E" w:rsidP="0052303E">
      <w:pPr>
        <w:spacing w:after="240"/>
        <w:ind w:left="284"/>
        <w:jc w:val="both"/>
        <w:rPr>
          <w:rFonts w:ascii="Bookman Old Style" w:hAnsi="Bookman Old Style" w:cs="Arial"/>
          <w:bCs/>
          <w:i/>
          <w:sz w:val="22"/>
          <w:szCs w:val="22"/>
        </w:rPr>
      </w:pPr>
      <w:r w:rsidRPr="00222A6B">
        <w:rPr>
          <w:rFonts w:ascii="Bookman Old Style" w:hAnsi="Bookman Old Style" w:cs="Arial"/>
          <w:b/>
          <w:i/>
          <w:sz w:val="22"/>
          <w:szCs w:val="22"/>
        </w:rPr>
        <w:t>“</w:t>
      </w:r>
      <w:r w:rsidR="0052303E" w:rsidRPr="002F29F7">
        <w:rPr>
          <w:rFonts w:ascii="Bookman Old Style" w:hAnsi="Bookman Old Style" w:cs="Arial"/>
          <w:b/>
          <w:i/>
          <w:sz w:val="22"/>
          <w:szCs w:val="22"/>
        </w:rPr>
        <w:t>ARTÍCULO 4. Gastos de Administración, Operación y Mantenimiento - AOM.</w:t>
      </w:r>
      <w:r w:rsidR="0052303E" w:rsidRPr="002F29F7">
        <w:rPr>
          <w:rFonts w:ascii="Bookman Old Style" w:hAnsi="Bookman Old Style" w:cs="Arial"/>
          <w:bCs/>
          <w:i/>
          <w:sz w:val="22"/>
          <w:szCs w:val="22"/>
        </w:rPr>
        <w:t xml:space="preserve"> El porcentaje eficiente de AOM establecido para el mercado existente de distribución es del 10,9</w:t>
      </w:r>
      <w:r w:rsidR="002F29F7" w:rsidRPr="002F29F7">
        <w:rPr>
          <w:rFonts w:ascii="Bookman Old Style" w:hAnsi="Bookman Old Style" w:cs="Arial"/>
          <w:bCs/>
          <w:i/>
          <w:sz w:val="22"/>
          <w:szCs w:val="22"/>
        </w:rPr>
        <w:t>1</w:t>
      </w:r>
      <w:r w:rsidR="0052303E" w:rsidRPr="002F29F7">
        <w:rPr>
          <w:rFonts w:ascii="Bookman Old Style" w:hAnsi="Bookman Old Style" w:cs="Arial"/>
          <w:bCs/>
          <w:i/>
          <w:sz w:val="22"/>
          <w:szCs w:val="22"/>
        </w:rPr>
        <w:t xml:space="preserve">%, del cual se obtiene el </w:t>
      </w:r>
      <w:r w:rsidR="0052303E" w:rsidRPr="002F29F7">
        <w:rPr>
          <w:rFonts w:ascii="Bookman Old Style" w:hAnsi="Bookman Old Style"/>
          <w:i/>
          <w:sz w:val="22"/>
          <w:szCs w:val="22"/>
          <w:lang w:val="es-ES_tradnl" w:eastAsia="es-CO"/>
        </w:rPr>
        <w:t>monto eficiente de gastos de AOM de $</w:t>
      </w:r>
      <w:r w:rsidR="0052303E" w:rsidRPr="002F29F7">
        <w:rPr>
          <w:rFonts w:ascii="Calibri" w:hAnsi="Calibri"/>
          <w:i/>
          <w:color w:val="000000"/>
          <w:sz w:val="22"/>
          <w:szCs w:val="22"/>
        </w:rPr>
        <w:t xml:space="preserve"> </w:t>
      </w:r>
      <w:r w:rsidR="0052303E" w:rsidRPr="002F29F7">
        <w:rPr>
          <w:rFonts w:ascii="Bookman Old Style" w:hAnsi="Bookman Old Style"/>
          <w:i/>
          <w:color w:val="000000"/>
          <w:sz w:val="22"/>
          <w:szCs w:val="22"/>
          <w:lang w:val="es-CO" w:eastAsia="es-CO"/>
        </w:rPr>
        <w:t>4.</w:t>
      </w:r>
      <w:r w:rsidR="002F29F7" w:rsidRPr="002F29F7">
        <w:rPr>
          <w:rFonts w:ascii="Bookman Old Style" w:hAnsi="Bookman Old Style"/>
          <w:i/>
          <w:color w:val="000000"/>
          <w:sz w:val="22"/>
          <w:szCs w:val="22"/>
          <w:lang w:val="es-CO" w:eastAsia="es-CO"/>
        </w:rPr>
        <w:t>682</w:t>
      </w:r>
      <w:r w:rsidR="0052303E" w:rsidRPr="002F29F7">
        <w:rPr>
          <w:rFonts w:ascii="Bookman Old Style" w:hAnsi="Bookman Old Style"/>
          <w:i/>
          <w:color w:val="000000"/>
          <w:sz w:val="22"/>
          <w:szCs w:val="22"/>
          <w:lang w:val="es-CO" w:eastAsia="es-CO"/>
        </w:rPr>
        <w:t>.1</w:t>
      </w:r>
      <w:r w:rsidR="002F29F7" w:rsidRPr="002F29F7">
        <w:rPr>
          <w:rFonts w:ascii="Bookman Old Style" w:hAnsi="Bookman Old Style"/>
          <w:i/>
          <w:color w:val="000000"/>
          <w:sz w:val="22"/>
          <w:szCs w:val="22"/>
          <w:lang w:val="es-CO" w:eastAsia="es-CO"/>
        </w:rPr>
        <w:t>08</w:t>
      </w:r>
      <w:r w:rsidR="0052303E" w:rsidRPr="002F29F7">
        <w:rPr>
          <w:rFonts w:ascii="Bookman Old Style" w:hAnsi="Bookman Old Style"/>
          <w:i/>
          <w:color w:val="000000"/>
          <w:sz w:val="22"/>
          <w:szCs w:val="22"/>
          <w:lang w:val="es-CO" w:eastAsia="es-CO"/>
        </w:rPr>
        <w:t>.</w:t>
      </w:r>
      <w:r w:rsidR="002F29F7" w:rsidRPr="002F29F7">
        <w:rPr>
          <w:rFonts w:ascii="Bookman Old Style" w:hAnsi="Bookman Old Style"/>
          <w:i/>
          <w:color w:val="000000"/>
          <w:sz w:val="22"/>
          <w:szCs w:val="22"/>
          <w:lang w:val="es-CO" w:eastAsia="es-CO"/>
        </w:rPr>
        <w:t>972</w:t>
      </w:r>
      <w:r w:rsidR="0052303E" w:rsidRPr="002F29F7">
        <w:rPr>
          <w:rFonts w:ascii="Bookman Old Style" w:hAnsi="Bookman Old Style"/>
          <w:i/>
          <w:sz w:val="22"/>
          <w:szCs w:val="22"/>
          <w:lang w:val="es-ES_tradnl" w:eastAsia="es-CO"/>
        </w:rPr>
        <w:t>, que se</w:t>
      </w:r>
      <w:r w:rsidR="0052303E" w:rsidRPr="00222A6B">
        <w:rPr>
          <w:rFonts w:ascii="Bookman Old Style" w:hAnsi="Bookman Old Style"/>
          <w:i/>
          <w:sz w:val="22"/>
          <w:szCs w:val="22"/>
          <w:lang w:val="es-ES_tradnl" w:eastAsia="es-CO"/>
        </w:rPr>
        <w:t xml:space="preserve"> considerará en los cálculos de los cargos transitorios de distribución.</w:t>
      </w:r>
    </w:p>
    <w:p w14:paraId="3B9B2592" w14:textId="77777777" w:rsidR="0052303E" w:rsidRPr="00222A6B" w:rsidRDefault="0052303E" w:rsidP="0052303E">
      <w:pPr>
        <w:adjustRightInd w:val="0"/>
        <w:ind w:left="284" w:right="20"/>
        <w:jc w:val="both"/>
        <w:rPr>
          <w:rFonts w:ascii="Bookman Old Style" w:hAnsi="Bookman Old Style" w:cs="Arial"/>
          <w:i/>
          <w:sz w:val="22"/>
          <w:szCs w:val="22"/>
        </w:rPr>
      </w:pPr>
      <w:r w:rsidRPr="00222A6B">
        <w:rPr>
          <w:rFonts w:ascii="Bookman Old Style" w:hAnsi="Bookman Old Style" w:cs="Arial"/>
          <w:i/>
          <w:sz w:val="22"/>
          <w:szCs w:val="22"/>
        </w:rPr>
        <w:t>Aplicando la metodología contenida en la Resolución CREG 202 de 2013 y sus modificaciones y adiciones, se calcularon conforme a las formulas establecidas en los numerales 9.1.1.1. y 9.2.1.1. del artículo 9 para la componente que remunera los gastos de AOM, aplicable a usuarios de uso residencial y a usuarios diferentes a los de uso residencial, las siguientes variables principales:</w:t>
      </w:r>
    </w:p>
    <w:p w14:paraId="49FD28F5" w14:textId="77777777" w:rsidR="0052303E" w:rsidRPr="00222A6B" w:rsidRDefault="0052303E" w:rsidP="0052303E">
      <w:pPr>
        <w:adjustRightInd w:val="0"/>
        <w:ind w:left="0" w:right="20"/>
        <w:jc w:val="both"/>
        <w:rPr>
          <w:b/>
          <w:i/>
          <w:sz w:val="22"/>
          <w:szCs w:val="22"/>
        </w:rPr>
      </w:pPr>
    </w:p>
    <w:tbl>
      <w:tblPr>
        <w:tblW w:w="485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2314"/>
        <w:gridCol w:w="2314"/>
        <w:gridCol w:w="2314"/>
      </w:tblGrid>
      <w:tr w:rsidR="0052303E" w:rsidRPr="00222A6B" w14:paraId="2C25FBCD" w14:textId="77777777" w:rsidTr="0052303E">
        <w:trPr>
          <w:tblHeader/>
        </w:trPr>
        <w:tc>
          <w:tcPr>
            <w:tcW w:w="5000" w:type="pct"/>
            <w:gridSpan w:val="4"/>
            <w:shd w:val="clear" w:color="auto" w:fill="D9D9D9"/>
            <w:vAlign w:val="center"/>
          </w:tcPr>
          <w:p w14:paraId="10190D75"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Usuarios de Uso Residencial</w:t>
            </w:r>
          </w:p>
        </w:tc>
      </w:tr>
      <w:tr w:rsidR="0052303E" w:rsidRPr="00222A6B" w14:paraId="35509EF5" w14:textId="77777777" w:rsidTr="0052303E">
        <w:trPr>
          <w:tblHeader/>
        </w:trPr>
        <w:tc>
          <w:tcPr>
            <w:tcW w:w="1172" w:type="pct"/>
            <w:vMerge w:val="restart"/>
            <w:shd w:val="clear" w:color="auto" w:fill="D9D9D9"/>
            <w:vAlign w:val="center"/>
          </w:tcPr>
          <w:p w14:paraId="4839A716"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Variable</w:t>
            </w:r>
          </w:p>
        </w:tc>
        <w:tc>
          <w:tcPr>
            <w:tcW w:w="3828" w:type="pct"/>
            <w:gridSpan w:val="3"/>
            <w:shd w:val="clear" w:color="auto" w:fill="D9D9D9"/>
            <w:vAlign w:val="center"/>
          </w:tcPr>
          <w:p w14:paraId="66CBD8FF"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Valor ($31 Dic 2014)</w:t>
            </w:r>
          </w:p>
        </w:tc>
      </w:tr>
      <w:tr w:rsidR="0052303E" w:rsidRPr="00222A6B" w14:paraId="602CB7C5" w14:textId="77777777" w:rsidTr="0052303E">
        <w:trPr>
          <w:trHeight w:val="119"/>
          <w:tblHeader/>
        </w:trPr>
        <w:tc>
          <w:tcPr>
            <w:tcW w:w="1172" w:type="pct"/>
            <w:vMerge/>
            <w:shd w:val="clear" w:color="auto" w:fill="D9D9D9"/>
            <w:vAlign w:val="center"/>
          </w:tcPr>
          <w:p w14:paraId="70EEDB31" w14:textId="77777777" w:rsidR="0052303E" w:rsidRPr="00222A6B" w:rsidRDefault="0052303E" w:rsidP="0088380D">
            <w:pPr>
              <w:ind w:left="0"/>
              <w:jc w:val="center"/>
              <w:rPr>
                <w:rFonts w:ascii="Bookman Old Style" w:hAnsi="Bookman Old Style"/>
                <w:i/>
                <w:sz w:val="22"/>
                <w:szCs w:val="22"/>
              </w:rPr>
            </w:pPr>
          </w:p>
        </w:tc>
        <w:tc>
          <w:tcPr>
            <w:tcW w:w="1276" w:type="pct"/>
            <w:shd w:val="clear" w:color="auto" w:fill="D9D9D9"/>
            <w:vAlign w:val="center"/>
          </w:tcPr>
          <w:p w14:paraId="165BDDDD"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2017</w:t>
            </w:r>
          </w:p>
        </w:tc>
        <w:tc>
          <w:tcPr>
            <w:tcW w:w="1276" w:type="pct"/>
            <w:shd w:val="clear" w:color="auto" w:fill="D9D9D9"/>
            <w:vAlign w:val="center"/>
          </w:tcPr>
          <w:p w14:paraId="5D5B32E3"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2018</w:t>
            </w:r>
          </w:p>
        </w:tc>
        <w:tc>
          <w:tcPr>
            <w:tcW w:w="1276" w:type="pct"/>
            <w:shd w:val="clear" w:color="auto" w:fill="D9D9D9"/>
            <w:vAlign w:val="center"/>
          </w:tcPr>
          <w:p w14:paraId="0EBC12DF"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2019 – 2020 - 2021</w:t>
            </w:r>
          </w:p>
        </w:tc>
      </w:tr>
      <w:tr w:rsidR="005D506E" w:rsidRPr="00222A6B" w14:paraId="25E30DB8" w14:textId="77777777" w:rsidTr="0052303E">
        <w:trPr>
          <w:trHeight w:val="378"/>
        </w:trPr>
        <w:tc>
          <w:tcPr>
            <w:tcW w:w="1172" w:type="pct"/>
            <w:shd w:val="clear" w:color="auto" w:fill="auto"/>
            <w:vAlign w:val="center"/>
          </w:tcPr>
          <w:p w14:paraId="2E92FAB3" w14:textId="77777777" w:rsidR="005D506E" w:rsidRPr="00222A6B" w:rsidRDefault="00D27D74" w:rsidP="005D506E">
            <w:pPr>
              <w:ind w:left="0"/>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AOM</m:t>
                    </m:r>
                  </m:e>
                  <m:sub>
                    <m:r>
                      <w:rPr>
                        <w:rFonts w:ascii="Cambria Math" w:hAnsi="Cambria Math"/>
                        <w:sz w:val="22"/>
                        <w:szCs w:val="22"/>
                      </w:rPr>
                      <m:t>RPk</m:t>
                    </m:r>
                  </m:sub>
                </m:sSub>
              </m:oMath>
            </m:oMathPara>
          </w:p>
        </w:tc>
        <w:tc>
          <w:tcPr>
            <w:tcW w:w="1276" w:type="pct"/>
            <w:tcBorders>
              <w:top w:val="single" w:sz="4" w:space="0" w:color="auto"/>
              <w:left w:val="single" w:sz="4" w:space="0" w:color="auto"/>
              <w:bottom w:val="single" w:sz="4" w:space="0" w:color="auto"/>
              <w:right w:val="single" w:sz="4" w:space="0" w:color="auto"/>
            </w:tcBorders>
            <w:shd w:val="clear" w:color="auto" w:fill="auto"/>
            <w:vAlign w:val="center"/>
          </w:tcPr>
          <w:p w14:paraId="57A881B6" w14:textId="77777777" w:rsidR="005D506E" w:rsidRPr="00222A6B" w:rsidRDefault="005D506E" w:rsidP="005D506E">
            <w:pPr>
              <w:ind w:left="708" w:hanging="675"/>
              <w:jc w:val="center"/>
              <w:rPr>
                <w:rFonts w:ascii="Bookman Old Style" w:hAnsi="Bookman Old Style"/>
                <w:i/>
                <w:color w:val="000000"/>
                <w:sz w:val="22"/>
                <w:szCs w:val="22"/>
                <w:lang w:val="es-CO" w:eastAsia="es-CO"/>
              </w:rPr>
            </w:pPr>
            <w:r w:rsidRPr="00222A6B">
              <w:rPr>
                <w:rFonts w:ascii="Bookman Old Style" w:hAnsi="Bookman Old Style"/>
                <w:i/>
                <w:color w:val="000000"/>
                <w:sz w:val="22"/>
                <w:szCs w:val="22"/>
              </w:rPr>
              <w:t>1.150.360.068</w:t>
            </w:r>
          </w:p>
        </w:tc>
        <w:tc>
          <w:tcPr>
            <w:tcW w:w="1276" w:type="pct"/>
            <w:tcBorders>
              <w:top w:val="single" w:sz="4" w:space="0" w:color="auto"/>
              <w:left w:val="nil"/>
              <w:bottom w:val="single" w:sz="4" w:space="0" w:color="auto"/>
              <w:right w:val="single" w:sz="4" w:space="0" w:color="auto"/>
            </w:tcBorders>
            <w:shd w:val="clear" w:color="auto" w:fill="auto"/>
            <w:vAlign w:val="center"/>
          </w:tcPr>
          <w:p w14:paraId="76851767"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1.150.360.068</w:t>
            </w:r>
          </w:p>
        </w:tc>
        <w:tc>
          <w:tcPr>
            <w:tcW w:w="1276" w:type="pct"/>
            <w:tcBorders>
              <w:top w:val="single" w:sz="4" w:space="0" w:color="auto"/>
              <w:left w:val="nil"/>
              <w:bottom w:val="single" w:sz="4" w:space="0" w:color="auto"/>
              <w:right w:val="single" w:sz="4" w:space="0" w:color="auto"/>
            </w:tcBorders>
            <w:shd w:val="clear" w:color="auto" w:fill="auto"/>
            <w:vAlign w:val="center"/>
          </w:tcPr>
          <w:p w14:paraId="6ADFC705"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1.150.360.068</w:t>
            </w:r>
          </w:p>
        </w:tc>
      </w:tr>
      <w:tr w:rsidR="005D506E" w:rsidRPr="00222A6B" w14:paraId="240D14A3" w14:textId="77777777" w:rsidTr="0052303E">
        <w:trPr>
          <w:trHeight w:val="378"/>
        </w:trPr>
        <w:tc>
          <w:tcPr>
            <w:tcW w:w="1172" w:type="pct"/>
            <w:shd w:val="clear" w:color="auto" w:fill="auto"/>
            <w:vAlign w:val="center"/>
          </w:tcPr>
          <w:p w14:paraId="12920BE9" w14:textId="77777777" w:rsidR="005D506E" w:rsidRPr="00222A6B" w:rsidRDefault="00D27D74" w:rsidP="005D506E">
            <w:pPr>
              <w:ind w:left="0"/>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AOM</m:t>
                    </m:r>
                  </m:e>
                  <m:sub>
                    <m:r>
                      <w:rPr>
                        <w:rFonts w:ascii="Cambria Math" w:hAnsi="Cambria Math"/>
                        <w:sz w:val="22"/>
                        <w:szCs w:val="22"/>
                      </w:rPr>
                      <m:t>RSk</m:t>
                    </m:r>
                  </m:sub>
                </m:sSub>
              </m:oMath>
            </m:oMathPara>
          </w:p>
        </w:tc>
        <w:tc>
          <w:tcPr>
            <w:tcW w:w="1276" w:type="pct"/>
            <w:tcBorders>
              <w:top w:val="nil"/>
              <w:left w:val="single" w:sz="4" w:space="0" w:color="auto"/>
              <w:bottom w:val="single" w:sz="4" w:space="0" w:color="auto"/>
              <w:right w:val="single" w:sz="4" w:space="0" w:color="auto"/>
            </w:tcBorders>
            <w:shd w:val="clear" w:color="auto" w:fill="auto"/>
            <w:vAlign w:val="center"/>
          </w:tcPr>
          <w:p w14:paraId="07DFA8BD"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3.803.251.526</w:t>
            </w:r>
          </w:p>
        </w:tc>
        <w:tc>
          <w:tcPr>
            <w:tcW w:w="1276" w:type="pct"/>
            <w:tcBorders>
              <w:top w:val="nil"/>
              <w:left w:val="nil"/>
              <w:bottom w:val="single" w:sz="4" w:space="0" w:color="auto"/>
              <w:right w:val="single" w:sz="4" w:space="0" w:color="auto"/>
            </w:tcBorders>
            <w:shd w:val="clear" w:color="auto" w:fill="auto"/>
            <w:vAlign w:val="center"/>
          </w:tcPr>
          <w:p w14:paraId="2A590BE4"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3.803.251.526</w:t>
            </w:r>
          </w:p>
        </w:tc>
        <w:tc>
          <w:tcPr>
            <w:tcW w:w="1276" w:type="pct"/>
            <w:tcBorders>
              <w:top w:val="nil"/>
              <w:left w:val="nil"/>
              <w:bottom w:val="single" w:sz="4" w:space="0" w:color="auto"/>
              <w:right w:val="single" w:sz="4" w:space="0" w:color="auto"/>
            </w:tcBorders>
            <w:shd w:val="clear" w:color="auto" w:fill="auto"/>
            <w:vAlign w:val="center"/>
          </w:tcPr>
          <w:p w14:paraId="3529EA44"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3.803.251.526</w:t>
            </w:r>
          </w:p>
        </w:tc>
      </w:tr>
      <w:tr w:rsidR="005D506E" w:rsidRPr="00222A6B" w14:paraId="2F44DFA9" w14:textId="77777777" w:rsidTr="0052303E">
        <w:trPr>
          <w:trHeight w:val="378"/>
        </w:trPr>
        <w:tc>
          <w:tcPr>
            <w:tcW w:w="1172" w:type="pct"/>
            <w:shd w:val="clear" w:color="auto" w:fill="auto"/>
            <w:vAlign w:val="center"/>
          </w:tcPr>
          <w:p w14:paraId="24DD7434" w14:textId="77777777" w:rsidR="005D506E" w:rsidRPr="00222A6B" w:rsidRDefault="00D27D74" w:rsidP="005D506E">
            <w:pPr>
              <w:ind w:left="0"/>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Tk</m:t>
                    </m:r>
                  </m:sub>
                </m:sSub>
              </m:oMath>
            </m:oMathPara>
          </w:p>
        </w:tc>
        <w:tc>
          <w:tcPr>
            <w:tcW w:w="1276" w:type="pct"/>
            <w:tcBorders>
              <w:top w:val="nil"/>
              <w:left w:val="single" w:sz="4" w:space="0" w:color="auto"/>
              <w:bottom w:val="single" w:sz="4" w:space="0" w:color="auto"/>
              <w:right w:val="single" w:sz="4" w:space="0" w:color="auto"/>
            </w:tcBorders>
            <w:shd w:val="clear" w:color="auto" w:fill="auto"/>
            <w:vAlign w:val="center"/>
          </w:tcPr>
          <w:p w14:paraId="5EBFB133"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24.561.225</w:t>
            </w:r>
          </w:p>
        </w:tc>
        <w:tc>
          <w:tcPr>
            <w:tcW w:w="1276" w:type="pct"/>
            <w:tcBorders>
              <w:top w:val="nil"/>
              <w:left w:val="nil"/>
              <w:bottom w:val="single" w:sz="4" w:space="0" w:color="auto"/>
              <w:right w:val="single" w:sz="4" w:space="0" w:color="auto"/>
            </w:tcBorders>
            <w:shd w:val="clear" w:color="auto" w:fill="auto"/>
            <w:vAlign w:val="center"/>
          </w:tcPr>
          <w:p w14:paraId="7AFDE836"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24.561.225</w:t>
            </w:r>
          </w:p>
        </w:tc>
        <w:tc>
          <w:tcPr>
            <w:tcW w:w="1276" w:type="pct"/>
            <w:tcBorders>
              <w:top w:val="nil"/>
              <w:left w:val="nil"/>
              <w:bottom w:val="single" w:sz="4" w:space="0" w:color="auto"/>
              <w:right w:val="single" w:sz="4" w:space="0" w:color="auto"/>
            </w:tcBorders>
            <w:shd w:val="clear" w:color="auto" w:fill="auto"/>
            <w:vAlign w:val="center"/>
          </w:tcPr>
          <w:p w14:paraId="79C25507"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24.561.225</w:t>
            </w:r>
          </w:p>
        </w:tc>
      </w:tr>
      <w:tr w:rsidR="005D506E" w:rsidRPr="00222A6B" w14:paraId="3348CED4" w14:textId="77777777" w:rsidTr="0052303E">
        <w:trPr>
          <w:trHeight w:val="378"/>
        </w:trPr>
        <w:tc>
          <w:tcPr>
            <w:tcW w:w="1172" w:type="pct"/>
            <w:shd w:val="clear" w:color="auto" w:fill="auto"/>
            <w:vAlign w:val="center"/>
          </w:tcPr>
          <w:p w14:paraId="00452273" w14:textId="77777777" w:rsidR="005D506E" w:rsidRPr="00222A6B" w:rsidRDefault="00D27D74" w:rsidP="005D506E">
            <w:pPr>
              <w:ind w:left="0"/>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NoResRSk</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Resk</m:t>
                    </m:r>
                  </m:sub>
                </m:sSub>
              </m:oMath>
            </m:oMathPara>
          </w:p>
        </w:tc>
        <w:tc>
          <w:tcPr>
            <w:tcW w:w="1276" w:type="pct"/>
            <w:tcBorders>
              <w:top w:val="nil"/>
              <w:left w:val="single" w:sz="4" w:space="0" w:color="auto"/>
              <w:bottom w:val="single" w:sz="4" w:space="0" w:color="auto"/>
              <w:right w:val="single" w:sz="4" w:space="0" w:color="auto"/>
            </w:tcBorders>
            <w:shd w:val="clear" w:color="auto" w:fill="auto"/>
            <w:vAlign w:val="center"/>
          </w:tcPr>
          <w:p w14:paraId="77475743"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20.116.532</w:t>
            </w:r>
          </w:p>
        </w:tc>
        <w:tc>
          <w:tcPr>
            <w:tcW w:w="1276" w:type="pct"/>
            <w:tcBorders>
              <w:top w:val="nil"/>
              <w:left w:val="nil"/>
              <w:bottom w:val="single" w:sz="4" w:space="0" w:color="auto"/>
              <w:right w:val="single" w:sz="4" w:space="0" w:color="auto"/>
            </w:tcBorders>
            <w:shd w:val="clear" w:color="auto" w:fill="auto"/>
            <w:vAlign w:val="center"/>
          </w:tcPr>
          <w:p w14:paraId="06EB9C1B"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20.116.532</w:t>
            </w:r>
          </w:p>
        </w:tc>
        <w:tc>
          <w:tcPr>
            <w:tcW w:w="1276" w:type="pct"/>
            <w:tcBorders>
              <w:top w:val="nil"/>
              <w:left w:val="nil"/>
              <w:bottom w:val="single" w:sz="4" w:space="0" w:color="auto"/>
              <w:right w:val="single" w:sz="4" w:space="0" w:color="auto"/>
            </w:tcBorders>
            <w:shd w:val="clear" w:color="auto" w:fill="auto"/>
            <w:vAlign w:val="center"/>
          </w:tcPr>
          <w:p w14:paraId="17D075ED" w14:textId="77777777" w:rsidR="005D506E" w:rsidRPr="00222A6B" w:rsidRDefault="005D506E" w:rsidP="005D506E">
            <w:pPr>
              <w:ind w:left="708" w:hanging="675"/>
              <w:jc w:val="center"/>
              <w:rPr>
                <w:rFonts w:ascii="Bookman Old Style" w:hAnsi="Bookman Old Style"/>
                <w:i/>
                <w:color w:val="000000"/>
                <w:sz w:val="22"/>
                <w:szCs w:val="22"/>
              </w:rPr>
            </w:pPr>
            <w:r w:rsidRPr="00222A6B">
              <w:rPr>
                <w:rFonts w:ascii="Bookman Old Style" w:hAnsi="Bookman Old Style"/>
                <w:i/>
                <w:color w:val="000000"/>
                <w:sz w:val="22"/>
                <w:szCs w:val="22"/>
              </w:rPr>
              <w:t>20.116.532</w:t>
            </w:r>
          </w:p>
        </w:tc>
      </w:tr>
    </w:tbl>
    <w:p w14:paraId="0B336AAB" w14:textId="77777777" w:rsidR="0052303E" w:rsidRPr="00222A6B" w:rsidRDefault="0052303E" w:rsidP="0052303E">
      <w:pPr>
        <w:ind w:left="0"/>
        <w:rPr>
          <w:i/>
          <w:sz w:val="22"/>
          <w:szCs w:val="22"/>
        </w:rPr>
      </w:pPr>
    </w:p>
    <w:tbl>
      <w:tblPr>
        <w:tblW w:w="485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2314"/>
        <w:gridCol w:w="2314"/>
        <w:gridCol w:w="2314"/>
      </w:tblGrid>
      <w:tr w:rsidR="0052303E" w:rsidRPr="00222A6B" w14:paraId="7F7DBAB0" w14:textId="77777777" w:rsidTr="0052303E">
        <w:trPr>
          <w:tblHeader/>
        </w:trPr>
        <w:tc>
          <w:tcPr>
            <w:tcW w:w="5000" w:type="pct"/>
            <w:gridSpan w:val="4"/>
            <w:shd w:val="clear" w:color="auto" w:fill="D9D9D9"/>
            <w:vAlign w:val="center"/>
          </w:tcPr>
          <w:p w14:paraId="4E8FD8D1"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Usuarios Diferentes a los de Uso Residencial</w:t>
            </w:r>
          </w:p>
        </w:tc>
      </w:tr>
      <w:tr w:rsidR="0052303E" w:rsidRPr="00222A6B" w14:paraId="17566C7A" w14:textId="77777777" w:rsidTr="0052303E">
        <w:trPr>
          <w:tblHeader/>
        </w:trPr>
        <w:tc>
          <w:tcPr>
            <w:tcW w:w="1172" w:type="pct"/>
            <w:vMerge w:val="restart"/>
            <w:shd w:val="clear" w:color="auto" w:fill="D9D9D9"/>
            <w:vAlign w:val="center"/>
          </w:tcPr>
          <w:p w14:paraId="1570004E"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Variable</w:t>
            </w:r>
          </w:p>
        </w:tc>
        <w:tc>
          <w:tcPr>
            <w:tcW w:w="3828" w:type="pct"/>
            <w:gridSpan w:val="3"/>
            <w:shd w:val="clear" w:color="auto" w:fill="D9D9D9"/>
            <w:vAlign w:val="center"/>
          </w:tcPr>
          <w:p w14:paraId="04C86850"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Valor ($31 Dic 2014)</w:t>
            </w:r>
          </w:p>
        </w:tc>
      </w:tr>
      <w:tr w:rsidR="0052303E" w:rsidRPr="00222A6B" w14:paraId="686AD0D3" w14:textId="77777777" w:rsidTr="0052303E">
        <w:trPr>
          <w:trHeight w:val="119"/>
          <w:tblHeader/>
        </w:trPr>
        <w:tc>
          <w:tcPr>
            <w:tcW w:w="1172" w:type="pct"/>
            <w:vMerge/>
            <w:shd w:val="clear" w:color="auto" w:fill="D9D9D9"/>
            <w:vAlign w:val="center"/>
          </w:tcPr>
          <w:p w14:paraId="698C4CA0" w14:textId="77777777" w:rsidR="0052303E" w:rsidRPr="00222A6B" w:rsidRDefault="0052303E" w:rsidP="0088380D">
            <w:pPr>
              <w:ind w:left="0"/>
              <w:jc w:val="center"/>
              <w:rPr>
                <w:rFonts w:ascii="Bookman Old Style" w:hAnsi="Bookman Old Style"/>
                <w:i/>
                <w:sz w:val="22"/>
                <w:szCs w:val="22"/>
              </w:rPr>
            </w:pPr>
          </w:p>
        </w:tc>
        <w:tc>
          <w:tcPr>
            <w:tcW w:w="1276" w:type="pct"/>
            <w:shd w:val="clear" w:color="auto" w:fill="D9D9D9"/>
            <w:vAlign w:val="center"/>
          </w:tcPr>
          <w:p w14:paraId="46647AD4"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2017</w:t>
            </w:r>
          </w:p>
        </w:tc>
        <w:tc>
          <w:tcPr>
            <w:tcW w:w="1276" w:type="pct"/>
            <w:shd w:val="clear" w:color="auto" w:fill="D9D9D9"/>
            <w:vAlign w:val="center"/>
          </w:tcPr>
          <w:p w14:paraId="17C8F5A7"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2018</w:t>
            </w:r>
          </w:p>
        </w:tc>
        <w:tc>
          <w:tcPr>
            <w:tcW w:w="1276" w:type="pct"/>
            <w:shd w:val="clear" w:color="auto" w:fill="D9D9D9"/>
            <w:vAlign w:val="center"/>
          </w:tcPr>
          <w:p w14:paraId="1384CAF5" w14:textId="77777777" w:rsidR="0052303E" w:rsidRPr="00222A6B" w:rsidRDefault="0052303E" w:rsidP="0088380D">
            <w:pPr>
              <w:ind w:left="0"/>
              <w:jc w:val="center"/>
              <w:rPr>
                <w:rFonts w:ascii="Bookman Old Style" w:hAnsi="Bookman Old Style"/>
                <w:b/>
                <w:i/>
                <w:sz w:val="22"/>
                <w:szCs w:val="22"/>
              </w:rPr>
            </w:pPr>
            <w:r w:rsidRPr="00222A6B">
              <w:rPr>
                <w:rFonts w:ascii="Bookman Old Style" w:hAnsi="Bookman Old Style"/>
                <w:b/>
                <w:i/>
                <w:sz w:val="22"/>
                <w:szCs w:val="22"/>
              </w:rPr>
              <w:t>2019 – 2020 - 2021</w:t>
            </w:r>
          </w:p>
        </w:tc>
      </w:tr>
      <w:tr w:rsidR="005D506E" w:rsidRPr="00222A6B" w14:paraId="142ABF74" w14:textId="77777777" w:rsidTr="0052303E">
        <w:trPr>
          <w:trHeight w:val="378"/>
        </w:trPr>
        <w:tc>
          <w:tcPr>
            <w:tcW w:w="1172" w:type="pct"/>
            <w:shd w:val="clear" w:color="auto" w:fill="auto"/>
            <w:vAlign w:val="center"/>
          </w:tcPr>
          <w:p w14:paraId="64DA14DA" w14:textId="77777777" w:rsidR="005D506E" w:rsidRPr="00222A6B" w:rsidRDefault="00D27D74" w:rsidP="005D506E">
            <w:pPr>
              <w:ind w:left="0"/>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AOM</m:t>
                    </m:r>
                  </m:e>
                  <m:sub>
                    <m:r>
                      <w:rPr>
                        <w:rFonts w:ascii="Cambria Math" w:hAnsi="Cambria Math"/>
                        <w:sz w:val="22"/>
                        <w:szCs w:val="22"/>
                      </w:rPr>
                      <m:t>RPk</m:t>
                    </m:r>
                  </m:sub>
                </m:sSub>
              </m:oMath>
            </m:oMathPara>
          </w:p>
        </w:tc>
        <w:tc>
          <w:tcPr>
            <w:tcW w:w="1276" w:type="pct"/>
            <w:tcBorders>
              <w:top w:val="single" w:sz="4" w:space="0" w:color="auto"/>
              <w:left w:val="single" w:sz="4" w:space="0" w:color="auto"/>
              <w:bottom w:val="single" w:sz="4" w:space="0" w:color="auto"/>
              <w:right w:val="single" w:sz="4" w:space="0" w:color="auto"/>
            </w:tcBorders>
            <w:shd w:val="clear" w:color="auto" w:fill="auto"/>
            <w:vAlign w:val="center"/>
          </w:tcPr>
          <w:p w14:paraId="1D5EE61C" w14:textId="77777777" w:rsidR="005D506E" w:rsidRPr="00222A6B" w:rsidRDefault="005D506E" w:rsidP="005D506E">
            <w:pPr>
              <w:ind w:left="0"/>
              <w:jc w:val="center"/>
              <w:rPr>
                <w:rFonts w:ascii="Bookman Old Style" w:hAnsi="Bookman Old Style"/>
                <w:i/>
                <w:color w:val="000000"/>
                <w:sz w:val="22"/>
                <w:szCs w:val="22"/>
                <w:lang w:val="es-CO" w:eastAsia="es-CO"/>
              </w:rPr>
            </w:pPr>
            <w:r w:rsidRPr="00222A6B">
              <w:rPr>
                <w:rFonts w:ascii="Bookman Old Style" w:hAnsi="Bookman Old Style"/>
                <w:i/>
                <w:color w:val="000000"/>
                <w:sz w:val="22"/>
                <w:szCs w:val="22"/>
              </w:rPr>
              <w:t>1.150.360.068</w:t>
            </w:r>
          </w:p>
        </w:tc>
        <w:tc>
          <w:tcPr>
            <w:tcW w:w="1276" w:type="pct"/>
            <w:tcBorders>
              <w:top w:val="single" w:sz="4" w:space="0" w:color="auto"/>
              <w:left w:val="nil"/>
              <w:bottom w:val="single" w:sz="4" w:space="0" w:color="auto"/>
              <w:right w:val="single" w:sz="4" w:space="0" w:color="auto"/>
            </w:tcBorders>
            <w:shd w:val="clear" w:color="auto" w:fill="auto"/>
            <w:vAlign w:val="center"/>
          </w:tcPr>
          <w:p w14:paraId="5CAE7DC3"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1.150.360.068</w:t>
            </w:r>
          </w:p>
        </w:tc>
        <w:tc>
          <w:tcPr>
            <w:tcW w:w="1276" w:type="pct"/>
            <w:tcBorders>
              <w:top w:val="single" w:sz="4" w:space="0" w:color="auto"/>
              <w:left w:val="nil"/>
              <w:bottom w:val="single" w:sz="4" w:space="0" w:color="auto"/>
              <w:right w:val="single" w:sz="4" w:space="0" w:color="auto"/>
            </w:tcBorders>
            <w:shd w:val="clear" w:color="auto" w:fill="auto"/>
            <w:vAlign w:val="center"/>
          </w:tcPr>
          <w:p w14:paraId="2D1B8785"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1.150.360.068</w:t>
            </w:r>
          </w:p>
        </w:tc>
      </w:tr>
      <w:tr w:rsidR="005D506E" w:rsidRPr="00222A6B" w14:paraId="483414A4" w14:textId="77777777" w:rsidTr="0052303E">
        <w:trPr>
          <w:trHeight w:val="378"/>
        </w:trPr>
        <w:tc>
          <w:tcPr>
            <w:tcW w:w="1172" w:type="pct"/>
            <w:shd w:val="clear" w:color="auto" w:fill="auto"/>
            <w:vAlign w:val="center"/>
          </w:tcPr>
          <w:p w14:paraId="46FF7937" w14:textId="77777777" w:rsidR="005D506E" w:rsidRPr="00222A6B" w:rsidRDefault="00D27D74" w:rsidP="005D506E">
            <w:pPr>
              <w:ind w:left="0"/>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AOM</m:t>
                    </m:r>
                  </m:e>
                  <m:sub>
                    <m:r>
                      <w:rPr>
                        <w:rFonts w:ascii="Cambria Math" w:hAnsi="Cambria Math"/>
                        <w:sz w:val="22"/>
                        <w:szCs w:val="22"/>
                      </w:rPr>
                      <m:t>RS(NoRes)k</m:t>
                    </m:r>
                  </m:sub>
                </m:sSub>
              </m:oMath>
            </m:oMathPara>
          </w:p>
        </w:tc>
        <w:tc>
          <w:tcPr>
            <w:tcW w:w="1276" w:type="pct"/>
            <w:tcBorders>
              <w:top w:val="nil"/>
              <w:left w:val="single" w:sz="4" w:space="0" w:color="auto"/>
              <w:bottom w:val="single" w:sz="4" w:space="0" w:color="auto"/>
              <w:right w:val="single" w:sz="4" w:space="0" w:color="auto"/>
            </w:tcBorders>
            <w:shd w:val="clear" w:color="auto" w:fill="auto"/>
            <w:vAlign w:val="center"/>
          </w:tcPr>
          <w:p w14:paraId="51DA1609"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725.928.612</w:t>
            </w:r>
          </w:p>
        </w:tc>
        <w:tc>
          <w:tcPr>
            <w:tcW w:w="1276" w:type="pct"/>
            <w:tcBorders>
              <w:top w:val="nil"/>
              <w:left w:val="nil"/>
              <w:bottom w:val="single" w:sz="4" w:space="0" w:color="auto"/>
              <w:right w:val="single" w:sz="4" w:space="0" w:color="auto"/>
            </w:tcBorders>
            <w:shd w:val="clear" w:color="auto" w:fill="auto"/>
            <w:vAlign w:val="center"/>
          </w:tcPr>
          <w:p w14:paraId="368C360E"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725.928.612</w:t>
            </w:r>
          </w:p>
        </w:tc>
        <w:tc>
          <w:tcPr>
            <w:tcW w:w="1276" w:type="pct"/>
            <w:tcBorders>
              <w:top w:val="nil"/>
              <w:left w:val="nil"/>
              <w:bottom w:val="single" w:sz="4" w:space="0" w:color="auto"/>
              <w:right w:val="single" w:sz="4" w:space="0" w:color="auto"/>
            </w:tcBorders>
            <w:shd w:val="clear" w:color="auto" w:fill="auto"/>
            <w:vAlign w:val="center"/>
          </w:tcPr>
          <w:p w14:paraId="3C02884F"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725.928.612</w:t>
            </w:r>
          </w:p>
        </w:tc>
      </w:tr>
      <w:tr w:rsidR="005D506E" w:rsidRPr="00222A6B" w14:paraId="7AA26DB3" w14:textId="77777777" w:rsidTr="0052303E">
        <w:trPr>
          <w:trHeight w:val="378"/>
        </w:trPr>
        <w:tc>
          <w:tcPr>
            <w:tcW w:w="1172" w:type="pct"/>
            <w:shd w:val="clear" w:color="auto" w:fill="auto"/>
            <w:vAlign w:val="center"/>
          </w:tcPr>
          <w:p w14:paraId="1108BE88" w14:textId="77777777" w:rsidR="005D506E" w:rsidRPr="00222A6B" w:rsidRDefault="00D27D74" w:rsidP="005D506E">
            <w:pPr>
              <w:ind w:left="0"/>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Tk</m:t>
                    </m:r>
                  </m:sub>
                </m:sSub>
              </m:oMath>
            </m:oMathPara>
          </w:p>
        </w:tc>
        <w:tc>
          <w:tcPr>
            <w:tcW w:w="1276" w:type="pct"/>
            <w:tcBorders>
              <w:top w:val="nil"/>
              <w:left w:val="single" w:sz="4" w:space="0" w:color="auto"/>
              <w:bottom w:val="single" w:sz="4" w:space="0" w:color="auto"/>
              <w:right w:val="single" w:sz="4" w:space="0" w:color="auto"/>
            </w:tcBorders>
            <w:shd w:val="clear" w:color="auto" w:fill="auto"/>
            <w:vAlign w:val="center"/>
          </w:tcPr>
          <w:p w14:paraId="178230EA"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24.561.225</w:t>
            </w:r>
          </w:p>
        </w:tc>
        <w:tc>
          <w:tcPr>
            <w:tcW w:w="1276" w:type="pct"/>
            <w:tcBorders>
              <w:top w:val="nil"/>
              <w:left w:val="nil"/>
              <w:bottom w:val="single" w:sz="4" w:space="0" w:color="auto"/>
              <w:right w:val="single" w:sz="4" w:space="0" w:color="auto"/>
            </w:tcBorders>
            <w:shd w:val="clear" w:color="auto" w:fill="auto"/>
            <w:vAlign w:val="center"/>
          </w:tcPr>
          <w:p w14:paraId="789B3BC0"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24.561.225</w:t>
            </w:r>
          </w:p>
        </w:tc>
        <w:tc>
          <w:tcPr>
            <w:tcW w:w="1276" w:type="pct"/>
            <w:tcBorders>
              <w:top w:val="nil"/>
              <w:left w:val="nil"/>
              <w:bottom w:val="single" w:sz="4" w:space="0" w:color="auto"/>
              <w:right w:val="single" w:sz="4" w:space="0" w:color="auto"/>
            </w:tcBorders>
            <w:shd w:val="clear" w:color="auto" w:fill="auto"/>
            <w:vAlign w:val="center"/>
          </w:tcPr>
          <w:p w14:paraId="76501E2C"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24.561.225</w:t>
            </w:r>
          </w:p>
        </w:tc>
      </w:tr>
      <w:tr w:rsidR="005D506E" w:rsidRPr="00222A6B" w14:paraId="0121AF9A" w14:textId="77777777" w:rsidTr="0052303E">
        <w:trPr>
          <w:trHeight w:val="378"/>
        </w:trPr>
        <w:tc>
          <w:tcPr>
            <w:tcW w:w="1172" w:type="pct"/>
            <w:shd w:val="clear" w:color="auto" w:fill="auto"/>
            <w:vAlign w:val="center"/>
          </w:tcPr>
          <w:p w14:paraId="445765A3" w14:textId="77777777" w:rsidR="005D506E" w:rsidRPr="00222A6B" w:rsidRDefault="00D27D74" w:rsidP="005D506E">
            <w:pPr>
              <w:ind w:left="0"/>
              <w:rPr>
                <w:rFonts w:ascii="Bookman Old Style" w:hAnsi="Bookman Old Style"/>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Tk</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Resk</m:t>
                    </m:r>
                  </m:sub>
                </m:sSub>
              </m:oMath>
            </m:oMathPara>
          </w:p>
        </w:tc>
        <w:tc>
          <w:tcPr>
            <w:tcW w:w="1276" w:type="pct"/>
            <w:tcBorders>
              <w:top w:val="nil"/>
              <w:left w:val="single" w:sz="4" w:space="0" w:color="auto"/>
              <w:bottom w:val="single" w:sz="4" w:space="0" w:color="auto"/>
              <w:right w:val="single" w:sz="4" w:space="0" w:color="auto"/>
            </w:tcBorders>
            <w:shd w:val="clear" w:color="auto" w:fill="auto"/>
            <w:vAlign w:val="center"/>
          </w:tcPr>
          <w:p w14:paraId="67E2F08F"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8.284.346</w:t>
            </w:r>
          </w:p>
        </w:tc>
        <w:tc>
          <w:tcPr>
            <w:tcW w:w="1276" w:type="pct"/>
            <w:tcBorders>
              <w:top w:val="nil"/>
              <w:left w:val="nil"/>
              <w:bottom w:val="single" w:sz="4" w:space="0" w:color="auto"/>
              <w:right w:val="single" w:sz="4" w:space="0" w:color="auto"/>
            </w:tcBorders>
            <w:shd w:val="clear" w:color="auto" w:fill="auto"/>
            <w:vAlign w:val="center"/>
          </w:tcPr>
          <w:p w14:paraId="08338FB2"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8.284.346</w:t>
            </w:r>
          </w:p>
        </w:tc>
        <w:tc>
          <w:tcPr>
            <w:tcW w:w="1276" w:type="pct"/>
            <w:tcBorders>
              <w:top w:val="nil"/>
              <w:left w:val="nil"/>
              <w:bottom w:val="single" w:sz="4" w:space="0" w:color="auto"/>
              <w:right w:val="single" w:sz="4" w:space="0" w:color="auto"/>
            </w:tcBorders>
            <w:shd w:val="clear" w:color="auto" w:fill="auto"/>
            <w:vAlign w:val="center"/>
          </w:tcPr>
          <w:p w14:paraId="3D1C48CD" w14:textId="77777777" w:rsidR="005D506E" w:rsidRPr="00222A6B" w:rsidRDefault="005D506E" w:rsidP="005D506E">
            <w:pPr>
              <w:ind w:left="0"/>
              <w:jc w:val="center"/>
              <w:rPr>
                <w:rFonts w:ascii="Bookman Old Style" w:hAnsi="Bookman Old Style"/>
                <w:i/>
                <w:color w:val="000000"/>
                <w:sz w:val="22"/>
                <w:szCs w:val="22"/>
              </w:rPr>
            </w:pPr>
            <w:r w:rsidRPr="00222A6B">
              <w:rPr>
                <w:rFonts w:ascii="Bookman Old Style" w:hAnsi="Bookman Old Style"/>
                <w:i/>
                <w:color w:val="000000"/>
                <w:sz w:val="22"/>
                <w:szCs w:val="22"/>
              </w:rPr>
              <w:t>8.284.346</w:t>
            </w:r>
          </w:p>
        </w:tc>
      </w:tr>
    </w:tbl>
    <w:p w14:paraId="045A533B" w14:textId="77777777" w:rsidR="00646E83" w:rsidRDefault="00646E83" w:rsidP="00646E83">
      <w:pPr>
        <w:ind w:left="0"/>
        <w:jc w:val="both"/>
        <w:rPr>
          <w:rFonts w:ascii="Bookman Old Style" w:hAnsi="Bookman Old Style"/>
          <w:i/>
          <w:sz w:val="22"/>
        </w:rPr>
      </w:pPr>
    </w:p>
    <w:p w14:paraId="1837BF53" w14:textId="77777777" w:rsidR="00646E83" w:rsidRDefault="00646E83" w:rsidP="00646E83">
      <w:pPr>
        <w:ind w:left="0"/>
        <w:jc w:val="both"/>
        <w:rPr>
          <w:rFonts w:ascii="Bookman Old Style" w:hAnsi="Bookman Old Style"/>
          <w:i/>
          <w:sz w:val="22"/>
        </w:rPr>
      </w:pPr>
      <w:r w:rsidRPr="002A782A">
        <w:rPr>
          <w:rFonts w:ascii="Bookman Old Style" w:hAnsi="Bookman Old Style"/>
          <w:b/>
        </w:rPr>
        <w:t xml:space="preserve">ARTÍCULO </w:t>
      </w:r>
      <w:r>
        <w:rPr>
          <w:rFonts w:ascii="Bookman Old Style" w:hAnsi="Bookman Old Style"/>
          <w:b/>
        </w:rPr>
        <w:t>3</w:t>
      </w:r>
      <w:r w:rsidRPr="002A782A">
        <w:rPr>
          <w:rFonts w:ascii="Bookman Old Style" w:hAnsi="Bookman Old Style"/>
          <w:b/>
        </w:rPr>
        <w:t>.</w:t>
      </w:r>
      <w:r>
        <w:rPr>
          <w:rFonts w:ascii="Bookman Old Style" w:hAnsi="Bookman Old Style"/>
          <w:i/>
          <w:sz w:val="22"/>
        </w:rPr>
        <w:t xml:space="preserve"> </w:t>
      </w:r>
      <w:r w:rsidRPr="00D1599A">
        <w:rPr>
          <w:rFonts w:ascii="Bookman Old Style" w:eastAsia="Calibri" w:hAnsi="Bookman Old Style" w:cs="Century Gothic"/>
          <w:lang w:eastAsia="es-CO"/>
        </w:rPr>
        <w:t xml:space="preserve">Modificar el Artículo </w:t>
      </w:r>
      <w:r>
        <w:rPr>
          <w:rFonts w:ascii="Bookman Old Style" w:eastAsia="Calibri" w:hAnsi="Bookman Old Style" w:cs="Century Gothic"/>
          <w:lang w:eastAsia="es-CO"/>
        </w:rPr>
        <w:t>5</w:t>
      </w:r>
      <w:r w:rsidRPr="00D1599A">
        <w:rPr>
          <w:rFonts w:ascii="Bookman Old Style" w:eastAsia="Calibri" w:hAnsi="Bookman Old Style" w:cs="Century Gothic"/>
          <w:lang w:eastAsia="es-CO"/>
        </w:rPr>
        <w:t xml:space="preserve"> “</w:t>
      </w:r>
      <w:r w:rsidRPr="00646E83">
        <w:rPr>
          <w:rFonts w:ascii="Bookman Old Style" w:hAnsi="Bookman Old Style" w:cs="Arial"/>
        </w:rPr>
        <w:t>Cargos de distribución aplicables a los usuarios de Uso Residencial</w:t>
      </w:r>
      <w:r w:rsidRPr="00D1599A">
        <w:rPr>
          <w:rFonts w:ascii="Bookman Old Style" w:hAnsi="Bookman Old Style" w:cs="Arial"/>
        </w:rPr>
        <w:t>” de la Re</w:t>
      </w:r>
      <w:r>
        <w:rPr>
          <w:rFonts w:ascii="Bookman Old Style" w:hAnsi="Bookman Old Style" w:cs="Arial"/>
        </w:rPr>
        <w:t>solución CREG 027</w:t>
      </w:r>
      <w:r w:rsidRPr="00D1599A">
        <w:rPr>
          <w:rFonts w:ascii="Bookman Old Style" w:hAnsi="Bookman Old Style" w:cs="Arial"/>
        </w:rPr>
        <w:t xml:space="preserve"> de 201</w:t>
      </w:r>
      <w:r>
        <w:rPr>
          <w:rFonts w:ascii="Bookman Old Style" w:hAnsi="Bookman Old Style" w:cs="Arial"/>
        </w:rPr>
        <w:t>8</w:t>
      </w:r>
      <w:r w:rsidRPr="00D1599A">
        <w:rPr>
          <w:rFonts w:ascii="Bookman Old Style" w:hAnsi="Bookman Old Style" w:cs="Arial"/>
        </w:rPr>
        <w:t>, el cual quedará así:</w:t>
      </w:r>
    </w:p>
    <w:p w14:paraId="2DB39DAA" w14:textId="77777777" w:rsidR="00FE6A6E" w:rsidRPr="00103A23" w:rsidRDefault="00103A23" w:rsidP="00FE6A6E">
      <w:pPr>
        <w:widowControl w:val="0"/>
        <w:adjustRightInd w:val="0"/>
        <w:spacing w:before="240" w:after="240"/>
        <w:ind w:left="284" w:right="20"/>
        <w:jc w:val="both"/>
        <w:rPr>
          <w:rFonts w:ascii="Bookman Old Style" w:hAnsi="Bookman Old Style" w:cs="Arial"/>
          <w:i/>
          <w:sz w:val="22"/>
          <w:szCs w:val="22"/>
        </w:rPr>
      </w:pPr>
      <w:r w:rsidRPr="00103A23">
        <w:rPr>
          <w:rFonts w:ascii="Bookman Old Style" w:hAnsi="Bookman Old Style" w:cs="Arial"/>
          <w:b/>
          <w:i/>
          <w:sz w:val="22"/>
          <w:szCs w:val="22"/>
        </w:rPr>
        <w:t>“</w:t>
      </w:r>
      <w:r w:rsidR="00FE6A6E" w:rsidRPr="00103A23">
        <w:rPr>
          <w:rFonts w:ascii="Bookman Old Style" w:hAnsi="Bookman Old Style" w:cs="Arial"/>
          <w:b/>
          <w:i/>
          <w:sz w:val="22"/>
          <w:szCs w:val="22"/>
        </w:rPr>
        <w:t>ARTÍCULO 5. Cargos de distribución aplicables a los usuarios de Uso Residencial.</w:t>
      </w:r>
      <w:r w:rsidR="00FE6A6E" w:rsidRPr="00103A23">
        <w:rPr>
          <w:rFonts w:ascii="Bookman Old Style" w:hAnsi="Bookman Old Style" w:cs="Arial"/>
          <w:i/>
          <w:sz w:val="22"/>
          <w:szCs w:val="22"/>
        </w:rPr>
        <w:t xml:space="preserve"> A partir de la vigencia de la presente Resolución, los cargos de distribución aplicables a los usuarios de uso residencial para recuperar los costos de inversión y los gastos de AOM para la distribución domiciliaria de gas combustible por red se fijan transitoriamente tal como se indica a continuación.</w:t>
      </w:r>
    </w:p>
    <w:p w14:paraId="5EB45A67" w14:textId="77777777" w:rsidR="00FE6A6E" w:rsidRPr="00103A23" w:rsidRDefault="00FE6A6E" w:rsidP="00FE6A6E">
      <w:pPr>
        <w:widowControl w:val="0"/>
        <w:adjustRightInd w:val="0"/>
        <w:spacing w:before="240" w:after="240"/>
        <w:ind w:left="284" w:right="20"/>
        <w:jc w:val="both"/>
        <w:rPr>
          <w:rFonts w:ascii="Bookman Old Style" w:hAnsi="Bookman Old Style" w:cs="Arial"/>
          <w:b/>
          <w:i/>
          <w:sz w:val="22"/>
          <w:szCs w:val="22"/>
        </w:rPr>
      </w:pPr>
      <w:r w:rsidRPr="00103A23">
        <w:rPr>
          <w:rFonts w:ascii="Bookman Old Style" w:hAnsi="Bookman Old Style" w:cs="Arial"/>
          <w:b/>
          <w:i/>
          <w:sz w:val="22"/>
          <w:szCs w:val="22"/>
        </w:rPr>
        <w:t xml:space="preserve">5.1. Municipios que pertenecen al Mercado Relevante definido en el Artículo 1 que cuentan con recursos públicos. </w:t>
      </w:r>
    </w:p>
    <w:p w14:paraId="47FD170E" w14:textId="77777777" w:rsidR="00FE6A6E" w:rsidRPr="00103A23" w:rsidRDefault="00FE6A6E" w:rsidP="00FE6A6E">
      <w:pPr>
        <w:widowControl w:val="0"/>
        <w:adjustRightInd w:val="0"/>
        <w:ind w:left="284" w:right="20"/>
        <w:jc w:val="both"/>
        <w:rPr>
          <w:rFonts w:ascii="Bookman Old Style" w:hAnsi="Bookman Old Style" w:cs="Arial"/>
          <w:i/>
          <w:sz w:val="22"/>
          <w:szCs w:val="22"/>
        </w:rPr>
      </w:pPr>
      <w:r w:rsidRPr="00103A23">
        <w:rPr>
          <w:rFonts w:ascii="Bookman Old Style" w:hAnsi="Bookman Old Style" w:cs="Arial"/>
          <w:b/>
          <w:i/>
          <w:sz w:val="22"/>
          <w:szCs w:val="22"/>
        </w:rPr>
        <w:t xml:space="preserve">5.1.1. </w:t>
      </w:r>
      <w:r w:rsidRPr="00103A23">
        <w:rPr>
          <w:rFonts w:ascii="Bookman Old Style" w:hAnsi="Bookman Old Style" w:cs="Arial"/>
          <w:i/>
          <w:sz w:val="22"/>
          <w:szCs w:val="22"/>
        </w:rPr>
        <w:t>Para los municipios de Riohacha, Barrancas, El Molino, Fonseca, Hatonuevo, Maicao, Manaure, San Juan del Cesar, Uribia, Urumita y Villanueva, en el departamento de La Guajira, los cargos transitorios aplicables son:</w:t>
      </w:r>
    </w:p>
    <w:p w14:paraId="536A54AB" w14:textId="77777777" w:rsidR="00FE6A6E" w:rsidRPr="00103A23" w:rsidRDefault="00FE6A6E" w:rsidP="00FE6A6E">
      <w:pPr>
        <w:widowControl w:val="0"/>
        <w:adjustRightInd w:val="0"/>
        <w:ind w:left="0" w:right="20"/>
        <w:jc w:val="both"/>
        <w:rPr>
          <w:rFonts w:ascii="Bookman Old Style" w:hAnsi="Bookman Old Style" w:cs="Arial"/>
          <w:i/>
          <w:sz w:val="22"/>
          <w:szCs w:val="22"/>
        </w:rPr>
      </w:pP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849"/>
        <w:gridCol w:w="1607"/>
        <w:gridCol w:w="1607"/>
        <w:gridCol w:w="1608"/>
      </w:tblGrid>
      <w:tr w:rsidR="00FE6A6E" w:rsidRPr="00103A23" w14:paraId="5967EF1D" w14:textId="77777777" w:rsidTr="00FE6A6E">
        <w:trPr>
          <w:trHeight w:val="122"/>
          <w:tblHeader/>
        </w:trPr>
        <w:tc>
          <w:tcPr>
            <w:tcW w:w="5000" w:type="pct"/>
            <w:gridSpan w:val="5"/>
            <w:shd w:val="clear" w:color="auto" w:fill="D9D9D9" w:themeFill="background1" w:themeFillShade="D9"/>
            <w:vAlign w:val="center"/>
          </w:tcPr>
          <w:p w14:paraId="313F0322" w14:textId="77777777" w:rsidR="00FE6A6E" w:rsidRPr="00103A23" w:rsidRDefault="00FE6A6E" w:rsidP="0088380D">
            <w:pPr>
              <w:ind w:left="-115"/>
              <w:jc w:val="center"/>
              <w:rPr>
                <w:rFonts w:ascii="Bookman Old Style" w:hAnsi="Bookman Old Style"/>
                <w:b/>
                <w:i/>
                <w:sz w:val="22"/>
                <w:szCs w:val="22"/>
              </w:rPr>
            </w:pPr>
            <w:r w:rsidRPr="00103A23">
              <w:rPr>
                <w:rFonts w:ascii="Bookman Old Style" w:hAnsi="Bookman Old Style"/>
                <w:b/>
                <w:i/>
                <w:sz w:val="22"/>
                <w:szCs w:val="22"/>
              </w:rPr>
              <w:t>Usuarios de Uso Residencial</w:t>
            </w:r>
          </w:p>
        </w:tc>
      </w:tr>
      <w:tr w:rsidR="00442FE3" w:rsidRPr="00103A23" w14:paraId="2F2484B7" w14:textId="77777777" w:rsidTr="00B315C5">
        <w:trPr>
          <w:trHeight w:val="119"/>
          <w:tblHeader/>
        </w:trPr>
        <w:tc>
          <w:tcPr>
            <w:tcW w:w="1873" w:type="pct"/>
            <w:shd w:val="clear" w:color="auto" w:fill="D9D9D9" w:themeFill="background1" w:themeFillShade="D9"/>
            <w:vAlign w:val="center"/>
          </w:tcPr>
          <w:p w14:paraId="034D1B7B" w14:textId="77777777" w:rsidR="00FE6A6E" w:rsidRPr="00103A23" w:rsidRDefault="00FE6A6E" w:rsidP="0088380D">
            <w:pPr>
              <w:ind w:left="0"/>
              <w:jc w:val="center"/>
              <w:rPr>
                <w:rFonts w:ascii="Bookman Old Style" w:hAnsi="Bookman Old Style"/>
                <w:i/>
                <w:sz w:val="22"/>
                <w:szCs w:val="22"/>
              </w:rPr>
            </w:pPr>
            <w:r w:rsidRPr="00103A23">
              <w:rPr>
                <w:rFonts w:ascii="Bookman Old Style" w:hAnsi="Bookman Old Style" w:cs="Arial"/>
                <w:b/>
                <w:bCs/>
                <w:i/>
                <w:sz w:val="22"/>
                <w:szCs w:val="22"/>
                <w:lang w:val="es-ES_tradnl"/>
              </w:rPr>
              <w:t>Componente</w:t>
            </w:r>
          </w:p>
        </w:tc>
        <w:tc>
          <w:tcPr>
            <w:tcW w:w="468" w:type="pct"/>
            <w:shd w:val="clear" w:color="auto" w:fill="D9D9D9" w:themeFill="background1" w:themeFillShade="D9"/>
          </w:tcPr>
          <w:p w14:paraId="4023FF65" w14:textId="77777777" w:rsidR="00FE6A6E" w:rsidRPr="00103A23" w:rsidRDefault="00FE6A6E" w:rsidP="0088380D">
            <w:pPr>
              <w:ind w:left="-112"/>
              <w:jc w:val="center"/>
              <w:rPr>
                <w:rFonts w:ascii="Bookman Old Style" w:hAnsi="Bookman Old Style"/>
                <w:b/>
                <w:i/>
                <w:sz w:val="22"/>
                <w:szCs w:val="22"/>
              </w:rPr>
            </w:pPr>
          </w:p>
        </w:tc>
        <w:tc>
          <w:tcPr>
            <w:tcW w:w="886" w:type="pct"/>
            <w:tcBorders>
              <w:bottom w:val="single" w:sz="4" w:space="0" w:color="auto"/>
            </w:tcBorders>
            <w:shd w:val="clear" w:color="auto" w:fill="D9D9D9" w:themeFill="background1" w:themeFillShade="D9"/>
            <w:vAlign w:val="center"/>
          </w:tcPr>
          <w:p w14:paraId="4009AAFF" w14:textId="77777777" w:rsidR="00FE6A6E" w:rsidRPr="00103A23" w:rsidRDefault="00FE6A6E" w:rsidP="0088380D">
            <w:pPr>
              <w:ind w:left="-112"/>
              <w:jc w:val="center"/>
              <w:rPr>
                <w:rFonts w:ascii="Bookman Old Style" w:hAnsi="Bookman Old Style"/>
                <w:b/>
                <w:i/>
                <w:sz w:val="22"/>
                <w:szCs w:val="22"/>
              </w:rPr>
            </w:pPr>
            <w:r w:rsidRPr="00103A23">
              <w:rPr>
                <w:rFonts w:ascii="Bookman Old Style" w:hAnsi="Bookman Old Style"/>
                <w:b/>
                <w:i/>
                <w:sz w:val="22"/>
                <w:szCs w:val="22"/>
              </w:rPr>
              <w:t>2017</w:t>
            </w:r>
          </w:p>
        </w:tc>
        <w:tc>
          <w:tcPr>
            <w:tcW w:w="886" w:type="pct"/>
            <w:tcBorders>
              <w:bottom w:val="single" w:sz="4" w:space="0" w:color="auto"/>
            </w:tcBorders>
            <w:shd w:val="clear" w:color="auto" w:fill="D9D9D9" w:themeFill="background1" w:themeFillShade="D9"/>
            <w:vAlign w:val="center"/>
          </w:tcPr>
          <w:p w14:paraId="4DF1D94B" w14:textId="77777777" w:rsidR="00FE6A6E" w:rsidRPr="00103A23" w:rsidRDefault="00FE6A6E" w:rsidP="0088380D">
            <w:pPr>
              <w:ind w:left="-112"/>
              <w:jc w:val="center"/>
              <w:rPr>
                <w:rFonts w:ascii="Bookman Old Style" w:hAnsi="Bookman Old Style"/>
                <w:b/>
                <w:i/>
                <w:sz w:val="22"/>
                <w:szCs w:val="22"/>
              </w:rPr>
            </w:pPr>
            <w:r w:rsidRPr="00103A23">
              <w:rPr>
                <w:rFonts w:ascii="Bookman Old Style" w:hAnsi="Bookman Old Style"/>
                <w:b/>
                <w:i/>
                <w:sz w:val="22"/>
                <w:szCs w:val="22"/>
              </w:rPr>
              <w:t>2018</w:t>
            </w:r>
          </w:p>
        </w:tc>
        <w:tc>
          <w:tcPr>
            <w:tcW w:w="887" w:type="pct"/>
            <w:tcBorders>
              <w:bottom w:val="single" w:sz="4" w:space="0" w:color="auto"/>
            </w:tcBorders>
            <w:shd w:val="clear" w:color="auto" w:fill="D9D9D9" w:themeFill="background1" w:themeFillShade="D9"/>
            <w:vAlign w:val="center"/>
          </w:tcPr>
          <w:p w14:paraId="5229F839" w14:textId="77777777" w:rsidR="00FE6A6E" w:rsidRPr="00103A23" w:rsidRDefault="00FE6A6E" w:rsidP="0088380D">
            <w:pPr>
              <w:ind w:left="-18"/>
              <w:jc w:val="center"/>
              <w:rPr>
                <w:rFonts w:ascii="Bookman Old Style" w:hAnsi="Bookman Old Style"/>
                <w:b/>
                <w:i/>
                <w:sz w:val="22"/>
                <w:szCs w:val="22"/>
              </w:rPr>
            </w:pPr>
            <w:r w:rsidRPr="00103A23">
              <w:rPr>
                <w:rFonts w:ascii="Bookman Old Style" w:hAnsi="Bookman Old Style"/>
                <w:b/>
                <w:i/>
                <w:sz w:val="22"/>
                <w:szCs w:val="22"/>
              </w:rPr>
              <w:t>2019 - 2020 - 2021</w:t>
            </w:r>
          </w:p>
        </w:tc>
      </w:tr>
      <w:tr w:rsidR="00B315C5" w:rsidRPr="00103A23" w14:paraId="1826C2C2" w14:textId="77777777" w:rsidTr="00B315C5">
        <w:trPr>
          <w:trHeight w:val="421"/>
        </w:trPr>
        <w:tc>
          <w:tcPr>
            <w:tcW w:w="1873" w:type="pct"/>
            <w:vAlign w:val="center"/>
          </w:tcPr>
          <w:p w14:paraId="27042A70" w14:textId="77777777" w:rsidR="00B315C5" w:rsidRPr="00103A23" w:rsidRDefault="00B315C5" w:rsidP="00B315C5">
            <w:pPr>
              <w:widowControl w:val="0"/>
              <w:adjustRightInd w:val="0"/>
              <w:ind w:left="0" w:right="20"/>
              <w:rPr>
                <w:rFonts w:ascii="Bookman Old Style" w:hAnsi="Bookman Old Style"/>
                <w:i/>
                <w:sz w:val="22"/>
                <w:szCs w:val="22"/>
              </w:rPr>
            </w:pPr>
            <w:r w:rsidRPr="00103A23">
              <w:rPr>
                <w:rFonts w:ascii="Bookman Old Style" w:hAnsi="Bookman Old Style" w:cs="Arial"/>
                <w:b/>
                <w:i/>
                <w:sz w:val="22"/>
                <w:szCs w:val="22"/>
                <w:lang w:val="es-ES_tradnl"/>
              </w:rPr>
              <w:t>Cargo de distribución Total</w:t>
            </w:r>
          </w:p>
        </w:tc>
        <w:tc>
          <w:tcPr>
            <w:tcW w:w="468" w:type="pct"/>
            <w:vAlign w:val="center"/>
          </w:tcPr>
          <w:p w14:paraId="65DCC8E0" w14:textId="77777777" w:rsidR="00B315C5" w:rsidRPr="00103A23" w:rsidRDefault="00B315C5" w:rsidP="00B315C5">
            <w:pPr>
              <w:ind w:left="43"/>
              <w:rPr>
                <w:rFonts w:ascii="Bookman Old Style" w:hAnsi="Bookman Old Style"/>
                <w:i/>
                <w:sz w:val="22"/>
                <w:szCs w:val="22"/>
              </w:rPr>
            </w:pPr>
            <w:r w:rsidRPr="00103A23">
              <w:rPr>
                <w:rFonts w:ascii="Bookman Old Style" w:hAnsi="Bookman Old Style" w:cs="Arial"/>
                <w:b/>
                <w:bCs/>
                <w:i/>
                <w:sz w:val="22"/>
                <w:szCs w:val="22"/>
                <w:lang w:val="es-ES_tradnl"/>
              </w:rPr>
              <w:t>$/m</w:t>
            </w:r>
            <w:r w:rsidRPr="00103A23">
              <w:rPr>
                <w:rFonts w:ascii="Bookman Old Style" w:hAnsi="Bookman Old Style" w:cs="Arial"/>
                <w:b/>
                <w:bCs/>
                <w:i/>
                <w:sz w:val="22"/>
                <w:szCs w:val="22"/>
                <w:vertAlign w:val="superscript"/>
                <w:lang w:val="es-ES_tradnl"/>
              </w:rPr>
              <w:t>3</w:t>
            </w:r>
          </w:p>
        </w:tc>
        <w:tc>
          <w:tcPr>
            <w:tcW w:w="886" w:type="pct"/>
            <w:shd w:val="clear" w:color="auto" w:fill="auto"/>
            <w:vAlign w:val="center"/>
          </w:tcPr>
          <w:p w14:paraId="6213306F" w14:textId="77777777" w:rsidR="00B315C5" w:rsidRPr="00B315C5" w:rsidRDefault="00B315C5" w:rsidP="004F4A00">
            <w:pPr>
              <w:ind w:left="-108"/>
              <w:jc w:val="center"/>
              <w:rPr>
                <w:rFonts w:ascii="Bookman Old Style" w:hAnsi="Bookman Old Style"/>
                <w:b/>
                <w:i/>
                <w:color w:val="000000"/>
                <w:sz w:val="22"/>
                <w:szCs w:val="22"/>
              </w:rPr>
            </w:pPr>
            <w:r w:rsidRPr="00B315C5">
              <w:rPr>
                <w:rFonts w:ascii="Bookman Old Style" w:hAnsi="Bookman Old Style"/>
                <w:b/>
                <w:i/>
                <w:color w:val="000000"/>
                <w:sz w:val="22"/>
                <w:szCs w:val="22"/>
              </w:rPr>
              <w:t>525</w:t>
            </w:r>
            <w:r w:rsidR="004F4A00">
              <w:rPr>
                <w:rFonts w:ascii="Bookman Old Style" w:hAnsi="Bookman Old Style"/>
                <w:b/>
                <w:i/>
                <w:color w:val="000000"/>
                <w:sz w:val="22"/>
                <w:szCs w:val="22"/>
              </w:rPr>
              <w:t>,</w:t>
            </w:r>
            <w:r w:rsidRPr="00B315C5">
              <w:rPr>
                <w:rFonts w:ascii="Bookman Old Style" w:hAnsi="Bookman Old Style"/>
                <w:b/>
                <w:i/>
                <w:color w:val="000000"/>
                <w:sz w:val="22"/>
                <w:szCs w:val="22"/>
              </w:rPr>
              <w:t>61</w:t>
            </w:r>
          </w:p>
        </w:tc>
        <w:tc>
          <w:tcPr>
            <w:tcW w:w="886" w:type="pct"/>
            <w:shd w:val="clear" w:color="auto" w:fill="auto"/>
            <w:vAlign w:val="center"/>
          </w:tcPr>
          <w:p w14:paraId="15360438" w14:textId="77777777" w:rsidR="00B315C5" w:rsidRPr="00B315C5" w:rsidRDefault="00B315C5" w:rsidP="004F4A00">
            <w:pPr>
              <w:ind w:left="-108"/>
              <w:jc w:val="center"/>
              <w:rPr>
                <w:rFonts w:ascii="Bookman Old Style" w:hAnsi="Bookman Old Style"/>
                <w:b/>
                <w:i/>
                <w:color w:val="000000"/>
                <w:sz w:val="22"/>
                <w:szCs w:val="22"/>
              </w:rPr>
            </w:pPr>
            <w:r w:rsidRPr="00B315C5">
              <w:rPr>
                <w:rFonts w:ascii="Bookman Old Style" w:hAnsi="Bookman Old Style"/>
                <w:b/>
                <w:i/>
                <w:color w:val="000000"/>
                <w:sz w:val="22"/>
                <w:szCs w:val="22"/>
              </w:rPr>
              <w:t>529</w:t>
            </w:r>
            <w:r w:rsidR="004F4A00">
              <w:rPr>
                <w:rFonts w:ascii="Bookman Old Style" w:hAnsi="Bookman Old Style"/>
                <w:b/>
                <w:i/>
                <w:color w:val="000000"/>
                <w:sz w:val="22"/>
                <w:szCs w:val="22"/>
              </w:rPr>
              <w:t>,</w:t>
            </w:r>
            <w:r w:rsidRPr="00B315C5">
              <w:rPr>
                <w:rFonts w:ascii="Bookman Old Style" w:hAnsi="Bookman Old Style"/>
                <w:b/>
                <w:i/>
                <w:color w:val="000000"/>
                <w:sz w:val="22"/>
                <w:szCs w:val="22"/>
              </w:rPr>
              <w:t>97</w:t>
            </w:r>
          </w:p>
        </w:tc>
        <w:tc>
          <w:tcPr>
            <w:tcW w:w="887" w:type="pct"/>
            <w:shd w:val="clear" w:color="auto" w:fill="auto"/>
            <w:vAlign w:val="center"/>
          </w:tcPr>
          <w:p w14:paraId="544C8F6A" w14:textId="77777777" w:rsidR="00B315C5" w:rsidRPr="00B315C5" w:rsidRDefault="00B315C5" w:rsidP="004F4A00">
            <w:pPr>
              <w:ind w:left="-108"/>
              <w:jc w:val="center"/>
              <w:rPr>
                <w:rFonts w:ascii="Bookman Old Style" w:hAnsi="Bookman Old Style"/>
                <w:b/>
                <w:i/>
                <w:color w:val="000000"/>
                <w:sz w:val="22"/>
                <w:szCs w:val="22"/>
              </w:rPr>
            </w:pPr>
            <w:r w:rsidRPr="00B315C5">
              <w:rPr>
                <w:rFonts w:ascii="Bookman Old Style" w:hAnsi="Bookman Old Style"/>
                <w:b/>
                <w:i/>
                <w:color w:val="000000"/>
                <w:sz w:val="22"/>
                <w:szCs w:val="22"/>
              </w:rPr>
              <w:t>500</w:t>
            </w:r>
            <w:r w:rsidR="004F4A00">
              <w:rPr>
                <w:rFonts w:ascii="Bookman Old Style" w:hAnsi="Bookman Old Style"/>
                <w:b/>
                <w:i/>
                <w:color w:val="000000"/>
                <w:sz w:val="22"/>
                <w:szCs w:val="22"/>
              </w:rPr>
              <w:t>,</w:t>
            </w:r>
            <w:r w:rsidRPr="00B315C5">
              <w:rPr>
                <w:rFonts w:ascii="Bookman Old Style" w:hAnsi="Bookman Old Style"/>
                <w:b/>
                <w:i/>
                <w:color w:val="000000"/>
                <w:sz w:val="22"/>
                <w:szCs w:val="22"/>
              </w:rPr>
              <w:t>85</w:t>
            </w:r>
          </w:p>
        </w:tc>
      </w:tr>
      <w:tr w:rsidR="00B315C5" w:rsidRPr="00103A23" w14:paraId="6F9449D4" w14:textId="77777777" w:rsidTr="00B315C5">
        <w:trPr>
          <w:trHeight w:val="421"/>
        </w:trPr>
        <w:tc>
          <w:tcPr>
            <w:tcW w:w="1873" w:type="pct"/>
            <w:vAlign w:val="center"/>
          </w:tcPr>
          <w:p w14:paraId="220A3983" w14:textId="77777777" w:rsidR="00B315C5" w:rsidRPr="00103A23" w:rsidRDefault="00B315C5" w:rsidP="00B315C5">
            <w:pPr>
              <w:pStyle w:val="Prrafodelista"/>
              <w:numPr>
                <w:ilvl w:val="0"/>
                <w:numId w:val="11"/>
              </w:numPr>
              <w:ind w:left="309" w:hanging="284"/>
              <w:rPr>
                <w:rFonts w:ascii="Bookman Old Style" w:hAnsi="Bookman Old Style"/>
                <w:i/>
                <w:sz w:val="22"/>
                <w:szCs w:val="22"/>
              </w:rPr>
            </w:pPr>
            <w:r w:rsidRPr="00103A23">
              <w:rPr>
                <w:rFonts w:ascii="Bookman Old Style" w:hAnsi="Bookman Old Style" w:cs="Arial"/>
                <w:i/>
                <w:sz w:val="22"/>
                <w:szCs w:val="22"/>
                <w:lang w:val="es-ES_tradnl"/>
              </w:rPr>
              <w:t xml:space="preserve">Componente de inversión, descontando el efecto del aporte de recursos públicos </w:t>
            </w:r>
          </w:p>
        </w:tc>
        <w:tc>
          <w:tcPr>
            <w:tcW w:w="468" w:type="pct"/>
            <w:vAlign w:val="center"/>
          </w:tcPr>
          <w:p w14:paraId="7D4D106E" w14:textId="77777777" w:rsidR="00B315C5" w:rsidRPr="00103A23" w:rsidRDefault="00B315C5" w:rsidP="00B315C5">
            <w:pPr>
              <w:ind w:left="43"/>
              <w:rPr>
                <w:rFonts w:ascii="Bookman Old Style" w:hAnsi="Bookman Old Style"/>
                <w:i/>
                <w:sz w:val="22"/>
                <w:szCs w:val="22"/>
              </w:rPr>
            </w:pPr>
            <w:r w:rsidRPr="00103A23">
              <w:rPr>
                <w:rFonts w:ascii="Bookman Old Style" w:hAnsi="Bookman Old Style" w:cs="Arial"/>
                <w:bCs/>
                <w:i/>
                <w:sz w:val="22"/>
                <w:szCs w:val="22"/>
                <w:lang w:val="es-ES_tradnl"/>
              </w:rPr>
              <w:t>$/m</w:t>
            </w:r>
            <w:r w:rsidRPr="00103A23">
              <w:rPr>
                <w:rFonts w:ascii="Bookman Old Style" w:hAnsi="Bookman Old Style" w:cs="Arial"/>
                <w:bCs/>
                <w:i/>
                <w:sz w:val="22"/>
                <w:szCs w:val="22"/>
                <w:vertAlign w:val="superscript"/>
                <w:lang w:val="es-ES_tradnl"/>
              </w:rPr>
              <w:t>3</w:t>
            </w:r>
          </w:p>
        </w:tc>
        <w:tc>
          <w:tcPr>
            <w:tcW w:w="886" w:type="pct"/>
            <w:tcBorders>
              <w:top w:val="single" w:sz="4" w:space="0" w:color="auto"/>
              <w:left w:val="nil"/>
              <w:bottom w:val="single" w:sz="4" w:space="0" w:color="auto"/>
              <w:right w:val="single" w:sz="4" w:space="0" w:color="auto"/>
            </w:tcBorders>
            <w:shd w:val="clear" w:color="auto" w:fill="auto"/>
            <w:vAlign w:val="center"/>
          </w:tcPr>
          <w:p w14:paraId="107C54DC" w14:textId="77777777" w:rsidR="00B315C5" w:rsidRPr="00B315C5" w:rsidRDefault="004F4A00" w:rsidP="00B315C5">
            <w:pPr>
              <w:ind w:left="-108"/>
              <w:jc w:val="center"/>
              <w:rPr>
                <w:rFonts w:ascii="Bookman Old Style" w:hAnsi="Bookman Old Style"/>
                <w:i/>
                <w:color w:val="000000"/>
                <w:sz w:val="22"/>
                <w:szCs w:val="22"/>
              </w:rPr>
            </w:pPr>
            <w:r>
              <w:rPr>
                <w:rFonts w:ascii="Bookman Old Style" w:hAnsi="Bookman Old Style"/>
                <w:i/>
                <w:color w:val="000000"/>
                <w:sz w:val="22"/>
                <w:szCs w:val="22"/>
              </w:rPr>
              <w:t>289,</w:t>
            </w:r>
            <w:r w:rsidR="00B315C5" w:rsidRPr="00B315C5">
              <w:rPr>
                <w:rFonts w:ascii="Bookman Old Style" w:hAnsi="Bookman Old Style"/>
                <w:i/>
                <w:color w:val="000000"/>
                <w:sz w:val="22"/>
                <w:szCs w:val="22"/>
              </w:rPr>
              <w:t>71</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0CD02A02" w14:textId="77777777" w:rsidR="00B315C5" w:rsidRPr="00B315C5" w:rsidRDefault="004F4A00" w:rsidP="00B315C5">
            <w:pPr>
              <w:ind w:left="-108"/>
              <w:jc w:val="center"/>
              <w:rPr>
                <w:rFonts w:ascii="Bookman Old Style" w:hAnsi="Bookman Old Style"/>
                <w:i/>
                <w:color w:val="000000"/>
                <w:sz w:val="22"/>
                <w:szCs w:val="22"/>
              </w:rPr>
            </w:pPr>
            <w:r>
              <w:rPr>
                <w:rFonts w:ascii="Bookman Old Style" w:hAnsi="Bookman Old Style"/>
                <w:i/>
                <w:color w:val="000000"/>
                <w:sz w:val="22"/>
                <w:szCs w:val="22"/>
              </w:rPr>
              <w:t>294,</w:t>
            </w:r>
            <w:r w:rsidR="00B315C5" w:rsidRPr="00B315C5">
              <w:rPr>
                <w:rFonts w:ascii="Bookman Old Style" w:hAnsi="Bookman Old Style"/>
                <w:i/>
                <w:color w:val="000000"/>
                <w:sz w:val="22"/>
                <w:szCs w:val="22"/>
              </w:rPr>
              <w:t>07</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28E8370A" w14:textId="77777777" w:rsidR="00B315C5" w:rsidRPr="00B315C5" w:rsidRDefault="004F4A00" w:rsidP="00B315C5">
            <w:pPr>
              <w:ind w:left="-108"/>
              <w:jc w:val="center"/>
              <w:rPr>
                <w:rFonts w:ascii="Bookman Old Style" w:hAnsi="Bookman Old Style"/>
                <w:i/>
                <w:color w:val="000000"/>
                <w:sz w:val="22"/>
                <w:szCs w:val="22"/>
              </w:rPr>
            </w:pPr>
            <w:r>
              <w:rPr>
                <w:rFonts w:ascii="Bookman Old Style" w:hAnsi="Bookman Old Style"/>
                <w:i/>
                <w:color w:val="000000"/>
                <w:sz w:val="22"/>
                <w:szCs w:val="22"/>
              </w:rPr>
              <w:t>264,</w:t>
            </w:r>
            <w:r w:rsidR="00B315C5" w:rsidRPr="00B315C5">
              <w:rPr>
                <w:rFonts w:ascii="Bookman Old Style" w:hAnsi="Bookman Old Style"/>
                <w:i/>
                <w:color w:val="000000"/>
                <w:sz w:val="22"/>
                <w:szCs w:val="22"/>
              </w:rPr>
              <w:t>95</w:t>
            </w:r>
          </w:p>
        </w:tc>
      </w:tr>
      <w:tr w:rsidR="00442FE3" w:rsidRPr="00103A23" w14:paraId="1F4C0222" w14:textId="77777777" w:rsidTr="00B315C5">
        <w:trPr>
          <w:trHeight w:val="455"/>
        </w:trPr>
        <w:tc>
          <w:tcPr>
            <w:tcW w:w="1873" w:type="pct"/>
            <w:vAlign w:val="center"/>
          </w:tcPr>
          <w:p w14:paraId="26E149FF" w14:textId="77777777" w:rsidR="00442FE3" w:rsidRPr="00103A23" w:rsidRDefault="00442FE3" w:rsidP="00442FE3">
            <w:pPr>
              <w:pStyle w:val="Prrafodelista"/>
              <w:numPr>
                <w:ilvl w:val="0"/>
                <w:numId w:val="11"/>
              </w:numPr>
              <w:ind w:left="309" w:hanging="284"/>
              <w:rPr>
                <w:rFonts w:ascii="Bookman Old Style" w:hAnsi="Bookman Old Style"/>
                <w:i/>
                <w:sz w:val="22"/>
                <w:szCs w:val="22"/>
              </w:rPr>
            </w:pPr>
            <w:r w:rsidRPr="00103A23">
              <w:rPr>
                <w:rFonts w:ascii="Bookman Old Style" w:hAnsi="Bookman Old Style" w:cs="Arial"/>
                <w:i/>
                <w:sz w:val="22"/>
                <w:szCs w:val="22"/>
                <w:lang w:val="es-ES_tradnl"/>
              </w:rPr>
              <w:t>Componente Gastos AOM</w:t>
            </w:r>
          </w:p>
        </w:tc>
        <w:tc>
          <w:tcPr>
            <w:tcW w:w="468" w:type="pct"/>
            <w:vAlign w:val="center"/>
          </w:tcPr>
          <w:p w14:paraId="2BE07868" w14:textId="77777777" w:rsidR="00442FE3" w:rsidRPr="00103A23" w:rsidRDefault="00442FE3" w:rsidP="00442FE3">
            <w:pPr>
              <w:ind w:left="43"/>
              <w:rPr>
                <w:rFonts w:ascii="Bookman Old Style" w:hAnsi="Bookman Old Style"/>
                <w:i/>
                <w:sz w:val="22"/>
                <w:szCs w:val="22"/>
              </w:rPr>
            </w:pPr>
            <w:r w:rsidRPr="00103A23">
              <w:rPr>
                <w:rFonts w:ascii="Bookman Old Style" w:hAnsi="Bookman Old Style" w:cs="Arial"/>
                <w:bCs/>
                <w:i/>
                <w:sz w:val="22"/>
                <w:szCs w:val="22"/>
                <w:lang w:val="es-ES_tradnl"/>
              </w:rPr>
              <w:t>$/m</w:t>
            </w:r>
            <w:r w:rsidRPr="00103A23">
              <w:rPr>
                <w:rFonts w:ascii="Bookman Old Style" w:hAnsi="Bookman Old Style" w:cs="Arial"/>
                <w:bCs/>
                <w:i/>
                <w:sz w:val="22"/>
                <w:szCs w:val="22"/>
                <w:vertAlign w:val="superscript"/>
                <w:lang w:val="es-ES_tradnl"/>
              </w:rPr>
              <w:t>3</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5D77ED2B" w14:textId="77777777" w:rsidR="00442FE3" w:rsidRPr="00442FE3" w:rsidRDefault="004F4A00" w:rsidP="00442FE3">
            <w:pPr>
              <w:ind w:left="-108"/>
              <w:jc w:val="center"/>
              <w:rPr>
                <w:rFonts w:ascii="Bookman Old Style" w:hAnsi="Bookman Old Style"/>
                <w:i/>
                <w:color w:val="000000"/>
                <w:sz w:val="22"/>
                <w:szCs w:val="22"/>
              </w:rPr>
            </w:pPr>
            <w:r>
              <w:rPr>
                <w:rFonts w:ascii="Bookman Old Style" w:hAnsi="Bookman Old Style"/>
                <w:i/>
                <w:color w:val="000000"/>
                <w:sz w:val="22"/>
                <w:szCs w:val="22"/>
              </w:rPr>
              <w:t>235,</w:t>
            </w:r>
            <w:r w:rsidR="00442FE3" w:rsidRPr="00442FE3">
              <w:rPr>
                <w:rFonts w:ascii="Bookman Old Style" w:hAnsi="Bookman Old Style"/>
                <w:i/>
                <w:color w:val="000000"/>
                <w:sz w:val="22"/>
                <w:szCs w:val="22"/>
              </w:rPr>
              <w:t>90</w:t>
            </w:r>
          </w:p>
        </w:tc>
        <w:tc>
          <w:tcPr>
            <w:tcW w:w="886" w:type="pct"/>
            <w:tcBorders>
              <w:top w:val="single" w:sz="4" w:space="0" w:color="auto"/>
              <w:left w:val="nil"/>
              <w:bottom w:val="single" w:sz="4" w:space="0" w:color="auto"/>
              <w:right w:val="single" w:sz="4" w:space="0" w:color="auto"/>
            </w:tcBorders>
            <w:shd w:val="clear" w:color="auto" w:fill="auto"/>
            <w:vAlign w:val="center"/>
          </w:tcPr>
          <w:p w14:paraId="5CD27E16" w14:textId="77777777" w:rsidR="00442FE3" w:rsidRPr="00442FE3" w:rsidRDefault="004F4A00" w:rsidP="00442FE3">
            <w:pPr>
              <w:ind w:left="-108"/>
              <w:jc w:val="center"/>
              <w:rPr>
                <w:rFonts w:ascii="Bookman Old Style" w:hAnsi="Bookman Old Style"/>
                <w:i/>
                <w:color w:val="000000"/>
                <w:sz w:val="22"/>
                <w:szCs w:val="22"/>
              </w:rPr>
            </w:pPr>
            <w:r>
              <w:rPr>
                <w:rFonts w:ascii="Bookman Old Style" w:hAnsi="Bookman Old Style"/>
                <w:i/>
                <w:color w:val="000000"/>
                <w:sz w:val="22"/>
                <w:szCs w:val="22"/>
              </w:rPr>
              <w:t>235,</w:t>
            </w:r>
            <w:r w:rsidR="00442FE3" w:rsidRPr="00442FE3">
              <w:rPr>
                <w:rFonts w:ascii="Bookman Old Style" w:hAnsi="Bookman Old Style"/>
                <w:i/>
                <w:color w:val="000000"/>
                <w:sz w:val="22"/>
                <w:szCs w:val="22"/>
              </w:rPr>
              <w:t>90</w:t>
            </w:r>
          </w:p>
        </w:tc>
        <w:tc>
          <w:tcPr>
            <w:tcW w:w="887" w:type="pct"/>
            <w:tcBorders>
              <w:top w:val="single" w:sz="4" w:space="0" w:color="auto"/>
              <w:left w:val="nil"/>
              <w:bottom w:val="single" w:sz="4" w:space="0" w:color="auto"/>
              <w:right w:val="single" w:sz="4" w:space="0" w:color="auto"/>
            </w:tcBorders>
            <w:shd w:val="clear" w:color="auto" w:fill="auto"/>
            <w:vAlign w:val="center"/>
          </w:tcPr>
          <w:p w14:paraId="123BE850" w14:textId="77777777" w:rsidR="00442FE3" w:rsidRPr="00442FE3" w:rsidRDefault="00442FE3" w:rsidP="004F4A00">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w:t>
            </w:r>
            <w:r w:rsidR="004F4A00">
              <w:rPr>
                <w:rFonts w:ascii="Bookman Old Style" w:hAnsi="Bookman Old Style"/>
                <w:i/>
                <w:color w:val="000000"/>
                <w:sz w:val="22"/>
                <w:szCs w:val="22"/>
              </w:rPr>
              <w:t>,</w:t>
            </w:r>
            <w:r w:rsidRPr="00442FE3">
              <w:rPr>
                <w:rFonts w:ascii="Bookman Old Style" w:hAnsi="Bookman Old Style"/>
                <w:i/>
                <w:color w:val="000000"/>
                <w:sz w:val="22"/>
                <w:szCs w:val="22"/>
              </w:rPr>
              <w:t>90</w:t>
            </w:r>
          </w:p>
        </w:tc>
      </w:tr>
    </w:tbl>
    <w:p w14:paraId="41FA8740" w14:textId="77777777" w:rsidR="00FE6A6E" w:rsidRPr="00103A23" w:rsidRDefault="00FE6A6E" w:rsidP="00FE6A6E">
      <w:pPr>
        <w:widowControl w:val="0"/>
        <w:adjustRightInd w:val="0"/>
        <w:ind w:left="0" w:right="20" w:firstLine="284"/>
        <w:jc w:val="both"/>
        <w:rPr>
          <w:rFonts w:ascii="Bookman Old Style" w:hAnsi="Bookman Old Style" w:cs="Arial"/>
          <w:i/>
          <w:sz w:val="18"/>
          <w:lang w:val="es-CO" w:eastAsia="x-none"/>
        </w:rPr>
      </w:pPr>
      <w:r w:rsidRPr="00103A23">
        <w:rPr>
          <w:rFonts w:ascii="Bookman Old Style" w:hAnsi="Bookman Old Style" w:cs="Arial"/>
          <w:i/>
          <w:sz w:val="18"/>
          <w:lang w:val="x-none" w:eastAsia="x-none"/>
        </w:rPr>
        <w:t>Cifras en pesos del 31 de diciembre de 20</w:t>
      </w:r>
      <w:r w:rsidRPr="00103A23">
        <w:rPr>
          <w:rFonts w:ascii="Bookman Old Style" w:hAnsi="Bookman Old Style" w:cs="Arial"/>
          <w:i/>
          <w:sz w:val="18"/>
          <w:lang w:val="es-CO" w:eastAsia="x-none"/>
        </w:rPr>
        <w:t>14</w:t>
      </w:r>
    </w:p>
    <w:p w14:paraId="4323853B" w14:textId="77777777" w:rsidR="00FE6A6E" w:rsidRPr="00103A23" w:rsidRDefault="00FE6A6E" w:rsidP="00FE6A6E">
      <w:pPr>
        <w:widowControl w:val="0"/>
        <w:adjustRightInd w:val="0"/>
        <w:ind w:left="0" w:right="20"/>
        <w:jc w:val="both"/>
        <w:rPr>
          <w:rFonts w:ascii="Bookman Old Style" w:hAnsi="Bookman Old Style" w:cs="Arial"/>
          <w:i/>
          <w:sz w:val="22"/>
          <w:szCs w:val="22"/>
          <w:lang w:val="es-CO" w:eastAsia="x-none"/>
        </w:rPr>
      </w:pPr>
    </w:p>
    <w:p w14:paraId="44BB0040" w14:textId="77777777" w:rsidR="00FE6A6E" w:rsidRPr="00103A23" w:rsidRDefault="00FE6A6E" w:rsidP="00FE6A6E">
      <w:pPr>
        <w:widowControl w:val="0"/>
        <w:adjustRightInd w:val="0"/>
        <w:ind w:left="284" w:right="20"/>
        <w:jc w:val="both"/>
        <w:rPr>
          <w:rFonts w:ascii="Bookman Old Style" w:hAnsi="Bookman Old Style" w:cs="Arial"/>
          <w:i/>
          <w:sz w:val="22"/>
          <w:szCs w:val="22"/>
        </w:rPr>
      </w:pPr>
      <w:r w:rsidRPr="00103A23">
        <w:rPr>
          <w:rFonts w:ascii="Bookman Old Style" w:hAnsi="Bookman Old Style" w:cs="Arial"/>
          <w:b/>
          <w:i/>
          <w:sz w:val="22"/>
          <w:szCs w:val="22"/>
        </w:rPr>
        <w:t xml:space="preserve">5.1.2. </w:t>
      </w:r>
      <w:r w:rsidRPr="00103A23">
        <w:rPr>
          <w:rFonts w:ascii="Bookman Old Style" w:hAnsi="Bookman Old Style" w:cs="Arial"/>
          <w:i/>
          <w:sz w:val="22"/>
          <w:szCs w:val="22"/>
        </w:rPr>
        <w:t>Para el municipio de Albania en el departamento de La Guajira, los cargos transitorios aplicables son:</w:t>
      </w:r>
    </w:p>
    <w:p w14:paraId="55056C98" w14:textId="77777777" w:rsidR="00FE6A6E" w:rsidRPr="00103A23" w:rsidRDefault="00FE6A6E" w:rsidP="00FE6A6E">
      <w:pPr>
        <w:widowControl w:val="0"/>
        <w:adjustRightInd w:val="0"/>
        <w:ind w:left="284" w:right="20"/>
        <w:jc w:val="both"/>
        <w:rPr>
          <w:rFonts w:ascii="Bookman Old Style" w:hAnsi="Bookman Old Style" w:cs="Arial"/>
          <w:i/>
          <w:sz w:val="22"/>
          <w:szCs w:val="22"/>
        </w:rPr>
      </w:pP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809"/>
        <w:gridCol w:w="1581"/>
        <w:gridCol w:w="1581"/>
        <w:gridCol w:w="1578"/>
      </w:tblGrid>
      <w:tr w:rsidR="00FE6A6E" w:rsidRPr="00103A23" w14:paraId="1640817F" w14:textId="77777777" w:rsidTr="00FE6A6E">
        <w:trPr>
          <w:trHeight w:val="122"/>
          <w:tblHeader/>
        </w:trPr>
        <w:tc>
          <w:tcPr>
            <w:tcW w:w="5000" w:type="pct"/>
            <w:gridSpan w:val="5"/>
            <w:shd w:val="clear" w:color="auto" w:fill="D9D9D9" w:themeFill="background1" w:themeFillShade="D9"/>
            <w:vAlign w:val="center"/>
          </w:tcPr>
          <w:p w14:paraId="4C23D8C9" w14:textId="77777777" w:rsidR="00FE6A6E" w:rsidRPr="00103A23" w:rsidRDefault="00FE6A6E" w:rsidP="0088380D">
            <w:pPr>
              <w:ind w:left="-115"/>
              <w:jc w:val="center"/>
              <w:rPr>
                <w:rFonts w:ascii="Bookman Old Style" w:hAnsi="Bookman Old Style"/>
                <w:b/>
                <w:i/>
                <w:sz w:val="22"/>
                <w:szCs w:val="22"/>
              </w:rPr>
            </w:pPr>
            <w:r w:rsidRPr="00103A23">
              <w:rPr>
                <w:rFonts w:ascii="Bookman Old Style" w:hAnsi="Bookman Old Style"/>
                <w:b/>
                <w:i/>
                <w:sz w:val="22"/>
                <w:szCs w:val="22"/>
              </w:rPr>
              <w:t>Usuarios de Uso Residencial</w:t>
            </w:r>
          </w:p>
        </w:tc>
      </w:tr>
      <w:tr w:rsidR="00FE6A6E" w:rsidRPr="00103A23" w14:paraId="658DE850" w14:textId="77777777" w:rsidTr="00B315C5">
        <w:trPr>
          <w:trHeight w:val="119"/>
          <w:tblHeader/>
        </w:trPr>
        <w:tc>
          <w:tcPr>
            <w:tcW w:w="1940" w:type="pct"/>
            <w:shd w:val="clear" w:color="auto" w:fill="D9D9D9" w:themeFill="background1" w:themeFillShade="D9"/>
            <w:vAlign w:val="center"/>
          </w:tcPr>
          <w:p w14:paraId="43B49CE2" w14:textId="77777777" w:rsidR="00FE6A6E" w:rsidRPr="00103A23" w:rsidRDefault="00FE6A6E" w:rsidP="0088380D">
            <w:pPr>
              <w:ind w:left="0"/>
              <w:jc w:val="center"/>
              <w:rPr>
                <w:rFonts w:ascii="Bookman Old Style" w:hAnsi="Bookman Old Style"/>
                <w:i/>
                <w:sz w:val="22"/>
                <w:szCs w:val="22"/>
              </w:rPr>
            </w:pPr>
            <w:r w:rsidRPr="00103A23">
              <w:rPr>
                <w:rFonts w:ascii="Bookman Old Style" w:hAnsi="Bookman Old Style" w:cs="Arial"/>
                <w:b/>
                <w:bCs/>
                <w:i/>
                <w:sz w:val="22"/>
                <w:szCs w:val="22"/>
                <w:lang w:val="es-ES_tradnl"/>
              </w:rPr>
              <w:t>Componente</w:t>
            </w:r>
          </w:p>
        </w:tc>
        <w:tc>
          <w:tcPr>
            <w:tcW w:w="446" w:type="pct"/>
            <w:shd w:val="clear" w:color="auto" w:fill="D9D9D9" w:themeFill="background1" w:themeFillShade="D9"/>
          </w:tcPr>
          <w:p w14:paraId="02F36957" w14:textId="77777777" w:rsidR="00FE6A6E" w:rsidRPr="00103A23" w:rsidRDefault="00FE6A6E" w:rsidP="0088380D">
            <w:pPr>
              <w:ind w:left="-112"/>
              <w:jc w:val="center"/>
              <w:rPr>
                <w:rFonts w:ascii="Bookman Old Style" w:hAnsi="Bookman Old Style"/>
                <w:b/>
                <w:i/>
                <w:sz w:val="22"/>
                <w:szCs w:val="22"/>
              </w:rPr>
            </w:pPr>
          </w:p>
        </w:tc>
        <w:tc>
          <w:tcPr>
            <w:tcW w:w="872" w:type="pct"/>
            <w:tcBorders>
              <w:bottom w:val="single" w:sz="4" w:space="0" w:color="auto"/>
            </w:tcBorders>
            <w:shd w:val="clear" w:color="auto" w:fill="D9D9D9" w:themeFill="background1" w:themeFillShade="D9"/>
            <w:vAlign w:val="center"/>
          </w:tcPr>
          <w:p w14:paraId="4F1CDCE9" w14:textId="77777777" w:rsidR="00FE6A6E" w:rsidRPr="00103A23" w:rsidRDefault="00FE6A6E" w:rsidP="0088380D">
            <w:pPr>
              <w:ind w:left="-112"/>
              <w:jc w:val="center"/>
              <w:rPr>
                <w:rFonts w:ascii="Bookman Old Style" w:hAnsi="Bookman Old Style"/>
                <w:b/>
                <w:i/>
                <w:sz w:val="22"/>
                <w:szCs w:val="22"/>
              </w:rPr>
            </w:pPr>
            <w:r w:rsidRPr="00103A23">
              <w:rPr>
                <w:rFonts w:ascii="Bookman Old Style" w:hAnsi="Bookman Old Style"/>
                <w:b/>
                <w:i/>
                <w:sz w:val="22"/>
                <w:szCs w:val="22"/>
              </w:rPr>
              <w:t>2017</w:t>
            </w:r>
          </w:p>
        </w:tc>
        <w:tc>
          <w:tcPr>
            <w:tcW w:w="872" w:type="pct"/>
            <w:tcBorders>
              <w:bottom w:val="single" w:sz="4" w:space="0" w:color="auto"/>
            </w:tcBorders>
            <w:shd w:val="clear" w:color="auto" w:fill="D9D9D9" w:themeFill="background1" w:themeFillShade="D9"/>
            <w:vAlign w:val="center"/>
          </w:tcPr>
          <w:p w14:paraId="2153BA3B" w14:textId="77777777" w:rsidR="00FE6A6E" w:rsidRPr="00103A23" w:rsidRDefault="00FE6A6E" w:rsidP="0088380D">
            <w:pPr>
              <w:ind w:left="-112"/>
              <w:jc w:val="center"/>
              <w:rPr>
                <w:rFonts w:ascii="Bookman Old Style" w:hAnsi="Bookman Old Style"/>
                <w:b/>
                <w:i/>
                <w:sz w:val="22"/>
                <w:szCs w:val="22"/>
              </w:rPr>
            </w:pPr>
            <w:r w:rsidRPr="00103A23">
              <w:rPr>
                <w:rFonts w:ascii="Bookman Old Style" w:hAnsi="Bookman Old Style"/>
                <w:b/>
                <w:i/>
                <w:sz w:val="22"/>
                <w:szCs w:val="22"/>
              </w:rPr>
              <w:t>2018</w:t>
            </w:r>
          </w:p>
        </w:tc>
        <w:tc>
          <w:tcPr>
            <w:tcW w:w="870" w:type="pct"/>
            <w:tcBorders>
              <w:bottom w:val="single" w:sz="4" w:space="0" w:color="auto"/>
            </w:tcBorders>
            <w:shd w:val="clear" w:color="auto" w:fill="D9D9D9" w:themeFill="background1" w:themeFillShade="D9"/>
            <w:vAlign w:val="center"/>
          </w:tcPr>
          <w:p w14:paraId="241C1CE9" w14:textId="77777777" w:rsidR="00FE6A6E" w:rsidRPr="00103A23" w:rsidRDefault="00FE6A6E" w:rsidP="0088380D">
            <w:pPr>
              <w:ind w:left="-18"/>
              <w:jc w:val="center"/>
              <w:rPr>
                <w:rFonts w:ascii="Bookman Old Style" w:hAnsi="Bookman Old Style"/>
                <w:b/>
                <w:i/>
                <w:sz w:val="22"/>
                <w:szCs w:val="22"/>
              </w:rPr>
            </w:pPr>
            <w:r w:rsidRPr="00103A23">
              <w:rPr>
                <w:rFonts w:ascii="Bookman Old Style" w:hAnsi="Bookman Old Style"/>
                <w:b/>
                <w:i/>
                <w:sz w:val="22"/>
                <w:szCs w:val="22"/>
              </w:rPr>
              <w:t>2019 - 2020 - 2021</w:t>
            </w:r>
          </w:p>
        </w:tc>
      </w:tr>
      <w:tr w:rsidR="004F4A00" w:rsidRPr="00103A23" w14:paraId="42AA7385" w14:textId="77777777" w:rsidTr="004F4A00">
        <w:trPr>
          <w:trHeight w:val="421"/>
        </w:trPr>
        <w:tc>
          <w:tcPr>
            <w:tcW w:w="1940" w:type="pct"/>
            <w:vAlign w:val="center"/>
          </w:tcPr>
          <w:p w14:paraId="101644D2" w14:textId="77777777" w:rsidR="004F4A00" w:rsidRPr="00103A23" w:rsidRDefault="004F4A00" w:rsidP="004F4A00">
            <w:pPr>
              <w:widowControl w:val="0"/>
              <w:adjustRightInd w:val="0"/>
              <w:ind w:left="0" w:right="20"/>
              <w:rPr>
                <w:rFonts w:ascii="Bookman Old Style" w:hAnsi="Bookman Old Style"/>
                <w:i/>
                <w:sz w:val="22"/>
                <w:szCs w:val="22"/>
              </w:rPr>
            </w:pPr>
            <w:r w:rsidRPr="00103A23">
              <w:rPr>
                <w:rFonts w:ascii="Bookman Old Style" w:hAnsi="Bookman Old Style" w:cs="Arial"/>
                <w:b/>
                <w:i/>
                <w:sz w:val="22"/>
                <w:szCs w:val="22"/>
                <w:lang w:val="es-ES_tradnl"/>
              </w:rPr>
              <w:t>Cargo de distribución Total</w:t>
            </w:r>
          </w:p>
        </w:tc>
        <w:tc>
          <w:tcPr>
            <w:tcW w:w="446" w:type="pct"/>
            <w:vAlign w:val="center"/>
          </w:tcPr>
          <w:p w14:paraId="415AD427" w14:textId="77777777" w:rsidR="004F4A00" w:rsidRPr="00103A23" w:rsidRDefault="004F4A00" w:rsidP="004F4A00">
            <w:pPr>
              <w:ind w:left="43"/>
              <w:rPr>
                <w:rFonts w:ascii="Bookman Old Style" w:hAnsi="Bookman Old Style"/>
                <w:i/>
                <w:sz w:val="22"/>
                <w:szCs w:val="22"/>
              </w:rPr>
            </w:pPr>
            <w:r w:rsidRPr="00103A23">
              <w:rPr>
                <w:rFonts w:ascii="Bookman Old Style" w:hAnsi="Bookman Old Style" w:cs="Arial"/>
                <w:b/>
                <w:bCs/>
                <w:i/>
                <w:sz w:val="22"/>
                <w:szCs w:val="22"/>
                <w:lang w:val="es-ES_tradnl"/>
              </w:rPr>
              <w:t>$/m</w:t>
            </w:r>
            <w:r w:rsidRPr="00103A23">
              <w:rPr>
                <w:rFonts w:ascii="Bookman Old Style" w:hAnsi="Bookman Old Style" w:cs="Arial"/>
                <w:b/>
                <w:bCs/>
                <w:i/>
                <w:sz w:val="22"/>
                <w:szCs w:val="22"/>
                <w:vertAlign w:val="superscript"/>
                <w:lang w:val="es-ES_tradnl"/>
              </w:rPr>
              <w:t>3</w:t>
            </w:r>
          </w:p>
        </w:tc>
        <w:tc>
          <w:tcPr>
            <w:tcW w:w="872" w:type="pct"/>
            <w:tcBorders>
              <w:bottom w:val="single" w:sz="4" w:space="0" w:color="auto"/>
            </w:tcBorders>
            <w:shd w:val="clear" w:color="auto" w:fill="auto"/>
            <w:vAlign w:val="center"/>
          </w:tcPr>
          <w:p w14:paraId="5489A7EB" w14:textId="77777777" w:rsidR="004F4A00" w:rsidRPr="004F4A00" w:rsidRDefault="004F4A00" w:rsidP="004F4A00">
            <w:pPr>
              <w:ind w:left="-108"/>
              <w:jc w:val="center"/>
              <w:rPr>
                <w:rFonts w:ascii="Bookman Old Style" w:hAnsi="Bookman Old Style"/>
                <w:b/>
                <w:i/>
                <w:color w:val="000000"/>
                <w:sz w:val="22"/>
                <w:szCs w:val="22"/>
              </w:rPr>
            </w:pPr>
            <w:r w:rsidRPr="004F4A00">
              <w:rPr>
                <w:rFonts w:ascii="Bookman Old Style" w:hAnsi="Bookman Old Style"/>
                <w:b/>
                <w:i/>
                <w:color w:val="000000"/>
                <w:sz w:val="22"/>
                <w:szCs w:val="22"/>
              </w:rPr>
              <w:t>593</w:t>
            </w:r>
            <w:r>
              <w:rPr>
                <w:rFonts w:ascii="Bookman Old Style" w:hAnsi="Bookman Old Style"/>
                <w:b/>
                <w:i/>
                <w:color w:val="000000"/>
                <w:sz w:val="22"/>
                <w:szCs w:val="22"/>
              </w:rPr>
              <w:t>,</w:t>
            </w:r>
            <w:r w:rsidRPr="004F4A00">
              <w:rPr>
                <w:rFonts w:ascii="Bookman Old Style" w:hAnsi="Bookman Old Style"/>
                <w:b/>
                <w:i/>
                <w:color w:val="000000"/>
                <w:sz w:val="22"/>
                <w:szCs w:val="22"/>
              </w:rPr>
              <w:t>54</w:t>
            </w:r>
          </w:p>
        </w:tc>
        <w:tc>
          <w:tcPr>
            <w:tcW w:w="872" w:type="pct"/>
            <w:tcBorders>
              <w:bottom w:val="single" w:sz="4" w:space="0" w:color="auto"/>
            </w:tcBorders>
            <w:shd w:val="clear" w:color="auto" w:fill="auto"/>
            <w:vAlign w:val="center"/>
          </w:tcPr>
          <w:p w14:paraId="3FFBD4B6" w14:textId="77777777" w:rsidR="004F4A00" w:rsidRPr="004F4A00" w:rsidRDefault="004F4A00" w:rsidP="004F4A00">
            <w:pPr>
              <w:ind w:left="-108"/>
              <w:jc w:val="center"/>
              <w:rPr>
                <w:rFonts w:ascii="Bookman Old Style" w:hAnsi="Bookman Old Style"/>
                <w:b/>
                <w:i/>
                <w:color w:val="000000"/>
                <w:sz w:val="22"/>
                <w:szCs w:val="22"/>
              </w:rPr>
            </w:pPr>
            <w:r w:rsidRPr="004F4A00">
              <w:rPr>
                <w:rFonts w:ascii="Bookman Old Style" w:hAnsi="Bookman Old Style"/>
                <w:b/>
                <w:i/>
                <w:color w:val="000000"/>
                <w:sz w:val="22"/>
                <w:szCs w:val="22"/>
              </w:rPr>
              <w:t>598</w:t>
            </w:r>
            <w:r>
              <w:rPr>
                <w:rFonts w:ascii="Bookman Old Style" w:hAnsi="Bookman Old Style"/>
                <w:b/>
                <w:i/>
                <w:color w:val="000000"/>
                <w:sz w:val="22"/>
                <w:szCs w:val="22"/>
              </w:rPr>
              <w:t>,</w:t>
            </w:r>
            <w:r w:rsidRPr="004F4A00">
              <w:rPr>
                <w:rFonts w:ascii="Bookman Old Style" w:hAnsi="Bookman Old Style"/>
                <w:b/>
                <w:i/>
                <w:color w:val="000000"/>
                <w:sz w:val="22"/>
                <w:szCs w:val="22"/>
              </w:rPr>
              <w:t>92</w:t>
            </w:r>
          </w:p>
        </w:tc>
        <w:tc>
          <w:tcPr>
            <w:tcW w:w="870" w:type="pct"/>
            <w:tcBorders>
              <w:bottom w:val="single" w:sz="4" w:space="0" w:color="auto"/>
            </w:tcBorders>
            <w:shd w:val="clear" w:color="auto" w:fill="auto"/>
            <w:vAlign w:val="center"/>
          </w:tcPr>
          <w:p w14:paraId="3B1C2B00" w14:textId="77777777" w:rsidR="004F4A00" w:rsidRPr="004F4A00" w:rsidRDefault="004F4A00" w:rsidP="004F4A00">
            <w:pPr>
              <w:ind w:left="-108"/>
              <w:jc w:val="center"/>
              <w:rPr>
                <w:rFonts w:ascii="Bookman Old Style" w:hAnsi="Bookman Old Style"/>
                <w:b/>
                <w:i/>
                <w:color w:val="000000"/>
                <w:sz w:val="22"/>
                <w:szCs w:val="22"/>
              </w:rPr>
            </w:pPr>
            <w:r w:rsidRPr="004F4A00">
              <w:rPr>
                <w:rFonts w:ascii="Bookman Old Style" w:hAnsi="Bookman Old Style"/>
                <w:b/>
                <w:i/>
                <w:color w:val="000000"/>
                <w:sz w:val="22"/>
                <w:szCs w:val="22"/>
              </w:rPr>
              <w:t>562</w:t>
            </w:r>
            <w:r>
              <w:rPr>
                <w:rFonts w:ascii="Bookman Old Style" w:hAnsi="Bookman Old Style"/>
                <w:b/>
                <w:i/>
                <w:color w:val="000000"/>
                <w:sz w:val="22"/>
                <w:szCs w:val="22"/>
              </w:rPr>
              <w:t>,</w:t>
            </w:r>
            <w:r w:rsidRPr="004F4A00">
              <w:rPr>
                <w:rFonts w:ascii="Bookman Old Style" w:hAnsi="Bookman Old Style"/>
                <w:b/>
                <w:i/>
                <w:color w:val="000000"/>
                <w:sz w:val="22"/>
                <w:szCs w:val="22"/>
              </w:rPr>
              <w:t>97</w:t>
            </w:r>
          </w:p>
        </w:tc>
      </w:tr>
      <w:tr w:rsidR="00B315C5" w:rsidRPr="00103A23" w14:paraId="29993A5A" w14:textId="77777777" w:rsidTr="004F4A00">
        <w:trPr>
          <w:trHeight w:val="421"/>
        </w:trPr>
        <w:tc>
          <w:tcPr>
            <w:tcW w:w="1940" w:type="pct"/>
            <w:vAlign w:val="center"/>
          </w:tcPr>
          <w:p w14:paraId="201E8AF6" w14:textId="77777777" w:rsidR="00B315C5" w:rsidRPr="00103A23" w:rsidRDefault="00B315C5" w:rsidP="00B315C5">
            <w:pPr>
              <w:pStyle w:val="Prrafodelista"/>
              <w:numPr>
                <w:ilvl w:val="0"/>
                <w:numId w:val="11"/>
              </w:numPr>
              <w:ind w:left="309" w:hanging="284"/>
              <w:rPr>
                <w:rFonts w:ascii="Bookman Old Style" w:hAnsi="Bookman Old Style"/>
                <w:i/>
                <w:sz w:val="22"/>
                <w:szCs w:val="22"/>
              </w:rPr>
            </w:pPr>
            <w:r w:rsidRPr="00103A23">
              <w:rPr>
                <w:rFonts w:ascii="Bookman Old Style" w:hAnsi="Bookman Old Style" w:cs="Arial"/>
                <w:i/>
                <w:sz w:val="22"/>
                <w:szCs w:val="22"/>
                <w:lang w:val="es-ES_tradnl"/>
              </w:rPr>
              <w:t xml:space="preserve">Componente de inversión, descontando el efecto del aporte de recursos públicos </w:t>
            </w:r>
          </w:p>
        </w:tc>
        <w:tc>
          <w:tcPr>
            <w:tcW w:w="446" w:type="pct"/>
            <w:vAlign w:val="center"/>
          </w:tcPr>
          <w:p w14:paraId="4EC5CA72" w14:textId="77777777" w:rsidR="00B315C5" w:rsidRPr="00103A23" w:rsidRDefault="00B315C5" w:rsidP="00B315C5">
            <w:pPr>
              <w:ind w:left="43"/>
              <w:rPr>
                <w:rFonts w:ascii="Bookman Old Style" w:hAnsi="Bookman Old Style"/>
                <w:i/>
                <w:sz w:val="22"/>
                <w:szCs w:val="22"/>
              </w:rPr>
            </w:pPr>
            <w:r w:rsidRPr="00103A23">
              <w:rPr>
                <w:rFonts w:ascii="Bookman Old Style" w:hAnsi="Bookman Old Style" w:cs="Arial"/>
                <w:bCs/>
                <w:i/>
                <w:sz w:val="22"/>
                <w:szCs w:val="22"/>
                <w:lang w:val="es-ES_tradnl"/>
              </w:rPr>
              <w:t>$/m</w:t>
            </w:r>
            <w:r w:rsidRPr="00103A23">
              <w:rPr>
                <w:rFonts w:ascii="Bookman Old Style" w:hAnsi="Bookman Old Style" w:cs="Arial"/>
                <w:bCs/>
                <w:i/>
                <w:sz w:val="22"/>
                <w:szCs w:val="22"/>
                <w:vertAlign w:val="superscript"/>
                <w:lang w:val="es-ES_tradnl"/>
              </w:rPr>
              <w:t>3</w:t>
            </w:r>
          </w:p>
        </w:tc>
        <w:tc>
          <w:tcPr>
            <w:tcW w:w="872" w:type="pct"/>
            <w:tcBorders>
              <w:top w:val="single" w:sz="4" w:space="0" w:color="auto"/>
              <w:left w:val="nil"/>
              <w:bottom w:val="single" w:sz="4" w:space="0" w:color="auto"/>
              <w:right w:val="single" w:sz="4" w:space="0" w:color="auto"/>
            </w:tcBorders>
            <w:shd w:val="clear" w:color="auto" w:fill="auto"/>
            <w:vAlign w:val="center"/>
          </w:tcPr>
          <w:p w14:paraId="14F45168" w14:textId="77777777" w:rsidR="00B315C5" w:rsidRPr="004F4A00" w:rsidRDefault="00B315C5" w:rsidP="004F4A00">
            <w:pPr>
              <w:ind w:left="-108"/>
              <w:jc w:val="center"/>
              <w:rPr>
                <w:rFonts w:ascii="Bookman Old Style" w:hAnsi="Bookman Old Style"/>
                <w:i/>
                <w:color w:val="000000"/>
                <w:sz w:val="22"/>
                <w:szCs w:val="22"/>
              </w:rPr>
            </w:pPr>
            <w:r w:rsidRPr="004F4A00">
              <w:rPr>
                <w:rFonts w:ascii="Bookman Old Style" w:hAnsi="Bookman Old Style"/>
                <w:i/>
                <w:color w:val="000000"/>
                <w:sz w:val="22"/>
                <w:szCs w:val="22"/>
              </w:rPr>
              <w:t>357</w:t>
            </w:r>
            <w:r w:rsidR="004F4A00">
              <w:rPr>
                <w:rFonts w:ascii="Bookman Old Style" w:hAnsi="Bookman Old Style"/>
                <w:i/>
                <w:color w:val="000000"/>
                <w:sz w:val="22"/>
                <w:szCs w:val="22"/>
              </w:rPr>
              <w:t>,</w:t>
            </w:r>
            <w:r w:rsidRPr="004F4A00">
              <w:rPr>
                <w:rFonts w:ascii="Bookman Old Style" w:hAnsi="Bookman Old Style"/>
                <w:i/>
                <w:color w:val="000000"/>
                <w:sz w:val="22"/>
                <w:szCs w:val="22"/>
              </w:rPr>
              <w:t>64</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7BE3BC06" w14:textId="77777777" w:rsidR="00B315C5" w:rsidRPr="004F4A00" w:rsidRDefault="00B315C5" w:rsidP="004F4A00">
            <w:pPr>
              <w:ind w:left="-108"/>
              <w:jc w:val="center"/>
              <w:rPr>
                <w:rFonts w:ascii="Bookman Old Style" w:hAnsi="Bookman Old Style"/>
                <w:i/>
                <w:color w:val="000000"/>
                <w:sz w:val="22"/>
                <w:szCs w:val="22"/>
              </w:rPr>
            </w:pPr>
            <w:r w:rsidRPr="004F4A00">
              <w:rPr>
                <w:rFonts w:ascii="Bookman Old Style" w:hAnsi="Bookman Old Style"/>
                <w:i/>
                <w:color w:val="000000"/>
                <w:sz w:val="22"/>
                <w:szCs w:val="22"/>
              </w:rPr>
              <w:t>363</w:t>
            </w:r>
            <w:r w:rsidR="004F4A00">
              <w:rPr>
                <w:rFonts w:ascii="Bookman Old Style" w:hAnsi="Bookman Old Style"/>
                <w:i/>
                <w:color w:val="000000"/>
                <w:sz w:val="22"/>
                <w:szCs w:val="22"/>
              </w:rPr>
              <w:t>,</w:t>
            </w:r>
            <w:r w:rsidRPr="004F4A00">
              <w:rPr>
                <w:rFonts w:ascii="Bookman Old Style" w:hAnsi="Bookman Old Style"/>
                <w:i/>
                <w:color w:val="000000"/>
                <w:sz w:val="22"/>
                <w:szCs w:val="22"/>
              </w:rPr>
              <w:t>02</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6AB129B0" w14:textId="77777777" w:rsidR="00B315C5" w:rsidRPr="004F4A00" w:rsidRDefault="00B315C5" w:rsidP="004F4A00">
            <w:pPr>
              <w:ind w:left="-108"/>
              <w:jc w:val="center"/>
              <w:rPr>
                <w:rFonts w:ascii="Bookman Old Style" w:hAnsi="Bookman Old Style"/>
                <w:i/>
                <w:color w:val="000000"/>
                <w:sz w:val="22"/>
                <w:szCs w:val="22"/>
              </w:rPr>
            </w:pPr>
            <w:r w:rsidRPr="004F4A00">
              <w:rPr>
                <w:rFonts w:ascii="Bookman Old Style" w:hAnsi="Bookman Old Style"/>
                <w:i/>
                <w:color w:val="000000"/>
                <w:sz w:val="22"/>
                <w:szCs w:val="22"/>
              </w:rPr>
              <w:t>327</w:t>
            </w:r>
            <w:r w:rsidR="004F4A00">
              <w:rPr>
                <w:rFonts w:ascii="Bookman Old Style" w:hAnsi="Bookman Old Style"/>
                <w:i/>
                <w:color w:val="000000"/>
                <w:sz w:val="22"/>
                <w:szCs w:val="22"/>
              </w:rPr>
              <w:t>,</w:t>
            </w:r>
            <w:r w:rsidRPr="004F4A00">
              <w:rPr>
                <w:rFonts w:ascii="Bookman Old Style" w:hAnsi="Bookman Old Style"/>
                <w:i/>
                <w:color w:val="000000"/>
                <w:sz w:val="22"/>
                <w:szCs w:val="22"/>
              </w:rPr>
              <w:t>07</w:t>
            </w:r>
          </w:p>
        </w:tc>
      </w:tr>
      <w:tr w:rsidR="00442FE3" w:rsidRPr="00103A23" w14:paraId="274C42B9" w14:textId="77777777" w:rsidTr="00B315C5">
        <w:trPr>
          <w:trHeight w:val="421"/>
        </w:trPr>
        <w:tc>
          <w:tcPr>
            <w:tcW w:w="1940" w:type="pct"/>
            <w:vAlign w:val="center"/>
          </w:tcPr>
          <w:p w14:paraId="76605A5F" w14:textId="77777777" w:rsidR="00442FE3" w:rsidRPr="00103A23" w:rsidRDefault="00442FE3" w:rsidP="00442FE3">
            <w:pPr>
              <w:pStyle w:val="Prrafodelista"/>
              <w:numPr>
                <w:ilvl w:val="0"/>
                <w:numId w:val="11"/>
              </w:numPr>
              <w:ind w:left="309" w:hanging="284"/>
              <w:rPr>
                <w:rFonts w:ascii="Bookman Old Style" w:hAnsi="Bookman Old Style"/>
                <w:i/>
                <w:sz w:val="22"/>
                <w:szCs w:val="22"/>
              </w:rPr>
            </w:pPr>
            <w:r w:rsidRPr="00103A23">
              <w:rPr>
                <w:rFonts w:ascii="Bookman Old Style" w:hAnsi="Bookman Old Style" w:cs="Arial"/>
                <w:i/>
                <w:sz w:val="22"/>
                <w:szCs w:val="22"/>
                <w:lang w:val="es-ES_tradnl"/>
              </w:rPr>
              <w:t>Componente Gastos AOM</w:t>
            </w:r>
          </w:p>
        </w:tc>
        <w:tc>
          <w:tcPr>
            <w:tcW w:w="446" w:type="pct"/>
            <w:vAlign w:val="center"/>
          </w:tcPr>
          <w:p w14:paraId="6977D9E2" w14:textId="77777777" w:rsidR="00442FE3" w:rsidRPr="00103A23" w:rsidRDefault="00442FE3" w:rsidP="00442FE3">
            <w:pPr>
              <w:ind w:left="43"/>
              <w:rPr>
                <w:rFonts w:ascii="Bookman Old Style" w:hAnsi="Bookman Old Style"/>
                <w:i/>
                <w:sz w:val="22"/>
                <w:szCs w:val="22"/>
              </w:rPr>
            </w:pPr>
            <w:r w:rsidRPr="00103A23">
              <w:rPr>
                <w:rFonts w:ascii="Bookman Old Style" w:hAnsi="Bookman Old Style" w:cs="Arial"/>
                <w:bCs/>
                <w:i/>
                <w:sz w:val="22"/>
                <w:szCs w:val="22"/>
                <w:lang w:val="es-ES_tradnl"/>
              </w:rPr>
              <w:t>$/m</w:t>
            </w:r>
            <w:r w:rsidRPr="00103A23">
              <w:rPr>
                <w:rFonts w:ascii="Bookman Old Style" w:hAnsi="Bookman Old Style" w:cs="Arial"/>
                <w:bCs/>
                <w:i/>
                <w:sz w:val="22"/>
                <w:szCs w:val="22"/>
                <w:vertAlign w:val="superscript"/>
                <w:lang w:val="es-ES_tradnl"/>
              </w:rPr>
              <w:t>3</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35EE982E"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w:t>
            </w:r>
            <w:r w:rsidR="004F4A00">
              <w:rPr>
                <w:rFonts w:ascii="Bookman Old Style" w:hAnsi="Bookman Old Style"/>
                <w:i/>
                <w:color w:val="000000"/>
                <w:sz w:val="22"/>
                <w:szCs w:val="22"/>
              </w:rPr>
              <w:t>,</w:t>
            </w:r>
            <w:r w:rsidRPr="00442FE3">
              <w:rPr>
                <w:rFonts w:ascii="Bookman Old Style" w:hAnsi="Bookman Old Style"/>
                <w:i/>
                <w:color w:val="000000"/>
                <w:sz w:val="22"/>
                <w:szCs w:val="22"/>
              </w:rPr>
              <w:t>90</w:t>
            </w:r>
          </w:p>
        </w:tc>
        <w:tc>
          <w:tcPr>
            <w:tcW w:w="872" w:type="pct"/>
            <w:tcBorders>
              <w:top w:val="single" w:sz="4" w:space="0" w:color="auto"/>
              <w:left w:val="nil"/>
              <w:bottom w:val="single" w:sz="4" w:space="0" w:color="auto"/>
              <w:right w:val="single" w:sz="4" w:space="0" w:color="auto"/>
            </w:tcBorders>
            <w:shd w:val="clear" w:color="auto" w:fill="auto"/>
            <w:vAlign w:val="center"/>
          </w:tcPr>
          <w:p w14:paraId="1D50F7D4"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w:t>
            </w:r>
            <w:r w:rsidR="004F4A00">
              <w:rPr>
                <w:rFonts w:ascii="Bookman Old Style" w:hAnsi="Bookman Old Style"/>
                <w:i/>
                <w:color w:val="000000"/>
                <w:sz w:val="22"/>
                <w:szCs w:val="22"/>
              </w:rPr>
              <w:t>,</w:t>
            </w:r>
            <w:r w:rsidRPr="00442FE3">
              <w:rPr>
                <w:rFonts w:ascii="Bookman Old Style" w:hAnsi="Bookman Old Style"/>
                <w:i/>
                <w:color w:val="000000"/>
                <w:sz w:val="22"/>
                <w:szCs w:val="22"/>
              </w:rPr>
              <w:t>90</w:t>
            </w:r>
          </w:p>
        </w:tc>
        <w:tc>
          <w:tcPr>
            <w:tcW w:w="870" w:type="pct"/>
            <w:tcBorders>
              <w:top w:val="single" w:sz="4" w:space="0" w:color="auto"/>
              <w:left w:val="nil"/>
              <w:bottom w:val="single" w:sz="4" w:space="0" w:color="auto"/>
              <w:right w:val="single" w:sz="4" w:space="0" w:color="auto"/>
            </w:tcBorders>
            <w:shd w:val="clear" w:color="auto" w:fill="auto"/>
            <w:vAlign w:val="center"/>
          </w:tcPr>
          <w:p w14:paraId="46402EB2"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w:t>
            </w:r>
            <w:r w:rsidR="004F4A00">
              <w:rPr>
                <w:rFonts w:ascii="Bookman Old Style" w:hAnsi="Bookman Old Style"/>
                <w:i/>
                <w:color w:val="000000"/>
                <w:sz w:val="22"/>
                <w:szCs w:val="22"/>
              </w:rPr>
              <w:t>,</w:t>
            </w:r>
            <w:r w:rsidRPr="00442FE3">
              <w:rPr>
                <w:rFonts w:ascii="Bookman Old Style" w:hAnsi="Bookman Old Style"/>
                <w:i/>
                <w:color w:val="000000"/>
                <w:sz w:val="22"/>
                <w:szCs w:val="22"/>
              </w:rPr>
              <w:t>90</w:t>
            </w:r>
          </w:p>
        </w:tc>
      </w:tr>
    </w:tbl>
    <w:p w14:paraId="33A887CD" w14:textId="77777777" w:rsidR="00FE6A6E" w:rsidRPr="00103A23" w:rsidRDefault="00FE6A6E" w:rsidP="00FE6A6E">
      <w:pPr>
        <w:widowControl w:val="0"/>
        <w:adjustRightInd w:val="0"/>
        <w:ind w:left="0" w:right="20" w:firstLine="284"/>
        <w:jc w:val="both"/>
        <w:rPr>
          <w:rFonts w:ascii="Bookman Old Style" w:hAnsi="Bookman Old Style" w:cs="Arial"/>
          <w:i/>
          <w:sz w:val="18"/>
          <w:lang w:val="es-CO" w:eastAsia="x-none"/>
        </w:rPr>
      </w:pPr>
      <w:r w:rsidRPr="00103A23">
        <w:rPr>
          <w:rFonts w:ascii="Bookman Old Style" w:hAnsi="Bookman Old Style" w:cs="Arial"/>
          <w:i/>
          <w:sz w:val="18"/>
          <w:lang w:val="x-none" w:eastAsia="x-none"/>
        </w:rPr>
        <w:t>Cifras en pesos del 31 de diciembre de 20</w:t>
      </w:r>
      <w:r w:rsidRPr="00103A23">
        <w:rPr>
          <w:rFonts w:ascii="Bookman Old Style" w:hAnsi="Bookman Old Style" w:cs="Arial"/>
          <w:i/>
          <w:sz w:val="18"/>
          <w:lang w:val="es-CO" w:eastAsia="x-none"/>
        </w:rPr>
        <w:t>14</w:t>
      </w:r>
    </w:p>
    <w:p w14:paraId="636EA015" w14:textId="77777777" w:rsidR="00FE6A6E" w:rsidRPr="00103A23" w:rsidRDefault="00FE6A6E" w:rsidP="00FE6A6E">
      <w:pPr>
        <w:widowControl w:val="0"/>
        <w:adjustRightInd w:val="0"/>
        <w:ind w:left="0" w:right="20"/>
        <w:jc w:val="both"/>
        <w:rPr>
          <w:rFonts w:ascii="Bookman Old Style" w:hAnsi="Bookman Old Style" w:cs="Arial"/>
          <w:i/>
          <w:sz w:val="40"/>
          <w:lang w:val="es-CO" w:eastAsia="x-none"/>
        </w:rPr>
      </w:pPr>
    </w:p>
    <w:p w14:paraId="260032F4" w14:textId="77777777" w:rsidR="00FE6A6E" w:rsidRPr="00103A23" w:rsidRDefault="00FE6A6E" w:rsidP="00FE6A6E">
      <w:pPr>
        <w:widowControl w:val="0"/>
        <w:adjustRightInd w:val="0"/>
        <w:spacing w:after="240"/>
        <w:ind w:left="284" w:right="20"/>
        <w:jc w:val="both"/>
        <w:rPr>
          <w:rFonts w:ascii="Bookman Old Style" w:hAnsi="Bookman Old Style" w:cs="Arial"/>
          <w:i/>
          <w:sz w:val="22"/>
          <w:szCs w:val="22"/>
        </w:rPr>
      </w:pPr>
      <w:r w:rsidRPr="00103A23">
        <w:rPr>
          <w:rFonts w:ascii="Bookman Old Style" w:hAnsi="Bookman Old Style" w:cs="Arial"/>
          <w:b/>
          <w:i/>
          <w:sz w:val="22"/>
          <w:szCs w:val="22"/>
        </w:rPr>
        <w:t xml:space="preserve">5.1.3. </w:t>
      </w:r>
      <w:r w:rsidRPr="00103A23">
        <w:rPr>
          <w:rFonts w:ascii="Bookman Old Style" w:hAnsi="Bookman Old Style" w:cs="Arial"/>
          <w:i/>
          <w:sz w:val="22"/>
          <w:szCs w:val="22"/>
        </w:rPr>
        <w:t>Para el municipio de Dibulla en el departamento de La Guajira, los cargos transitorios aplicables son:</w:t>
      </w: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809"/>
        <w:gridCol w:w="1578"/>
        <w:gridCol w:w="1578"/>
        <w:gridCol w:w="1579"/>
      </w:tblGrid>
      <w:tr w:rsidR="00FE6A6E" w:rsidRPr="00103A23" w14:paraId="153465AB" w14:textId="77777777" w:rsidTr="00FE6A6E">
        <w:trPr>
          <w:trHeight w:val="122"/>
          <w:tblHeader/>
        </w:trPr>
        <w:tc>
          <w:tcPr>
            <w:tcW w:w="5000" w:type="pct"/>
            <w:gridSpan w:val="5"/>
            <w:shd w:val="clear" w:color="auto" w:fill="D9D9D9" w:themeFill="background1" w:themeFillShade="D9"/>
            <w:vAlign w:val="center"/>
          </w:tcPr>
          <w:p w14:paraId="70AF6EA3" w14:textId="77777777" w:rsidR="00FE6A6E" w:rsidRPr="00103A23" w:rsidRDefault="00FE6A6E" w:rsidP="0088380D">
            <w:pPr>
              <w:ind w:left="-115"/>
              <w:jc w:val="center"/>
              <w:rPr>
                <w:rFonts w:ascii="Bookman Old Style" w:hAnsi="Bookman Old Style"/>
                <w:b/>
                <w:i/>
                <w:sz w:val="22"/>
                <w:szCs w:val="22"/>
              </w:rPr>
            </w:pPr>
            <w:r w:rsidRPr="00103A23">
              <w:rPr>
                <w:rFonts w:ascii="Bookman Old Style" w:hAnsi="Bookman Old Style"/>
                <w:b/>
                <w:i/>
                <w:sz w:val="22"/>
                <w:szCs w:val="22"/>
              </w:rPr>
              <w:t>Usuarios de Uso Residencial</w:t>
            </w:r>
          </w:p>
        </w:tc>
      </w:tr>
      <w:tr w:rsidR="00103A23" w:rsidRPr="00103A23" w14:paraId="6E29350C" w14:textId="77777777" w:rsidTr="00B315C5">
        <w:trPr>
          <w:trHeight w:val="119"/>
          <w:tblHeader/>
        </w:trPr>
        <w:tc>
          <w:tcPr>
            <w:tcW w:w="1943" w:type="pct"/>
            <w:shd w:val="clear" w:color="auto" w:fill="D9D9D9" w:themeFill="background1" w:themeFillShade="D9"/>
            <w:vAlign w:val="center"/>
          </w:tcPr>
          <w:p w14:paraId="162D0DBE" w14:textId="77777777" w:rsidR="00FE6A6E" w:rsidRPr="00103A23" w:rsidRDefault="00FE6A6E" w:rsidP="0088380D">
            <w:pPr>
              <w:ind w:left="0"/>
              <w:jc w:val="center"/>
              <w:rPr>
                <w:rFonts w:ascii="Bookman Old Style" w:hAnsi="Bookman Old Style"/>
                <w:i/>
                <w:sz w:val="22"/>
                <w:szCs w:val="22"/>
              </w:rPr>
            </w:pPr>
            <w:r w:rsidRPr="00103A23">
              <w:rPr>
                <w:rFonts w:ascii="Bookman Old Style" w:hAnsi="Bookman Old Style" w:cs="Arial"/>
                <w:b/>
                <w:bCs/>
                <w:i/>
                <w:sz w:val="22"/>
                <w:szCs w:val="22"/>
                <w:lang w:val="es-ES_tradnl"/>
              </w:rPr>
              <w:t>Componente</w:t>
            </w:r>
          </w:p>
        </w:tc>
        <w:tc>
          <w:tcPr>
            <w:tcW w:w="446" w:type="pct"/>
            <w:shd w:val="clear" w:color="auto" w:fill="D9D9D9" w:themeFill="background1" w:themeFillShade="D9"/>
          </w:tcPr>
          <w:p w14:paraId="5974E37A" w14:textId="77777777" w:rsidR="00FE6A6E" w:rsidRPr="00103A23" w:rsidRDefault="00FE6A6E" w:rsidP="0088380D">
            <w:pPr>
              <w:ind w:left="-112"/>
              <w:jc w:val="center"/>
              <w:rPr>
                <w:rFonts w:ascii="Bookman Old Style" w:hAnsi="Bookman Old Style"/>
                <w:b/>
                <w:i/>
                <w:sz w:val="22"/>
                <w:szCs w:val="22"/>
              </w:rPr>
            </w:pPr>
          </w:p>
        </w:tc>
        <w:tc>
          <w:tcPr>
            <w:tcW w:w="870" w:type="pct"/>
            <w:tcBorders>
              <w:bottom w:val="single" w:sz="4" w:space="0" w:color="auto"/>
            </w:tcBorders>
            <w:shd w:val="clear" w:color="auto" w:fill="D9D9D9" w:themeFill="background1" w:themeFillShade="D9"/>
            <w:vAlign w:val="center"/>
          </w:tcPr>
          <w:p w14:paraId="744794A9" w14:textId="77777777" w:rsidR="00FE6A6E" w:rsidRPr="00103A23" w:rsidRDefault="00FE6A6E" w:rsidP="0088380D">
            <w:pPr>
              <w:ind w:left="-112"/>
              <w:jc w:val="center"/>
              <w:rPr>
                <w:rFonts w:ascii="Bookman Old Style" w:hAnsi="Bookman Old Style"/>
                <w:b/>
                <w:i/>
                <w:sz w:val="22"/>
                <w:szCs w:val="22"/>
              </w:rPr>
            </w:pPr>
            <w:r w:rsidRPr="00103A23">
              <w:rPr>
                <w:rFonts w:ascii="Bookman Old Style" w:hAnsi="Bookman Old Style"/>
                <w:b/>
                <w:i/>
                <w:sz w:val="22"/>
                <w:szCs w:val="22"/>
              </w:rPr>
              <w:t>2017</w:t>
            </w:r>
          </w:p>
        </w:tc>
        <w:tc>
          <w:tcPr>
            <w:tcW w:w="870" w:type="pct"/>
            <w:tcBorders>
              <w:bottom w:val="single" w:sz="4" w:space="0" w:color="auto"/>
            </w:tcBorders>
            <w:shd w:val="clear" w:color="auto" w:fill="D9D9D9" w:themeFill="background1" w:themeFillShade="D9"/>
            <w:vAlign w:val="center"/>
          </w:tcPr>
          <w:p w14:paraId="791F1353" w14:textId="77777777" w:rsidR="00FE6A6E" w:rsidRPr="00103A23" w:rsidRDefault="00FE6A6E" w:rsidP="0088380D">
            <w:pPr>
              <w:ind w:left="-112"/>
              <w:jc w:val="center"/>
              <w:rPr>
                <w:rFonts w:ascii="Bookman Old Style" w:hAnsi="Bookman Old Style"/>
                <w:b/>
                <w:i/>
                <w:sz w:val="22"/>
                <w:szCs w:val="22"/>
              </w:rPr>
            </w:pPr>
            <w:r w:rsidRPr="00103A23">
              <w:rPr>
                <w:rFonts w:ascii="Bookman Old Style" w:hAnsi="Bookman Old Style"/>
                <w:b/>
                <w:i/>
                <w:sz w:val="22"/>
                <w:szCs w:val="22"/>
              </w:rPr>
              <w:t>2018</w:t>
            </w:r>
          </w:p>
        </w:tc>
        <w:tc>
          <w:tcPr>
            <w:tcW w:w="871" w:type="pct"/>
            <w:tcBorders>
              <w:bottom w:val="single" w:sz="4" w:space="0" w:color="auto"/>
            </w:tcBorders>
            <w:shd w:val="clear" w:color="auto" w:fill="D9D9D9" w:themeFill="background1" w:themeFillShade="D9"/>
            <w:vAlign w:val="center"/>
          </w:tcPr>
          <w:p w14:paraId="383541C7" w14:textId="77777777" w:rsidR="00FE6A6E" w:rsidRPr="00103A23" w:rsidRDefault="00FE6A6E" w:rsidP="0088380D">
            <w:pPr>
              <w:ind w:left="-18"/>
              <w:jc w:val="center"/>
              <w:rPr>
                <w:rFonts w:ascii="Bookman Old Style" w:hAnsi="Bookman Old Style"/>
                <w:b/>
                <w:i/>
                <w:sz w:val="22"/>
                <w:szCs w:val="22"/>
              </w:rPr>
            </w:pPr>
            <w:r w:rsidRPr="00103A23">
              <w:rPr>
                <w:rFonts w:ascii="Bookman Old Style" w:hAnsi="Bookman Old Style"/>
                <w:b/>
                <w:i/>
                <w:sz w:val="22"/>
                <w:szCs w:val="22"/>
              </w:rPr>
              <w:t>2019 - 2020 - 2021</w:t>
            </w:r>
          </w:p>
        </w:tc>
      </w:tr>
      <w:tr w:rsidR="004F4A00" w:rsidRPr="00103A23" w14:paraId="437951E9" w14:textId="77777777" w:rsidTr="004F4A00">
        <w:trPr>
          <w:trHeight w:val="421"/>
        </w:trPr>
        <w:tc>
          <w:tcPr>
            <w:tcW w:w="1943" w:type="pct"/>
            <w:vAlign w:val="center"/>
          </w:tcPr>
          <w:p w14:paraId="3DE511AF" w14:textId="77777777" w:rsidR="004F4A00" w:rsidRPr="00103A23" w:rsidRDefault="004F4A00" w:rsidP="004F4A00">
            <w:pPr>
              <w:widowControl w:val="0"/>
              <w:adjustRightInd w:val="0"/>
              <w:ind w:left="0" w:right="20"/>
              <w:rPr>
                <w:rFonts w:ascii="Bookman Old Style" w:hAnsi="Bookman Old Style"/>
                <w:i/>
                <w:sz w:val="22"/>
                <w:szCs w:val="22"/>
              </w:rPr>
            </w:pPr>
            <w:r w:rsidRPr="00103A23">
              <w:rPr>
                <w:rFonts w:ascii="Bookman Old Style" w:hAnsi="Bookman Old Style" w:cs="Arial"/>
                <w:b/>
                <w:i/>
                <w:sz w:val="22"/>
                <w:szCs w:val="22"/>
                <w:lang w:val="es-ES_tradnl"/>
              </w:rPr>
              <w:t>Cargo de distribución Total</w:t>
            </w:r>
          </w:p>
        </w:tc>
        <w:tc>
          <w:tcPr>
            <w:tcW w:w="446" w:type="pct"/>
            <w:vAlign w:val="center"/>
          </w:tcPr>
          <w:p w14:paraId="17E43806" w14:textId="77777777" w:rsidR="004F4A00" w:rsidRPr="00103A23" w:rsidRDefault="004F4A00" w:rsidP="004F4A00">
            <w:pPr>
              <w:ind w:left="43"/>
              <w:rPr>
                <w:rFonts w:ascii="Bookman Old Style" w:hAnsi="Bookman Old Style"/>
                <w:i/>
                <w:sz w:val="22"/>
                <w:szCs w:val="22"/>
              </w:rPr>
            </w:pPr>
            <w:r w:rsidRPr="00103A23">
              <w:rPr>
                <w:rFonts w:ascii="Bookman Old Style" w:hAnsi="Bookman Old Style" w:cs="Arial"/>
                <w:b/>
                <w:bCs/>
                <w:i/>
                <w:sz w:val="22"/>
                <w:szCs w:val="22"/>
                <w:lang w:val="es-ES_tradnl"/>
              </w:rPr>
              <w:t>$/m</w:t>
            </w:r>
            <w:r w:rsidRPr="00103A23">
              <w:rPr>
                <w:rFonts w:ascii="Bookman Old Style" w:hAnsi="Bookman Old Style" w:cs="Arial"/>
                <w:b/>
                <w:bCs/>
                <w:i/>
                <w:sz w:val="22"/>
                <w:szCs w:val="22"/>
                <w:vertAlign w:val="superscript"/>
                <w:lang w:val="es-ES_tradnl"/>
              </w:rPr>
              <w:t>3</w:t>
            </w:r>
          </w:p>
        </w:tc>
        <w:tc>
          <w:tcPr>
            <w:tcW w:w="870" w:type="pct"/>
            <w:tcBorders>
              <w:bottom w:val="single" w:sz="4" w:space="0" w:color="auto"/>
            </w:tcBorders>
            <w:shd w:val="clear" w:color="auto" w:fill="auto"/>
            <w:vAlign w:val="center"/>
          </w:tcPr>
          <w:p w14:paraId="294602AA" w14:textId="77777777" w:rsidR="004F4A00" w:rsidRPr="004F4A00" w:rsidRDefault="004F4A00" w:rsidP="004F4A00">
            <w:pPr>
              <w:ind w:left="-108"/>
              <w:jc w:val="center"/>
              <w:rPr>
                <w:rFonts w:ascii="Bookman Old Style" w:hAnsi="Bookman Old Style"/>
                <w:b/>
                <w:i/>
                <w:color w:val="000000"/>
                <w:sz w:val="22"/>
                <w:szCs w:val="22"/>
              </w:rPr>
            </w:pPr>
            <w:r w:rsidRPr="004F4A00">
              <w:rPr>
                <w:rFonts w:ascii="Bookman Old Style" w:hAnsi="Bookman Old Style"/>
                <w:b/>
                <w:i/>
                <w:color w:val="000000"/>
                <w:sz w:val="22"/>
                <w:szCs w:val="22"/>
              </w:rPr>
              <w:t>543.52</w:t>
            </w:r>
          </w:p>
        </w:tc>
        <w:tc>
          <w:tcPr>
            <w:tcW w:w="870" w:type="pct"/>
            <w:tcBorders>
              <w:bottom w:val="single" w:sz="4" w:space="0" w:color="auto"/>
            </w:tcBorders>
            <w:shd w:val="clear" w:color="auto" w:fill="auto"/>
            <w:vAlign w:val="center"/>
          </w:tcPr>
          <w:p w14:paraId="7DE10E58" w14:textId="77777777" w:rsidR="004F4A00" w:rsidRPr="004F4A00" w:rsidRDefault="004F4A00" w:rsidP="004F4A00">
            <w:pPr>
              <w:ind w:left="-108"/>
              <w:jc w:val="center"/>
              <w:rPr>
                <w:rFonts w:ascii="Bookman Old Style" w:hAnsi="Bookman Old Style"/>
                <w:b/>
                <w:i/>
                <w:color w:val="000000"/>
                <w:sz w:val="22"/>
                <w:szCs w:val="22"/>
              </w:rPr>
            </w:pPr>
            <w:r w:rsidRPr="004F4A00">
              <w:rPr>
                <w:rFonts w:ascii="Bookman Old Style" w:hAnsi="Bookman Old Style"/>
                <w:b/>
                <w:i/>
                <w:color w:val="000000"/>
                <w:sz w:val="22"/>
                <w:szCs w:val="22"/>
              </w:rPr>
              <w:t>548.15</w:t>
            </w:r>
          </w:p>
        </w:tc>
        <w:tc>
          <w:tcPr>
            <w:tcW w:w="871" w:type="pct"/>
            <w:tcBorders>
              <w:bottom w:val="single" w:sz="4" w:space="0" w:color="auto"/>
            </w:tcBorders>
            <w:shd w:val="clear" w:color="auto" w:fill="auto"/>
            <w:vAlign w:val="center"/>
          </w:tcPr>
          <w:p w14:paraId="3DF036F6" w14:textId="77777777" w:rsidR="004F4A00" w:rsidRPr="004F4A00" w:rsidRDefault="004F4A00" w:rsidP="004F4A00">
            <w:pPr>
              <w:ind w:left="-108"/>
              <w:jc w:val="center"/>
              <w:rPr>
                <w:rFonts w:ascii="Bookman Old Style" w:hAnsi="Bookman Old Style"/>
                <w:b/>
                <w:i/>
                <w:color w:val="000000"/>
                <w:sz w:val="22"/>
                <w:szCs w:val="22"/>
              </w:rPr>
            </w:pPr>
            <w:r w:rsidRPr="004F4A00">
              <w:rPr>
                <w:rFonts w:ascii="Bookman Old Style" w:hAnsi="Bookman Old Style"/>
                <w:b/>
                <w:i/>
                <w:color w:val="000000"/>
                <w:sz w:val="22"/>
                <w:szCs w:val="22"/>
              </w:rPr>
              <w:t>517.23</w:t>
            </w:r>
          </w:p>
        </w:tc>
      </w:tr>
      <w:tr w:rsidR="00B315C5" w:rsidRPr="00103A23" w14:paraId="30DF63A0" w14:textId="77777777" w:rsidTr="00B315C5">
        <w:trPr>
          <w:trHeight w:val="421"/>
        </w:trPr>
        <w:tc>
          <w:tcPr>
            <w:tcW w:w="1943" w:type="pct"/>
            <w:vAlign w:val="center"/>
          </w:tcPr>
          <w:p w14:paraId="2048299E" w14:textId="77777777" w:rsidR="00B315C5" w:rsidRPr="00103A23" w:rsidRDefault="00B315C5" w:rsidP="00B315C5">
            <w:pPr>
              <w:pStyle w:val="Prrafodelista"/>
              <w:numPr>
                <w:ilvl w:val="0"/>
                <w:numId w:val="11"/>
              </w:numPr>
              <w:ind w:left="309" w:hanging="284"/>
              <w:rPr>
                <w:rFonts w:ascii="Bookman Old Style" w:hAnsi="Bookman Old Style"/>
                <w:i/>
                <w:sz w:val="22"/>
                <w:szCs w:val="22"/>
              </w:rPr>
            </w:pPr>
            <w:r w:rsidRPr="00103A23">
              <w:rPr>
                <w:rFonts w:ascii="Bookman Old Style" w:hAnsi="Bookman Old Style" w:cs="Arial"/>
                <w:i/>
                <w:sz w:val="22"/>
                <w:szCs w:val="22"/>
                <w:lang w:val="es-ES_tradnl"/>
              </w:rPr>
              <w:t xml:space="preserve">Componente de inversión, descontando el efecto del aporte de recursos públicos </w:t>
            </w:r>
          </w:p>
        </w:tc>
        <w:tc>
          <w:tcPr>
            <w:tcW w:w="446" w:type="pct"/>
            <w:vAlign w:val="center"/>
          </w:tcPr>
          <w:p w14:paraId="0B71614D" w14:textId="77777777" w:rsidR="00B315C5" w:rsidRPr="00103A23" w:rsidRDefault="00B315C5" w:rsidP="00B315C5">
            <w:pPr>
              <w:ind w:left="43"/>
              <w:rPr>
                <w:rFonts w:ascii="Bookman Old Style" w:hAnsi="Bookman Old Style"/>
                <w:i/>
                <w:sz w:val="22"/>
                <w:szCs w:val="22"/>
              </w:rPr>
            </w:pPr>
            <w:r w:rsidRPr="00103A23">
              <w:rPr>
                <w:rFonts w:ascii="Bookman Old Style" w:hAnsi="Bookman Old Style" w:cs="Arial"/>
                <w:bCs/>
                <w:i/>
                <w:sz w:val="22"/>
                <w:szCs w:val="22"/>
                <w:lang w:val="es-ES_tradnl"/>
              </w:rPr>
              <w:t>$/m</w:t>
            </w:r>
            <w:r w:rsidRPr="00103A23">
              <w:rPr>
                <w:rFonts w:ascii="Bookman Old Style" w:hAnsi="Bookman Old Style" w:cs="Arial"/>
                <w:bCs/>
                <w:i/>
                <w:sz w:val="22"/>
                <w:szCs w:val="22"/>
                <w:vertAlign w:val="superscript"/>
                <w:lang w:val="es-ES_tradnl"/>
              </w:rPr>
              <w:t>3</w:t>
            </w:r>
          </w:p>
        </w:tc>
        <w:tc>
          <w:tcPr>
            <w:tcW w:w="870" w:type="pct"/>
            <w:tcBorders>
              <w:top w:val="single" w:sz="4" w:space="0" w:color="auto"/>
              <w:left w:val="nil"/>
              <w:bottom w:val="single" w:sz="4" w:space="0" w:color="auto"/>
              <w:right w:val="single" w:sz="4" w:space="0" w:color="auto"/>
            </w:tcBorders>
            <w:shd w:val="clear" w:color="auto" w:fill="auto"/>
            <w:vAlign w:val="center"/>
          </w:tcPr>
          <w:p w14:paraId="17AE84B7" w14:textId="77777777" w:rsidR="00B315C5" w:rsidRPr="004F4A00" w:rsidRDefault="00B315C5" w:rsidP="004F4A00">
            <w:pPr>
              <w:ind w:left="-108"/>
              <w:jc w:val="center"/>
              <w:rPr>
                <w:rFonts w:ascii="Bookman Old Style" w:hAnsi="Bookman Old Style"/>
                <w:i/>
                <w:color w:val="000000"/>
                <w:sz w:val="22"/>
                <w:szCs w:val="22"/>
              </w:rPr>
            </w:pPr>
            <w:r w:rsidRPr="004F4A00">
              <w:rPr>
                <w:rFonts w:ascii="Bookman Old Style" w:hAnsi="Bookman Old Style"/>
                <w:i/>
                <w:color w:val="000000"/>
                <w:sz w:val="22"/>
                <w:szCs w:val="22"/>
              </w:rPr>
              <w:t>307.62</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1D262DBC" w14:textId="77777777" w:rsidR="00B315C5" w:rsidRPr="004F4A00" w:rsidRDefault="00B315C5" w:rsidP="004F4A00">
            <w:pPr>
              <w:ind w:left="-108"/>
              <w:jc w:val="center"/>
              <w:rPr>
                <w:rFonts w:ascii="Bookman Old Style" w:hAnsi="Bookman Old Style"/>
                <w:i/>
                <w:color w:val="000000"/>
                <w:sz w:val="22"/>
                <w:szCs w:val="22"/>
              </w:rPr>
            </w:pPr>
            <w:r w:rsidRPr="004F4A00">
              <w:rPr>
                <w:rFonts w:ascii="Bookman Old Style" w:hAnsi="Bookman Old Style"/>
                <w:i/>
                <w:color w:val="000000"/>
                <w:sz w:val="22"/>
                <w:szCs w:val="22"/>
              </w:rPr>
              <w:t>312.25</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5CB54330" w14:textId="77777777" w:rsidR="00B315C5" w:rsidRPr="004F4A00" w:rsidRDefault="00B315C5" w:rsidP="004F4A00">
            <w:pPr>
              <w:ind w:left="-108"/>
              <w:jc w:val="center"/>
              <w:rPr>
                <w:rFonts w:ascii="Bookman Old Style" w:hAnsi="Bookman Old Style"/>
                <w:i/>
                <w:color w:val="000000"/>
                <w:sz w:val="22"/>
                <w:szCs w:val="22"/>
              </w:rPr>
            </w:pPr>
            <w:r w:rsidRPr="004F4A00">
              <w:rPr>
                <w:rFonts w:ascii="Bookman Old Style" w:hAnsi="Bookman Old Style"/>
                <w:i/>
                <w:color w:val="000000"/>
                <w:sz w:val="22"/>
                <w:szCs w:val="22"/>
              </w:rPr>
              <w:t>281.33</w:t>
            </w:r>
          </w:p>
        </w:tc>
      </w:tr>
      <w:tr w:rsidR="00442FE3" w:rsidRPr="00103A23" w14:paraId="3BD5D3F6" w14:textId="77777777" w:rsidTr="00B315C5">
        <w:trPr>
          <w:trHeight w:val="421"/>
        </w:trPr>
        <w:tc>
          <w:tcPr>
            <w:tcW w:w="1943" w:type="pct"/>
            <w:vAlign w:val="center"/>
          </w:tcPr>
          <w:p w14:paraId="04FDCD24" w14:textId="77777777" w:rsidR="00442FE3" w:rsidRPr="00103A23" w:rsidRDefault="00442FE3" w:rsidP="00442FE3">
            <w:pPr>
              <w:pStyle w:val="Prrafodelista"/>
              <w:numPr>
                <w:ilvl w:val="0"/>
                <w:numId w:val="11"/>
              </w:numPr>
              <w:ind w:left="309" w:hanging="284"/>
              <w:rPr>
                <w:rFonts w:ascii="Bookman Old Style" w:hAnsi="Bookman Old Style"/>
                <w:i/>
                <w:sz w:val="22"/>
                <w:szCs w:val="22"/>
              </w:rPr>
            </w:pPr>
            <w:r w:rsidRPr="00103A23">
              <w:rPr>
                <w:rFonts w:ascii="Bookman Old Style" w:hAnsi="Bookman Old Style" w:cs="Arial"/>
                <w:i/>
                <w:sz w:val="22"/>
                <w:szCs w:val="22"/>
                <w:lang w:val="es-ES_tradnl"/>
              </w:rPr>
              <w:t>Componente Gastos AOM</w:t>
            </w:r>
          </w:p>
        </w:tc>
        <w:tc>
          <w:tcPr>
            <w:tcW w:w="446" w:type="pct"/>
            <w:vAlign w:val="center"/>
          </w:tcPr>
          <w:p w14:paraId="17B393A8" w14:textId="77777777" w:rsidR="00442FE3" w:rsidRPr="00103A23" w:rsidRDefault="00442FE3" w:rsidP="00442FE3">
            <w:pPr>
              <w:ind w:left="43"/>
              <w:rPr>
                <w:rFonts w:ascii="Bookman Old Style" w:hAnsi="Bookman Old Style"/>
                <w:i/>
                <w:sz w:val="22"/>
                <w:szCs w:val="22"/>
              </w:rPr>
            </w:pPr>
            <w:r w:rsidRPr="00103A23">
              <w:rPr>
                <w:rFonts w:ascii="Bookman Old Style" w:hAnsi="Bookman Old Style" w:cs="Arial"/>
                <w:bCs/>
                <w:i/>
                <w:sz w:val="22"/>
                <w:szCs w:val="22"/>
                <w:lang w:val="es-ES_tradnl"/>
              </w:rPr>
              <w:t>$/m</w:t>
            </w:r>
            <w:r w:rsidRPr="00103A23">
              <w:rPr>
                <w:rFonts w:ascii="Bookman Old Style" w:hAnsi="Bookman Old Style" w:cs="Arial"/>
                <w:bCs/>
                <w:i/>
                <w:sz w:val="22"/>
                <w:szCs w:val="22"/>
                <w:vertAlign w:val="superscript"/>
                <w:lang w:val="es-ES_tradnl"/>
              </w:rPr>
              <w:t>3</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5F3442A3"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235.90</w:t>
            </w:r>
          </w:p>
        </w:tc>
        <w:tc>
          <w:tcPr>
            <w:tcW w:w="870" w:type="pct"/>
            <w:tcBorders>
              <w:top w:val="single" w:sz="4" w:space="0" w:color="auto"/>
              <w:left w:val="nil"/>
              <w:bottom w:val="single" w:sz="4" w:space="0" w:color="auto"/>
              <w:right w:val="single" w:sz="4" w:space="0" w:color="auto"/>
            </w:tcBorders>
            <w:shd w:val="clear" w:color="auto" w:fill="auto"/>
            <w:vAlign w:val="center"/>
          </w:tcPr>
          <w:p w14:paraId="72ED404D"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235.90</w:t>
            </w:r>
          </w:p>
        </w:tc>
        <w:tc>
          <w:tcPr>
            <w:tcW w:w="871" w:type="pct"/>
            <w:tcBorders>
              <w:top w:val="single" w:sz="4" w:space="0" w:color="auto"/>
              <w:left w:val="nil"/>
              <w:bottom w:val="single" w:sz="4" w:space="0" w:color="auto"/>
              <w:right w:val="single" w:sz="4" w:space="0" w:color="auto"/>
            </w:tcBorders>
            <w:shd w:val="clear" w:color="auto" w:fill="auto"/>
            <w:vAlign w:val="center"/>
          </w:tcPr>
          <w:p w14:paraId="12C8C90E"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235.90</w:t>
            </w:r>
          </w:p>
        </w:tc>
      </w:tr>
    </w:tbl>
    <w:p w14:paraId="15314ED9" w14:textId="77777777" w:rsidR="00FE6A6E" w:rsidRPr="00103A23" w:rsidRDefault="00FE6A6E" w:rsidP="00FE6A6E">
      <w:pPr>
        <w:widowControl w:val="0"/>
        <w:adjustRightInd w:val="0"/>
        <w:ind w:left="0" w:right="20" w:firstLine="284"/>
        <w:jc w:val="both"/>
        <w:rPr>
          <w:rFonts w:ascii="Bookman Old Style" w:hAnsi="Bookman Old Style" w:cs="Arial"/>
          <w:i/>
          <w:sz w:val="18"/>
          <w:lang w:val="es-CO" w:eastAsia="x-none"/>
        </w:rPr>
      </w:pPr>
      <w:r w:rsidRPr="00103A23">
        <w:rPr>
          <w:rFonts w:ascii="Bookman Old Style" w:hAnsi="Bookman Old Style" w:cs="Arial"/>
          <w:i/>
          <w:sz w:val="18"/>
          <w:lang w:val="x-none" w:eastAsia="x-none"/>
        </w:rPr>
        <w:t>Cifras en pesos del 31 de diciembre de 20</w:t>
      </w:r>
      <w:r w:rsidRPr="00103A23">
        <w:rPr>
          <w:rFonts w:ascii="Bookman Old Style" w:hAnsi="Bookman Old Style" w:cs="Arial"/>
          <w:i/>
          <w:sz w:val="18"/>
          <w:lang w:val="es-CO" w:eastAsia="x-none"/>
        </w:rPr>
        <w:t>14</w:t>
      </w:r>
    </w:p>
    <w:p w14:paraId="1FAAA371" w14:textId="77777777" w:rsidR="00FE6A6E" w:rsidRPr="00103A23" w:rsidRDefault="00FE6A6E" w:rsidP="00FE6A6E">
      <w:pPr>
        <w:widowControl w:val="0"/>
        <w:adjustRightInd w:val="0"/>
        <w:ind w:left="0" w:right="20"/>
        <w:jc w:val="both"/>
        <w:rPr>
          <w:rFonts w:ascii="Bookman Old Style" w:hAnsi="Bookman Old Style" w:cs="Arial"/>
          <w:i/>
          <w:sz w:val="36"/>
          <w:lang w:val="es-CO" w:eastAsia="x-none"/>
        </w:rPr>
      </w:pPr>
    </w:p>
    <w:p w14:paraId="704CD9E6" w14:textId="77777777" w:rsidR="00FE6A6E" w:rsidRPr="00103A23" w:rsidRDefault="00FE6A6E" w:rsidP="00FE6A6E">
      <w:pPr>
        <w:widowControl w:val="0"/>
        <w:adjustRightInd w:val="0"/>
        <w:spacing w:after="240"/>
        <w:ind w:left="284" w:right="20"/>
        <w:jc w:val="both"/>
        <w:rPr>
          <w:rFonts w:ascii="Bookman Old Style" w:hAnsi="Bookman Old Style" w:cs="Arial"/>
          <w:i/>
          <w:sz w:val="22"/>
          <w:szCs w:val="22"/>
        </w:rPr>
      </w:pPr>
      <w:r w:rsidRPr="00103A23">
        <w:rPr>
          <w:rFonts w:ascii="Bookman Old Style" w:hAnsi="Bookman Old Style" w:cs="Arial"/>
          <w:b/>
          <w:i/>
          <w:sz w:val="22"/>
          <w:szCs w:val="22"/>
        </w:rPr>
        <w:t xml:space="preserve">5.1.4. </w:t>
      </w:r>
      <w:r w:rsidRPr="00103A23">
        <w:rPr>
          <w:rFonts w:ascii="Bookman Old Style" w:hAnsi="Bookman Old Style" w:cs="Arial"/>
          <w:i/>
          <w:sz w:val="22"/>
          <w:szCs w:val="22"/>
        </w:rPr>
        <w:t>Para el municipio de Distracción en el departamento de La Guajira, los cargos transitorios aplicables son:</w:t>
      </w: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809"/>
        <w:gridCol w:w="1578"/>
        <w:gridCol w:w="1578"/>
        <w:gridCol w:w="1579"/>
      </w:tblGrid>
      <w:tr w:rsidR="00FE6A6E" w:rsidRPr="00103A23" w14:paraId="54DD1466" w14:textId="77777777" w:rsidTr="00FE6A6E">
        <w:trPr>
          <w:trHeight w:val="122"/>
          <w:tblHeader/>
        </w:trPr>
        <w:tc>
          <w:tcPr>
            <w:tcW w:w="5000" w:type="pct"/>
            <w:gridSpan w:val="5"/>
            <w:shd w:val="clear" w:color="auto" w:fill="D9D9D9" w:themeFill="background1" w:themeFillShade="D9"/>
            <w:vAlign w:val="center"/>
          </w:tcPr>
          <w:p w14:paraId="4F504111" w14:textId="77777777" w:rsidR="00FE6A6E" w:rsidRPr="00103A23" w:rsidRDefault="00FE6A6E" w:rsidP="0088380D">
            <w:pPr>
              <w:ind w:left="-115"/>
              <w:jc w:val="center"/>
              <w:rPr>
                <w:rFonts w:ascii="Bookman Old Style" w:hAnsi="Bookman Old Style"/>
                <w:b/>
                <w:i/>
                <w:sz w:val="22"/>
                <w:szCs w:val="22"/>
              </w:rPr>
            </w:pPr>
            <w:r w:rsidRPr="00103A23">
              <w:rPr>
                <w:rFonts w:ascii="Bookman Old Style" w:hAnsi="Bookman Old Style"/>
                <w:b/>
                <w:i/>
                <w:sz w:val="22"/>
                <w:szCs w:val="22"/>
              </w:rPr>
              <w:t>Usuarios de Uso Residencial</w:t>
            </w:r>
          </w:p>
        </w:tc>
      </w:tr>
      <w:tr w:rsidR="00103A23" w:rsidRPr="00103A23" w14:paraId="53BDB778" w14:textId="77777777" w:rsidTr="00B315C5">
        <w:trPr>
          <w:trHeight w:val="119"/>
          <w:tblHeader/>
        </w:trPr>
        <w:tc>
          <w:tcPr>
            <w:tcW w:w="1943" w:type="pct"/>
            <w:shd w:val="clear" w:color="auto" w:fill="D9D9D9" w:themeFill="background1" w:themeFillShade="D9"/>
            <w:vAlign w:val="center"/>
          </w:tcPr>
          <w:p w14:paraId="4064641F" w14:textId="77777777" w:rsidR="00FE6A6E" w:rsidRPr="00103A23" w:rsidRDefault="00FE6A6E" w:rsidP="0088380D">
            <w:pPr>
              <w:ind w:left="0"/>
              <w:jc w:val="center"/>
              <w:rPr>
                <w:rFonts w:ascii="Bookman Old Style" w:hAnsi="Bookman Old Style"/>
                <w:i/>
                <w:sz w:val="22"/>
                <w:szCs w:val="22"/>
              </w:rPr>
            </w:pPr>
            <w:r w:rsidRPr="00103A23">
              <w:rPr>
                <w:rFonts w:ascii="Bookman Old Style" w:hAnsi="Bookman Old Style" w:cs="Arial"/>
                <w:b/>
                <w:bCs/>
                <w:i/>
                <w:sz w:val="22"/>
                <w:szCs w:val="22"/>
                <w:lang w:val="es-ES_tradnl"/>
              </w:rPr>
              <w:t>Componente</w:t>
            </w:r>
          </w:p>
        </w:tc>
        <w:tc>
          <w:tcPr>
            <w:tcW w:w="446" w:type="pct"/>
            <w:shd w:val="clear" w:color="auto" w:fill="D9D9D9" w:themeFill="background1" w:themeFillShade="D9"/>
          </w:tcPr>
          <w:p w14:paraId="6661D5A5" w14:textId="77777777" w:rsidR="00FE6A6E" w:rsidRPr="00103A23" w:rsidRDefault="00FE6A6E" w:rsidP="0088380D">
            <w:pPr>
              <w:ind w:left="-112"/>
              <w:jc w:val="center"/>
              <w:rPr>
                <w:rFonts w:ascii="Bookman Old Style" w:hAnsi="Bookman Old Style"/>
                <w:b/>
                <w:i/>
                <w:sz w:val="22"/>
                <w:szCs w:val="22"/>
              </w:rPr>
            </w:pPr>
          </w:p>
        </w:tc>
        <w:tc>
          <w:tcPr>
            <w:tcW w:w="870" w:type="pct"/>
            <w:tcBorders>
              <w:bottom w:val="single" w:sz="4" w:space="0" w:color="auto"/>
            </w:tcBorders>
            <w:shd w:val="clear" w:color="auto" w:fill="D9D9D9" w:themeFill="background1" w:themeFillShade="D9"/>
            <w:vAlign w:val="center"/>
          </w:tcPr>
          <w:p w14:paraId="524E19B8" w14:textId="77777777" w:rsidR="00FE6A6E" w:rsidRPr="00103A23" w:rsidRDefault="00FE6A6E" w:rsidP="0088380D">
            <w:pPr>
              <w:ind w:left="-112"/>
              <w:jc w:val="center"/>
              <w:rPr>
                <w:rFonts w:ascii="Bookman Old Style" w:hAnsi="Bookman Old Style"/>
                <w:b/>
                <w:i/>
                <w:sz w:val="22"/>
                <w:szCs w:val="22"/>
              </w:rPr>
            </w:pPr>
            <w:r w:rsidRPr="00103A23">
              <w:rPr>
                <w:rFonts w:ascii="Bookman Old Style" w:hAnsi="Bookman Old Style"/>
                <w:b/>
                <w:i/>
                <w:sz w:val="22"/>
                <w:szCs w:val="22"/>
              </w:rPr>
              <w:t>2017</w:t>
            </w:r>
          </w:p>
        </w:tc>
        <w:tc>
          <w:tcPr>
            <w:tcW w:w="870" w:type="pct"/>
            <w:tcBorders>
              <w:bottom w:val="single" w:sz="4" w:space="0" w:color="auto"/>
            </w:tcBorders>
            <w:shd w:val="clear" w:color="auto" w:fill="D9D9D9" w:themeFill="background1" w:themeFillShade="D9"/>
            <w:vAlign w:val="center"/>
          </w:tcPr>
          <w:p w14:paraId="193D8E93" w14:textId="77777777" w:rsidR="00FE6A6E" w:rsidRPr="00103A23" w:rsidRDefault="00FE6A6E" w:rsidP="0088380D">
            <w:pPr>
              <w:ind w:left="-112"/>
              <w:jc w:val="center"/>
              <w:rPr>
                <w:rFonts w:ascii="Bookman Old Style" w:hAnsi="Bookman Old Style"/>
                <w:b/>
                <w:i/>
                <w:sz w:val="22"/>
                <w:szCs w:val="22"/>
              </w:rPr>
            </w:pPr>
            <w:r w:rsidRPr="00103A23">
              <w:rPr>
                <w:rFonts w:ascii="Bookman Old Style" w:hAnsi="Bookman Old Style"/>
                <w:b/>
                <w:i/>
                <w:sz w:val="22"/>
                <w:szCs w:val="22"/>
              </w:rPr>
              <w:t>2018</w:t>
            </w:r>
          </w:p>
        </w:tc>
        <w:tc>
          <w:tcPr>
            <w:tcW w:w="871" w:type="pct"/>
            <w:tcBorders>
              <w:bottom w:val="single" w:sz="4" w:space="0" w:color="auto"/>
            </w:tcBorders>
            <w:shd w:val="clear" w:color="auto" w:fill="D9D9D9" w:themeFill="background1" w:themeFillShade="D9"/>
            <w:vAlign w:val="center"/>
          </w:tcPr>
          <w:p w14:paraId="69935200" w14:textId="77777777" w:rsidR="00FE6A6E" w:rsidRPr="00103A23" w:rsidRDefault="00FE6A6E" w:rsidP="0088380D">
            <w:pPr>
              <w:ind w:left="-18"/>
              <w:jc w:val="center"/>
              <w:rPr>
                <w:rFonts w:ascii="Bookman Old Style" w:hAnsi="Bookman Old Style"/>
                <w:b/>
                <w:i/>
                <w:sz w:val="22"/>
                <w:szCs w:val="22"/>
              </w:rPr>
            </w:pPr>
            <w:r w:rsidRPr="00103A23">
              <w:rPr>
                <w:rFonts w:ascii="Bookman Old Style" w:hAnsi="Bookman Old Style"/>
                <w:b/>
                <w:i/>
                <w:sz w:val="22"/>
                <w:szCs w:val="22"/>
              </w:rPr>
              <w:t>2019 - 2020 - 2021</w:t>
            </w:r>
          </w:p>
        </w:tc>
      </w:tr>
      <w:tr w:rsidR="004F4A00" w:rsidRPr="00103A23" w14:paraId="586660B5" w14:textId="77777777" w:rsidTr="004F4A00">
        <w:trPr>
          <w:trHeight w:val="421"/>
        </w:trPr>
        <w:tc>
          <w:tcPr>
            <w:tcW w:w="1943" w:type="pct"/>
            <w:vAlign w:val="center"/>
          </w:tcPr>
          <w:p w14:paraId="30345EE5" w14:textId="77777777" w:rsidR="004F4A00" w:rsidRPr="00103A23" w:rsidRDefault="004F4A00" w:rsidP="004F4A00">
            <w:pPr>
              <w:widowControl w:val="0"/>
              <w:adjustRightInd w:val="0"/>
              <w:ind w:left="0" w:right="20"/>
              <w:rPr>
                <w:rFonts w:ascii="Bookman Old Style" w:hAnsi="Bookman Old Style"/>
                <w:i/>
                <w:sz w:val="22"/>
                <w:szCs w:val="22"/>
              </w:rPr>
            </w:pPr>
            <w:r w:rsidRPr="00103A23">
              <w:rPr>
                <w:rFonts w:ascii="Bookman Old Style" w:hAnsi="Bookman Old Style" w:cs="Arial"/>
                <w:b/>
                <w:i/>
                <w:sz w:val="22"/>
                <w:szCs w:val="22"/>
                <w:lang w:val="es-ES_tradnl"/>
              </w:rPr>
              <w:t>Cargo de distribución Total</w:t>
            </w:r>
          </w:p>
        </w:tc>
        <w:tc>
          <w:tcPr>
            <w:tcW w:w="446" w:type="pct"/>
            <w:vAlign w:val="center"/>
          </w:tcPr>
          <w:p w14:paraId="64294B09" w14:textId="77777777" w:rsidR="004F4A00" w:rsidRPr="00103A23" w:rsidRDefault="004F4A00" w:rsidP="004F4A00">
            <w:pPr>
              <w:ind w:left="43"/>
              <w:rPr>
                <w:rFonts w:ascii="Bookman Old Style" w:hAnsi="Bookman Old Style"/>
                <w:i/>
                <w:sz w:val="22"/>
                <w:szCs w:val="22"/>
              </w:rPr>
            </w:pPr>
            <w:r w:rsidRPr="00103A23">
              <w:rPr>
                <w:rFonts w:ascii="Bookman Old Style" w:hAnsi="Bookman Old Style" w:cs="Arial"/>
                <w:b/>
                <w:bCs/>
                <w:i/>
                <w:sz w:val="22"/>
                <w:szCs w:val="22"/>
                <w:lang w:val="es-ES_tradnl"/>
              </w:rPr>
              <w:t>$/m</w:t>
            </w:r>
            <w:r w:rsidRPr="00103A23">
              <w:rPr>
                <w:rFonts w:ascii="Bookman Old Style" w:hAnsi="Bookman Old Style" w:cs="Arial"/>
                <w:b/>
                <w:bCs/>
                <w:i/>
                <w:sz w:val="22"/>
                <w:szCs w:val="22"/>
                <w:vertAlign w:val="superscript"/>
                <w:lang w:val="es-ES_tradnl"/>
              </w:rPr>
              <w:t>3</w:t>
            </w:r>
          </w:p>
        </w:tc>
        <w:tc>
          <w:tcPr>
            <w:tcW w:w="870" w:type="pct"/>
            <w:tcBorders>
              <w:bottom w:val="single" w:sz="4" w:space="0" w:color="auto"/>
            </w:tcBorders>
            <w:shd w:val="clear" w:color="auto" w:fill="auto"/>
            <w:vAlign w:val="center"/>
          </w:tcPr>
          <w:p w14:paraId="1F307BED" w14:textId="77777777" w:rsidR="004F4A00" w:rsidRPr="004F4A00" w:rsidRDefault="004F4A00" w:rsidP="004F4A00">
            <w:pPr>
              <w:ind w:left="-108"/>
              <w:jc w:val="center"/>
              <w:rPr>
                <w:rFonts w:ascii="Bookman Old Style" w:hAnsi="Bookman Old Style"/>
                <w:b/>
                <w:i/>
                <w:color w:val="000000"/>
                <w:sz w:val="22"/>
                <w:szCs w:val="22"/>
              </w:rPr>
            </w:pPr>
            <w:r w:rsidRPr="004F4A00">
              <w:rPr>
                <w:rFonts w:ascii="Bookman Old Style" w:hAnsi="Bookman Old Style"/>
                <w:b/>
                <w:i/>
                <w:color w:val="000000"/>
                <w:sz w:val="22"/>
                <w:szCs w:val="22"/>
              </w:rPr>
              <w:t>263.51</w:t>
            </w:r>
          </w:p>
        </w:tc>
        <w:tc>
          <w:tcPr>
            <w:tcW w:w="870" w:type="pct"/>
            <w:tcBorders>
              <w:bottom w:val="single" w:sz="4" w:space="0" w:color="auto"/>
            </w:tcBorders>
            <w:shd w:val="clear" w:color="auto" w:fill="auto"/>
            <w:vAlign w:val="center"/>
          </w:tcPr>
          <w:p w14:paraId="220EFCE7" w14:textId="77777777" w:rsidR="004F4A00" w:rsidRPr="004F4A00" w:rsidRDefault="004F4A00" w:rsidP="004F4A00">
            <w:pPr>
              <w:ind w:left="-108"/>
              <w:jc w:val="center"/>
              <w:rPr>
                <w:rFonts w:ascii="Bookman Old Style" w:hAnsi="Bookman Old Style"/>
                <w:b/>
                <w:i/>
                <w:color w:val="000000"/>
                <w:sz w:val="22"/>
                <w:szCs w:val="22"/>
              </w:rPr>
            </w:pPr>
            <w:r w:rsidRPr="004F4A00">
              <w:rPr>
                <w:rFonts w:ascii="Bookman Old Style" w:hAnsi="Bookman Old Style"/>
                <w:b/>
                <w:i/>
                <w:color w:val="000000"/>
                <w:sz w:val="22"/>
                <w:szCs w:val="22"/>
              </w:rPr>
              <w:t>263.93</w:t>
            </w:r>
          </w:p>
        </w:tc>
        <w:tc>
          <w:tcPr>
            <w:tcW w:w="871" w:type="pct"/>
            <w:tcBorders>
              <w:bottom w:val="single" w:sz="4" w:space="0" w:color="auto"/>
            </w:tcBorders>
            <w:shd w:val="clear" w:color="auto" w:fill="auto"/>
            <w:vAlign w:val="center"/>
          </w:tcPr>
          <w:p w14:paraId="34090089" w14:textId="77777777" w:rsidR="004F4A00" w:rsidRPr="004F4A00" w:rsidRDefault="004F4A00" w:rsidP="004F4A00">
            <w:pPr>
              <w:ind w:left="-108"/>
              <w:jc w:val="center"/>
              <w:rPr>
                <w:rFonts w:ascii="Bookman Old Style" w:hAnsi="Bookman Old Style"/>
                <w:b/>
                <w:i/>
                <w:color w:val="000000"/>
                <w:sz w:val="22"/>
                <w:szCs w:val="22"/>
              </w:rPr>
            </w:pPr>
            <w:r w:rsidRPr="004F4A00">
              <w:rPr>
                <w:rFonts w:ascii="Bookman Old Style" w:hAnsi="Bookman Old Style"/>
                <w:b/>
                <w:i/>
                <w:color w:val="000000"/>
                <w:sz w:val="22"/>
                <w:szCs w:val="22"/>
              </w:rPr>
              <w:t>261.15</w:t>
            </w:r>
          </w:p>
        </w:tc>
      </w:tr>
      <w:tr w:rsidR="00B315C5" w:rsidRPr="00103A23" w14:paraId="3E344EA0" w14:textId="77777777" w:rsidTr="00B315C5">
        <w:trPr>
          <w:trHeight w:val="421"/>
        </w:trPr>
        <w:tc>
          <w:tcPr>
            <w:tcW w:w="1943" w:type="pct"/>
            <w:vAlign w:val="center"/>
          </w:tcPr>
          <w:p w14:paraId="6A98F0E5" w14:textId="77777777" w:rsidR="00B315C5" w:rsidRPr="00103A23" w:rsidRDefault="00B315C5" w:rsidP="00B315C5">
            <w:pPr>
              <w:pStyle w:val="Prrafodelista"/>
              <w:numPr>
                <w:ilvl w:val="0"/>
                <w:numId w:val="11"/>
              </w:numPr>
              <w:ind w:left="309" w:hanging="284"/>
              <w:rPr>
                <w:rFonts w:ascii="Bookman Old Style" w:hAnsi="Bookman Old Style"/>
                <w:i/>
                <w:sz w:val="22"/>
                <w:szCs w:val="22"/>
              </w:rPr>
            </w:pPr>
            <w:r w:rsidRPr="00103A23">
              <w:rPr>
                <w:rFonts w:ascii="Bookman Old Style" w:hAnsi="Bookman Old Style" w:cs="Arial"/>
                <w:i/>
                <w:sz w:val="22"/>
                <w:szCs w:val="22"/>
                <w:lang w:val="es-ES_tradnl"/>
              </w:rPr>
              <w:t xml:space="preserve">Componente de inversión, descontando el efecto del aporte de recursos públicos </w:t>
            </w:r>
          </w:p>
        </w:tc>
        <w:tc>
          <w:tcPr>
            <w:tcW w:w="446" w:type="pct"/>
            <w:vAlign w:val="center"/>
          </w:tcPr>
          <w:p w14:paraId="085E65AD" w14:textId="77777777" w:rsidR="00B315C5" w:rsidRPr="00103A23" w:rsidRDefault="00B315C5" w:rsidP="00B315C5">
            <w:pPr>
              <w:ind w:left="43"/>
              <w:rPr>
                <w:rFonts w:ascii="Bookman Old Style" w:hAnsi="Bookman Old Style"/>
                <w:i/>
                <w:sz w:val="22"/>
                <w:szCs w:val="22"/>
              </w:rPr>
            </w:pPr>
            <w:r w:rsidRPr="00103A23">
              <w:rPr>
                <w:rFonts w:ascii="Bookman Old Style" w:hAnsi="Bookman Old Style" w:cs="Arial"/>
                <w:bCs/>
                <w:i/>
                <w:sz w:val="22"/>
                <w:szCs w:val="22"/>
                <w:lang w:val="es-ES_tradnl"/>
              </w:rPr>
              <w:t>$/m</w:t>
            </w:r>
            <w:r w:rsidRPr="00103A23">
              <w:rPr>
                <w:rFonts w:ascii="Bookman Old Style" w:hAnsi="Bookman Old Style" w:cs="Arial"/>
                <w:bCs/>
                <w:i/>
                <w:sz w:val="22"/>
                <w:szCs w:val="22"/>
                <w:vertAlign w:val="superscript"/>
                <w:lang w:val="es-ES_tradnl"/>
              </w:rPr>
              <w:t>3</w:t>
            </w:r>
          </w:p>
        </w:tc>
        <w:tc>
          <w:tcPr>
            <w:tcW w:w="870" w:type="pct"/>
            <w:tcBorders>
              <w:top w:val="single" w:sz="4" w:space="0" w:color="auto"/>
              <w:left w:val="nil"/>
              <w:bottom w:val="single" w:sz="4" w:space="0" w:color="auto"/>
              <w:right w:val="single" w:sz="4" w:space="0" w:color="auto"/>
            </w:tcBorders>
            <w:shd w:val="clear" w:color="auto" w:fill="auto"/>
            <w:vAlign w:val="center"/>
          </w:tcPr>
          <w:p w14:paraId="286F4137" w14:textId="77777777" w:rsidR="00B315C5" w:rsidRPr="004F4A00" w:rsidRDefault="00B315C5" w:rsidP="004F4A00">
            <w:pPr>
              <w:ind w:left="-108"/>
              <w:jc w:val="center"/>
              <w:rPr>
                <w:rFonts w:ascii="Bookman Old Style" w:hAnsi="Bookman Old Style"/>
                <w:i/>
                <w:color w:val="000000"/>
                <w:sz w:val="22"/>
                <w:szCs w:val="22"/>
              </w:rPr>
            </w:pPr>
            <w:r w:rsidRPr="004F4A00">
              <w:rPr>
                <w:rFonts w:ascii="Bookman Old Style" w:hAnsi="Bookman Old Style"/>
                <w:i/>
                <w:color w:val="000000"/>
                <w:sz w:val="22"/>
                <w:szCs w:val="22"/>
              </w:rPr>
              <w:t>27.61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4F25AAA1" w14:textId="77777777" w:rsidR="00B315C5" w:rsidRPr="004F4A00" w:rsidRDefault="00B315C5" w:rsidP="004F4A00">
            <w:pPr>
              <w:ind w:left="-108"/>
              <w:jc w:val="center"/>
              <w:rPr>
                <w:rFonts w:ascii="Bookman Old Style" w:hAnsi="Bookman Old Style"/>
                <w:i/>
                <w:color w:val="000000"/>
                <w:sz w:val="22"/>
                <w:szCs w:val="22"/>
              </w:rPr>
            </w:pPr>
            <w:r w:rsidRPr="004F4A00">
              <w:rPr>
                <w:rFonts w:ascii="Bookman Old Style" w:hAnsi="Bookman Old Style"/>
                <w:i/>
                <w:color w:val="000000"/>
                <w:sz w:val="22"/>
                <w:szCs w:val="22"/>
              </w:rPr>
              <w:t>28.03</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730FBF8C" w14:textId="77777777" w:rsidR="00B315C5" w:rsidRPr="004F4A00" w:rsidRDefault="00B315C5" w:rsidP="004F4A00">
            <w:pPr>
              <w:ind w:left="-108"/>
              <w:jc w:val="center"/>
              <w:rPr>
                <w:rFonts w:ascii="Bookman Old Style" w:hAnsi="Bookman Old Style"/>
                <w:i/>
                <w:color w:val="000000"/>
                <w:sz w:val="22"/>
                <w:szCs w:val="22"/>
              </w:rPr>
            </w:pPr>
            <w:r w:rsidRPr="004F4A00">
              <w:rPr>
                <w:rFonts w:ascii="Bookman Old Style" w:hAnsi="Bookman Old Style"/>
                <w:i/>
                <w:color w:val="000000"/>
                <w:sz w:val="22"/>
                <w:szCs w:val="22"/>
              </w:rPr>
              <w:t>25.25</w:t>
            </w:r>
          </w:p>
        </w:tc>
      </w:tr>
      <w:tr w:rsidR="00442FE3" w:rsidRPr="00103A23" w14:paraId="2760DAF9" w14:textId="77777777" w:rsidTr="00B315C5">
        <w:trPr>
          <w:trHeight w:val="421"/>
        </w:trPr>
        <w:tc>
          <w:tcPr>
            <w:tcW w:w="1943" w:type="pct"/>
            <w:vAlign w:val="center"/>
          </w:tcPr>
          <w:p w14:paraId="77B93833" w14:textId="77777777" w:rsidR="00442FE3" w:rsidRPr="00103A23" w:rsidRDefault="00442FE3" w:rsidP="00442FE3">
            <w:pPr>
              <w:pStyle w:val="Prrafodelista"/>
              <w:numPr>
                <w:ilvl w:val="0"/>
                <w:numId w:val="11"/>
              </w:numPr>
              <w:ind w:left="309" w:hanging="284"/>
              <w:rPr>
                <w:rFonts w:ascii="Bookman Old Style" w:hAnsi="Bookman Old Style"/>
                <w:i/>
                <w:sz w:val="22"/>
                <w:szCs w:val="22"/>
              </w:rPr>
            </w:pPr>
            <w:r w:rsidRPr="00103A23">
              <w:rPr>
                <w:rFonts w:ascii="Bookman Old Style" w:hAnsi="Bookman Old Style" w:cs="Arial"/>
                <w:i/>
                <w:sz w:val="22"/>
                <w:szCs w:val="22"/>
                <w:lang w:val="es-ES_tradnl"/>
              </w:rPr>
              <w:t>Componente Gastos AOM</w:t>
            </w:r>
          </w:p>
        </w:tc>
        <w:tc>
          <w:tcPr>
            <w:tcW w:w="446" w:type="pct"/>
            <w:vAlign w:val="center"/>
          </w:tcPr>
          <w:p w14:paraId="17ADE1D5" w14:textId="77777777" w:rsidR="00442FE3" w:rsidRPr="00103A23" w:rsidRDefault="00442FE3" w:rsidP="00442FE3">
            <w:pPr>
              <w:ind w:left="43"/>
              <w:rPr>
                <w:rFonts w:ascii="Bookman Old Style" w:hAnsi="Bookman Old Style"/>
                <w:i/>
                <w:sz w:val="22"/>
                <w:szCs w:val="22"/>
              </w:rPr>
            </w:pPr>
            <w:r w:rsidRPr="00103A23">
              <w:rPr>
                <w:rFonts w:ascii="Bookman Old Style" w:hAnsi="Bookman Old Style" w:cs="Arial"/>
                <w:bCs/>
                <w:i/>
                <w:sz w:val="22"/>
                <w:szCs w:val="22"/>
                <w:lang w:val="es-ES_tradnl"/>
              </w:rPr>
              <w:t>$/m</w:t>
            </w:r>
            <w:r w:rsidRPr="00103A23">
              <w:rPr>
                <w:rFonts w:ascii="Bookman Old Style" w:hAnsi="Bookman Old Style" w:cs="Arial"/>
                <w:bCs/>
                <w:i/>
                <w:sz w:val="22"/>
                <w:szCs w:val="22"/>
                <w:vertAlign w:val="superscript"/>
                <w:lang w:val="es-ES_tradnl"/>
              </w:rPr>
              <w:t>3</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04BD720A"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235.90</w:t>
            </w:r>
          </w:p>
        </w:tc>
        <w:tc>
          <w:tcPr>
            <w:tcW w:w="870" w:type="pct"/>
            <w:tcBorders>
              <w:top w:val="single" w:sz="4" w:space="0" w:color="auto"/>
              <w:left w:val="nil"/>
              <w:bottom w:val="single" w:sz="4" w:space="0" w:color="auto"/>
              <w:right w:val="single" w:sz="4" w:space="0" w:color="auto"/>
            </w:tcBorders>
            <w:shd w:val="clear" w:color="auto" w:fill="auto"/>
            <w:vAlign w:val="center"/>
          </w:tcPr>
          <w:p w14:paraId="72CC8BF2"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235.90</w:t>
            </w:r>
          </w:p>
        </w:tc>
        <w:tc>
          <w:tcPr>
            <w:tcW w:w="871" w:type="pct"/>
            <w:tcBorders>
              <w:top w:val="single" w:sz="4" w:space="0" w:color="auto"/>
              <w:left w:val="nil"/>
              <w:bottom w:val="single" w:sz="4" w:space="0" w:color="auto"/>
              <w:right w:val="single" w:sz="4" w:space="0" w:color="auto"/>
            </w:tcBorders>
            <w:shd w:val="clear" w:color="auto" w:fill="auto"/>
            <w:vAlign w:val="center"/>
          </w:tcPr>
          <w:p w14:paraId="2C21CA76"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235.90</w:t>
            </w:r>
          </w:p>
        </w:tc>
      </w:tr>
    </w:tbl>
    <w:p w14:paraId="49BD4E95" w14:textId="77777777" w:rsidR="00FE6A6E" w:rsidRPr="00103A23" w:rsidRDefault="00FE6A6E" w:rsidP="00FE6A6E">
      <w:pPr>
        <w:widowControl w:val="0"/>
        <w:adjustRightInd w:val="0"/>
        <w:ind w:left="0" w:right="20" w:firstLine="284"/>
        <w:jc w:val="both"/>
        <w:rPr>
          <w:rFonts w:ascii="Bookman Old Style" w:hAnsi="Bookman Old Style" w:cs="Arial"/>
          <w:i/>
          <w:sz w:val="18"/>
          <w:lang w:val="es-CO" w:eastAsia="x-none"/>
        </w:rPr>
      </w:pPr>
      <w:r w:rsidRPr="00103A23">
        <w:rPr>
          <w:rFonts w:ascii="Bookman Old Style" w:hAnsi="Bookman Old Style" w:cs="Arial"/>
          <w:i/>
          <w:sz w:val="18"/>
          <w:lang w:val="x-none" w:eastAsia="x-none"/>
        </w:rPr>
        <w:t>Cifras en pesos del 31 de diciembre de 20</w:t>
      </w:r>
      <w:r w:rsidRPr="00103A23">
        <w:rPr>
          <w:rFonts w:ascii="Bookman Old Style" w:hAnsi="Bookman Old Style" w:cs="Arial"/>
          <w:i/>
          <w:sz w:val="18"/>
          <w:lang w:val="es-CO" w:eastAsia="x-none"/>
        </w:rPr>
        <w:t>14</w:t>
      </w:r>
    </w:p>
    <w:p w14:paraId="7E7C98F2" w14:textId="77777777" w:rsidR="00FE6A6E" w:rsidRPr="00103A23" w:rsidRDefault="00FE6A6E" w:rsidP="00FE6A6E">
      <w:pPr>
        <w:widowControl w:val="0"/>
        <w:adjustRightInd w:val="0"/>
        <w:spacing w:after="240"/>
        <w:ind w:left="0" w:right="20"/>
        <w:jc w:val="both"/>
        <w:rPr>
          <w:rFonts w:ascii="Bookman Old Style" w:hAnsi="Bookman Old Style" w:cs="Arial"/>
          <w:b/>
          <w:i/>
        </w:rPr>
      </w:pPr>
    </w:p>
    <w:p w14:paraId="0D046E8F" w14:textId="77777777" w:rsidR="00FE6A6E" w:rsidRPr="00103A23" w:rsidRDefault="00FE6A6E" w:rsidP="00FE6A6E">
      <w:pPr>
        <w:widowControl w:val="0"/>
        <w:adjustRightInd w:val="0"/>
        <w:spacing w:after="240"/>
        <w:ind w:left="284" w:right="20"/>
        <w:jc w:val="both"/>
        <w:rPr>
          <w:rFonts w:ascii="Bookman Old Style" w:hAnsi="Bookman Old Style" w:cs="Arial"/>
          <w:i/>
          <w:sz w:val="22"/>
          <w:szCs w:val="22"/>
        </w:rPr>
      </w:pPr>
      <w:r w:rsidRPr="00103A23">
        <w:rPr>
          <w:rFonts w:ascii="Bookman Old Style" w:hAnsi="Bookman Old Style" w:cs="Arial"/>
          <w:b/>
          <w:i/>
          <w:sz w:val="22"/>
          <w:szCs w:val="22"/>
        </w:rPr>
        <w:t xml:space="preserve">5.1.5. </w:t>
      </w:r>
      <w:r w:rsidRPr="00103A23">
        <w:rPr>
          <w:rFonts w:ascii="Bookman Old Style" w:hAnsi="Bookman Old Style" w:cs="Arial"/>
          <w:i/>
          <w:sz w:val="22"/>
          <w:szCs w:val="22"/>
        </w:rPr>
        <w:t>Para el municipio de La Jagua del Pilar en el departamento de La Guajira, los cargos transitorios aplicables son:</w:t>
      </w: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809"/>
        <w:gridCol w:w="1578"/>
        <w:gridCol w:w="1578"/>
        <w:gridCol w:w="1579"/>
      </w:tblGrid>
      <w:tr w:rsidR="00FE6A6E" w:rsidRPr="00103A23" w14:paraId="169B07F6" w14:textId="77777777" w:rsidTr="00FE6A6E">
        <w:trPr>
          <w:trHeight w:val="122"/>
          <w:tblHeader/>
        </w:trPr>
        <w:tc>
          <w:tcPr>
            <w:tcW w:w="5000" w:type="pct"/>
            <w:gridSpan w:val="5"/>
            <w:shd w:val="clear" w:color="auto" w:fill="D9D9D9" w:themeFill="background1" w:themeFillShade="D9"/>
            <w:vAlign w:val="center"/>
          </w:tcPr>
          <w:p w14:paraId="7E121420" w14:textId="77777777" w:rsidR="00FE6A6E" w:rsidRPr="00103A23" w:rsidRDefault="00FE6A6E" w:rsidP="0088380D">
            <w:pPr>
              <w:ind w:left="-115"/>
              <w:jc w:val="center"/>
              <w:rPr>
                <w:rFonts w:ascii="Bookman Old Style" w:hAnsi="Bookman Old Style"/>
                <w:b/>
                <w:i/>
                <w:sz w:val="22"/>
                <w:szCs w:val="22"/>
              </w:rPr>
            </w:pPr>
            <w:r w:rsidRPr="00103A23">
              <w:rPr>
                <w:rFonts w:ascii="Bookman Old Style" w:hAnsi="Bookman Old Style"/>
                <w:b/>
                <w:i/>
                <w:sz w:val="22"/>
                <w:szCs w:val="22"/>
              </w:rPr>
              <w:t>Usuarios de Uso Residencial</w:t>
            </w:r>
          </w:p>
        </w:tc>
      </w:tr>
      <w:tr w:rsidR="00103A23" w:rsidRPr="00103A23" w14:paraId="1C41898C" w14:textId="77777777" w:rsidTr="00B315C5">
        <w:trPr>
          <w:trHeight w:val="119"/>
          <w:tblHeader/>
        </w:trPr>
        <w:tc>
          <w:tcPr>
            <w:tcW w:w="1943" w:type="pct"/>
            <w:shd w:val="clear" w:color="auto" w:fill="D9D9D9" w:themeFill="background1" w:themeFillShade="D9"/>
            <w:vAlign w:val="center"/>
          </w:tcPr>
          <w:p w14:paraId="548D376A" w14:textId="77777777" w:rsidR="00FE6A6E" w:rsidRPr="00103A23" w:rsidRDefault="00FE6A6E" w:rsidP="0088380D">
            <w:pPr>
              <w:ind w:left="0"/>
              <w:jc w:val="center"/>
              <w:rPr>
                <w:rFonts w:ascii="Bookman Old Style" w:hAnsi="Bookman Old Style"/>
                <w:i/>
                <w:sz w:val="22"/>
                <w:szCs w:val="22"/>
              </w:rPr>
            </w:pPr>
            <w:r w:rsidRPr="00103A23">
              <w:rPr>
                <w:rFonts w:ascii="Bookman Old Style" w:hAnsi="Bookman Old Style" w:cs="Arial"/>
                <w:b/>
                <w:bCs/>
                <w:i/>
                <w:sz w:val="22"/>
                <w:szCs w:val="22"/>
                <w:lang w:val="es-ES_tradnl"/>
              </w:rPr>
              <w:t>Componente</w:t>
            </w:r>
          </w:p>
        </w:tc>
        <w:tc>
          <w:tcPr>
            <w:tcW w:w="446" w:type="pct"/>
            <w:shd w:val="clear" w:color="auto" w:fill="D9D9D9" w:themeFill="background1" w:themeFillShade="D9"/>
          </w:tcPr>
          <w:p w14:paraId="4893CF8C" w14:textId="77777777" w:rsidR="00FE6A6E" w:rsidRPr="00103A23" w:rsidRDefault="00FE6A6E" w:rsidP="0088380D">
            <w:pPr>
              <w:ind w:left="-112"/>
              <w:jc w:val="center"/>
              <w:rPr>
                <w:rFonts w:ascii="Bookman Old Style" w:hAnsi="Bookman Old Style"/>
                <w:b/>
                <w:i/>
                <w:sz w:val="22"/>
                <w:szCs w:val="22"/>
              </w:rPr>
            </w:pPr>
          </w:p>
        </w:tc>
        <w:tc>
          <w:tcPr>
            <w:tcW w:w="870" w:type="pct"/>
            <w:tcBorders>
              <w:bottom w:val="single" w:sz="4" w:space="0" w:color="auto"/>
            </w:tcBorders>
            <w:shd w:val="clear" w:color="auto" w:fill="D9D9D9" w:themeFill="background1" w:themeFillShade="D9"/>
            <w:vAlign w:val="center"/>
          </w:tcPr>
          <w:p w14:paraId="698E193B" w14:textId="77777777" w:rsidR="00FE6A6E" w:rsidRPr="00103A23" w:rsidRDefault="00FE6A6E" w:rsidP="0088380D">
            <w:pPr>
              <w:ind w:left="-112"/>
              <w:jc w:val="center"/>
              <w:rPr>
                <w:rFonts w:ascii="Bookman Old Style" w:hAnsi="Bookman Old Style"/>
                <w:b/>
                <w:i/>
                <w:sz w:val="22"/>
                <w:szCs w:val="22"/>
              </w:rPr>
            </w:pPr>
            <w:r w:rsidRPr="00103A23">
              <w:rPr>
                <w:rFonts w:ascii="Bookman Old Style" w:hAnsi="Bookman Old Style"/>
                <w:b/>
                <w:i/>
                <w:sz w:val="22"/>
                <w:szCs w:val="22"/>
              </w:rPr>
              <w:t>2017</w:t>
            </w:r>
          </w:p>
        </w:tc>
        <w:tc>
          <w:tcPr>
            <w:tcW w:w="870" w:type="pct"/>
            <w:tcBorders>
              <w:bottom w:val="single" w:sz="4" w:space="0" w:color="auto"/>
            </w:tcBorders>
            <w:shd w:val="clear" w:color="auto" w:fill="D9D9D9" w:themeFill="background1" w:themeFillShade="D9"/>
            <w:vAlign w:val="center"/>
          </w:tcPr>
          <w:p w14:paraId="0B6AD171" w14:textId="77777777" w:rsidR="00FE6A6E" w:rsidRPr="00103A23" w:rsidRDefault="00FE6A6E" w:rsidP="0088380D">
            <w:pPr>
              <w:ind w:left="-112"/>
              <w:jc w:val="center"/>
              <w:rPr>
                <w:rFonts w:ascii="Bookman Old Style" w:hAnsi="Bookman Old Style"/>
                <w:b/>
                <w:i/>
                <w:sz w:val="22"/>
                <w:szCs w:val="22"/>
              </w:rPr>
            </w:pPr>
            <w:r w:rsidRPr="00103A23">
              <w:rPr>
                <w:rFonts w:ascii="Bookman Old Style" w:hAnsi="Bookman Old Style"/>
                <w:b/>
                <w:i/>
                <w:sz w:val="22"/>
                <w:szCs w:val="22"/>
              </w:rPr>
              <w:t>2018</w:t>
            </w:r>
          </w:p>
        </w:tc>
        <w:tc>
          <w:tcPr>
            <w:tcW w:w="870" w:type="pct"/>
            <w:tcBorders>
              <w:bottom w:val="single" w:sz="4" w:space="0" w:color="auto"/>
            </w:tcBorders>
            <w:shd w:val="clear" w:color="auto" w:fill="D9D9D9" w:themeFill="background1" w:themeFillShade="D9"/>
            <w:vAlign w:val="center"/>
          </w:tcPr>
          <w:p w14:paraId="1BF189D6" w14:textId="77777777" w:rsidR="00FE6A6E" w:rsidRPr="00103A23" w:rsidRDefault="00FE6A6E" w:rsidP="0088380D">
            <w:pPr>
              <w:ind w:left="-18"/>
              <w:jc w:val="center"/>
              <w:rPr>
                <w:rFonts w:ascii="Bookman Old Style" w:hAnsi="Bookman Old Style"/>
                <w:b/>
                <w:i/>
                <w:sz w:val="22"/>
                <w:szCs w:val="22"/>
              </w:rPr>
            </w:pPr>
            <w:r w:rsidRPr="00103A23">
              <w:rPr>
                <w:rFonts w:ascii="Bookman Old Style" w:hAnsi="Bookman Old Style"/>
                <w:b/>
                <w:i/>
                <w:sz w:val="22"/>
                <w:szCs w:val="22"/>
              </w:rPr>
              <w:t>2019 - 2020 - 2021</w:t>
            </w:r>
          </w:p>
        </w:tc>
      </w:tr>
      <w:tr w:rsidR="00B315C5" w:rsidRPr="00103A23" w14:paraId="49E44666" w14:textId="77777777" w:rsidTr="00B315C5">
        <w:trPr>
          <w:trHeight w:val="421"/>
        </w:trPr>
        <w:tc>
          <w:tcPr>
            <w:tcW w:w="1943" w:type="pct"/>
            <w:vAlign w:val="center"/>
          </w:tcPr>
          <w:p w14:paraId="1946792F" w14:textId="77777777" w:rsidR="00B315C5" w:rsidRPr="00103A23" w:rsidRDefault="00B315C5" w:rsidP="00B315C5">
            <w:pPr>
              <w:widowControl w:val="0"/>
              <w:adjustRightInd w:val="0"/>
              <w:ind w:left="0" w:right="20"/>
              <w:rPr>
                <w:rFonts w:ascii="Bookman Old Style" w:hAnsi="Bookman Old Style"/>
                <w:i/>
                <w:sz w:val="22"/>
                <w:szCs w:val="22"/>
              </w:rPr>
            </w:pPr>
            <w:r w:rsidRPr="00103A23">
              <w:rPr>
                <w:rFonts w:ascii="Bookman Old Style" w:hAnsi="Bookman Old Style" w:cs="Arial"/>
                <w:b/>
                <w:i/>
                <w:sz w:val="22"/>
                <w:szCs w:val="22"/>
                <w:lang w:val="es-ES_tradnl"/>
              </w:rPr>
              <w:t>Cargo de distribución Total</w:t>
            </w:r>
          </w:p>
        </w:tc>
        <w:tc>
          <w:tcPr>
            <w:tcW w:w="446" w:type="pct"/>
            <w:vAlign w:val="center"/>
          </w:tcPr>
          <w:p w14:paraId="3FA3B1D4" w14:textId="77777777" w:rsidR="00B315C5" w:rsidRPr="00103A23" w:rsidRDefault="00B315C5" w:rsidP="00B315C5">
            <w:pPr>
              <w:ind w:left="43"/>
              <w:rPr>
                <w:rFonts w:ascii="Bookman Old Style" w:hAnsi="Bookman Old Style"/>
                <w:i/>
                <w:sz w:val="22"/>
                <w:szCs w:val="22"/>
              </w:rPr>
            </w:pPr>
            <w:r w:rsidRPr="00103A23">
              <w:rPr>
                <w:rFonts w:ascii="Bookman Old Style" w:hAnsi="Bookman Old Style" w:cs="Arial"/>
                <w:b/>
                <w:bCs/>
                <w:i/>
                <w:sz w:val="22"/>
                <w:szCs w:val="22"/>
                <w:lang w:val="es-ES_tradnl"/>
              </w:rPr>
              <w:t>$/m</w:t>
            </w:r>
            <w:r w:rsidRPr="00103A23">
              <w:rPr>
                <w:rFonts w:ascii="Bookman Old Style" w:hAnsi="Bookman Old Style" w:cs="Arial"/>
                <w:b/>
                <w:bCs/>
                <w:i/>
                <w:sz w:val="22"/>
                <w:szCs w:val="22"/>
                <w:vertAlign w:val="superscript"/>
                <w:lang w:val="es-ES_tradnl"/>
              </w:rPr>
              <w:t>3</w:t>
            </w:r>
          </w:p>
        </w:tc>
        <w:tc>
          <w:tcPr>
            <w:tcW w:w="870" w:type="pct"/>
            <w:tcBorders>
              <w:bottom w:val="single" w:sz="4" w:space="0" w:color="auto"/>
            </w:tcBorders>
            <w:shd w:val="clear" w:color="auto" w:fill="auto"/>
            <w:vAlign w:val="center"/>
          </w:tcPr>
          <w:p w14:paraId="05E9DCDF" w14:textId="77777777" w:rsidR="00B315C5" w:rsidRPr="00B315C5" w:rsidRDefault="00B315C5" w:rsidP="00B315C5">
            <w:pPr>
              <w:ind w:left="-108"/>
              <w:jc w:val="center"/>
              <w:rPr>
                <w:rFonts w:ascii="Bookman Old Style" w:hAnsi="Bookman Old Style"/>
                <w:b/>
                <w:i/>
                <w:color w:val="000000"/>
                <w:sz w:val="22"/>
                <w:szCs w:val="22"/>
              </w:rPr>
            </w:pPr>
            <w:r w:rsidRPr="00B315C5">
              <w:rPr>
                <w:rFonts w:ascii="Bookman Old Style" w:hAnsi="Bookman Old Style"/>
                <w:b/>
                <w:i/>
                <w:color w:val="000000"/>
                <w:sz w:val="22"/>
                <w:szCs w:val="22"/>
              </w:rPr>
              <w:t>235.90</w:t>
            </w:r>
          </w:p>
        </w:tc>
        <w:tc>
          <w:tcPr>
            <w:tcW w:w="870" w:type="pct"/>
            <w:tcBorders>
              <w:bottom w:val="single" w:sz="4" w:space="0" w:color="auto"/>
            </w:tcBorders>
            <w:shd w:val="clear" w:color="auto" w:fill="auto"/>
            <w:vAlign w:val="center"/>
          </w:tcPr>
          <w:p w14:paraId="77CB1C18" w14:textId="77777777" w:rsidR="00B315C5" w:rsidRPr="00B315C5" w:rsidRDefault="00B315C5" w:rsidP="00B315C5">
            <w:pPr>
              <w:ind w:left="-108"/>
              <w:jc w:val="center"/>
              <w:rPr>
                <w:rFonts w:ascii="Bookman Old Style" w:hAnsi="Bookman Old Style"/>
                <w:b/>
                <w:i/>
                <w:color w:val="000000"/>
                <w:sz w:val="22"/>
                <w:szCs w:val="22"/>
              </w:rPr>
            </w:pPr>
            <w:r w:rsidRPr="00B315C5">
              <w:rPr>
                <w:rFonts w:ascii="Bookman Old Style" w:hAnsi="Bookman Old Style"/>
                <w:b/>
                <w:i/>
                <w:color w:val="000000"/>
                <w:sz w:val="22"/>
                <w:szCs w:val="22"/>
              </w:rPr>
              <w:t>235.90</w:t>
            </w:r>
          </w:p>
        </w:tc>
        <w:tc>
          <w:tcPr>
            <w:tcW w:w="870" w:type="pct"/>
            <w:tcBorders>
              <w:bottom w:val="single" w:sz="4" w:space="0" w:color="auto"/>
            </w:tcBorders>
            <w:shd w:val="clear" w:color="auto" w:fill="auto"/>
            <w:vAlign w:val="center"/>
          </w:tcPr>
          <w:p w14:paraId="4601B0B1" w14:textId="77777777" w:rsidR="00B315C5" w:rsidRPr="00B315C5" w:rsidRDefault="00B315C5" w:rsidP="00B315C5">
            <w:pPr>
              <w:ind w:left="-108"/>
              <w:jc w:val="center"/>
              <w:rPr>
                <w:rFonts w:ascii="Bookman Old Style" w:hAnsi="Bookman Old Style"/>
                <w:b/>
                <w:i/>
                <w:color w:val="000000"/>
                <w:sz w:val="22"/>
                <w:szCs w:val="22"/>
              </w:rPr>
            </w:pPr>
            <w:r w:rsidRPr="00B315C5">
              <w:rPr>
                <w:rFonts w:ascii="Bookman Old Style" w:hAnsi="Bookman Old Style"/>
                <w:b/>
                <w:i/>
                <w:color w:val="000000"/>
                <w:sz w:val="22"/>
                <w:szCs w:val="22"/>
              </w:rPr>
              <w:t>235.90</w:t>
            </w:r>
          </w:p>
        </w:tc>
      </w:tr>
      <w:tr w:rsidR="00442FE3" w:rsidRPr="00103A23" w14:paraId="366687AF" w14:textId="77777777" w:rsidTr="00B315C5">
        <w:trPr>
          <w:trHeight w:val="421"/>
        </w:trPr>
        <w:tc>
          <w:tcPr>
            <w:tcW w:w="1943" w:type="pct"/>
            <w:vAlign w:val="center"/>
          </w:tcPr>
          <w:p w14:paraId="556D9790" w14:textId="77777777" w:rsidR="00FE6A6E" w:rsidRPr="00103A23" w:rsidRDefault="00FE6A6E" w:rsidP="00FE6A6E">
            <w:pPr>
              <w:pStyle w:val="Prrafodelista"/>
              <w:numPr>
                <w:ilvl w:val="0"/>
                <w:numId w:val="11"/>
              </w:numPr>
              <w:ind w:left="309" w:hanging="284"/>
              <w:rPr>
                <w:rFonts w:ascii="Bookman Old Style" w:hAnsi="Bookman Old Style"/>
                <w:i/>
                <w:sz w:val="22"/>
                <w:szCs w:val="22"/>
              </w:rPr>
            </w:pPr>
            <w:r w:rsidRPr="00103A23">
              <w:rPr>
                <w:rFonts w:ascii="Bookman Old Style" w:hAnsi="Bookman Old Style" w:cs="Arial"/>
                <w:i/>
                <w:sz w:val="22"/>
                <w:szCs w:val="22"/>
                <w:lang w:val="es-ES_tradnl"/>
              </w:rPr>
              <w:t xml:space="preserve">Componente de inversión, descontando el efecto del aporte de recursos públicos </w:t>
            </w:r>
          </w:p>
        </w:tc>
        <w:tc>
          <w:tcPr>
            <w:tcW w:w="446" w:type="pct"/>
            <w:vAlign w:val="center"/>
          </w:tcPr>
          <w:p w14:paraId="685C475A" w14:textId="77777777" w:rsidR="00FE6A6E" w:rsidRPr="00103A23" w:rsidRDefault="00FE6A6E" w:rsidP="0088380D">
            <w:pPr>
              <w:ind w:left="43"/>
              <w:rPr>
                <w:rFonts w:ascii="Bookman Old Style" w:hAnsi="Bookman Old Style"/>
                <w:i/>
                <w:sz w:val="22"/>
                <w:szCs w:val="22"/>
              </w:rPr>
            </w:pPr>
            <w:r w:rsidRPr="00103A23">
              <w:rPr>
                <w:rFonts w:ascii="Bookman Old Style" w:hAnsi="Bookman Old Style" w:cs="Arial"/>
                <w:bCs/>
                <w:i/>
                <w:sz w:val="22"/>
                <w:szCs w:val="22"/>
                <w:lang w:val="es-ES_tradnl"/>
              </w:rPr>
              <w:t>$/m</w:t>
            </w:r>
            <w:r w:rsidRPr="00103A23">
              <w:rPr>
                <w:rFonts w:ascii="Bookman Old Style" w:hAnsi="Bookman Old Style" w:cs="Arial"/>
                <w:bCs/>
                <w:i/>
                <w:sz w:val="22"/>
                <w:szCs w:val="22"/>
                <w:vertAlign w:val="superscript"/>
                <w:lang w:val="es-ES_tradnl"/>
              </w:rPr>
              <w:t>3</w:t>
            </w:r>
          </w:p>
        </w:tc>
        <w:tc>
          <w:tcPr>
            <w:tcW w:w="870" w:type="pct"/>
            <w:tcBorders>
              <w:top w:val="single" w:sz="4" w:space="0" w:color="auto"/>
              <w:left w:val="nil"/>
              <w:bottom w:val="single" w:sz="4" w:space="0" w:color="auto"/>
              <w:right w:val="single" w:sz="4" w:space="0" w:color="auto"/>
            </w:tcBorders>
            <w:shd w:val="clear" w:color="auto" w:fill="auto"/>
            <w:vAlign w:val="center"/>
          </w:tcPr>
          <w:p w14:paraId="372A31F2" w14:textId="77777777" w:rsidR="00FE6A6E" w:rsidRPr="00B315C5" w:rsidRDefault="00FE6A6E" w:rsidP="0088380D">
            <w:pPr>
              <w:ind w:left="-108"/>
              <w:jc w:val="center"/>
              <w:rPr>
                <w:rFonts w:ascii="Bookman Old Style" w:hAnsi="Bookman Old Style"/>
                <w:i/>
                <w:sz w:val="22"/>
                <w:szCs w:val="22"/>
              </w:rPr>
            </w:pPr>
            <w:r w:rsidRPr="00B315C5">
              <w:rPr>
                <w:rFonts w:ascii="Bookman Old Style" w:hAnsi="Bookman Old Style"/>
                <w:i/>
                <w:sz w:val="22"/>
                <w:szCs w:val="22"/>
              </w:rPr>
              <w:t>0,00</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68CADA1E" w14:textId="77777777" w:rsidR="00FE6A6E" w:rsidRPr="00B315C5" w:rsidRDefault="00FE6A6E" w:rsidP="0088380D">
            <w:pPr>
              <w:ind w:left="0"/>
              <w:jc w:val="center"/>
              <w:rPr>
                <w:rFonts w:ascii="Bookman Old Style" w:hAnsi="Bookman Old Style"/>
                <w:i/>
                <w:sz w:val="22"/>
                <w:szCs w:val="22"/>
              </w:rPr>
            </w:pPr>
            <w:r w:rsidRPr="00B315C5">
              <w:rPr>
                <w:rFonts w:ascii="Bookman Old Style" w:hAnsi="Bookman Old Style"/>
                <w:i/>
                <w:sz w:val="22"/>
                <w:szCs w:val="22"/>
              </w:rPr>
              <w:t>0,00</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491E9C7F" w14:textId="77777777" w:rsidR="00FE6A6E" w:rsidRPr="00B315C5" w:rsidRDefault="00FE6A6E" w:rsidP="0088380D">
            <w:pPr>
              <w:ind w:left="0"/>
              <w:jc w:val="center"/>
              <w:rPr>
                <w:rFonts w:ascii="Bookman Old Style" w:hAnsi="Bookman Old Style"/>
                <w:i/>
                <w:sz w:val="22"/>
                <w:szCs w:val="22"/>
              </w:rPr>
            </w:pPr>
            <w:r w:rsidRPr="00B315C5">
              <w:rPr>
                <w:rFonts w:ascii="Bookman Old Style" w:hAnsi="Bookman Old Style"/>
                <w:i/>
                <w:sz w:val="22"/>
                <w:szCs w:val="22"/>
              </w:rPr>
              <w:t>0,00</w:t>
            </w:r>
          </w:p>
        </w:tc>
      </w:tr>
      <w:tr w:rsidR="00442FE3" w:rsidRPr="00103A23" w14:paraId="6744F8AF" w14:textId="77777777" w:rsidTr="00B315C5">
        <w:trPr>
          <w:trHeight w:val="421"/>
        </w:trPr>
        <w:tc>
          <w:tcPr>
            <w:tcW w:w="1943" w:type="pct"/>
            <w:vAlign w:val="center"/>
          </w:tcPr>
          <w:p w14:paraId="16700C5C" w14:textId="77777777" w:rsidR="00442FE3" w:rsidRPr="00103A23" w:rsidRDefault="00442FE3" w:rsidP="00442FE3">
            <w:pPr>
              <w:pStyle w:val="Prrafodelista"/>
              <w:numPr>
                <w:ilvl w:val="0"/>
                <w:numId w:val="11"/>
              </w:numPr>
              <w:ind w:left="309" w:hanging="284"/>
              <w:rPr>
                <w:rFonts w:ascii="Bookman Old Style" w:hAnsi="Bookman Old Style"/>
                <w:i/>
                <w:sz w:val="22"/>
                <w:szCs w:val="22"/>
              </w:rPr>
            </w:pPr>
            <w:r w:rsidRPr="00103A23">
              <w:rPr>
                <w:rFonts w:ascii="Bookman Old Style" w:hAnsi="Bookman Old Style" w:cs="Arial"/>
                <w:i/>
                <w:sz w:val="22"/>
                <w:szCs w:val="22"/>
                <w:lang w:val="es-ES_tradnl"/>
              </w:rPr>
              <w:t>Componente Gastos AOM</w:t>
            </w:r>
          </w:p>
        </w:tc>
        <w:tc>
          <w:tcPr>
            <w:tcW w:w="446" w:type="pct"/>
            <w:vAlign w:val="center"/>
          </w:tcPr>
          <w:p w14:paraId="6396D958" w14:textId="77777777" w:rsidR="00442FE3" w:rsidRPr="00103A23" w:rsidRDefault="00442FE3" w:rsidP="00442FE3">
            <w:pPr>
              <w:ind w:left="43"/>
              <w:rPr>
                <w:rFonts w:ascii="Bookman Old Style" w:hAnsi="Bookman Old Style"/>
                <w:i/>
                <w:sz w:val="22"/>
                <w:szCs w:val="22"/>
              </w:rPr>
            </w:pPr>
            <w:r w:rsidRPr="00103A23">
              <w:rPr>
                <w:rFonts w:ascii="Bookman Old Style" w:hAnsi="Bookman Old Style" w:cs="Arial"/>
                <w:bCs/>
                <w:i/>
                <w:sz w:val="22"/>
                <w:szCs w:val="22"/>
                <w:lang w:val="es-ES_tradnl"/>
              </w:rPr>
              <w:t>$/m</w:t>
            </w:r>
            <w:r w:rsidRPr="00103A23">
              <w:rPr>
                <w:rFonts w:ascii="Bookman Old Style" w:hAnsi="Bookman Old Style" w:cs="Arial"/>
                <w:bCs/>
                <w:i/>
                <w:sz w:val="22"/>
                <w:szCs w:val="22"/>
                <w:vertAlign w:val="superscript"/>
                <w:lang w:val="es-ES_tradnl"/>
              </w:rPr>
              <w:t>3</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2D1D0074"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235.90</w:t>
            </w:r>
          </w:p>
        </w:tc>
        <w:tc>
          <w:tcPr>
            <w:tcW w:w="870" w:type="pct"/>
            <w:tcBorders>
              <w:top w:val="single" w:sz="4" w:space="0" w:color="auto"/>
              <w:left w:val="nil"/>
              <w:bottom w:val="single" w:sz="4" w:space="0" w:color="auto"/>
              <w:right w:val="single" w:sz="4" w:space="0" w:color="auto"/>
            </w:tcBorders>
            <w:shd w:val="clear" w:color="auto" w:fill="auto"/>
            <w:vAlign w:val="center"/>
          </w:tcPr>
          <w:p w14:paraId="4CA722CE"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235.90</w:t>
            </w:r>
          </w:p>
        </w:tc>
        <w:tc>
          <w:tcPr>
            <w:tcW w:w="870" w:type="pct"/>
            <w:tcBorders>
              <w:top w:val="single" w:sz="4" w:space="0" w:color="auto"/>
              <w:left w:val="nil"/>
              <w:bottom w:val="single" w:sz="4" w:space="0" w:color="auto"/>
              <w:right w:val="single" w:sz="4" w:space="0" w:color="auto"/>
            </w:tcBorders>
            <w:shd w:val="clear" w:color="auto" w:fill="auto"/>
            <w:vAlign w:val="center"/>
          </w:tcPr>
          <w:p w14:paraId="42EF094F" w14:textId="77777777" w:rsidR="00442FE3" w:rsidRPr="00442FE3" w:rsidRDefault="00442FE3" w:rsidP="00442FE3">
            <w:pPr>
              <w:ind w:left="-108"/>
              <w:jc w:val="center"/>
              <w:rPr>
                <w:rFonts w:ascii="Bookman Old Style" w:hAnsi="Bookman Old Style"/>
                <w:i/>
                <w:color w:val="000000"/>
                <w:sz w:val="22"/>
                <w:szCs w:val="22"/>
              </w:rPr>
            </w:pPr>
            <w:r w:rsidRPr="00442FE3">
              <w:rPr>
                <w:rFonts w:ascii="Bookman Old Style" w:hAnsi="Bookman Old Style"/>
                <w:i/>
                <w:color w:val="000000"/>
                <w:sz w:val="22"/>
                <w:szCs w:val="22"/>
              </w:rPr>
              <w:t>235.90</w:t>
            </w:r>
          </w:p>
        </w:tc>
      </w:tr>
    </w:tbl>
    <w:p w14:paraId="5C053B5F" w14:textId="77777777" w:rsidR="00FE6A6E" w:rsidRPr="00103A23" w:rsidRDefault="00FE6A6E" w:rsidP="00FE6A6E">
      <w:pPr>
        <w:widowControl w:val="0"/>
        <w:adjustRightInd w:val="0"/>
        <w:ind w:left="0" w:right="20" w:firstLine="284"/>
        <w:jc w:val="both"/>
        <w:rPr>
          <w:rFonts w:ascii="Bookman Old Style" w:hAnsi="Bookman Old Style" w:cs="Arial"/>
          <w:i/>
          <w:sz w:val="18"/>
          <w:lang w:val="es-CO" w:eastAsia="x-none"/>
        </w:rPr>
      </w:pPr>
      <w:r w:rsidRPr="00103A23">
        <w:rPr>
          <w:rFonts w:ascii="Bookman Old Style" w:hAnsi="Bookman Old Style" w:cs="Arial"/>
          <w:i/>
          <w:sz w:val="18"/>
          <w:lang w:val="x-none" w:eastAsia="x-none"/>
        </w:rPr>
        <w:t>Cifras en pesos del 31 de diciembre de 20</w:t>
      </w:r>
      <w:r w:rsidRPr="00103A23">
        <w:rPr>
          <w:rFonts w:ascii="Bookman Old Style" w:hAnsi="Bookman Old Style" w:cs="Arial"/>
          <w:i/>
          <w:sz w:val="18"/>
          <w:lang w:val="es-CO" w:eastAsia="x-none"/>
        </w:rPr>
        <w:t>14</w:t>
      </w:r>
    </w:p>
    <w:p w14:paraId="4FC397A2" w14:textId="77777777" w:rsidR="00FE6A6E" w:rsidRPr="00103A23" w:rsidRDefault="00FE6A6E" w:rsidP="00FE6A6E">
      <w:pPr>
        <w:widowControl w:val="0"/>
        <w:adjustRightInd w:val="0"/>
        <w:ind w:left="0" w:right="20"/>
        <w:jc w:val="both"/>
        <w:rPr>
          <w:rFonts w:ascii="Bookman Old Style" w:hAnsi="Bookman Old Style" w:cs="Arial"/>
          <w:i/>
          <w:sz w:val="32"/>
          <w:lang w:val="es-CO" w:eastAsia="es-CO"/>
        </w:rPr>
      </w:pPr>
    </w:p>
    <w:p w14:paraId="1D9CFFD0" w14:textId="77777777" w:rsidR="00FE6A6E" w:rsidRPr="00103A23" w:rsidRDefault="00FE6A6E" w:rsidP="00FE6A6E">
      <w:pPr>
        <w:widowControl w:val="0"/>
        <w:adjustRightInd w:val="0"/>
        <w:ind w:left="284" w:right="20"/>
        <w:jc w:val="both"/>
        <w:rPr>
          <w:rFonts w:ascii="Bookman Old Style" w:hAnsi="Bookman Old Style" w:cs="Arial"/>
          <w:i/>
          <w:sz w:val="22"/>
          <w:szCs w:val="22"/>
          <w:lang w:val="es-CO" w:eastAsia="es-CO"/>
        </w:rPr>
      </w:pPr>
      <w:r w:rsidRPr="00103A23">
        <w:rPr>
          <w:rFonts w:ascii="Bookman Old Style" w:hAnsi="Bookman Old Style" w:cs="Arial"/>
          <w:i/>
          <w:sz w:val="22"/>
          <w:szCs w:val="22"/>
          <w:lang w:val="es-CO" w:eastAsia="es-CO"/>
        </w:rPr>
        <w:t>Dado que el sistema de distribución presentado por la empresa GASES DE LA GUAJIRA S.A. E.S.P. para el submercado conformado por el municipio de La Jagua del Pilar, en el departamento de Guajira,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2B0E9FDC" w14:textId="77777777" w:rsidR="00FE6A6E" w:rsidRPr="00103A23" w:rsidRDefault="00FE6A6E" w:rsidP="00FE6A6E">
      <w:pPr>
        <w:widowControl w:val="0"/>
        <w:adjustRightInd w:val="0"/>
        <w:ind w:left="284" w:right="20"/>
        <w:jc w:val="both"/>
        <w:rPr>
          <w:rFonts w:ascii="Bookman Old Style" w:hAnsi="Bookman Old Style" w:cs="Arial"/>
          <w:i/>
          <w:sz w:val="22"/>
          <w:szCs w:val="22"/>
          <w:lang w:val="es-CO" w:eastAsia="es-CO"/>
        </w:rPr>
      </w:pPr>
    </w:p>
    <w:p w14:paraId="6B1797D5" w14:textId="77777777" w:rsidR="00FE6A6E" w:rsidRPr="00103A23" w:rsidRDefault="00FE6A6E" w:rsidP="00FE6A6E">
      <w:pPr>
        <w:ind w:left="284"/>
        <w:jc w:val="both"/>
        <w:rPr>
          <w:rFonts w:ascii="Bookman Old Style" w:hAnsi="Bookman Old Style" w:cs="Arial"/>
          <w:i/>
          <w:sz w:val="22"/>
          <w:szCs w:val="22"/>
        </w:rPr>
      </w:pPr>
      <w:r w:rsidRPr="00103A23">
        <w:rPr>
          <w:rFonts w:ascii="Bookman Old Style" w:hAnsi="Bookman Old Style" w:cs="Arial"/>
          <w:b/>
          <w:bCs/>
          <w:i/>
          <w:sz w:val="22"/>
          <w:szCs w:val="22"/>
        </w:rPr>
        <w:t xml:space="preserve">Parágrafo 1. </w:t>
      </w:r>
      <w:r w:rsidRPr="00103A23">
        <w:rPr>
          <w:rFonts w:ascii="Bookman Old Style" w:hAnsi="Bookman Old Style" w:cs="Arial"/>
          <w:i/>
          <w:sz w:val="22"/>
          <w:szCs w:val="22"/>
        </w:rPr>
        <w:t>Para el cálculo de las tarifas que se cobren a los usuarios y que incluyen los cargos aprobados en el artículo 5 de la presente Resolución, se tendrá en cuenta lo establecido en el numeral 87.9 del artículo 87 de la Ley 142 de 1994, modificado por el artículo 99 de la Ley 1450 de 2011, o aquella que la modifique, aclare o sustituya.</w:t>
      </w:r>
    </w:p>
    <w:p w14:paraId="0328A937" w14:textId="77777777" w:rsidR="00FE6A6E" w:rsidRPr="00103A23" w:rsidRDefault="00FE6A6E" w:rsidP="00FE6A6E">
      <w:pPr>
        <w:ind w:left="284"/>
        <w:jc w:val="both"/>
        <w:rPr>
          <w:rFonts w:ascii="Bookman Old Style" w:hAnsi="Bookman Old Style" w:cs="Arial"/>
          <w:i/>
          <w:sz w:val="22"/>
          <w:szCs w:val="22"/>
        </w:rPr>
      </w:pPr>
    </w:p>
    <w:p w14:paraId="49F04692" w14:textId="77777777" w:rsidR="00FE6A6E" w:rsidRPr="00103A23" w:rsidRDefault="00FE6A6E" w:rsidP="00FE6A6E">
      <w:pPr>
        <w:ind w:left="284"/>
        <w:jc w:val="both"/>
        <w:rPr>
          <w:rFonts w:ascii="Bookman Old Style" w:hAnsi="Bookman Old Style" w:cs="Arial"/>
          <w:i/>
          <w:sz w:val="22"/>
          <w:szCs w:val="22"/>
        </w:rPr>
      </w:pPr>
      <w:r w:rsidRPr="00103A23">
        <w:rPr>
          <w:rFonts w:ascii="Bookman Old Style" w:hAnsi="Bookman Old Style" w:cs="Arial"/>
          <w:b/>
          <w:bCs/>
          <w:i/>
          <w:sz w:val="22"/>
          <w:szCs w:val="22"/>
        </w:rPr>
        <w:t xml:space="preserve">Parágrafo 2. </w:t>
      </w:r>
      <w:r w:rsidRPr="00103A23">
        <w:rPr>
          <w:rFonts w:ascii="Bookman Old Style" w:hAnsi="Bookman Old Style" w:cs="Arial"/>
          <w:i/>
          <w:sz w:val="22"/>
          <w:szCs w:val="22"/>
        </w:rPr>
        <w:t>Los Cargos de Distribución del presente artículo se actualizarán de conformidad con lo establecido en el artículo 12 de la Resolución CREG 202 de 2013, modificado por el artículo 3 de la Resolución CREG 125 de 2015</w:t>
      </w:r>
      <w:r w:rsidR="00103A23">
        <w:rPr>
          <w:rFonts w:ascii="Bookman Old Style" w:hAnsi="Bookman Old Style" w:cs="Arial"/>
          <w:i/>
          <w:sz w:val="22"/>
          <w:szCs w:val="22"/>
        </w:rPr>
        <w:t>”</w:t>
      </w:r>
      <w:r w:rsidRPr="00103A23">
        <w:rPr>
          <w:rFonts w:ascii="Bookman Old Style" w:hAnsi="Bookman Old Style" w:cs="Arial"/>
          <w:i/>
          <w:sz w:val="22"/>
          <w:szCs w:val="22"/>
        </w:rPr>
        <w:t>.</w:t>
      </w:r>
    </w:p>
    <w:p w14:paraId="21D03399" w14:textId="77777777" w:rsidR="00FE6A6E" w:rsidRDefault="00FE6A6E" w:rsidP="00646E83">
      <w:pPr>
        <w:ind w:left="0"/>
        <w:jc w:val="both"/>
        <w:rPr>
          <w:rFonts w:ascii="Bookman Old Style" w:hAnsi="Bookman Old Style"/>
          <w:i/>
          <w:sz w:val="22"/>
        </w:rPr>
      </w:pPr>
    </w:p>
    <w:p w14:paraId="4B5835EB" w14:textId="77777777" w:rsidR="008A20A8" w:rsidRDefault="008A20A8" w:rsidP="008A20A8">
      <w:pPr>
        <w:ind w:left="0"/>
        <w:jc w:val="both"/>
        <w:rPr>
          <w:rFonts w:ascii="Bookman Old Style" w:hAnsi="Bookman Old Style"/>
          <w:i/>
          <w:sz w:val="22"/>
        </w:rPr>
      </w:pPr>
      <w:r w:rsidRPr="002A782A">
        <w:rPr>
          <w:rFonts w:ascii="Bookman Old Style" w:hAnsi="Bookman Old Style"/>
          <w:b/>
        </w:rPr>
        <w:t xml:space="preserve">ARTÍCULO </w:t>
      </w:r>
      <w:r>
        <w:rPr>
          <w:rFonts w:ascii="Bookman Old Style" w:hAnsi="Bookman Old Style"/>
          <w:b/>
        </w:rPr>
        <w:t>4</w:t>
      </w:r>
      <w:r w:rsidRPr="002A782A">
        <w:rPr>
          <w:rFonts w:ascii="Bookman Old Style" w:hAnsi="Bookman Old Style"/>
          <w:b/>
        </w:rPr>
        <w:t>.</w:t>
      </w:r>
      <w:r>
        <w:rPr>
          <w:rFonts w:ascii="Bookman Old Style" w:hAnsi="Bookman Old Style"/>
          <w:i/>
          <w:sz w:val="22"/>
        </w:rPr>
        <w:t xml:space="preserve"> </w:t>
      </w:r>
      <w:r w:rsidRPr="00D1599A">
        <w:rPr>
          <w:rFonts w:ascii="Bookman Old Style" w:eastAsia="Calibri" w:hAnsi="Bookman Old Style" w:cs="Century Gothic"/>
          <w:lang w:eastAsia="es-CO"/>
        </w:rPr>
        <w:t xml:space="preserve">Modificar el Artículo </w:t>
      </w:r>
      <w:r>
        <w:rPr>
          <w:rFonts w:ascii="Bookman Old Style" w:eastAsia="Calibri" w:hAnsi="Bookman Old Style" w:cs="Century Gothic"/>
          <w:lang w:eastAsia="es-CO"/>
        </w:rPr>
        <w:t>6</w:t>
      </w:r>
      <w:r w:rsidRPr="00D1599A">
        <w:rPr>
          <w:rFonts w:ascii="Bookman Old Style" w:eastAsia="Calibri" w:hAnsi="Bookman Old Style" w:cs="Century Gothic"/>
          <w:lang w:eastAsia="es-CO"/>
        </w:rPr>
        <w:t xml:space="preserve"> “</w:t>
      </w:r>
      <w:r w:rsidRPr="008A20A8">
        <w:rPr>
          <w:rFonts w:ascii="Bookman Old Style" w:hAnsi="Bookman Old Style" w:cs="Arial"/>
        </w:rPr>
        <w:t>Cargos de distribución aplicables a los usuarios Diferentes a los de Uso Residencial</w:t>
      </w:r>
      <w:r w:rsidRPr="00D1599A">
        <w:rPr>
          <w:rFonts w:ascii="Bookman Old Style" w:hAnsi="Bookman Old Style" w:cs="Arial"/>
        </w:rPr>
        <w:t>” de la Re</w:t>
      </w:r>
      <w:r>
        <w:rPr>
          <w:rFonts w:ascii="Bookman Old Style" w:hAnsi="Bookman Old Style" w:cs="Arial"/>
        </w:rPr>
        <w:t>solución CREG 027</w:t>
      </w:r>
      <w:r w:rsidRPr="00D1599A">
        <w:rPr>
          <w:rFonts w:ascii="Bookman Old Style" w:hAnsi="Bookman Old Style" w:cs="Arial"/>
        </w:rPr>
        <w:t xml:space="preserve"> de 201</w:t>
      </w:r>
      <w:r>
        <w:rPr>
          <w:rFonts w:ascii="Bookman Old Style" w:hAnsi="Bookman Old Style" w:cs="Arial"/>
        </w:rPr>
        <w:t>8</w:t>
      </w:r>
      <w:r w:rsidRPr="00D1599A">
        <w:rPr>
          <w:rFonts w:ascii="Bookman Old Style" w:hAnsi="Bookman Old Style" w:cs="Arial"/>
        </w:rPr>
        <w:t>, el cual quedará así:</w:t>
      </w:r>
    </w:p>
    <w:p w14:paraId="12196133" w14:textId="77777777" w:rsidR="00FE6A6E" w:rsidRDefault="00FE6A6E" w:rsidP="00646E83">
      <w:pPr>
        <w:ind w:left="0"/>
        <w:jc w:val="both"/>
        <w:rPr>
          <w:rFonts w:ascii="Bookman Old Style" w:hAnsi="Bookman Old Style"/>
          <w:i/>
          <w:sz w:val="22"/>
        </w:rPr>
      </w:pPr>
    </w:p>
    <w:p w14:paraId="72B2996C" w14:textId="77777777" w:rsidR="008A20A8" w:rsidRPr="008A20A8" w:rsidRDefault="008A20A8" w:rsidP="008A20A8">
      <w:pPr>
        <w:widowControl w:val="0"/>
        <w:adjustRightInd w:val="0"/>
        <w:ind w:left="284" w:right="20"/>
        <w:jc w:val="both"/>
        <w:rPr>
          <w:rFonts w:ascii="Bookman Old Style" w:hAnsi="Bookman Old Style" w:cs="Arial"/>
          <w:i/>
          <w:sz w:val="22"/>
          <w:szCs w:val="22"/>
        </w:rPr>
      </w:pPr>
      <w:r w:rsidRPr="008A20A8">
        <w:rPr>
          <w:rFonts w:ascii="Bookman Old Style" w:hAnsi="Bookman Old Style" w:cs="Arial"/>
          <w:b/>
          <w:i/>
          <w:sz w:val="22"/>
          <w:szCs w:val="22"/>
        </w:rPr>
        <w:t>“ARTÍCULO 6. Cargos de distribución aplicables a los usuarios Diferentes a los de Uso Residencial.</w:t>
      </w:r>
      <w:r w:rsidRPr="008A20A8">
        <w:rPr>
          <w:rFonts w:ascii="Bookman Old Style" w:hAnsi="Bookman Old Style" w:cs="Arial"/>
          <w:i/>
          <w:sz w:val="22"/>
          <w:szCs w:val="22"/>
        </w:rPr>
        <w:t xml:space="preserve"> A partir de la vigencia de la presente Resolución, los cargos de distribución aplicables a los usuarios Diferentes a los de uso residencial para recuperar los costos de inversión y los gastos de AOM para la distribución domiciliaria de gas combustible por red se fijan transitoriamente tal como se indica a continuación.</w:t>
      </w:r>
    </w:p>
    <w:p w14:paraId="48B4B168" w14:textId="77777777" w:rsidR="008A20A8" w:rsidRPr="008A20A8" w:rsidRDefault="008A20A8" w:rsidP="008A20A8">
      <w:pPr>
        <w:widowControl w:val="0"/>
        <w:adjustRightInd w:val="0"/>
        <w:ind w:left="284" w:right="20"/>
        <w:jc w:val="both"/>
        <w:rPr>
          <w:rFonts w:ascii="Bookman Old Style" w:hAnsi="Bookman Old Style" w:cs="Arial"/>
          <w:i/>
          <w:sz w:val="22"/>
          <w:szCs w:val="22"/>
        </w:rPr>
      </w:pPr>
    </w:p>
    <w:p w14:paraId="5706AF48" w14:textId="77777777" w:rsidR="008A20A8" w:rsidRPr="008A20A8" w:rsidRDefault="008A20A8" w:rsidP="008A20A8">
      <w:pPr>
        <w:widowControl w:val="0"/>
        <w:adjustRightInd w:val="0"/>
        <w:ind w:left="284" w:right="20"/>
        <w:jc w:val="both"/>
        <w:rPr>
          <w:rFonts w:ascii="Bookman Old Style" w:hAnsi="Bookman Old Style" w:cs="Arial"/>
          <w:b/>
          <w:i/>
          <w:sz w:val="22"/>
          <w:szCs w:val="22"/>
        </w:rPr>
      </w:pPr>
      <w:r w:rsidRPr="008A20A8">
        <w:rPr>
          <w:rFonts w:ascii="Bookman Old Style" w:hAnsi="Bookman Old Style" w:cs="Arial"/>
          <w:b/>
          <w:i/>
          <w:sz w:val="22"/>
          <w:szCs w:val="22"/>
        </w:rPr>
        <w:t>6.1.</w:t>
      </w:r>
      <w:r w:rsidRPr="008A20A8">
        <w:rPr>
          <w:rFonts w:ascii="Bookman Old Style" w:hAnsi="Bookman Old Style" w:cs="Arial"/>
          <w:i/>
          <w:sz w:val="22"/>
          <w:szCs w:val="22"/>
        </w:rPr>
        <w:t xml:space="preserve"> </w:t>
      </w:r>
      <w:r w:rsidRPr="008A20A8">
        <w:rPr>
          <w:rFonts w:ascii="Bookman Old Style" w:hAnsi="Bookman Old Style" w:cs="Arial"/>
          <w:b/>
          <w:i/>
          <w:sz w:val="22"/>
          <w:szCs w:val="22"/>
        </w:rPr>
        <w:t xml:space="preserve">Municipios que pertenecen al Mercado Relevante definido en el Artículo 1 que cuentan con recursos públicos. </w:t>
      </w:r>
    </w:p>
    <w:p w14:paraId="367F4874" w14:textId="77777777" w:rsidR="008A20A8" w:rsidRPr="008A20A8" w:rsidRDefault="008A20A8" w:rsidP="008A20A8">
      <w:pPr>
        <w:widowControl w:val="0"/>
        <w:adjustRightInd w:val="0"/>
        <w:ind w:left="284" w:right="20"/>
        <w:jc w:val="both"/>
        <w:rPr>
          <w:rFonts w:ascii="Bookman Old Style" w:hAnsi="Bookman Old Style" w:cs="Arial"/>
          <w:b/>
          <w:i/>
          <w:sz w:val="22"/>
          <w:szCs w:val="22"/>
        </w:rPr>
      </w:pPr>
    </w:p>
    <w:p w14:paraId="4C0B682D" w14:textId="77777777" w:rsidR="008A20A8" w:rsidRPr="008A20A8" w:rsidRDefault="008A20A8" w:rsidP="008A20A8">
      <w:pPr>
        <w:widowControl w:val="0"/>
        <w:adjustRightInd w:val="0"/>
        <w:ind w:left="284" w:right="20"/>
        <w:jc w:val="both"/>
        <w:rPr>
          <w:rFonts w:ascii="Bookman Old Style" w:hAnsi="Bookman Old Style" w:cs="Arial"/>
          <w:i/>
          <w:sz w:val="22"/>
          <w:szCs w:val="22"/>
        </w:rPr>
      </w:pPr>
      <w:r w:rsidRPr="008A20A8">
        <w:rPr>
          <w:rFonts w:ascii="Bookman Old Style" w:hAnsi="Bookman Old Style" w:cs="Arial"/>
          <w:b/>
          <w:i/>
          <w:sz w:val="22"/>
          <w:szCs w:val="22"/>
        </w:rPr>
        <w:t xml:space="preserve">6.1.1. </w:t>
      </w:r>
      <w:r w:rsidRPr="008A20A8">
        <w:rPr>
          <w:rFonts w:ascii="Bookman Old Style" w:hAnsi="Bookman Old Style" w:cs="Arial"/>
          <w:i/>
          <w:sz w:val="22"/>
          <w:szCs w:val="22"/>
        </w:rPr>
        <w:t>Para los municipios de Riohacha, Barrancas, El Molino, Fonseca, Hatonuevo, Maicao, Manaure, San Juan del Cesar, Uribia, Urumita y Villanueva, en el departamento de La Guajira, los cargos transitorios aplicables son:</w:t>
      </w:r>
    </w:p>
    <w:p w14:paraId="6CA85E9C" w14:textId="77777777" w:rsidR="008A20A8" w:rsidRPr="008A20A8" w:rsidRDefault="008A20A8" w:rsidP="008A20A8">
      <w:pPr>
        <w:widowControl w:val="0"/>
        <w:adjustRightInd w:val="0"/>
        <w:ind w:left="0" w:right="20"/>
        <w:jc w:val="both"/>
        <w:rPr>
          <w:rFonts w:ascii="Bookman Old Style" w:hAnsi="Bookman Old Style" w:cs="Arial"/>
          <w:i/>
          <w:sz w:val="22"/>
          <w:szCs w:val="22"/>
        </w:rPr>
      </w:pP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809"/>
        <w:gridCol w:w="1605"/>
        <w:gridCol w:w="1605"/>
        <w:gridCol w:w="1601"/>
      </w:tblGrid>
      <w:tr w:rsidR="008A20A8" w:rsidRPr="008A20A8" w14:paraId="1D14D2EF" w14:textId="77777777" w:rsidTr="008A20A8">
        <w:trPr>
          <w:trHeight w:val="122"/>
          <w:tblHeader/>
        </w:trPr>
        <w:tc>
          <w:tcPr>
            <w:tcW w:w="5000" w:type="pct"/>
            <w:gridSpan w:val="5"/>
            <w:shd w:val="clear" w:color="auto" w:fill="D9D9D9" w:themeFill="background1" w:themeFillShade="D9"/>
            <w:vAlign w:val="center"/>
          </w:tcPr>
          <w:p w14:paraId="124285D4" w14:textId="77777777" w:rsidR="008A20A8" w:rsidRPr="008A20A8" w:rsidRDefault="008A20A8" w:rsidP="0088380D">
            <w:pPr>
              <w:ind w:left="-115"/>
              <w:jc w:val="center"/>
              <w:rPr>
                <w:rFonts w:ascii="Bookman Old Style" w:hAnsi="Bookman Old Style"/>
                <w:b/>
                <w:i/>
                <w:sz w:val="22"/>
                <w:szCs w:val="22"/>
              </w:rPr>
            </w:pPr>
            <w:r w:rsidRPr="008A20A8">
              <w:rPr>
                <w:rFonts w:ascii="Bookman Old Style" w:hAnsi="Bookman Old Style"/>
                <w:b/>
                <w:i/>
                <w:sz w:val="22"/>
                <w:szCs w:val="22"/>
              </w:rPr>
              <w:t>Usuarios Diferentes a los de Uso Residencial</w:t>
            </w:r>
          </w:p>
        </w:tc>
      </w:tr>
      <w:tr w:rsidR="008A20A8" w:rsidRPr="008A20A8" w14:paraId="113DA904" w14:textId="77777777" w:rsidTr="005C2A66">
        <w:trPr>
          <w:trHeight w:val="119"/>
          <w:tblHeader/>
        </w:trPr>
        <w:tc>
          <w:tcPr>
            <w:tcW w:w="1901" w:type="pct"/>
            <w:shd w:val="clear" w:color="auto" w:fill="D9D9D9" w:themeFill="background1" w:themeFillShade="D9"/>
            <w:vAlign w:val="center"/>
          </w:tcPr>
          <w:p w14:paraId="42ECE826" w14:textId="77777777" w:rsidR="008A20A8" w:rsidRPr="008A20A8" w:rsidRDefault="008A20A8" w:rsidP="0088380D">
            <w:pPr>
              <w:ind w:left="0"/>
              <w:jc w:val="center"/>
              <w:rPr>
                <w:rFonts w:ascii="Bookman Old Style" w:hAnsi="Bookman Old Style"/>
                <w:i/>
                <w:sz w:val="22"/>
                <w:szCs w:val="22"/>
              </w:rPr>
            </w:pPr>
            <w:r w:rsidRPr="008A20A8">
              <w:rPr>
                <w:rFonts w:ascii="Bookman Old Style" w:hAnsi="Bookman Old Style" w:cs="Arial"/>
                <w:b/>
                <w:bCs/>
                <w:i/>
                <w:sz w:val="22"/>
                <w:szCs w:val="22"/>
                <w:lang w:val="es-ES_tradnl"/>
              </w:rPr>
              <w:t>Componente</w:t>
            </w:r>
          </w:p>
        </w:tc>
        <w:tc>
          <w:tcPr>
            <w:tcW w:w="446" w:type="pct"/>
            <w:shd w:val="clear" w:color="auto" w:fill="D9D9D9" w:themeFill="background1" w:themeFillShade="D9"/>
          </w:tcPr>
          <w:p w14:paraId="1592E508" w14:textId="77777777" w:rsidR="008A20A8" w:rsidRPr="008A20A8" w:rsidRDefault="008A20A8" w:rsidP="0088380D">
            <w:pPr>
              <w:ind w:left="-112"/>
              <w:jc w:val="center"/>
              <w:rPr>
                <w:rFonts w:ascii="Bookman Old Style" w:hAnsi="Bookman Old Style"/>
                <w:b/>
                <w:i/>
                <w:sz w:val="22"/>
                <w:szCs w:val="22"/>
              </w:rPr>
            </w:pPr>
          </w:p>
        </w:tc>
        <w:tc>
          <w:tcPr>
            <w:tcW w:w="885" w:type="pct"/>
            <w:tcBorders>
              <w:bottom w:val="single" w:sz="4" w:space="0" w:color="auto"/>
            </w:tcBorders>
            <w:shd w:val="clear" w:color="auto" w:fill="D9D9D9" w:themeFill="background1" w:themeFillShade="D9"/>
            <w:vAlign w:val="center"/>
          </w:tcPr>
          <w:p w14:paraId="3F69149C" w14:textId="77777777" w:rsidR="008A20A8" w:rsidRPr="008A20A8" w:rsidRDefault="008A20A8" w:rsidP="0088380D">
            <w:pPr>
              <w:ind w:left="-112"/>
              <w:jc w:val="center"/>
              <w:rPr>
                <w:rFonts w:ascii="Bookman Old Style" w:hAnsi="Bookman Old Style"/>
                <w:b/>
                <w:i/>
                <w:sz w:val="22"/>
                <w:szCs w:val="22"/>
              </w:rPr>
            </w:pPr>
            <w:r w:rsidRPr="008A20A8">
              <w:rPr>
                <w:rFonts w:ascii="Bookman Old Style" w:hAnsi="Bookman Old Style"/>
                <w:b/>
                <w:i/>
                <w:sz w:val="22"/>
                <w:szCs w:val="22"/>
              </w:rPr>
              <w:t>2017</w:t>
            </w:r>
          </w:p>
        </w:tc>
        <w:tc>
          <w:tcPr>
            <w:tcW w:w="885" w:type="pct"/>
            <w:tcBorders>
              <w:bottom w:val="single" w:sz="4" w:space="0" w:color="auto"/>
            </w:tcBorders>
            <w:shd w:val="clear" w:color="auto" w:fill="D9D9D9" w:themeFill="background1" w:themeFillShade="D9"/>
            <w:vAlign w:val="center"/>
          </w:tcPr>
          <w:p w14:paraId="3D48810F" w14:textId="77777777" w:rsidR="008A20A8" w:rsidRPr="008A20A8" w:rsidRDefault="008A20A8" w:rsidP="0088380D">
            <w:pPr>
              <w:ind w:left="-112"/>
              <w:jc w:val="center"/>
              <w:rPr>
                <w:rFonts w:ascii="Bookman Old Style" w:hAnsi="Bookman Old Style"/>
                <w:b/>
                <w:i/>
                <w:sz w:val="22"/>
                <w:szCs w:val="22"/>
              </w:rPr>
            </w:pPr>
            <w:r w:rsidRPr="008A20A8">
              <w:rPr>
                <w:rFonts w:ascii="Bookman Old Style" w:hAnsi="Bookman Old Style"/>
                <w:b/>
                <w:i/>
                <w:sz w:val="22"/>
                <w:szCs w:val="22"/>
              </w:rPr>
              <w:t>2018</w:t>
            </w:r>
          </w:p>
        </w:tc>
        <w:tc>
          <w:tcPr>
            <w:tcW w:w="883" w:type="pct"/>
            <w:tcBorders>
              <w:bottom w:val="single" w:sz="4" w:space="0" w:color="auto"/>
            </w:tcBorders>
            <w:shd w:val="clear" w:color="auto" w:fill="D9D9D9" w:themeFill="background1" w:themeFillShade="D9"/>
            <w:vAlign w:val="center"/>
          </w:tcPr>
          <w:p w14:paraId="218BF4DE" w14:textId="77777777" w:rsidR="008A20A8" w:rsidRPr="008A20A8" w:rsidRDefault="008A20A8" w:rsidP="0088380D">
            <w:pPr>
              <w:ind w:left="-18"/>
              <w:jc w:val="center"/>
              <w:rPr>
                <w:rFonts w:ascii="Bookman Old Style" w:hAnsi="Bookman Old Style"/>
                <w:b/>
                <w:i/>
                <w:sz w:val="22"/>
                <w:szCs w:val="22"/>
              </w:rPr>
            </w:pPr>
            <w:r w:rsidRPr="008A20A8">
              <w:rPr>
                <w:rFonts w:ascii="Bookman Old Style" w:hAnsi="Bookman Old Style"/>
                <w:b/>
                <w:i/>
                <w:sz w:val="22"/>
                <w:szCs w:val="22"/>
              </w:rPr>
              <w:t>2019 - 2020 - 2021</w:t>
            </w:r>
          </w:p>
        </w:tc>
      </w:tr>
      <w:tr w:rsidR="005C2A66" w:rsidRPr="008A20A8" w14:paraId="384261F0" w14:textId="77777777" w:rsidTr="005C2A66">
        <w:trPr>
          <w:trHeight w:val="421"/>
        </w:trPr>
        <w:tc>
          <w:tcPr>
            <w:tcW w:w="1901" w:type="pct"/>
            <w:vAlign w:val="center"/>
          </w:tcPr>
          <w:p w14:paraId="0589B30F" w14:textId="77777777" w:rsidR="005C2A66" w:rsidRPr="008A20A8" w:rsidRDefault="005C2A66" w:rsidP="005C2A66">
            <w:pPr>
              <w:widowControl w:val="0"/>
              <w:adjustRightInd w:val="0"/>
              <w:ind w:left="0" w:right="20"/>
              <w:rPr>
                <w:rFonts w:ascii="Bookman Old Style" w:hAnsi="Bookman Old Style"/>
                <w:i/>
                <w:sz w:val="22"/>
                <w:szCs w:val="22"/>
              </w:rPr>
            </w:pPr>
            <w:r w:rsidRPr="008A20A8">
              <w:rPr>
                <w:rFonts w:ascii="Bookman Old Style" w:hAnsi="Bookman Old Style" w:cs="Arial"/>
                <w:b/>
                <w:i/>
                <w:sz w:val="22"/>
                <w:szCs w:val="22"/>
                <w:lang w:val="es-ES_tradnl"/>
              </w:rPr>
              <w:t>Cargo de distribución Total</w:t>
            </w:r>
          </w:p>
        </w:tc>
        <w:tc>
          <w:tcPr>
            <w:tcW w:w="446" w:type="pct"/>
            <w:vAlign w:val="center"/>
          </w:tcPr>
          <w:p w14:paraId="0EA6E732"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
                <w:bCs/>
                <w:i/>
                <w:sz w:val="22"/>
                <w:szCs w:val="22"/>
                <w:lang w:val="es-ES_tradnl"/>
              </w:rPr>
              <w:t>$/m</w:t>
            </w:r>
            <w:r w:rsidRPr="008A20A8">
              <w:rPr>
                <w:rFonts w:ascii="Bookman Old Style" w:hAnsi="Bookman Old Style" w:cs="Arial"/>
                <w:b/>
                <w:bCs/>
                <w:i/>
                <w:sz w:val="22"/>
                <w:szCs w:val="22"/>
                <w:vertAlign w:val="superscript"/>
                <w:lang w:val="es-ES_tradnl"/>
              </w:rPr>
              <w:t>3</w:t>
            </w:r>
          </w:p>
        </w:tc>
        <w:tc>
          <w:tcPr>
            <w:tcW w:w="885" w:type="pct"/>
            <w:tcBorders>
              <w:bottom w:val="single" w:sz="4" w:space="0" w:color="auto"/>
            </w:tcBorders>
            <w:shd w:val="clear" w:color="auto" w:fill="auto"/>
            <w:vAlign w:val="center"/>
          </w:tcPr>
          <w:p w14:paraId="34002B1A" w14:textId="029392BB" w:rsidR="005C2A66" w:rsidRPr="005C2A66" w:rsidRDefault="005C2A66" w:rsidP="005C2A66">
            <w:pPr>
              <w:ind w:left="-108"/>
              <w:jc w:val="center"/>
              <w:rPr>
                <w:rFonts w:ascii="Bookman Old Style" w:hAnsi="Bookman Old Style"/>
                <w:b/>
                <w:i/>
                <w:color w:val="000000"/>
                <w:sz w:val="22"/>
                <w:szCs w:val="22"/>
              </w:rPr>
            </w:pPr>
            <w:r w:rsidRPr="005C2A66">
              <w:rPr>
                <w:rFonts w:ascii="Bookman Old Style" w:hAnsi="Bookman Old Style"/>
                <w:b/>
                <w:i/>
                <w:color w:val="000000"/>
                <w:sz w:val="22"/>
                <w:szCs w:val="22"/>
              </w:rPr>
              <w:t>322.55</w:t>
            </w:r>
          </w:p>
        </w:tc>
        <w:tc>
          <w:tcPr>
            <w:tcW w:w="885" w:type="pct"/>
            <w:tcBorders>
              <w:bottom w:val="single" w:sz="4" w:space="0" w:color="auto"/>
            </w:tcBorders>
            <w:shd w:val="clear" w:color="auto" w:fill="auto"/>
            <w:vAlign w:val="center"/>
          </w:tcPr>
          <w:p w14:paraId="0582584B" w14:textId="69257169" w:rsidR="005C2A66" w:rsidRPr="005C2A66" w:rsidRDefault="005C2A66" w:rsidP="005C2A66">
            <w:pPr>
              <w:ind w:left="0"/>
              <w:jc w:val="center"/>
              <w:rPr>
                <w:rFonts w:ascii="Bookman Old Style" w:hAnsi="Bookman Old Style"/>
                <w:b/>
                <w:i/>
                <w:color w:val="000000"/>
                <w:sz w:val="22"/>
                <w:szCs w:val="22"/>
              </w:rPr>
            </w:pPr>
            <w:r w:rsidRPr="005C2A66">
              <w:rPr>
                <w:rFonts w:ascii="Bookman Old Style" w:hAnsi="Bookman Old Style"/>
                <w:b/>
                <w:i/>
                <w:color w:val="000000"/>
                <w:sz w:val="22"/>
                <w:szCs w:val="22"/>
              </w:rPr>
              <w:t>325.38</w:t>
            </w:r>
          </w:p>
        </w:tc>
        <w:tc>
          <w:tcPr>
            <w:tcW w:w="883" w:type="pct"/>
            <w:tcBorders>
              <w:bottom w:val="single" w:sz="4" w:space="0" w:color="auto"/>
            </w:tcBorders>
            <w:shd w:val="clear" w:color="auto" w:fill="auto"/>
            <w:vAlign w:val="center"/>
          </w:tcPr>
          <w:p w14:paraId="7481F289" w14:textId="375F8E5F" w:rsidR="005C2A66" w:rsidRPr="005C2A66" w:rsidRDefault="005C2A66" w:rsidP="005C2A66">
            <w:pPr>
              <w:ind w:left="0"/>
              <w:jc w:val="center"/>
              <w:rPr>
                <w:rFonts w:ascii="Bookman Old Style" w:hAnsi="Bookman Old Style"/>
                <w:b/>
                <w:i/>
                <w:color w:val="000000"/>
                <w:sz w:val="22"/>
                <w:szCs w:val="22"/>
              </w:rPr>
            </w:pPr>
            <w:r w:rsidRPr="005C2A66">
              <w:rPr>
                <w:rFonts w:ascii="Bookman Old Style" w:hAnsi="Bookman Old Style"/>
                <w:b/>
                <w:i/>
                <w:color w:val="000000"/>
                <w:sz w:val="22"/>
                <w:szCs w:val="22"/>
              </w:rPr>
              <w:t>306.48</w:t>
            </w:r>
          </w:p>
        </w:tc>
      </w:tr>
      <w:tr w:rsidR="005C2A66" w:rsidRPr="008A20A8" w14:paraId="2E551B6A" w14:textId="77777777" w:rsidTr="005C2A66">
        <w:trPr>
          <w:trHeight w:val="421"/>
        </w:trPr>
        <w:tc>
          <w:tcPr>
            <w:tcW w:w="1901" w:type="pct"/>
            <w:vAlign w:val="center"/>
          </w:tcPr>
          <w:p w14:paraId="65B40AE1" w14:textId="77777777" w:rsidR="005C2A66" w:rsidRPr="008A20A8" w:rsidRDefault="005C2A66" w:rsidP="005C2A66">
            <w:pPr>
              <w:pStyle w:val="Prrafodelista"/>
              <w:numPr>
                <w:ilvl w:val="0"/>
                <w:numId w:val="11"/>
              </w:numPr>
              <w:ind w:left="309" w:hanging="284"/>
              <w:rPr>
                <w:rFonts w:ascii="Bookman Old Style" w:hAnsi="Bookman Old Style"/>
                <w:i/>
                <w:sz w:val="22"/>
                <w:szCs w:val="22"/>
              </w:rPr>
            </w:pPr>
            <w:r w:rsidRPr="008A20A8">
              <w:rPr>
                <w:rFonts w:ascii="Bookman Old Style" w:hAnsi="Bookman Old Style" w:cs="Arial"/>
                <w:i/>
                <w:sz w:val="22"/>
                <w:szCs w:val="22"/>
                <w:lang w:val="es-ES_tradnl"/>
              </w:rPr>
              <w:t xml:space="preserve">Componente de inversión, descontando el efecto del aporte de recursos públicos </w:t>
            </w:r>
          </w:p>
        </w:tc>
        <w:tc>
          <w:tcPr>
            <w:tcW w:w="446" w:type="pct"/>
            <w:vAlign w:val="center"/>
          </w:tcPr>
          <w:p w14:paraId="471239A5"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Cs/>
                <w:i/>
                <w:sz w:val="22"/>
                <w:szCs w:val="22"/>
                <w:lang w:val="es-ES_tradnl"/>
              </w:rPr>
              <w:t>$/m</w:t>
            </w:r>
            <w:r w:rsidRPr="008A20A8">
              <w:rPr>
                <w:rFonts w:ascii="Bookman Old Style" w:hAnsi="Bookman Old Style" w:cs="Arial"/>
                <w:bCs/>
                <w:i/>
                <w:sz w:val="22"/>
                <w:szCs w:val="22"/>
                <w:vertAlign w:val="superscript"/>
                <w:lang w:val="es-ES_tradnl"/>
              </w:rPr>
              <w:t>3</w:t>
            </w:r>
          </w:p>
        </w:tc>
        <w:tc>
          <w:tcPr>
            <w:tcW w:w="885" w:type="pct"/>
            <w:tcBorders>
              <w:top w:val="single" w:sz="4" w:space="0" w:color="auto"/>
              <w:left w:val="nil"/>
              <w:bottom w:val="single" w:sz="4" w:space="0" w:color="auto"/>
              <w:right w:val="single" w:sz="4" w:space="0" w:color="auto"/>
            </w:tcBorders>
            <w:shd w:val="clear" w:color="auto" w:fill="auto"/>
            <w:vAlign w:val="center"/>
          </w:tcPr>
          <w:p w14:paraId="213A5BF7" w14:textId="63E166D5" w:rsidR="005C2A66" w:rsidRPr="005C2A66" w:rsidRDefault="005C2A66" w:rsidP="005C2A66">
            <w:pPr>
              <w:ind w:left="-108"/>
              <w:jc w:val="center"/>
              <w:rPr>
                <w:rFonts w:ascii="Bookman Old Style" w:hAnsi="Bookman Old Style"/>
                <w:i/>
                <w:color w:val="000000"/>
                <w:sz w:val="22"/>
                <w:szCs w:val="22"/>
              </w:rPr>
            </w:pPr>
            <w:r w:rsidRPr="005C2A66">
              <w:rPr>
                <w:rFonts w:ascii="Bookman Old Style" w:hAnsi="Bookman Old Style"/>
                <w:i/>
                <w:color w:val="000000"/>
                <w:sz w:val="22"/>
                <w:szCs w:val="22"/>
              </w:rPr>
              <w:t>188.09</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56E6D138" w14:textId="0F05EFB3" w:rsidR="005C2A66" w:rsidRPr="005C2A66" w:rsidRDefault="005C2A66" w:rsidP="005C2A66">
            <w:pPr>
              <w:ind w:left="0"/>
              <w:jc w:val="center"/>
              <w:rPr>
                <w:rFonts w:ascii="Bookman Old Style" w:hAnsi="Bookman Old Style"/>
                <w:i/>
                <w:color w:val="000000"/>
                <w:sz w:val="22"/>
                <w:szCs w:val="22"/>
              </w:rPr>
            </w:pPr>
            <w:r w:rsidRPr="005C2A66">
              <w:rPr>
                <w:rFonts w:ascii="Bookman Old Style" w:hAnsi="Bookman Old Style"/>
                <w:i/>
                <w:color w:val="000000"/>
                <w:sz w:val="22"/>
                <w:szCs w:val="22"/>
              </w:rPr>
              <w:t>190.92</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6FF53DEA" w14:textId="540B6094" w:rsidR="005C2A66" w:rsidRPr="005C2A66" w:rsidRDefault="005C2A66" w:rsidP="005C2A66">
            <w:pPr>
              <w:ind w:left="0"/>
              <w:jc w:val="center"/>
              <w:rPr>
                <w:rFonts w:ascii="Bookman Old Style" w:hAnsi="Bookman Old Style"/>
                <w:i/>
                <w:color w:val="000000"/>
                <w:sz w:val="22"/>
                <w:szCs w:val="22"/>
              </w:rPr>
            </w:pPr>
            <w:r w:rsidRPr="005C2A66">
              <w:rPr>
                <w:rFonts w:ascii="Bookman Old Style" w:hAnsi="Bookman Old Style"/>
                <w:i/>
                <w:color w:val="000000"/>
                <w:sz w:val="22"/>
                <w:szCs w:val="22"/>
              </w:rPr>
              <w:t>172.02</w:t>
            </w:r>
          </w:p>
        </w:tc>
      </w:tr>
      <w:tr w:rsidR="005C2A66" w:rsidRPr="008A20A8" w14:paraId="1D2F180A" w14:textId="77777777" w:rsidTr="005C2A66">
        <w:trPr>
          <w:trHeight w:val="421"/>
        </w:trPr>
        <w:tc>
          <w:tcPr>
            <w:tcW w:w="1901" w:type="pct"/>
            <w:vAlign w:val="center"/>
          </w:tcPr>
          <w:p w14:paraId="12099072" w14:textId="77777777" w:rsidR="005C2A66" w:rsidRPr="008A20A8" w:rsidRDefault="005C2A66" w:rsidP="005C2A66">
            <w:pPr>
              <w:pStyle w:val="Prrafodelista"/>
              <w:numPr>
                <w:ilvl w:val="0"/>
                <w:numId w:val="11"/>
              </w:numPr>
              <w:ind w:left="309" w:hanging="284"/>
              <w:rPr>
                <w:rFonts w:ascii="Bookman Old Style" w:hAnsi="Bookman Old Style"/>
                <w:i/>
                <w:sz w:val="22"/>
                <w:szCs w:val="22"/>
              </w:rPr>
            </w:pPr>
            <w:r w:rsidRPr="008A20A8">
              <w:rPr>
                <w:rFonts w:ascii="Bookman Old Style" w:hAnsi="Bookman Old Style" w:cs="Arial"/>
                <w:i/>
                <w:sz w:val="22"/>
                <w:szCs w:val="22"/>
                <w:lang w:val="es-ES_tradnl"/>
              </w:rPr>
              <w:t>Componente Gastos AOM</w:t>
            </w:r>
          </w:p>
        </w:tc>
        <w:tc>
          <w:tcPr>
            <w:tcW w:w="446" w:type="pct"/>
            <w:vAlign w:val="center"/>
          </w:tcPr>
          <w:p w14:paraId="13F71E36"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Cs/>
                <w:i/>
                <w:sz w:val="22"/>
                <w:szCs w:val="22"/>
                <w:lang w:val="es-ES_tradnl"/>
              </w:rPr>
              <w:t>$/m</w:t>
            </w:r>
            <w:r w:rsidRPr="008A20A8">
              <w:rPr>
                <w:rFonts w:ascii="Bookman Old Style" w:hAnsi="Bookman Old Style" w:cs="Arial"/>
                <w:bCs/>
                <w:i/>
                <w:sz w:val="22"/>
                <w:szCs w:val="22"/>
                <w:vertAlign w:val="superscript"/>
                <w:lang w:val="es-ES_tradnl"/>
              </w:rPr>
              <w:t>3</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0A4ECB52" w14:textId="50CA8ABA" w:rsidR="005C2A66" w:rsidRPr="005C2A66" w:rsidRDefault="005C2A66" w:rsidP="005C2A66">
            <w:pPr>
              <w:ind w:left="-108"/>
              <w:jc w:val="center"/>
              <w:rPr>
                <w:rFonts w:ascii="Bookman Old Style" w:hAnsi="Bookman Old Style"/>
                <w:i/>
                <w:color w:val="000000"/>
                <w:sz w:val="22"/>
                <w:szCs w:val="22"/>
              </w:rPr>
            </w:pPr>
            <w:r w:rsidRPr="005C2A66">
              <w:rPr>
                <w:rFonts w:ascii="Bookman Old Style" w:hAnsi="Bookman Old Style"/>
                <w:i/>
                <w:color w:val="000000"/>
                <w:sz w:val="22"/>
                <w:szCs w:val="22"/>
              </w:rPr>
              <w:t>134.46</w:t>
            </w:r>
          </w:p>
        </w:tc>
        <w:tc>
          <w:tcPr>
            <w:tcW w:w="885" w:type="pct"/>
            <w:tcBorders>
              <w:top w:val="single" w:sz="4" w:space="0" w:color="auto"/>
              <w:left w:val="nil"/>
              <w:bottom w:val="single" w:sz="4" w:space="0" w:color="auto"/>
              <w:right w:val="single" w:sz="4" w:space="0" w:color="auto"/>
            </w:tcBorders>
            <w:shd w:val="clear" w:color="auto" w:fill="auto"/>
            <w:vAlign w:val="center"/>
          </w:tcPr>
          <w:p w14:paraId="0BDACA21" w14:textId="728DCE12" w:rsidR="005C2A66" w:rsidRPr="005C2A66" w:rsidRDefault="005C2A66" w:rsidP="005C2A66">
            <w:pPr>
              <w:ind w:left="0"/>
              <w:jc w:val="center"/>
              <w:rPr>
                <w:rFonts w:ascii="Bookman Old Style" w:hAnsi="Bookman Old Style"/>
                <w:i/>
                <w:color w:val="000000"/>
                <w:sz w:val="22"/>
                <w:szCs w:val="22"/>
              </w:rPr>
            </w:pPr>
            <w:r w:rsidRPr="005C2A66">
              <w:rPr>
                <w:rFonts w:ascii="Bookman Old Style" w:hAnsi="Bookman Old Style"/>
                <w:i/>
                <w:color w:val="000000"/>
                <w:sz w:val="22"/>
                <w:szCs w:val="22"/>
              </w:rPr>
              <w:t>134.46</w:t>
            </w:r>
          </w:p>
        </w:tc>
        <w:tc>
          <w:tcPr>
            <w:tcW w:w="883" w:type="pct"/>
            <w:tcBorders>
              <w:top w:val="single" w:sz="4" w:space="0" w:color="auto"/>
              <w:left w:val="nil"/>
              <w:bottom w:val="single" w:sz="4" w:space="0" w:color="auto"/>
              <w:right w:val="single" w:sz="4" w:space="0" w:color="auto"/>
            </w:tcBorders>
            <w:shd w:val="clear" w:color="auto" w:fill="auto"/>
            <w:vAlign w:val="center"/>
          </w:tcPr>
          <w:p w14:paraId="63891673" w14:textId="173A43D8" w:rsidR="005C2A66" w:rsidRPr="005C2A66" w:rsidRDefault="005C2A66" w:rsidP="005C2A66">
            <w:pPr>
              <w:ind w:left="0"/>
              <w:jc w:val="center"/>
              <w:rPr>
                <w:rFonts w:ascii="Bookman Old Style" w:hAnsi="Bookman Old Style"/>
                <w:i/>
                <w:color w:val="000000"/>
                <w:sz w:val="22"/>
                <w:szCs w:val="22"/>
              </w:rPr>
            </w:pPr>
            <w:r w:rsidRPr="005C2A66">
              <w:rPr>
                <w:rFonts w:ascii="Bookman Old Style" w:hAnsi="Bookman Old Style"/>
                <w:i/>
                <w:color w:val="000000"/>
                <w:sz w:val="22"/>
                <w:szCs w:val="22"/>
              </w:rPr>
              <w:t>134.46</w:t>
            </w:r>
          </w:p>
        </w:tc>
      </w:tr>
    </w:tbl>
    <w:p w14:paraId="32B9FE71" w14:textId="77777777" w:rsidR="008A20A8" w:rsidRPr="008A20A8" w:rsidRDefault="008A20A8" w:rsidP="008A20A8">
      <w:pPr>
        <w:widowControl w:val="0"/>
        <w:adjustRightInd w:val="0"/>
        <w:ind w:left="284" w:right="20"/>
        <w:jc w:val="both"/>
        <w:rPr>
          <w:rFonts w:ascii="Bookman Old Style" w:hAnsi="Bookman Old Style" w:cs="Arial"/>
          <w:i/>
          <w:sz w:val="22"/>
          <w:szCs w:val="22"/>
          <w:lang w:val="es-CO" w:eastAsia="x-none"/>
        </w:rPr>
      </w:pPr>
      <w:r w:rsidRPr="008A20A8">
        <w:rPr>
          <w:rFonts w:ascii="Bookman Old Style" w:hAnsi="Bookman Old Style" w:cs="Arial"/>
          <w:i/>
          <w:sz w:val="22"/>
          <w:szCs w:val="22"/>
          <w:lang w:val="x-none" w:eastAsia="x-none"/>
        </w:rPr>
        <w:t>Cifras en pesos del 31 de diciembre de 20</w:t>
      </w:r>
      <w:r w:rsidRPr="008A20A8">
        <w:rPr>
          <w:rFonts w:ascii="Bookman Old Style" w:hAnsi="Bookman Old Style" w:cs="Arial"/>
          <w:i/>
          <w:sz w:val="22"/>
          <w:szCs w:val="22"/>
          <w:lang w:val="es-CO" w:eastAsia="x-none"/>
        </w:rPr>
        <w:t>14</w:t>
      </w:r>
    </w:p>
    <w:p w14:paraId="2463017B" w14:textId="77777777" w:rsidR="008A20A8" w:rsidRPr="008A20A8" w:rsidRDefault="008A20A8" w:rsidP="008A20A8">
      <w:pPr>
        <w:widowControl w:val="0"/>
        <w:adjustRightInd w:val="0"/>
        <w:ind w:left="284" w:right="20"/>
        <w:jc w:val="both"/>
        <w:rPr>
          <w:rFonts w:ascii="Bookman Old Style" w:hAnsi="Bookman Old Style" w:cs="Arial"/>
          <w:i/>
          <w:sz w:val="22"/>
          <w:szCs w:val="22"/>
          <w:lang w:val="es-CO" w:eastAsia="x-none"/>
        </w:rPr>
      </w:pPr>
    </w:p>
    <w:p w14:paraId="053C89A7" w14:textId="77777777" w:rsidR="008A20A8" w:rsidRPr="008A20A8" w:rsidRDefault="008A20A8" w:rsidP="008A20A8">
      <w:pPr>
        <w:widowControl w:val="0"/>
        <w:adjustRightInd w:val="0"/>
        <w:spacing w:after="240"/>
        <w:ind w:left="284" w:right="20"/>
        <w:jc w:val="both"/>
        <w:rPr>
          <w:rFonts w:ascii="Bookman Old Style" w:hAnsi="Bookman Old Style" w:cs="Arial"/>
          <w:i/>
          <w:sz w:val="22"/>
          <w:szCs w:val="22"/>
        </w:rPr>
      </w:pPr>
      <w:r w:rsidRPr="008A20A8">
        <w:rPr>
          <w:rFonts w:ascii="Bookman Old Style" w:hAnsi="Bookman Old Style" w:cs="Arial"/>
          <w:b/>
          <w:i/>
          <w:sz w:val="22"/>
          <w:szCs w:val="22"/>
        </w:rPr>
        <w:t xml:space="preserve">6.1.2. </w:t>
      </w:r>
      <w:r w:rsidRPr="008A20A8">
        <w:rPr>
          <w:rFonts w:ascii="Bookman Old Style" w:hAnsi="Bookman Old Style" w:cs="Arial"/>
          <w:i/>
          <w:sz w:val="22"/>
          <w:szCs w:val="22"/>
        </w:rPr>
        <w:t>Para el municipio de Albania en el departamento de La Guajira, los cargos transitorios aplicables son:</w:t>
      </w: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809"/>
        <w:gridCol w:w="1605"/>
        <w:gridCol w:w="1605"/>
        <w:gridCol w:w="1601"/>
      </w:tblGrid>
      <w:tr w:rsidR="008A20A8" w:rsidRPr="008A20A8" w14:paraId="174E91C3" w14:textId="77777777" w:rsidTr="008A20A8">
        <w:trPr>
          <w:trHeight w:val="122"/>
          <w:tblHeader/>
        </w:trPr>
        <w:tc>
          <w:tcPr>
            <w:tcW w:w="5000" w:type="pct"/>
            <w:gridSpan w:val="5"/>
            <w:shd w:val="clear" w:color="auto" w:fill="D9D9D9" w:themeFill="background1" w:themeFillShade="D9"/>
            <w:vAlign w:val="center"/>
          </w:tcPr>
          <w:p w14:paraId="7E798775" w14:textId="77777777" w:rsidR="008A20A8" w:rsidRPr="008A20A8" w:rsidRDefault="008A20A8" w:rsidP="0088380D">
            <w:pPr>
              <w:ind w:left="-115"/>
              <w:jc w:val="center"/>
              <w:rPr>
                <w:rFonts w:ascii="Bookman Old Style" w:hAnsi="Bookman Old Style"/>
                <w:b/>
                <w:i/>
                <w:sz w:val="22"/>
                <w:szCs w:val="22"/>
              </w:rPr>
            </w:pPr>
            <w:r w:rsidRPr="008A20A8">
              <w:rPr>
                <w:rFonts w:ascii="Bookman Old Style" w:hAnsi="Bookman Old Style"/>
                <w:b/>
                <w:i/>
                <w:sz w:val="22"/>
                <w:szCs w:val="22"/>
              </w:rPr>
              <w:t>Usuarios Diferentes a los de Uso Residencial</w:t>
            </w:r>
          </w:p>
        </w:tc>
      </w:tr>
      <w:tr w:rsidR="008A20A8" w:rsidRPr="008A20A8" w14:paraId="0BD64F48" w14:textId="77777777" w:rsidTr="005C2A66">
        <w:trPr>
          <w:trHeight w:val="119"/>
          <w:tblHeader/>
        </w:trPr>
        <w:tc>
          <w:tcPr>
            <w:tcW w:w="1901" w:type="pct"/>
            <w:shd w:val="clear" w:color="auto" w:fill="D9D9D9" w:themeFill="background1" w:themeFillShade="D9"/>
            <w:vAlign w:val="center"/>
          </w:tcPr>
          <w:p w14:paraId="3C3A9BDD" w14:textId="77777777" w:rsidR="008A20A8" w:rsidRPr="008A20A8" w:rsidRDefault="008A20A8" w:rsidP="0088380D">
            <w:pPr>
              <w:ind w:left="0"/>
              <w:jc w:val="center"/>
              <w:rPr>
                <w:rFonts w:ascii="Bookman Old Style" w:hAnsi="Bookman Old Style"/>
                <w:i/>
                <w:sz w:val="22"/>
                <w:szCs w:val="22"/>
              </w:rPr>
            </w:pPr>
            <w:r w:rsidRPr="008A20A8">
              <w:rPr>
                <w:rFonts w:ascii="Bookman Old Style" w:hAnsi="Bookman Old Style" w:cs="Arial"/>
                <w:b/>
                <w:bCs/>
                <w:i/>
                <w:sz w:val="22"/>
                <w:szCs w:val="22"/>
                <w:lang w:val="es-ES_tradnl"/>
              </w:rPr>
              <w:t>Componente</w:t>
            </w:r>
          </w:p>
        </w:tc>
        <w:tc>
          <w:tcPr>
            <w:tcW w:w="446" w:type="pct"/>
            <w:shd w:val="clear" w:color="auto" w:fill="D9D9D9" w:themeFill="background1" w:themeFillShade="D9"/>
          </w:tcPr>
          <w:p w14:paraId="2F7A45B4" w14:textId="77777777" w:rsidR="008A20A8" w:rsidRPr="008A20A8" w:rsidRDefault="008A20A8" w:rsidP="0088380D">
            <w:pPr>
              <w:ind w:left="-112"/>
              <w:jc w:val="center"/>
              <w:rPr>
                <w:rFonts w:ascii="Bookman Old Style" w:hAnsi="Bookman Old Style"/>
                <w:b/>
                <w:i/>
                <w:sz w:val="22"/>
                <w:szCs w:val="22"/>
              </w:rPr>
            </w:pPr>
          </w:p>
        </w:tc>
        <w:tc>
          <w:tcPr>
            <w:tcW w:w="885" w:type="pct"/>
            <w:tcBorders>
              <w:bottom w:val="single" w:sz="4" w:space="0" w:color="auto"/>
            </w:tcBorders>
            <w:shd w:val="clear" w:color="auto" w:fill="D9D9D9" w:themeFill="background1" w:themeFillShade="D9"/>
            <w:vAlign w:val="center"/>
          </w:tcPr>
          <w:p w14:paraId="00D0CAC2" w14:textId="77777777" w:rsidR="008A20A8" w:rsidRPr="008A20A8" w:rsidRDefault="008A20A8" w:rsidP="0088380D">
            <w:pPr>
              <w:ind w:left="-112"/>
              <w:jc w:val="center"/>
              <w:rPr>
                <w:rFonts w:ascii="Bookman Old Style" w:hAnsi="Bookman Old Style"/>
                <w:b/>
                <w:i/>
                <w:sz w:val="22"/>
                <w:szCs w:val="22"/>
              </w:rPr>
            </w:pPr>
            <w:r w:rsidRPr="008A20A8">
              <w:rPr>
                <w:rFonts w:ascii="Bookman Old Style" w:hAnsi="Bookman Old Style"/>
                <w:b/>
                <w:i/>
                <w:sz w:val="22"/>
                <w:szCs w:val="22"/>
              </w:rPr>
              <w:t>2017</w:t>
            </w:r>
          </w:p>
        </w:tc>
        <w:tc>
          <w:tcPr>
            <w:tcW w:w="885" w:type="pct"/>
            <w:tcBorders>
              <w:bottom w:val="single" w:sz="4" w:space="0" w:color="auto"/>
            </w:tcBorders>
            <w:shd w:val="clear" w:color="auto" w:fill="D9D9D9" w:themeFill="background1" w:themeFillShade="D9"/>
            <w:vAlign w:val="center"/>
          </w:tcPr>
          <w:p w14:paraId="64FF2913" w14:textId="77777777" w:rsidR="008A20A8" w:rsidRPr="008A20A8" w:rsidRDefault="008A20A8" w:rsidP="0088380D">
            <w:pPr>
              <w:ind w:left="-112"/>
              <w:jc w:val="center"/>
              <w:rPr>
                <w:rFonts w:ascii="Bookman Old Style" w:hAnsi="Bookman Old Style"/>
                <w:b/>
                <w:i/>
                <w:sz w:val="22"/>
                <w:szCs w:val="22"/>
              </w:rPr>
            </w:pPr>
            <w:r w:rsidRPr="008A20A8">
              <w:rPr>
                <w:rFonts w:ascii="Bookman Old Style" w:hAnsi="Bookman Old Style"/>
                <w:b/>
                <w:i/>
                <w:sz w:val="22"/>
                <w:szCs w:val="22"/>
              </w:rPr>
              <w:t>2018</w:t>
            </w:r>
          </w:p>
        </w:tc>
        <w:tc>
          <w:tcPr>
            <w:tcW w:w="883" w:type="pct"/>
            <w:tcBorders>
              <w:bottom w:val="single" w:sz="4" w:space="0" w:color="auto"/>
            </w:tcBorders>
            <w:shd w:val="clear" w:color="auto" w:fill="D9D9D9" w:themeFill="background1" w:themeFillShade="D9"/>
            <w:vAlign w:val="center"/>
          </w:tcPr>
          <w:p w14:paraId="2BD7AB60" w14:textId="77777777" w:rsidR="008A20A8" w:rsidRPr="008A20A8" w:rsidRDefault="008A20A8" w:rsidP="0088380D">
            <w:pPr>
              <w:ind w:left="-18"/>
              <w:jc w:val="center"/>
              <w:rPr>
                <w:rFonts w:ascii="Bookman Old Style" w:hAnsi="Bookman Old Style"/>
                <w:b/>
                <w:i/>
                <w:sz w:val="22"/>
                <w:szCs w:val="22"/>
              </w:rPr>
            </w:pPr>
            <w:r w:rsidRPr="008A20A8">
              <w:rPr>
                <w:rFonts w:ascii="Bookman Old Style" w:hAnsi="Bookman Old Style"/>
                <w:b/>
                <w:i/>
                <w:sz w:val="22"/>
                <w:szCs w:val="22"/>
              </w:rPr>
              <w:t>2019 - 2020 - 2021</w:t>
            </w:r>
          </w:p>
        </w:tc>
      </w:tr>
      <w:tr w:rsidR="005C2A66" w:rsidRPr="008A20A8" w14:paraId="28E5137A" w14:textId="77777777" w:rsidTr="005C2A66">
        <w:trPr>
          <w:trHeight w:val="421"/>
        </w:trPr>
        <w:tc>
          <w:tcPr>
            <w:tcW w:w="1901" w:type="pct"/>
            <w:vAlign w:val="center"/>
          </w:tcPr>
          <w:p w14:paraId="37AC229F" w14:textId="77777777" w:rsidR="005C2A66" w:rsidRPr="008A20A8" w:rsidRDefault="005C2A66" w:rsidP="005C2A66">
            <w:pPr>
              <w:widowControl w:val="0"/>
              <w:adjustRightInd w:val="0"/>
              <w:ind w:left="0" w:right="20"/>
              <w:rPr>
                <w:rFonts w:ascii="Bookman Old Style" w:hAnsi="Bookman Old Style"/>
                <w:i/>
                <w:sz w:val="22"/>
                <w:szCs w:val="22"/>
              </w:rPr>
            </w:pPr>
            <w:r w:rsidRPr="008A20A8">
              <w:rPr>
                <w:rFonts w:ascii="Bookman Old Style" w:hAnsi="Bookman Old Style" w:cs="Arial"/>
                <w:b/>
                <w:i/>
                <w:sz w:val="22"/>
                <w:szCs w:val="22"/>
                <w:lang w:val="es-ES_tradnl"/>
              </w:rPr>
              <w:t>Cargo de distribución Total</w:t>
            </w:r>
          </w:p>
        </w:tc>
        <w:tc>
          <w:tcPr>
            <w:tcW w:w="446" w:type="pct"/>
            <w:tcBorders>
              <w:bottom w:val="single" w:sz="4" w:space="0" w:color="auto"/>
            </w:tcBorders>
            <w:vAlign w:val="center"/>
          </w:tcPr>
          <w:p w14:paraId="61B900B5"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
                <w:bCs/>
                <w:i/>
                <w:sz w:val="22"/>
                <w:szCs w:val="22"/>
                <w:lang w:val="es-ES_tradnl"/>
              </w:rPr>
              <w:t>$/m</w:t>
            </w:r>
            <w:r w:rsidRPr="008A20A8">
              <w:rPr>
                <w:rFonts w:ascii="Bookman Old Style" w:hAnsi="Bookman Old Style" w:cs="Arial"/>
                <w:b/>
                <w:bCs/>
                <w:i/>
                <w:sz w:val="22"/>
                <w:szCs w:val="22"/>
                <w:vertAlign w:val="superscript"/>
                <w:lang w:val="es-ES_tradnl"/>
              </w:rPr>
              <w:t>3</w:t>
            </w:r>
          </w:p>
        </w:tc>
        <w:tc>
          <w:tcPr>
            <w:tcW w:w="885" w:type="pct"/>
            <w:tcBorders>
              <w:bottom w:val="single" w:sz="4" w:space="0" w:color="auto"/>
            </w:tcBorders>
            <w:shd w:val="clear" w:color="auto" w:fill="auto"/>
            <w:vAlign w:val="center"/>
          </w:tcPr>
          <w:p w14:paraId="115CFC85" w14:textId="43AF61BF" w:rsidR="005C2A66" w:rsidRPr="005C2A66" w:rsidRDefault="005C2A66" w:rsidP="005C2A66">
            <w:pPr>
              <w:ind w:left="-108"/>
              <w:jc w:val="center"/>
              <w:rPr>
                <w:rFonts w:ascii="Bookman Old Style" w:hAnsi="Bookman Old Style"/>
                <w:b/>
                <w:i/>
                <w:color w:val="000000"/>
                <w:sz w:val="22"/>
                <w:szCs w:val="22"/>
              </w:rPr>
            </w:pPr>
            <w:r w:rsidRPr="005C2A66">
              <w:rPr>
                <w:rFonts w:ascii="Bookman Old Style" w:hAnsi="Bookman Old Style"/>
                <w:b/>
                <w:i/>
                <w:color w:val="000000"/>
                <w:sz w:val="22"/>
                <w:szCs w:val="22"/>
              </w:rPr>
              <w:t>356.5</w:t>
            </w:r>
            <w:r w:rsidR="007C3F68">
              <w:rPr>
                <w:rFonts w:ascii="Bookman Old Style" w:hAnsi="Bookman Old Style"/>
                <w:b/>
                <w:i/>
                <w:color w:val="000000"/>
                <w:sz w:val="22"/>
                <w:szCs w:val="22"/>
              </w:rPr>
              <w:t>0</w:t>
            </w:r>
          </w:p>
        </w:tc>
        <w:tc>
          <w:tcPr>
            <w:tcW w:w="885" w:type="pct"/>
            <w:tcBorders>
              <w:bottom w:val="single" w:sz="4" w:space="0" w:color="auto"/>
            </w:tcBorders>
            <w:shd w:val="clear" w:color="auto" w:fill="auto"/>
            <w:vAlign w:val="center"/>
          </w:tcPr>
          <w:p w14:paraId="375028D9" w14:textId="6A4927DC" w:rsidR="005C2A66" w:rsidRPr="005C2A66" w:rsidRDefault="005C2A66" w:rsidP="005C2A66">
            <w:pPr>
              <w:ind w:left="0"/>
              <w:jc w:val="center"/>
              <w:rPr>
                <w:rFonts w:ascii="Bookman Old Style" w:hAnsi="Bookman Old Style"/>
                <w:b/>
                <w:i/>
                <w:color w:val="000000"/>
                <w:sz w:val="22"/>
                <w:szCs w:val="22"/>
              </w:rPr>
            </w:pPr>
            <w:r w:rsidRPr="005C2A66">
              <w:rPr>
                <w:rFonts w:ascii="Bookman Old Style" w:hAnsi="Bookman Old Style"/>
                <w:b/>
                <w:i/>
                <w:color w:val="000000"/>
                <w:sz w:val="22"/>
                <w:szCs w:val="22"/>
              </w:rPr>
              <w:t>359.84</w:t>
            </w:r>
          </w:p>
        </w:tc>
        <w:tc>
          <w:tcPr>
            <w:tcW w:w="883" w:type="pct"/>
            <w:tcBorders>
              <w:bottom w:val="single" w:sz="4" w:space="0" w:color="auto"/>
            </w:tcBorders>
            <w:shd w:val="clear" w:color="auto" w:fill="auto"/>
            <w:vAlign w:val="center"/>
          </w:tcPr>
          <w:p w14:paraId="193BDEF5" w14:textId="59233313" w:rsidR="005C2A66" w:rsidRPr="005C2A66" w:rsidRDefault="005C2A66" w:rsidP="005C2A66">
            <w:pPr>
              <w:ind w:left="0"/>
              <w:jc w:val="center"/>
              <w:rPr>
                <w:rFonts w:ascii="Bookman Old Style" w:hAnsi="Bookman Old Style"/>
                <w:b/>
                <w:i/>
                <w:color w:val="000000"/>
                <w:sz w:val="22"/>
                <w:szCs w:val="22"/>
              </w:rPr>
            </w:pPr>
            <w:r w:rsidRPr="005C2A66">
              <w:rPr>
                <w:rFonts w:ascii="Bookman Old Style" w:hAnsi="Bookman Old Style"/>
                <w:b/>
                <w:i/>
                <w:color w:val="000000"/>
                <w:sz w:val="22"/>
                <w:szCs w:val="22"/>
              </w:rPr>
              <w:t>337.52</w:t>
            </w:r>
          </w:p>
        </w:tc>
      </w:tr>
      <w:tr w:rsidR="005C2A66" w:rsidRPr="008A20A8" w14:paraId="08503467" w14:textId="77777777" w:rsidTr="005C2A66">
        <w:trPr>
          <w:trHeight w:val="421"/>
        </w:trPr>
        <w:tc>
          <w:tcPr>
            <w:tcW w:w="1901" w:type="pct"/>
            <w:vAlign w:val="center"/>
          </w:tcPr>
          <w:p w14:paraId="77290B2E" w14:textId="77777777" w:rsidR="005C2A66" w:rsidRPr="008A20A8" w:rsidRDefault="005C2A66" w:rsidP="005C2A66">
            <w:pPr>
              <w:pStyle w:val="Prrafodelista"/>
              <w:numPr>
                <w:ilvl w:val="0"/>
                <w:numId w:val="11"/>
              </w:numPr>
              <w:ind w:left="309" w:hanging="284"/>
              <w:rPr>
                <w:rFonts w:ascii="Bookman Old Style" w:hAnsi="Bookman Old Style"/>
                <w:i/>
                <w:sz w:val="22"/>
                <w:szCs w:val="22"/>
              </w:rPr>
            </w:pPr>
            <w:r w:rsidRPr="008A20A8">
              <w:rPr>
                <w:rFonts w:ascii="Bookman Old Style" w:hAnsi="Bookman Old Style" w:cs="Arial"/>
                <w:i/>
                <w:sz w:val="22"/>
                <w:szCs w:val="22"/>
                <w:lang w:val="es-ES_tradnl"/>
              </w:rPr>
              <w:t xml:space="preserve">Componente de inversión, descontando el efecto del aporte de recursos públicos </w:t>
            </w:r>
          </w:p>
        </w:tc>
        <w:tc>
          <w:tcPr>
            <w:tcW w:w="446" w:type="pct"/>
            <w:vAlign w:val="center"/>
          </w:tcPr>
          <w:p w14:paraId="7C9ED812" w14:textId="77777777" w:rsidR="005C2A66" w:rsidRPr="008A20A8" w:rsidRDefault="005C2A66" w:rsidP="005C2A66">
            <w:pPr>
              <w:ind w:left="43"/>
              <w:jc w:val="center"/>
              <w:rPr>
                <w:rFonts w:ascii="Bookman Old Style" w:hAnsi="Bookman Old Style"/>
                <w:i/>
                <w:sz w:val="22"/>
                <w:szCs w:val="22"/>
              </w:rPr>
            </w:pPr>
            <w:r w:rsidRPr="008A20A8">
              <w:rPr>
                <w:rFonts w:ascii="Bookman Old Style" w:hAnsi="Bookman Old Style" w:cs="Arial"/>
                <w:bCs/>
                <w:i/>
                <w:sz w:val="22"/>
                <w:szCs w:val="22"/>
                <w:lang w:val="es-ES_tradnl"/>
              </w:rPr>
              <w:t>$/m</w:t>
            </w:r>
            <w:r w:rsidRPr="008A20A8">
              <w:rPr>
                <w:rFonts w:ascii="Bookman Old Style" w:hAnsi="Bookman Old Style" w:cs="Arial"/>
                <w:bCs/>
                <w:i/>
                <w:sz w:val="22"/>
                <w:szCs w:val="22"/>
                <w:vertAlign w:val="superscript"/>
                <w:lang w:val="es-ES_tradnl"/>
              </w:rPr>
              <w:t>3</w:t>
            </w:r>
          </w:p>
        </w:tc>
        <w:tc>
          <w:tcPr>
            <w:tcW w:w="885" w:type="pct"/>
            <w:tcBorders>
              <w:top w:val="single" w:sz="4" w:space="0" w:color="auto"/>
              <w:left w:val="nil"/>
              <w:bottom w:val="single" w:sz="4" w:space="0" w:color="auto"/>
              <w:right w:val="single" w:sz="4" w:space="0" w:color="auto"/>
            </w:tcBorders>
            <w:shd w:val="clear" w:color="auto" w:fill="auto"/>
            <w:vAlign w:val="center"/>
          </w:tcPr>
          <w:p w14:paraId="74D42E2F" w14:textId="445A5D90" w:rsidR="005C2A66" w:rsidRPr="005C2A66" w:rsidRDefault="005C2A66" w:rsidP="005C2A66">
            <w:pPr>
              <w:ind w:left="-108"/>
              <w:jc w:val="center"/>
              <w:rPr>
                <w:rFonts w:ascii="Bookman Old Style" w:hAnsi="Bookman Old Style"/>
                <w:i/>
                <w:color w:val="000000"/>
                <w:sz w:val="22"/>
                <w:szCs w:val="22"/>
              </w:rPr>
            </w:pPr>
            <w:r w:rsidRPr="005C2A66">
              <w:rPr>
                <w:rFonts w:ascii="Bookman Old Style" w:hAnsi="Bookman Old Style"/>
                <w:i/>
                <w:color w:val="000000"/>
                <w:sz w:val="22"/>
                <w:szCs w:val="22"/>
              </w:rPr>
              <w:t>222.04</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0AFCC6D3" w14:textId="598A0D8F" w:rsidR="005C2A66" w:rsidRPr="005C2A66" w:rsidRDefault="005C2A66" w:rsidP="005C2A66">
            <w:pPr>
              <w:ind w:left="0"/>
              <w:jc w:val="center"/>
              <w:rPr>
                <w:rFonts w:ascii="Bookman Old Style" w:hAnsi="Bookman Old Style"/>
                <w:i/>
                <w:color w:val="000000"/>
                <w:sz w:val="22"/>
                <w:szCs w:val="22"/>
              </w:rPr>
            </w:pPr>
            <w:r w:rsidRPr="005C2A66">
              <w:rPr>
                <w:rFonts w:ascii="Bookman Old Style" w:hAnsi="Bookman Old Style"/>
                <w:i/>
                <w:color w:val="000000"/>
                <w:sz w:val="22"/>
                <w:szCs w:val="22"/>
              </w:rPr>
              <w:t>225.38</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E6448F9" w14:textId="7CE62BDB" w:rsidR="005C2A66" w:rsidRPr="005C2A66" w:rsidRDefault="005C2A66" w:rsidP="005C2A66">
            <w:pPr>
              <w:ind w:left="0"/>
              <w:jc w:val="center"/>
              <w:rPr>
                <w:rFonts w:ascii="Bookman Old Style" w:hAnsi="Bookman Old Style"/>
                <w:i/>
                <w:color w:val="000000"/>
                <w:sz w:val="22"/>
                <w:szCs w:val="22"/>
              </w:rPr>
            </w:pPr>
            <w:r w:rsidRPr="005C2A66">
              <w:rPr>
                <w:rFonts w:ascii="Bookman Old Style" w:hAnsi="Bookman Old Style"/>
                <w:i/>
                <w:color w:val="000000"/>
                <w:sz w:val="22"/>
                <w:szCs w:val="22"/>
              </w:rPr>
              <w:t>203.06</w:t>
            </w:r>
          </w:p>
        </w:tc>
      </w:tr>
      <w:tr w:rsidR="005C2A66" w:rsidRPr="008A20A8" w14:paraId="3AAD5FA7" w14:textId="77777777" w:rsidTr="005C2A66">
        <w:trPr>
          <w:trHeight w:val="421"/>
        </w:trPr>
        <w:tc>
          <w:tcPr>
            <w:tcW w:w="1901" w:type="pct"/>
            <w:vAlign w:val="center"/>
          </w:tcPr>
          <w:p w14:paraId="07F712E3" w14:textId="77777777" w:rsidR="005C2A66" w:rsidRPr="008A20A8" w:rsidRDefault="005C2A66" w:rsidP="005C2A66">
            <w:pPr>
              <w:pStyle w:val="Prrafodelista"/>
              <w:numPr>
                <w:ilvl w:val="0"/>
                <w:numId w:val="11"/>
              </w:numPr>
              <w:ind w:left="309" w:hanging="284"/>
              <w:rPr>
                <w:rFonts w:ascii="Bookman Old Style" w:hAnsi="Bookman Old Style"/>
                <w:i/>
                <w:sz w:val="22"/>
                <w:szCs w:val="22"/>
              </w:rPr>
            </w:pPr>
            <w:r w:rsidRPr="008A20A8">
              <w:rPr>
                <w:rFonts w:ascii="Bookman Old Style" w:hAnsi="Bookman Old Style" w:cs="Arial"/>
                <w:i/>
                <w:sz w:val="22"/>
                <w:szCs w:val="22"/>
                <w:lang w:val="es-ES_tradnl"/>
              </w:rPr>
              <w:t>Componente Gastos AOM</w:t>
            </w:r>
          </w:p>
        </w:tc>
        <w:tc>
          <w:tcPr>
            <w:tcW w:w="446" w:type="pct"/>
            <w:vAlign w:val="center"/>
          </w:tcPr>
          <w:p w14:paraId="2C9C3C2C"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Cs/>
                <w:i/>
                <w:sz w:val="22"/>
                <w:szCs w:val="22"/>
                <w:lang w:val="es-ES_tradnl"/>
              </w:rPr>
              <w:t>$/m</w:t>
            </w:r>
            <w:r w:rsidRPr="008A20A8">
              <w:rPr>
                <w:rFonts w:ascii="Bookman Old Style" w:hAnsi="Bookman Old Style" w:cs="Arial"/>
                <w:bCs/>
                <w:i/>
                <w:sz w:val="22"/>
                <w:szCs w:val="22"/>
                <w:vertAlign w:val="superscript"/>
                <w:lang w:val="es-ES_tradnl"/>
              </w:rPr>
              <w:t>3</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00BD362F" w14:textId="20409D85" w:rsidR="005C2A66" w:rsidRPr="005C2A66" w:rsidRDefault="005C2A66" w:rsidP="005C2A66">
            <w:pPr>
              <w:ind w:left="-108"/>
              <w:jc w:val="center"/>
              <w:rPr>
                <w:rFonts w:ascii="Bookman Old Style" w:hAnsi="Bookman Old Style"/>
                <w:i/>
                <w:sz w:val="22"/>
                <w:szCs w:val="22"/>
                <w:highlight w:val="yellow"/>
              </w:rPr>
            </w:pPr>
            <w:r w:rsidRPr="005C2A66">
              <w:rPr>
                <w:rFonts w:ascii="Bookman Old Style" w:hAnsi="Bookman Old Style"/>
                <w:i/>
                <w:color w:val="000000"/>
                <w:sz w:val="22"/>
                <w:szCs w:val="22"/>
              </w:rPr>
              <w:t>134.46</w:t>
            </w:r>
          </w:p>
        </w:tc>
        <w:tc>
          <w:tcPr>
            <w:tcW w:w="885" w:type="pct"/>
            <w:tcBorders>
              <w:top w:val="single" w:sz="4" w:space="0" w:color="auto"/>
              <w:left w:val="nil"/>
              <w:bottom w:val="single" w:sz="4" w:space="0" w:color="auto"/>
              <w:right w:val="single" w:sz="4" w:space="0" w:color="auto"/>
            </w:tcBorders>
            <w:shd w:val="clear" w:color="auto" w:fill="auto"/>
            <w:vAlign w:val="center"/>
          </w:tcPr>
          <w:p w14:paraId="75D46683" w14:textId="7A2AE169" w:rsidR="005C2A66" w:rsidRPr="005C2A66" w:rsidRDefault="005C2A66" w:rsidP="005C2A66">
            <w:pPr>
              <w:ind w:left="0"/>
              <w:jc w:val="center"/>
              <w:rPr>
                <w:rFonts w:ascii="Bookman Old Style" w:hAnsi="Bookman Old Style"/>
                <w:i/>
                <w:sz w:val="22"/>
                <w:szCs w:val="22"/>
                <w:highlight w:val="yellow"/>
              </w:rPr>
            </w:pPr>
            <w:r w:rsidRPr="005C2A66">
              <w:rPr>
                <w:rFonts w:ascii="Bookman Old Style" w:hAnsi="Bookman Old Style"/>
                <w:i/>
                <w:color w:val="000000"/>
                <w:sz w:val="22"/>
                <w:szCs w:val="22"/>
              </w:rPr>
              <w:t>134.46</w:t>
            </w:r>
          </w:p>
        </w:tc>
        <w:tc>
          <w:tcPr>
            <w:tcW w:w="883" w:type="pct"/>
            <w:tcBorders>
              <w:top w:val="single" w:sz="4" w:space="0" w:color="auto"/>
              <w:left w:val="nil"/>
              <w:bottom w:val="single" w:sz="4" w:space="0" w:color="auto"/>
              <w:right w:val="single" w:sz="4" w:space="0" w:color="auto"/>
            </w:tcBorders>
            <w:shd w:val="clear" w:color="auto" w:fill="auto"/>
            <w:vAlign w:val="center"/>
          </w:tcPr>
          <w:p w14:paraId="706DADB1" w14:textId="2B9BD8AF" w:rsidR="005C2A66" w:rsidRPr="005C2A66" w:rsidRDefault="005C2A66" w:rsidP="005C2A66">
            <w:pPr>
              <w:ind w:left="0"/>
              <w:jc w:val="center"/>
              <w:rPr>
                <w:rFonts w:ascii="Bookman Old Style" w:hAnsi="Bookman Old Style"/>
                <w:i/>
                <w:sz w:val="22"/>
                <w:szCs w:val="22"/>
                <w:highlight w:val="yellow"/>
              </w:rPr>
            </w:pPr>
            <w:r w:rsidRPr="005C2A66">
              <w:rPr>
                <w:rFonts w:ascii="Bookman Old Style" w:hAnsi="Bookman Old Style"/>
                <w:i/>
                <w:color w:val="000000"/>
                <w:sz w:val="22"/>
                <w:szCs w:val="22"/>
              </w:rPr>
              <w:t>134.46</w:t>
            </w:r>
          </w:p>
        </w:tc>
      </w:tr>
    </w:tbl>
    <w:p w14:paraId="283B695A" w14:textId="77777777" w:rsidR="008A20A8" w:rsidRPr="008A20A8" w:rsidRDefault="008A20A8" w:rsidP="008A20A8">
      <w:pPr>
        <w:widowControl w:val="0"/>
        <w:adjustRightInd w:val="0"/>
        <w:ind w:left="284" w:right="20"/>
        <w:jc w:val="both"/>
        <w:rPr>
          <w:rFonts w:ascii="Bookman Old Style" w:hAnsi="Bookman Old Style" w:cs="Arial"/>
          <w:i/>
          <w:sz w:val="22"/>
          <w:szCs w:val="22"/>
          <w:lang w:val="es-CO" w:eastAsia="x-none"/>
        </w:rPr>
      </w:pPr>
      <w:r w:rsidRPr="008A20A8">
        <w:rPr>
          <w:rFonts w:ascii="Bookman Old Style" w:hAnsi="Bookman Old Style" w:cs="Arial"/>
          <w:i/>
          <w:sz w:val="22"/>
          <w:szCs w:val="22"/>
          <w:lang w:val="x-none" w:eastAsia="x-none"/>
        </w:rPr>
        <w:t>Cifras en pesos del 31 de diciembre de 20</w:t>
      </w:r>
      <w:r w:rsidRPr="008A20A8">
        <w:rPr>
          <w:rFonts w:ascii="Bookman Old Style" w:hAnsi="Bookman Old Style" w:cs="Arial"/>
          <w:i/>
          <w:sz w:val="22"/>
          <w:szCs w:val="22"/>
          <w:lang w:val="es-CO" w:eastAsia="x-none"/>
        </w:rPr>
        <w:t>14</w:t>
      </w:r>
    </w:p>
    <w:p w14:paraId="0A4579D1" w14:textId="77777777" w:rsidR="008A20A8" w:rsidRPr="008A20A8" w:rsidRDefault="008A20A8" w:rsidP="008A20A8">
      <w:pPr>
        <w:widowControl w:val="0"/>
        <w:adjustRightInd w:val="0"/>
        <w:ind w:left="284" w:right="20"/>
        <w:jc w:val="both"/>
        <w:rPr>
          <w:rFonts w:ascii="Bookman Old Style" w:hAnsi="Bookman Old Style" w:cs="Arial"/>
          <w:i/>
          <w:sz w:val="22"/>
          <w:szCs w:val="22"/>
          <w:lang w:val="es-CO" w:eastAsia="x-none"/>
        </w:rPr>
      </w:pPr>
    </w:p>
    <w:p w14:paraId="265EEB6B" w14:textId="77777777" w:rsidR="008A20A8" w:rsidRPr="008A20A8" w:rsidRDefault="008A20A8" w:rsidP="008A20A8">
      <w:pPr>
        <w:widowControl w:val="0"/>
        <w:adjustRightInd w:val="0"/>
        <w:ind w:left="284" w:right="20"/>
        <w:jc w:val="both"/>
        <w:rPr>
          <w:rFonts w:ascii="Bookman Old Style" w:hAnsi="Bookman Old Style" w:cs="Arial"/>
          <w:i/>
          <w:sz w:val="22"/>
          <w:szCs w:val="22"/>
        </w:rPr>
      </w:pPr>
      <w:r w:rsidRPr="008A20A8">
        <w:rPr>
          <w:rFonts w:ascii="Bookman Old Style" w:hAnsi="Bookman Old Style" w:cs="Arial"/>
          <w:b/>
          <w:i/>
          <w:sz w:val="22"/>
          <w:szCs w:val="22"/>
        </w:rPr>
        <w:t xml:space="preserve">6.1.3. </w:t>
      </w:r>
      <w:r w:rsidRPr="008A20A8">
        <w:rPr>
          <w:rFonts w:ascii="Bookman Old Style" w:hAnsi="Bookman Old Style" w:cs="Arial"/>
          <w:i/>
          <w:sz w:val="22"/>
          <w:szCs w:val="22"/>
        </w:rPr>
        <w:t>Para el municipio de Dibulla en el departamento de La Guajira, los cargos transitorios aplicables son:</w:t>
      </w:r>
    </w:p>
    <w:p w14:paraId="227A2CF5" w14:textId="77777777" w:rsidR="008A20A8" w:rsidRPr="008A20A8" w:rsidRDefault="008A20A8" w:rsidP="008A20A8">
      <w:pPr>
        <w:widowControl w:val="0"/>
        <w:adjustRightInd w:val="0"/>
        <w:ind w:left="0" w:right="20"/>
        <w:jc w:val="both"/>
        <w:rPr>
          <w:rFonts w:ascii="Bookman Old Style" w:hAnsi="Bookman Old Style" w:cs="Arial"/>
          <w:i/>
          <w:sz w:val="22"/>
          <w:szCs w:val="22"/>
        </w:rPr>
      </w:pP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809"/>
        <w:gridCol w:w="1605"/>
        <w:gridCol w:w="1605"/>
        <w:gridCol w:w="1601"/>
      </w:tblGrid>
      <w:tr w:rsidR="008A20A8" w:rsidRPr="008A20A8" w14:paraId="6CEEEF0E" w14:textId="77777777" w:rsidTr="008A20A8">
        <w:trPr>
          <w:trHeight w:val="122"/>
          <w:tblHeader/>
        </w:trPr>
        <w:tc>
          <w:tcPr>
            <w:tcW w:w="5000" w:type="pct"/>
            <w:gridSpan w:val="5"/>
            <w:shd w:val="clear" w:color="auto" w:fill="D9D9D9" w:themeFill="background1" w:themeFillShade="D9"/>
            <w:vAlign w:val="center"/>
          </w:tcPr>
          <w:p w14:paraId="441B789D" w14:textId="77777777" w:rsidR="008A20A8" w:rsidRPr="008A20A8" w:rsidRDefault="008A20A8" w:rsidP="0088380D">
            <w:pPr>
              <w:ind w:left="-115"/>
              <w:jc w:val="center"/>
              <w:rPr>
                <w:rFonts w:ascii="Bookman Old Style" w:hAnsi="Bookman Old Style"/>
                <w:b/>
                <w:i/>
                <w:sz w:val="22"/>
                <w:szCs w:val="22"/>
              </w:rPr>
            </w:pPr>
            <w:r w:rsidRPr="008A20A8">
              <w:rPr>
                <w:rFonts w:ascii="Bookman Old Style" w:hAnsi="Bookman Old Style"/>
                <w:b/>
                <w:i/>
                <w:sz w:val="22"/>
                <w:szCs w:val="22"/>
              </w:rPr>
              <w:t>Usuarios Diferentes a los de Uso Residencial</w:t>
            </w:r>
          </w:p>
        </w:tc>
      </w:tr>
      <w:tr w:rsidR="008A20A8" w:rsidRPr="008A20A8" w14:paraId="2D4EAD0A" w14:textId="77777777" w:rsidTr="005C2A66">
        <w:trPr>
          <w:trHeight w:val="119"/>
          <w:tblHeader/>
        </w:trPr>
        <w:tc>
          <w:tcPr>
            <w:tcW w:w="1901" w:type="pct"/>
            <w:shd w:val="clear" w:color="auto" w:fill="D9D9D9" w:themeFill="background1" w:themeFillShade="D9"/>
            <w:vAlign w:val="center"/>
          </w:tcPr>
          <w:p w14:paraId="2555EBFE" w14:textId="77777777" w:rsidR="008A20A8" w:rsidRPr="008A20A8" w:rsidRDefault="008A20A8" w:rsidP="0088380D">
            <w:pPr>
              <w:ind w:left="0"/>
              <w:jc w:val="center"/>
              <w:rPr>
                <w:rFonts w:ascii="Bookman Old Style" w:hAnsi="Bookman Old Style"/>
                <w:i/>
                <w:sz w:val="22"/>
                <w:szCs w:val="22"/>
              </w:rPr>
            </w:pPr>
            <w:r w:rsidRPr="008A20A8">
              <w:rPr>
                <w:rFonts w:ascii="Bookman Old Style" w:hAnsi="Bookman Old Style" w:cs="Arial"/>
                <w:b/>
                <w:bCs/>
                <w:i/>
                <w:sz w:val="22"/>
                <w:szCs w:val="22"/>
                <w:lang w:val="es-ES_tradnl"/>
              </w:rPr>
              <w:t>Componente</w:t>
            </w:r>
          </w:p>
        </w:tc>
        <w:tc>
          <w:tcPr>
            <w:tcW w:w="446" w:type="pct"/>
            <w:shd w:val="clear" w:color="auto" w:fill="D9D9D9" w:themeFill="background1" w:themeFillShade="D9"/>
          </w:tcPr>
          <w:p w14:paraId="6C4B2525" w14:textId="77777777" w:rsidR="008A20A8" w:rsidRPr="008A20A8" w:rsidRDefault="008A20A8" w:rsidP="0088380D">
            <w:pPr>
              <w:ind w:left="-112"/>
              <w:jc w:val="center"/>
              <w:rPr>
                <w:rFonts w:ascii="Bookman Old Style" w:hAnsi="Bookman Old Style"/>
                <w:b/>
                <w:i/>
                <w:sz w:val="22"/>
                <w:szCs w:val="22"/>
              </w:rPr>
            </w:pPr>
          </w:p>
        </w:tc>
        <w:tc>
          <w:tcPr>
            <w:tcW w:w="885" w:type="pct"/>
            <w:tcBorders>
              <w:bottom w:val="single" w:sz="4" w:space="0" w:color="auto"/>
            </w:tcBorders>
            <w:shd w:val="clear" w:color="auto" w:fill="D9D9D9" w:themeFill="background1" w:themeFillShade="D9"/>
            <w:vAlign w:val="center"/>
          </w:tcPr>
          <w:p w14:paraId="19DCED49" w14:textId="77777777" w:rsidR="008A20A8" w:rsidRPr="008A20A8" w:rsidRDefault="008A20A8" w:rsidP="0088380D">
            <w:pPr>
              <w:ind w:left="-112"/>
              <w:jc w:val="center"/>
              <w:rPr>
                <w:rFonts w:ascii="Bookman Old Style" w:hAnsi="Bookman Old Style"/>
                <w:b/>
                <w:i/>
                <w:sz w:val="22"/>
                <w:szCs w:val="22"/>
              </w:rPr>
            </w:pPr>
            <w:r w:rsidRPr="008A20A8">
              <w:rPr>
                <w:rFonts w:ascii="Bookman Old Style" w:hAnsi="Bookman Old Style"/>
                <w:b/>
                <w:i/>
                <w:sz w:val="22"/>
                <w:szCs w:val="22"/>
              </w:rPr>
              <w:t>2017</w:t>
            </w:r>
          </w:p>
        </w:tc>
        <w:tc>
          <w:tcPr>
            <w:tcW w:w="885" w:type="pct"/>
            <w:tcBorders>
              <w:bottom w:val="single" w:sz="4" w:space="0" w:color="auto"/>
            </w:tcBorders>
            <w:shd w:val="clear" w:color="auto" w:fill="D9D9D9" w:themeFill="background1" w:themeFillShade="D9"/>
            <w:vAlign w:val="center"/>
          </w:tcPr>
          <w:p w14:paraId="4B87D246" w14:textId="77777777" w:rsidR="008A20A8" w:rsidRPr="008A20A8" w:rsidRDefault="008A20A8" w:rsidP="0088380D">
            <w:pPr>
              <w:ind w:left="-112"/>
              <w:jc w:val="center"/>
              <w:rPr>
                <w:rFonts w:ascii="Bookman Old Style" w:hAnsi="Bookman Old Style"/>
                <w:b/>
                <w:i/>
                <w:sz w:val="22"/>
                <w:szCs w:val="22"/>
              </w:rPr>
            </w:pPr>
            <w:r w:rsidRPr="008A20A8">
              <w:rPr>
                <w:rFonts w:ascii="Bookman Old Style" w:hAnsi="Bookman Old Style"/>
                <w:b/>
                <w:i/>
                <w:sz w:val="22"/>
                <w:szCs w:val="22"/>
              </w:rPr>
              <w:t>2018</w:t>
            </w:r>
          </w:p>
        </w:tc>
        <w:tc>
          <w:tcPr>
            <w:tcW w:w="883" w:type="pct"/>
            <w:tcBorders>
              <w:bottom w:val="single" w:sz="4" w:space="0" w:color="auto"/>
            </w:tcBorders>
            <w:shd w:val="clear" w:color="auto" w:fill="D9D9D9" w:themeFill="background1" w:themeFillShade="D9"/>
            <w:vAlign w:val="center"/>
          </w:tcPr>
          <w:p w14:paraId="349AAF95" w14:textId="77777777" w:rsidR="008A20A8" w:rsidRPr="008A20A8" w:rsidRDefault="008A20A8" w:rsidP="0088380D">
            <w:pPr>
              <w:ind w:left="-18"/>
              <w:jc w:val="center"/>
              <w:rPr>
                <w:rFonts w:ascii="Bookman Old Style" w:hAnsi="Bookman Old Style"/>
                <w:b/>
                <w:i/>
                <w:sz w:val="22"/>
                <w:szCs w:val="22"/>
              </w:rPr>
            </w:pPr>
            <w:r w:rsidRPr="008A20A8">
              <w:rPr>
                <w:rFonts w:ascii="Bookman Old Style" w:hAnsi="Bookman Old Style"/>
                <w:b/>
                <w:i/>
                <w:sz w:val="22"/>
                <w:szCs w:val="22"/>
              </w:rPr>
              <w:t>2019 - 2020 - 2021</w:t>
            </w:r>
          </w:p>
        </w:tc>
      </w:tr>
      <w:tr w:rsidR="005C2A66" w:rsidRPr="008A20A8" w14:paraId="12989741" w14:textId="77777777" w:rsidTr="005C2A66">
        <w:trPr>
          <w:trHeight w:val="421"/>
        </w:trPr>
        <w:tc>
          <w:tcPr>
            <w:tcW w:w="1901" w:type="pct"/>
            <w:vAlign w:val="center"/>
          </w:tcPr>
          <w:p w14:paraId="3E511E2B" w14:textId="77777777" w:rsidR="005C2A66" w:rsidRPr="008A20A8" w:rsidRDefault="005C2A66" w:rsidP="005C2A66">
            <w:pPr>
              <w:widowControl w:val="0"/>
              <w:adjustRightInd w:val="0"/>
              <w:ind w:left="0" w:right="20"/>
              <w:rPr>
                <w:rFonts w:ascii="Bookman Old Style" w:hAnsi="Bookman Old Style"/>
                <w:i/>
                <w:sz w:val="22"/>
                <w:szCs w:val="22"/>
              </w:rPr>
            </w:pPr>
            <w:r w:rsidRPr="008A20A8">
              <w:rPr>
                <w:rFonts w:ascii="Bookman Old Style" w:hAnsi="Bookman Old Style" w:cs="Arial"/>
                <w:b/>
                <w:i/>
                <w:sz w:val="22"/>
                <w:szCs w:val="22"/>
                <w:lang w:val="es-ES_tradnl"/>
              </w:rPr>
              <w:t>Cargo de distribución Total</w:t>
            </w:r>
          </w:p>
        </w:tc>
        <w:tc>
          <w:tcPr>
            <w:tcW w:w="446" w:type="pct"/>
            <w:vAlign w:val="center"/>
          </w:tcPr>
          <w:p w14:paraId="48FF20AD"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
                <w:bCs/>
                <w:i/>
                <w:sz w:val="22"/>
                <w:szCs w:val="22"/>
                <w:lang w:val="es-ES_tradnl"/>
              </w:rPr>
              <w:t>$/m</w:t>
            </w:r>
            <w:r w:rsidRPr="008A20A8">
              <w:rPr>
                <w:rFonts w:ascii="Bookman Old Style" w:hAnsi="Bookman Old Style" w:cs="Arial"/>
                <w:b/>
                <w:bCs/>
                <w:i/>
                <w:sz w:val="22"/>
                <w:szCs w:val="22"/>
                <w:vertAlign w:val="superscript"/>
                <w:lang w:val="es-ES_tradnl"/>
              </w:rPr>
              <w:t>3</w:t>
            </w:r>
          </w:p>
        </w:tc>
        <w:tc>
          <w:tcPr>
            <w:tcW w:w="885" w:type="pct"/>
            <w:tcBorders>
              <w:bottom w:val="single" w:sz="4" w:space="0" w:color="auto"/>
            </w:tcBorders>
            <w:shd w:val="clear" w:color="auto" w:fill="auto"/>
            <w:vAlign w:val="center"/>
          </w:tcPr>
          <w:p w14:paraId="7E956A81" w14:textId="3F120020" w:rsidR="005C2A66" w:rsidRPr="005C2A66" w:rsidRDefault="005C2A66" w:rsidP="005C2A66">
            <w:pPr>
              <w:ind w:left="-108"/>
              <w:jc w:val="center"/>
              <w:rPr>
                <w:rFonts w:ascii="Bookman Old Style" w:hAnsi="Bookman Old Style"/>
                <w:b/>
                <w:i/>
                <w:color w:val="000000"/>
                <w:sz w:val="22"/>
                <w:szCs w:val="22"/>
              </w:rPr>
            </w:pPr>
            <w:r w:rsidRPr="005C2A66">
              <w:rPr>
                <w:rFonts w:ascii="Bookman Old Style" w:hAnsi="Bookman Old Style"/>
                <w:b/>
                <w:i/>
                <w:color w:val="000000"/>
                <w:sz w:val="22"/>
                <w:szCs w:val="22"/>
              </w:rPr>
              <w:t>299.01</w:t>
            </w:r>
          </w:p>
        </w:tc>
        <w:tc>
          <w:tcPr>
            <w:tcW w:w="885" w:type="pct"/>
            <w:tcBorders>
              <w:bottom w:val="single" w:sz="4" w:space="0" w:color="auto"/>
            </w:tcBorders>
            <w:shd w:val="clear" w:color="auto" w:fill="auto"/>
            <w:vAlign w:val="center"/>
          </w:tcPr>
          <w:p w14:paraId="4523D904" w14:textId="6035A03C" w:rsidR="005C2A66" w:rsidRPr="005C2A66" w:rsidRDefault="005C2A66" w:rsidP="005C2A66">
            <w:pPr>
              <w:ind w:left="0"/>
              <w:jc w:val="center"/>
              <w:rPr>
                <w:rFonts w:ascii="Bookman Old Style" w:hAnsi="Bookman Old Style"/>
                <w:b/>
                <w:i/>
                <w:color w:val="000000"/>
                <w:sz w:val="22"/>
                <w:szCs w:val="22"/>
              </w:rPr>
            </w:pPr>
            <w:r w:rsidRPr="005C2A66">
              <w:rPr>
                <w:rFonts w:ascii="Bookman Old Style" w:hAnsi="Bookman Old Style"/>
                <w:b/>
                <w:i/>
                <w:color w:val="000000"/>
                <w:sz w:val="22"/>
                <w:szCs w:val="22"/>
              </w:rPr>
              <w:t>301.49</w:t>
            </w:r>
          </w:p>
        </w:tc>
        <w:tc>
          <w:tcPr>
            <w:tcW w:w="883" w:type="pct"/>
            <w:tcBorders>
              <w:bottom w:val="single" w:sz="4" w:space="0" w:color="auto"/>
            </w:tcBorders>
            <w:shd w:val="clear" w:color="auto" w:fill="auto"/>
            <w:vAlign w:val="center"/>
          </w:tcPr>
          <w:p w14:paraId="0B493590" w14:textId="331EC408" w:rsidR="005C2A66" w:rsidRPr="005C2A66" w:rsidRDefault="005C2A66" w:rsidP="005C2A66">
            <w:pPr>
              <w:ind w:left="0"/>
              <w:jc w:val="center"/>
              <w:rPr>
                <w:rFonts w:ascii="Bookman Old Style" w:hAnsi="Bookman Old Style"/>
                <w:b/>
                <w:i/>
                <w:color w:val="000000"/>
                <w:sz w:val="22"/>
                <w:szCs w:val="22"/>
              </w:rPr>
            </w:pPr>
            <w:r w:rsidRPr="005C2A66">
              <w:rPr>
                <w:rFonts w:ascii="Bookman Old Style" w:hAnsi="Bookman Old Style"/>
                <w:b/>
                <w:i/>
                <w:color w:val="000000"/>
                <w:sz w:val="22"/>
                <w:szCs w:val="22"/>
              </w:rPr>
              <w:t>284.95</w:t>
            </w:r>
          </w:p>
        </w:tc>
      </w:tr>
      <w:tr w:rsidR="005C2A66" w:rsidRPr="008A20A8" w14:paraId="7DE45E36" w14:textId="77777777" w:rsidTr="005C2A66">
        <w:trPr>
          <w:trHeight w:val="421"/>
        </w:trPr>
        <w:tc>
          <w:tcPr>
            <w:tcW w:w="1901" w:type="pct"/>
            <w:vAlign w:val="center"/>
          </w:tcPr>
          <w:p w14:paraId="02EF4619" w14:textId="77777777" w:rsidR="005C2A66" w:rsidRPr="008A20A8" w:rsidRDefault="005C2A66" w:rsidP="005C2A66">
            <w:pPr>
              <w:pStyle w:val="Prrafodelista"/>
              <w:numPr>
                <w:ilvl w:val="0"/>
                <w:numId w:val="11"/>
              </w:numPr>
              <w:ind w:left="309" w:hanging="284"/>
              <w:rPr>
                <w:rFonts w:ascii="Bookman Old Style" w:hAnsi="Bookman Old Style"/>
                <w:i/>
                <w:sz w:val="22"/>
                <w:szCs w:val="22"/>
              </w:rPr>
            </w:pPr>
            <w:r w:rsidRPr="008A20A8">
              <w:rPr>
                <w:rFonts w:ascii="Bookman Old Style" w:hAnsi="Bookman Old Style" w:cs="Arial"/>
                <w:i/>
                <w:sz w:val="22"/>
                <w:szCs w:val="22"/>
                <w:lang w:val="es-ES_tradnl"/>
              </w:rPr>
              <w:t xml:space="preserve">Componente de inversión, descontando el efecto del aporte de recursos públicos </w:t>
            </w:r>
          </w:p>
        </w:tc>
        <w:tc>
          <w:tcPr>
            <w:tcW w:w="446" w:type="pct"/>
            <w:vAlign w:val="center"/>
          </w:tcPr>
          <w:p w14:paraId="3060EA60"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Cs/>
                <w:i/>
                <w:sz w:val="22"/>
                <w:szCs w:val="22"/>
                <w:lang w:val="es-ES_tradnl"/>
              </w:rPr>
              <w:t>$/m</w:t>
            </w:r>
            <w:r w:rsidRPr="008A20A8">
              <w:rPr>
                <w:rFonts w:ascii="Bookman Old Style" w:hAnsi="Bookman Old Style" w:cs="Arial"/>
                <w:bCs/>
                <w:i/>
                <w:sz w:val="22"/>
                <w:szCs w:val="22"/>
                <w:vertAlign w:val="superscript"/>
                <w:lang w:val="es-ES_tradnl"/>
              </w:rPr>
              <w:t>3</w:t>
            </w:r>
          </w:p>
        </w:tc>
        <w:tc>
          <w:tcPr>
            <w:tcW w:w="885" w:type="pct"/>
            <w:tcBorders>
              <w:top w:val="single" w:sz="4" w:space="0" w:color="auto"/>
              <w:left w:val="nil"/>
              <w:bottom w:val="single" w:sz="4" w:space="0" w:color="auto"/>
              <w:right w:val="single" w:sz="4" w:space="0" w:color="auto"/>
            </w:tcBorders>
            <w:shd w:val="clear" w:color="auto" w:fill="auto"/>
            <w:vAlign w:val="center"/>
          </w:tcPr>
          <w:p w14:paraId="110C2EAF" w14:textId="23CD2B95" w:rsidR="005C2A66" w:rsidRPr="005C2A66" w:rsidRDefault="005C2A66" w:rsidP="005C2A66">
            <w:pPr>
              <w:ind w:left="-108"/>
              <w:jc w:val="center"/>
              <w:rPr>
                <w:rFonts w:ascii="Bookman Old Style" w:hAnsi="Bookman Old Style"/>
                <w:i/>
                <w:color w:val="000000"/>
                <w:sz w:val="22"/>
                <w:szCs w:val="22"/>
              </w:rPr>
            </w:pPr>
            <w:r w:rsidRPr="005C2A66">
              <w:rPr>
                <w:rFonts w:ascii="Bookman Old Style" w:hAnsi="Bookman Old Style"/>
                <w:i/>
                <w:color w:val="000000"/>
                <w:sz w:val="22"/>
                <w:szCs w:val="22"/>
              </w:rPr>
              <w:t>164.55</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1B67B6D5" w14:textId="589FC1B9" w:rsidR="005C2A66" w:rsidRPr="005C2A66" w:rsidRDefault="005C2A66" w:rsidP="005C2A66">
            <w:pPr>
              <w:ind w:left="0"/>
              <w:jc w:val="center"/>
              <w:rPr>
                <w:rFonts w:ascii="Bookman Old Style" w:hAnsi="Bookman Old Style"/>
                <w:i/>
                <w:color w:val="000000"/>
                <w:sz w:val="22"/>
                <w:szCs w:val="22"/>
              </w:rPr>
            </w:pPr>
            <w:r w:rsidRPr="005C2A66">
              <w:rPr>
                <w:rFonts w:ascii="Bookman Old Style" w:hAnsi="Bookman Old Style"/>
                <w:i/>
                <w:color w:val="000000"/>
                <w:sz w:val="22"/>
                <w:szCs w:val="22"/>
              </w:rPr>
              <w:t>167.03</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74DDD940" w14:textId="0607DCD6" w:rsidR="005C2A66" w:rsidRPr="005C2A66" w:rsidRDefault="005C2A66" w:rsidP="005C2A66">
            <w:pPr>
              <w:ind w:left="0"/>
              <w:jc w:val="center"/>
              <w:rPr>
                <w:rFonts w:ascii="Bookman Old Style" w:hAnsi="Bookman Old Style"/>
                <w:i/>
                <w:color w:val="000000"/>
                <w:sz w:val="22"/>
                <w:szCs w:val="22"/>
              </w:rPr>
            </w:pPr>
            <w:r w:rsidRPr="005C2A66">
              <w:rPr>
                <w:rFonts w:ascii="Bookman Old Style" w:hAnsi="Bookman Old Style"/>
                <w:i/>
                <w:color w:val="000000"/>
                <w:sz w:val="22"/>
                <w:szCs w:val="22"/>
              </w:rPr>
              <w:t>150.49</w:t>
            </w:r>
          </w:p>
        </w:tc>
      </w:tr>
      <w:tr w:rsidR="005C2A66" w:rsidRPr="008A20A8" w14:paraId="4D245CA7" w14:textId="77777777" w:rsidTr="005C2A66">
        <w:trPr>
          <w:trHeight w:val="421"/>
        </w:trPr>
        <w:tc>
          <w:tcPr>
            <w:tcW w:w="1901" w:type="pct"/>
            <w:vAlign w:val="center"/>
          </w:tcPr>
          <w:p w14:paraId="3CFF4876" w14:textId="77777777" w:rsidR="005C2A66" w:rsidRPr="008A20A8" w:rsidRDefault="005C2A66" w:rsidP="005C2A66">
            <w:pPr>
              <w:pStyle w:val="Prrafodelista"/>
              <w:numPr>
                <w:ilvl w:val="0"/>
                <w:numId w:val="11"/>
              </w:numPr>
              <w:ind w:left="309" w:hanging="284"/>
              <w:rPr>
                <w:rFonts w:ascii="Bookman Old Style" w:hAnsi="Bookman Old Style"/>
                <w:i/>
                <w:sz w:val="22"/>
                <w:szCs w:val="22"/>
              </w:rPr>
            </w:pPr>
            <w:r w:rsidRPr="008A20A8">
              <w:rPr>
                <w:rFonts w:ascii="Bookman Old Style" w:hAnsi="Bookman Old Style" w:cs="Arial"/>
                <w:i/>
                <w:sz w:val="22"/>
                <w:szCs w:val="22"/>
                <w:lang w:val="es-ES_tradnl"/>
              </w:rPr>
              <w:t>Componente Gastos AOM</w:t>
            </w:r>
          </w:p>
        </w:tc>
        <w:tc>
          <w:tcPr>
            <w:tcW w:w="446" w:type="pct"/>
            <w:vAlign w:val="center"/>
          </w:tcPr>
          <w:p w14:paraId="288BA0AC"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Cs/>
                <w:i/>
                <w:sz w:val="22"/>
                <w:szCs w:val="22"/>
                <w:lang w:val="es-ES_tradnl"/>
              </w:rPr>
              <w:t>$/m</w:t>
            </w:r>
            <w:r w:rsidRPr="008A20A8">
              <w:rPr>
                <w:rFonts w:ascii="Bookman Old Style" w:hAnsi="Bookman Old Style" w:cs="Arial"/>
                <w:bCs/>
                <w:i/>
                <w:sz w:val="22"/>
                <w:szCs w:val="22"/>
                <w:vertAlign w:val="superscript"/>
                <w:lang w:val="es-ES_tradnl"/>
              </w:rPr>
              <w:t>3</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0F9FBD1B" w14:textId="0E48EE75" w:rsidR="005C2A66" w:rsidRPr="005C2A66" w:rsidRDefault="005C2A66" w:rsidP="005C2A66">
            <w:pPr>
              <w:ind w:left="-108"/>
              <w:jc w:val="center"/>
              <w:rPr>
                <w:rFonts w:ascii="Bookman Old Style" w:hAnsi="Bookman Old Style"/>
                <w:i/>
                <w:sz w:val="22"/>
                <w:szCs w:val="22"/>
                <w:highlight w:val="yellow"/>
              </w:rPr>
            </w:pPr>
            <w:r w:rsidRPr="005C2A66">
              <w:rPr>
                <w:rFonts w:ascii="Bookman Old Style" w:hAnsi="Bookman Old Style"/>
                <w:i/>
                <w:color w:val="000000"/>
                <w:sz w:val="22"/>
                <w:szCs w:val="22"/>
              </w:rPr>
              <w:t>134.46</w:t>
            </w:r>
          </w:p>
        </w:tc>
        <w:tc>
          <w:tcPr>
            <w:tcW w:w="885" w:type="pct"/>
            <w:tcBorders>
              <w:top w:val="single" w:sz="4" w:space="0" w:color="auto"/>
              <w:left w:val="nil"/>
              <w:bottom w:val="single" w:sz="4" w:space="0" w:color="auto"/>
              <w:right w:val="single" w:sz="4" w:space="0" w:color="auto"/>
            </w:tcBorders>
            <w:shd w:val="clear" w:color="auto" w:fill="auto"/>
            <w:vAlign w:val="center"/>
          </w:tcPr>
          <w:p w14:paraId="7E266762" w14:textId="12C07DAB" w:rsidR="005C2A66" w:rsidRPr="005C2A66" w:rsidRDefault="005C2A66" w:rsidP="005C2A66">
            <w:pPr>
              <w:ind w:left="0"/>
              <w:jc w:val="center"/>
              <w:rPr>
                <w:rFonts w:ascii="Bookman Old Style" w:hAnsi="Bookman Old Style"/>
                <w:i/>
                <w:sz w:val="22"/>
                <w:szCs w:val="22"/>
                <w:highlight w:val="yellow"/>
              </w:rPr>
            </w:pPr>
            <w:r w:rsidRPr="005C2A66">
              <w:rPr>
                <w:rFonts w:ascii="Bookman Old Style" w:hAnsi="Bookman Old Style"/>
                <w:i/>
                <w:color w:val="000000"/>
                <w:sz w:val="22"/>
                <w:szCs w:val="22"/>
              </w:rPr>
              <w:t>134.46</w:t>
            </w:r>
          </w:p>
        </w:tc>
        <w:tc>
          <w:tcPr>
            <w:tcW w:w="883" w:type="pct"/>
            <w:tcBorders>
              <w:top w:val="single" w:sz="4" w:space="0" w:color="auto"/>
              <w:left w:val="nil"/>
              <w:bottom w:val="single" w:sz="4" w:space="0" w:color="auto"/>
              <w:right w:val="single" w:sz="4" w:space="0" w:color="auto"/>
            </w:tcBorders>
            <w:shd w:val="clear" w:color="auto" w:fill="auto"/>
            <w:vAlign w:val="center"/>
          </w:tcPr>
          <w:p w14:paraId="22590BBF" w14:textId="43A16AAA" w:rsidR="005C2A66" w:rsidRPr="005C2A66" w:rsidRDefault="005C2A66" w:rsidP="005C2A66">
            <w:pPr>
              <w:ind w:left="0"/>
              <w:jc w:val="center"/>
              <w:rPr>
                <w:rFonts w:ascii="Bookman Old Style" w:hAnsi="Bookman Old Style"/>
                <w:i/>
                <w:sz w:val="22"/>
                <w:szCs w:val="22"/>
                <w:highlight w:val="yellow"/>
              </w:rPr>
            </w:pPr>
            <w:r w:rsidRPr="005C2A66">
              <w:rPr>
                <w:rFonts w:ascii="Bookman Old Style" w:hAnsi="Bookman Old Style"/>
                <w:i/>
                <w:color w:val="000000"/>
                <w:sz w:val="22"/>
                <w:szCs w:val="22"/>
              </w:rPr>
              <w:t>134.46</w:t>
            </w:r>
          </w:p>
        </w:tc>
      </w:tr>
    </w:tbl>
    <w:p w14:paraId="07034A56" w14:textId="77777777" w:rsidR="008A20A8" w:rsidRPr="008A20A8" w:rsidRDefault="008A20A8" w:rsidP="008A20A8">
      <w:pPr>
        <w:widowControl w:val="0"/>
        <w:adjustRightInd w:val="0"/>
        <w:ind w:left="284" w:right="20"/>
        <w:jc w:val="both"/>
        <w:rPr>
          <w:rFonts w:ascii="Bookman Old Style" w:hAnsi="Bookman Old Style" w:cs="Arial"/>
          <w:i/>
          <w:sz w:val="22"/>
          <w:szCs w:val="22"/>
          <w:lang w:val="es-CO" w:eastAsia="x-none"/>
        </w:rPr>
      </w:pPr>
      <w:r w:rsidRPr="008A20A8">
        <w:rPr>
          <w:rFonts w:ascii="Bookman Old Style" w:hAnsi="Bookman Old Style" w:cs="Arial"/>
          <w:i/>
          <w:sz w:val="22"/>
          <w:szCs w:val="22"/>
          <w:lang w:val="x-none" w:eastAsia="x-none"/>
        </w:rPr>
        <w:t>Cifras en pesos del 31 de diciembre de 20</w:t>
      </w:r>
      <w:r w:rsidRPr="008A20A8">
        <w:rPr>
          <w:rFonts w:ascii="Bookman Old Style" w:hAnsi="Bookman Old Style" w:cs="Arial"/>
          <w:i/>
          <w:sz w:val="22"/>
          <w:szCs w:val="22"/>
          <w:lang w:val="es-CO" w:eastAsia="x-none"/>
        </w:rPr>
        <w:t>14</w:t>
      </w:r>
    </w:p>
    <w:p w14:paraId="24478CA7" w14:textId="77777777" w:rsidR="008A20A8" w:rsidRPr="008A20A8" w:rsidRDefault="008A20A8" w:rsidP="008A20A8">
      <w:pPr>
        <w:widowControl w:val="0"/>
        <w:adjustRightInd w:val="0"/>
        <w:ind w:left="284" w:right="20"/>
        <w:jc w:val="both"/>
        <w:rPr>
          <w:rFonts w:ascii="Bookman Old Style" w:hAnsi="Bookman Old Style" w:cs="Arial"/>
          <w:i/>
          <w:sz w:val="22"/>
          <w:szCs w:val="22"/>
          <w:lang w:val="es-CO" w:eastAsia="x-none"/>
        </w:rPr>
      </w:pPr>
    </w:p>
    <w:p w14:paraId="67EB9A1D" w14:textId="77777777" w:rsidR="008A20A8" w:rsidRPr="008A20A8" w:rsidRDefault="008A20A8" w:rsidP="008A20A8">
      <w:pPr>
        <w:widowControl w:val="0"/>
        <w:adjustRightInd w:val="0"/>
        <w:spacing w:after="240"/>
        <w:ind w:left="284" w:right="20"/>
        <w:jc w:val="both"/>
        <w:rPr>
          <w:rFonts w:ascii="Bookman Old Style" w:hAnsi="Bookman Old Style" w:cs="Arial"/>
          <w:i/>
          <w:sz w:val="22"/>
          <w:szCs w:val="22"/>
        </w:rPr>
      </w:pPr>
      <w:r w:rsidRPr="008A20A8">
        <w:rPr>
          <w:rFonts w:ascii="Bookman Old Style" w:hAnsi="Bookman Old Style" w:cs="Arial"/>
          <w:b/>
          <w:i/>
          <w:sz w:val="22"/>
          <w:szCs w:val="22"/>
        </w:rPr>
        <w:t xml:space="preserve">6.1.4. </w:t>
      </w:r>
      <w:r w:rsidRPr="008A20A8">
        <w:rPr>
          <w:rFonts w:ascii="Bookman Old Style" w:hAnsi="Bookman Old Style" w:cs="Arial"/>
          <w:i/>
          <w:sz w:val="22"/>
          <w:szCs w:val="22"/>
        </w:rPr>
        <w:t>Para el municipio de Distracción en el departamento de La Guajira, los cargos transitorios aplicables son:</w:t>
      </w: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809"/>
        <w:gridCol w:w="1605"/>
        <w:gridCol w:w="1605"/>
        <w:gridCol w:w="1601"/>
      </w:tblGrid>
      <w:tr w:rsidR="008A20A8" w:rsidRPr="008A20A8" w14:paraId="6ED5AD21" w14:textId="77777777" w:rsidTr="008A20A8">
        <w:trPr>
          <w:trHeight w:val="122"/>
          <w:tblHeader/>
        </w:trPr>
        <w:tc>
          <w:tcPr>
            <w:tcW w:w="5000" w:type="pct"/>
            <w:gridSpan w:val="5"/>
            <w:shd w:val="clear" w:color="auto" w:fill="D9D9D9" w:themeFill="background1" w:themeFillShade="D9"/>
            <w:vAlign w:val="center"/>
          </w:tcPr>
          <w:p w14:paraId="54843442" w14:textId="77777777" w:rsidR="008A20A8" w:rsidRPr="008A20A8" w:rsidRDefault="008A20A8" w:rsidP="0088380D">
            <w:pPr>
              <w:ind w:left="-115"/>
              <w:jc w:val="center"/>
              <w:rPr>
                <w:rFonts w:ascii="Bookman Old Style" w:hAnsi="Bookman Old Style"/>
                <w:b/>
                <w:i/>
                <w:sz w:val="22"/>
                <w:szCs w:val="22"/>
              </w:rPr>
            </w:pPr>
            <w:r w:rsidRPr="008A20A8">
              <w:rPr>
                <w:rFonts w:ascii="Bookman Old Style" w:hAnsi="Bookman Old Style"/>
                <w:b/>
                <w:i/>
                <w:sz w:val="22"/>
                <w:szCs w:val="22"/>
              </w:rPr>
              <w:t>Usuarios Diferentes a los de Uso Residencial</w:t>
            </w:r>
          </w:p>
        </w:tc>
      </w:tr>
      <w:tr w:rsidR="008A20A8" w:rsidRPr="008A20A8" w14:paraId="4F9CD459" w14:textId="77777777" w:rsidTr="005C2A66">
        <w:trPr>
          <w:trHeight w:val="119"/>
          <w:tblHeader/>
        </w:trPr>
        <w:tc>
          <w:tcPr>
            <w:tcW w:w="1901" w:type="pct"/>
            <w:shd w:val="clear" w:color="auto" w:fill="D9D9D9" w:themeFill="background1" w:themeFillShade="D9"/>
            <w:vAlign w:val="center"/>
          </w:tcPr>
          <w:p w14:paraId="165FAD13" w14:textId="77777777" w:rsidR="008A20A8" w:rsidRPr="008A20A8" w:rsidRDefault="008A20A8" w:rsidP="0088380D">
            <w:pPr>
              <w:ind w:left="0"/>
              <w:jc w:val="center"/>
              <w:rPr>
                <w:rFonts w:ascii="Bookman Old Style" w:hAnsi="Bookman Old Style"/>
                <w:i/>
                <w:sz w:val="22"/>
                <w:szCs w:val="22"/>
              </w:rPr>
            </w:pPr>
            <w:r w:rsidRPr="008A20A8">
              <w:rPr>
                <w:rFonts w:ascii="Bookman Old Style" w:hAnsi="Bookman Old Style" w:cs="Arial"/>
                <w:b/>
                <w:bCs/>
                <w:i/>
                <w:sz w:val="22"/>
                <w:szCs w:val="22"/>
                <w:lang w:val="es-ES_tradnl"/>
              </w:rPr>
              <w:t>Componente</w:t>
            </w:r>
          </w:p>
        </w:tc>
        <w:tc>
          <w:tcPr>
            <w:tcW w:w="446" w:type="pct"/>
            <w:shd w:val="clear" w:color="auto" w:fill="D9D9D9" w:themeFill="background1" w:themeFillShade="D9"/>
          </w:tcPr>
          <w:p w14:paraId="6F7F5C89" w14:textId="77777777" w:rsidR="008A20A8" w:rsidRPr="008A20A8" w:rsidRDefault="008A20A8" w:rsidP="0088380D">
            <w:pPr>
              <w:ind w:left="-112"/>
              <w:jc w:val="center"/>
              <w:rPr>
                <w:rFonts w:ascii="Bookman Old Style" w:hAnsi="Bookman Old Style"/>
                <w:b/>
                <w:i/>
                <w:sz w:val="22"/>
                <w:szCs w:val="22"/>
              </w:rPr>
            </w:pPr>
          </w:p>
        </w:tc>
        <w:tc>
          <w:tcPr>
            <w:tcW w:w="885" w:type="pct"/>
            <w:tcBorders>
              <w:bottom w:val="single" w:sz="4" w:space="0" w:color="auto"/>
            </w:tcBorders>
            <w:shd w:val="clear" w:color="auto" w:fill="D9D9D9" w:themeFill="background1" w:themeFillShade="D9"/>
            <w:vAlign w:val="center"/>
          </w:tcPr>
          <w:p w14:paraId="040DDB2D" w14:textId="77777777" w:rsidR="008A20A8" w:rsidRPr="008A20A8" w:rsidRDefault="008A20A8" w:rsidP="0088380D">
            <w:pPr>
              <w:ind w:left="-112"/>
              <w:jc w:val="center"/>
              <w:rPr>
                <w:rFonts w:ascii="Bookman Old Style" w:hAnsi="Bookman Old Style"/>
                <w:b/>
                <w:i/>
                <w:sz w:val="22"/>
                <w:szCs w:val="22"/>
              </w:rPr>
            </w:pPr>
            <w:r w:rsidRPr="008A20A8">
              <w:rPr>
                <w:rFonts w:ascii="Bookman Old Style" w:hAnsi="Bookman Old Style"/>
                <w:b/>
                <w:i/>
                <w:sz w:val="22"/>
                <w:szCs w:val="22"/>
              </w:rPr>
              <w:t>2017</w:t>
            </w:r>
          </w:p>
        </w:tc>
        <w:tc>
          <w:tcPr>
            <w:tcW w:w="885" w:type="pct"/>
            <w:tcBorders>
              <w:bottom w:val="single" w:sz="4" w:space="0" w:color="auto"/>
            </w:tcBorders>
            <w:shd w:val="clear" w:color="auto" w:fill="D9D9D9" w:themeFill="background1" w:themeFillShade="D9"/>
            <w:vAlign w:val="center"/>
          </w:tcPr>
          <w:p w14:paraId="229DF3F0" w14:textId="77777777" w:rsidR="008A20A8" w:rsidRPr="008A20A8" w:rsidRDefault="008A20A8" w:rsidP="0088380D">
            <w:pPr>
              <w:ind w:left="-112"/>
              <w:jc w:val="center"/>
              <w:rPr>
                <w:rFonts w:ascii="Bookman Old Style" w:hAnsi="Bookman Old Style"/>
                <w:b/>
                <w:i/>
                <w:sz w:val="22"/>
                <w:szCs w:val="22"/>
              </w:rPr>
            </w:pPr>
            <w:r w:rsidRPr="008A20A8">
              <w:rPr>
                <w:rFonts w:ascii="Bookman Old Style" w:hAnsi="Bookman Old Style"/>
                <w:b/>
                <w:i/>
                <w:sz w:val="22"/>
                <w:szCs w:val="22"/>
              </w:rPr>
              <w:t>2018</w:t>
            </w:r>
          </w:p>
        </w:tc>
        <w:tc>
          <w:tcPr>
            <w:tcW w:w="883" w:type="pct"/>
            <w:tcBorders>
              <w:bottom w:val="single" w:sz="4" w:space="0" w:color="auto"/>
            </w:tcBorders>
            <w:shd w:val="clear" w:color="auto" w:fill="D9D9D9" w:themeFill="background1" w:themeFillShade="D9"/>
            <w:vAlign w:val="center"/>
          </w:tcPr>
          <w:p w14:paraId="20A40692" w14:textId="77777777" w:rsidR="008A20A8" w:rsidRPr="008A20A8" w:rsidRDefault="008A20A8" w:rsidP="0088380D">
            <w:pPr>
              <w:ind w:left="-18"/>
              <w:jc w:val="center"/>
              <w:rPr>
                <w:rFonts w:ascii="Bookman Old Style" w:hAnsi="Bookman Old Style"/>
                <w:b/>
                <w:i/>
                <w:sz w:val="22"/>
                <w:szCs w:val="22"/>
              </w:rPr>
            </w:pPr>
            <w:r w:rsidRPr="008A20A8">
              <w:rPr>
                <w:rFonts w:ascii="Bookman Old Style" w:hAnsi="Bookman Old Style"/>
                <w:b/>
                <w:i/>
                <w:sz w:val="22"/>
                <w:szCs w:val="22"/>
              </w:rPr>
              <w:t>2019 - 2020 - 2021</w:t>
            </w:r>
          </w:p>
        </w:tc>
      </w:tr>
      <w:tr w:rsidR="005C2A66" w:rsidRPr="008A20A8" w14:paraId="7C0ECBC4" w14:textId="77777777" w:rsidTr="005C2A66">
        <w:trPr>
          <w:trHeight w:val="421"/>
        </w:trPr>
        <w:tc>
          <w:tcPr>
            <w:tcW w:w="1901" w:type="pct"/>
            <w:vAlign w:val="center"/>
          </w:tcPr>
          <w:p w14:paraId="4E8B34D8" w14:textId="77777777" w:rsidR="005C2A66" w:rsidRPr="008A20A8" w:rsidRDefault="005C2A66" w:rsidP="005C2A66">
            <w:pPr>
              <w:widowControl w:val="0"/>
              <w:adjustRightInd w:val="0"/>
              <w:ind w:left="0" w:right="20"/>
              <w:rPr>
                <w:rFonts w:ascii="Bookman Old Style" w:hAnsi="Bookman Old Style"/>
                <w:i/>
                <w:sz w:val="22"/>
                <w:szCs w:val="22"/>
              </w:rPr>
            </w:pPr>
            <w:r w:rsidRPr="008A20A8">
              <w:rPr>
                <w:rFonts w:ascii="Bookman Old Style" w:hAnsi="Bookman Old Style" w:cs="Arial"/>
                <w:b/>
                <w:i/>
                <w:sz w:val="22"/>
                <w:szCs w:val="22"/>
                <w:lang w:val="es-ES_tradnl"/>
              </w:rPr>
              <w:t>Cargo de distribución Total</w:t>
            </w:r>
          </w:p>
        </w:tc>
        <w:tc>
          <w:tcPr>
            <w:tcW w:w="446" w:type="pct"/>
            <w:vAlign w:val="center"/>
          </w:tcPr>
          <w:p w14:paraId="4D772C7E"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
                <w:bCs/>
                <w:i/>
                <w:sz w:val="22"/>
                <w:szCs w:val="22"/>
                <w:lang w:val="es-ES_tradnl"/>
              </w:rPr>
              <w:t>$/m</w:t>
            </w:r>
            <w:r w:rsidRPr="008A20A8">
              <w:rPr>
                <w:rFonts w:ascii="Bookman Old Style" w:hAnsi="Bookman Old Style" w:cs="Arial"/>
                <w:b/>
                <w:bCs/>
                <w:i/>
                <w:sz w:val="22"/>
                <w:szCs w:val="22"/>
                <w:vertAlign w:val="superscript"/>
                <w:lang w:val="es-ES_tradnl"/>
              </w:rPr>
              <w:t>3</w:t>
            </w:r>
          </w:p>
        </w:tc>
        <w:tc>
          <w:tcPr>
            <w:tcW w:w="885" w:type="pct"/>
            <w:tcBorders>
              <w:bottom w:val="single" w:sz="4" w:space="0" w:color="auto"/>
            </w:tcBorders>
            <w:shd w:val="clear" w:color="auto" w:fill="auto"/>
            <w:vAlign w:val="center"/>
          </w:tcPr>
          <w:p w14:paraId="6FF2B86F" w14:textId="4B0156E0" w:rsidR="005C2A66" w:rsidRPr="005C2A66" w:rsidRDefault="005C2A66" w:rsidP="005C2A66">
            <w:pPr>
              <w:ind w:left="-108"/>
              <w:jc w:val="center"/>
              <w:rPr>
                <w:rFonts w:ascii="Bookman Old Style" w:hAnsi="Bookman Old Style"/>
                <w:b/>
                <w:i/>
                <w:color w:val="000000"/>
                <w:sz w:val="22"/>
                <w:szCs w:val="22"/>
              </w:rPr>
            </w:pPr>
            <w:r w:rsidRPr="005C2A66">
              <w:rPr>
                <w:rFonts w:ascii="Bookman Old Style" w:hAnsi="Bookman Old Style"/>
                <w:b/>
                <w:i/>
                <w:color w:val="000000"/>
                <w:sz w:val="22"/>
                <w:szCs w:val="22"/>
              </w:rPr>
              <w:t>157.87</w:t>
            </w:r>
          </w:p>
        </w:tc>
        <w:tc>
          <w:tcPr>
            <w:tcW w:w="885" w:type="pct"/>
            <w:tcBorders>
              <w:bottom w:val="single" w:sz="4" w:space="0" w:color="auto"/>
            </w:tcBorders>
            <w:shd w:val="clear" w:color="auto" w:fill="auto"/>
            <w:vAlign w:val="center"/>
          </w:tcPr>
          <w:p w14:paraId="4D9A7249" w14:textId="6AC004BE" w:rsidR="005C2A66" w:rsidRPr="005C2A66" w:rsidRDefault="005C2A66" w:rsidP="005C2A66">
            <w:pPr>
              <w:ind w:left="0"/>
              <w:jc w:val="center"/>
              <w:rPr>
                <w:rFonts w:ascii="Bookman Old Style" w:hAnsi="Bookman Old Style"/>
                <w:b/>
                <w:i/>
                <w:color w:val="000000"/>
                <w:sz w:val="22"/>
                <w:szCs w:val="22"/>
              </w:rPr>
            </w:pPr>
            <w:r w:rsidRPr="005C2A66">
              <w:rPr>
                <w:rFonts w:ascii="Bookman Old Style" w:hAnsi="Bookman Old Style"/>
                <w:b/>
                <w:i/>
                <w:color w:val="000000"/>
                <w:sz w:val="22"/>
                <w:szCs w:val="22"/>
              </w:rPr>
              <w:t>158.22</w:t>
            </w:r>
          </w:p>
        </w:tc>
        <w:tc>
          <w:tcPr>
            <w:tcW w:w="883" w:type="pct"/>
            <w:tcBorders>
              <w:bottom w:val="single" w:sz="4" w:space="0" w:color="auto"/>
            </w:tcBorders>
            <w:shd w:val="clear" w:color="auto" w:fill="auto"/>
            <w:vAlign w:val="center"/>
          </w:tcPr>
          <w:p w14:paraId="391F2D04" w14:textId="2F890A9E" w:rsidR="005C2A66" w:rsidRPr="005C2A66" w:rsidRDefault="005C2A66" w:rsidP="005C2A66">
            <w:pPr>
              <w:ind w:left="0"/>
              <w:jc w:val="center"/>
              <w:rPr>
                <w:rFonts w:ascii="Bookman Old Style" w:hAnsi="Bookman Old Style"/>
                <w:b/>
                <w:i/>
                <w:color w:val="000000"/>
                <w:sz w:val="22"/>
                <w:szCs w:val="22"/>
              </w:rPr>
            </w:pPr>
            <w:r w:rsidRPr="005C2A66">
              <w:rPr>
                <w:rFonts w:ascii="Bookman Old Style" w:hAnsi="Bookman Old Style"/>
                <w:b/>
                <w:i/>
                <w:color w:val="000000"/>
                <w:sz w:val="22"/>
                <w:szCs w:val="22"/>
              </w:rPr>
              <w:t>155.86</w:t>
            </w:r>
          </w:p>
        </w:tc>
      </w:tr>
      <w:tr w:rsidR="005C2A66" w:rsidRPr="008A20A8" w14:paraId="5F4881DB" w14:textId="77777777" w:rsidTr="005C2A66">
        <w:trPr>
          <w:trHeight w:val="421"/>
        </w:trPr>
        <w:tc>
          <w:tcPr>
            <w:tcW w:w="1901" w:type="pct"/>
            <w:vAlign w:val="center"/>
          </w:tcPr>
          <w:p w14:paraId="5EAC0BD2" w14:textId="77777777" w:rsidR="005C2A66" w:rsidRPr="008A20A8" w:rsidRDefault="005C2A66" w:rsidP="005C2A66">
            <w:pPr>
              <w:pStyle w:val="Prrafodelista"/>
              <w:numPr>
                <w:ilvl w:val="0"/>
                <w:numId w:val="11"/>
              </w:numPr>
              <w:ind w:left="309" w:hanging="284"/>
              <w:rPr>
                <w:rFonts w:ascii="Bookman Old Style" w:hAnsi="Bookman Old Style"/>
                <w:i/>
                <w:sz w:val="22"/>
                <w:szCs w:val="22"/>
              </w:rPr>
            </w:pPr>
            <w:r w:rsidRPr="008A20A8">
              <w:rPr>
                <w:rFonts w:ascii="Bookman Old Style" w:hAnsi="Bookman Old Style" w:cs="Arial"/>
                <w:i/>
                <w:sz w:val="22"/>
                <w:szCs w:val="22"/>
                <w:lang w:val="es-ES_tradnl"/>
              </w:rPr>
              <w:t xml:space="preserve">Componente de inversión, descontando el efecto del aporte de recursos públicos </w:t>
            </w:r>
          </w:p>
        </w:tc>
        <w:tc>
          <w:tcPr>
            <w:tcW w:w="446" w:type="pct"/>
            <w:vAlign w:val="center"/>
          </w:tcPr>
          <w:p w14:paraId="094E6D9B"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Cs/>
                <w:i/>
                <w:sz w:val="22"/>
                <w:szCs w:val="22"/>
                <w:lang w:val="es-ES_tradnl"/>
              </w:rPr>
              <w:t>$/m</w:t>
            </w:r>
            <w:r w:rsidRPr="008A20A8">
              <w:rPr>
                <w:rFonts w:ascii="Bookman Old Style" w:hAnsi="Bookman Old Style" w:cs="Arial"/>
                <w:bCs/>
                <w:i/>
                <w:sz w:val="22"/>
                <w:szCs w:val="22"/>
                <w:vertAlign w:val="superscript"/>
                <w:lang w:val="es-ES_tradnl"/>
              </w:rPr>
              <w:t>3</w:t>
            </w:r>
          </w:p>
        </w:tc>
        <w:tc>
          <w:tcPr>
            <w:tcW w:w="885" w:type="pct"/>
            <w:tcBorders>
              <w:top w:val="single" w:sz="4" w:space="0" w:color="auto"/>
              <w:left w:val="nil"/>
              <w:bottom w:val="single" w:sz="4" w:space="0" w:color="auto"/>
              <w:right w:val="single" w:sz="4" w:space="0" w:color="auto"/>
            </w:tcBorders>
            <w:shd w:val="clear" w:color="auto" w:fill="auto"/>
            <w:vAlign w:val="center"/>
          </w:tcPr>
          <w:p w14:paraId="20CF7F85" w14:textId="26C3B9AF" w:rsidR="005C2A66" w:rsidRPr="005C2A66" w:rsidRDefault="005C2A66" w:rsidP="005C2A66">
            <w:pPr>
              <w:ind w:left="-108"/>
              <w:jc w:val="center"/>
              <w:rPr>
                <w:rFonts w:ascii="Bookman Old Style" w:hAnsi="Bookman Old Style"/>
                <w:i/>
                <w:color w:val="000000"/>
                <w:sz w:val="22"/>
                <w:szCs w:val="22"/>
              </w:rPr>
            </w:pPr>
            <w:r w:rsidRPr="005C2A66">
              <w:rPr>
                <w:rFonts w:ascii="Bookman Old Style" w:hAnsi="Bookman Old Style"/>
                <w:i/>
                <w:color w:val="000000"/>
                <w:sz w:val="22"/>
                <w:szCs w:val="22"/>
              </w:rPr>
              <w:t>23.41</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535BCB3C" w14:textId="38E3B8E4" w:rsidR="005C2A66" w:rsidRPr="005C2A66" w:rsidRDefault="005C2A66" w:rsidP="005C2A66">
            <w:pPr>
              <w:ind w:left="0"/>
              <w:jc w:val="center"/>
              <w:rPr>
                <w:rFonts w:ascii="Bookman Old Style" w:hAnsi="Bookman Old Style"/>
                <w:i/>
                <w:color w:val="000000"/>
                <w:sz w:val="22"/>
                <w:szCs w:val="22"/>
              </w:rPr>
            </w:pPr>
            <w:r w:rsidRPr="005C2A66">
              <w:rPr>
                <w:rFonts w:ascii="Bookman Old Style" w:hAnsi="Bookman Old Style"/>
                <w:i/>
                <w:color w:val="000000"/>
                <w:sz w:val="22"/>
                <w:szCs w:val="22"/>
              </w:rPr>
              <w:t>23.76</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390A64D" w14:textId="0684E8A9" w:rsidR="005C2A66" w:rsidRPr="005C2A66" w:rsidRDefault="005C2A66" w:rsidP="005C2A66">
            <w:pPr>
              <w:ind w:left="0"/>
              <w:jc w:val="center"/>
              <w:rPr>
                <w:rFonts w:ascii="Bookman Old Style" w:hAnsi="Bookman Old Style"/>
                <w:i/>
                <w:color w:val="000000"/>
                <w:sz w:val="22"/>
                <w:szCs w:val="22"/>
              </w:rPr>
            </w:pPr>
            <w:r w:rsidRPr="005C2A66">
              <w:rPr>
                <w:rFonts w:ascii="Bookman Old Style" w:hAnsi="Bookman Old Style"/>
                <w:i/>
                <w:color w:val="000000"/>
                <w:sz w:val="22"/>
                <w:szCs w:val="22"/>
              </w:rPr>
              <w:t>21.40</w:t>
            </w:r>
          </w:p>
        </w:tc>
      </w:tr>
      <w:tr w:rsidR="005C2A66" w:rsidRPr="008A20A8" w14:paraId="7AE152E8" w14:textId="77777777" w:rsidTr="005C2A66">
        <w:trPr>
          <w:trHeight w:val="421"/>
        </w:trPr>
        <w:tc>
          <w:tcPr>
            <w:tcW w:w="1901" w:type="pct"/>
            <w:vAlign w:val="center"/>
          </w:tcPr>
          <w:p w14:paraId="7BAA9D00" w14:textId="77777777" w:rsidR="005C2A66" w:rsidRPr="008A20A8" w:rsidRDefault="005C2A66" w:rsidP="005C2A66">
            <w:pPr>
              <w:pStyle w:val="Prrafodelista"/>
              <w:numPr>
                <w:ilvl w:val="0"/>
                <w:numId w:val="11"/>
              </w:numPr>
              <w:ind w:left="309" w:hanging="284"/>
              <w:rPr>
                <w:rFonts w:ascii="Bookman Old Style" w:hAnsi="Bookman Old Style"/>
                <w:i/>
                <w:sz w:val="22"/>
                <w:szCs w:val="22"/>
              </w:rPr>
            </w:pPr>
            <w:r w:rsidRPr="008A20A8">
              <w:rPr>
                <w:rFonts w:ascii="Bookman Old Style" w:hAnsi="Bookman Old Style" w:cs="Arial"/>
                <w:i/>
                <w:sz w:val="22"/>
                <w:szCs w:val="22"/>
                <w:lang w:val="es-ES_tradnl"/>
              </w:rPr>
              <w:t>Componente Gastos AOM</w:t>
            </w:r>
          </w:p>
        </w:tc>
        <w:tc>
          <w:tcPr>
            <w:tcW w:w="446" w:type="pct"/>
            <w:vAlign w:val="center"/>
          </w:tcPr>
          <w:p w14:paraId="5B55FF29" w14:textId="77777777" w:rsidR="005C2A66" w:rsidRPr="008A20A8" w:rsidRDefault="005C2A66" w:rsidP="005C2A66">
            <w:pPr>
              <w:ind w:left="43"/>
              <w:rPr>
                <w:rFonts w:ascii="Bookman Old Style" w:hAnsi="Bookman Old Style"/>
                <w:i/>
                <w:sz w:val="22"/>
                <w:szCs w:val="22"/>
              </w:rPr>
            </w:pPr>
            <w:r w:rsidRPr="008A20A8">
              <w:rPr>
                <w:rFonts w:ascii="Bookman Old Style" w:hAnsi="Bookman Old Style" w:cs="Arial"/>
                <w:bCs/>
                <w:i/>
                <w:sz w:val="22"/>
                <w:szCs w:val="22"/>
                <w:lang w:val="es-ES_tradnl"/>
              </w:rPr>
              <w:t>$/m</w:t>
            </w:r>
            <w:r w:rsidRPr="008A20A8">
              <w:rPr>
                <w:rFonts w:ascii="Bookman Old Style" w:hAnsi="Bookman Old Style" w:cs="Arial"/>
                <w:bCs/>
                <w:i/>
                <w:sz w:val="22"/>
                <w:szCs w:val="22"/>
                <w:vertAlign w:val="superscript"/>
                <w:lang w:val="es-ES_tradnl"/>
              </w:rPr>
              <w:t>3</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0D2AB2F8" w14:textId="6CD3B723" w:rsidR="005C2A66" w:rsidRPr="005C2A66" w:rsidRDefault="005C2A66" w:rsidP="005C2A66">
            <w:pPr>
              <w:ind w:left="-108"/>
              <w:jc w:val="center"/>
              <w:rPr>
                <w:rFonts w:ascii="Bookman Old Style" w:hAnsi="Bookman Old Style"/>
                <w:i/>
                <w:sz w:val="22"/>
                <w:szCs w:val="22"/>
                <w:highlight w:val="yellow"/>
              </w:rPr>
            </w:pPr>
            <w:r w:rsidRPr="005C2A66">
              <w:rPr>
                <w:rFonts w:ascii="Bookman Old Style" w:hAnsi="Bookman Old Style"/>
                <w:i/>
                <w:color w:val="000000"/>
                <w:sz w:val="22"/>
                <w:szCs w:val="22"/>
              </w:rPr>
              <w:t>134.46</w:t>
            </w:r>
          </w:p>
        </w:tc>
        <w:tc>
          <w:tcPr>
            <w:tcW w:w="885" w:type="pct"/>
            <w:tcBorders>
              <w:top w:val="single" w:sz="4" w:space="0" w:color="auto"/>
              <w:left w:val="nil"/>
              <w:bottom w:val="single" w:sz="4" w:space="0" w:color="auto"/>
              <w:right w:val="single" w:sz="4" w:space="0" w:color="auto"/>
            </w:tcBorders>
            <w:shd w:val="clear" w:color="auto" w:fill="auto"/>
            <w:vAlign w:val="center"/>
          </w:tcPr>
          <w:p w14:paraId="3A209D39" w14:textId="6CF8D988" w:rsidR="005C2A66" w:rsidRPr="005C2A66" w:rsidRDefault="005C2A66" w:rsidP="005C2A66">
            <w:pPr>
              <w:ind w:left="0"/>
              <w:jc w:val="center"/>
              <w:rPr>
                <w:rFonts w:ascii="Bookman Old Style" w:hAnsi="Bookman Old Style"/>
                <w:i/>
                <w:sz w:val="22"/>
                <w:szCs w:val="22"/>
                <w:highlight w:val="yellow"/>
              </w:rPr>
            </w:pPr>
            <w:r w:rsidRPr="005C2A66">
              <w:rPr>
                <w:rFonts w:ascii="Bookman Old Style" w:hAnsi="Bookman Old Style"/>
                <w:i/>
                <w:color w:val="000000"/>
                <w:sz w:val="22"/>
                <w:szCs w:val="22"/>
              </w:rPr>
              <w:t>134.46</w:t>
            </w:r>
          </w:p>
        </w:tc>
        <w:tc>
          <w:tcPr>
            <w:tcW w:w="883" w:type="pct"/>
            <w:tcBorders>
              <w:top w:val="single" w:sz="4" w:space="0" w:color="auto"/>
              <w:left w:val="nil"/>
              <w:bottom w:val="single" w:sz="4" w:space="0" w:color="auto"/>
              <w:right w:val="single" w:sz="4" w:space="0" w:color="auto"/>
            </w:tcBorders>
            <w:shd w:val="clear" w:color="auto" w:fill="auto"/>
            <w:vAlign w:val="center"/>
          </w:tcPr>
          <w:p w14:paraId="103C7857" w14:textId="18EE743F" w:rsidR="005C2A66" w:rsidRPr="005C2A66" w:rsidRDefault="005C2A66" w:rsidP="005C2A66">
            <w:pPr>
              <w:ind w:left="0"/>
              <w:jc w:val="center"/>
              <w:rPr>
                <w:rFonts w:ascii="Bookman Old Style" w:hAnsi="Bookman Old Style"/>
                <w:i/>
                <w:sz w:val="22"/>
                <w:szCs w:val="22"/>
                <w:highlight w:val="yellow"/>
              </w:rPr>
            </w:pPr>
            <w:r w:rsidRPr="005C2A66">
              <w:rPr>
                <w:rFonts w:ascii="Bookman Old Style" w:hAnsi="Bookman Old Style"/>
                <w:i/>
                <w:color w:val="000000"/>
                <w:sz w:val="22"/>
                <w:szCs w:val="22"/>
              </w:rPr>
              <w:t>134.46</w:t>
            </w:r>
          </w:p>
        </w:tc>
      </w:tr>
    </w:tbl>
    <w:p w14:paraId="31367C0D" w14:textId="77777777" w:rsidR="008A20A8" w:rsidRPr="008A20A8" w:rsidRDefault="008A20A8" w:rsidP="008A20A8">
      <w:pPr>
        <w:widowControl w:val="0"/>
        <w:adjustRightInd w:val="0"/>
        <w:ind w:left="284" w:right="20"/>
        <w:jc w:val="both"/>
        <w:rPr>
          <w:rFonts w:ascii="Bookman Old Style" w:hAnsi="Bookman Old Style" w:cs="Arial"/>
          <w:i/>
          <w:sz w:val="22"/>
          <w:szCs w:val="22"/>
          <w:lang w:val="es-CO" w:eastAsia="x-none"/>
        </w:rPr>
      </w:pPr>
      <w:r w:rsidRPr="008A20A8">
        <w:rPr>
          <w:rFonts w:ascii="Bookman Old Style" w:hAnsi="Bookman Old Style" w:cs="Arial"/>
          <w:i/>
          <w:sz w:val="22"/>
          <w:szCs w:val="22"/>
          <w:lang w:val="x-none" w:eastAsia="x-none"/>
        </w:rPr>
        <w:t>Cifras en pesos del 31 de diciembre de 20</w:t>
      </w:r>
      <w:r w:rsidRPr="008A20A8">
        <w:rPr>
          <w:rFonts w:ascii="Bookman Old Style" w:hAnsi="Bookman Old Style" w:cs="Arial"/>
          <w:i/>
          <w:sz w:val="22"/>
          <w:szCs w:val="22"/>
          <w:lang w:val="es-CO" w:eastAsia="x-none"/>
        </w:rPr>
        <w:t>14</w:t>
      </w:r>
    </w:p>
    <w:p w14:paraId="1241DC9C" w14:textId="77777777" w:rsidR="008A20A8" w:rsidRPr="008A20A8" w:rsidRDefault="008A20A8" w:rsidP="008A20A8">
      <w:pPr>
        <w:ind w:left="284"/>
        <w:jc w:val="both"/>
        <w:rPr>
          <w:rFonts w:ascii="Bookman Old Style" w:hAnsi="Bookman Old Style" w:cs="Arial"/>
          <w:b/>
          <w:bCs/>
          <w:i/>
          <w:sz w:val="22"/>
          <w:szCs w:val="22"/>
        </w:rPr>
      </w:pPr>
    </w:p>
    <w:p w14:paraId="03B91701" w14:textId="77777777" w:rsidR="008A20A8" w:rsidRPr="008A20A8" w:rsidRDefault="008A20A8" w:rsidP="008A20A8">
      <w:pPr>
        <w:spacing w:after="240"/>
        <w:ind w:left="284"/>
        <w:jc w:val="both"/>
        <w:rPr>
          <w:rFonts w:ascii="Bookman Old Style" w:hAnsi="Bookman Old Style" w:cs="Arial"/>
          <w:i/>
          <w:sz w:val="22"/>
          <w:szCs w:val="22"/>
        </w:rPr>
      </w:pPr>
      <w:r w:rsidRPr="008A20A8">
        <w:rPr>
          <w:rFonts w:ascii="Bookman Old Style" w:hAnsi="Bookman Old Style" w:cs="Arial"/>
          <w:b/>
          <w:bCs/>
          <w:i/>
          <w:sz w:val="22"/>
          <w:szCs w:val="22"/>
        </w:rPr>
        <w:t>Parágrafo 1.</w:t>
      </w:r>
      <w:r w:rsidRPr="008A20A8">
        <w:rPr>
          <w:rFonts w:ascii="Bookman Old Style" w:hAnsi="Bookman Old Style" w:cs="Arial"/>
          <w:i/>
          <w:sz w:val="22"/>
          <w:szCs w:val="22"/>
        </w:rPr>
        <w:t xml:space="preserve"> Para el cálculo de las tarifas que se cobren a los usuarios y que incluyen los cargos aprobados en el artículo 6 de la presente Resolución, se tendrá en cuenta lo establecido en el numeral 87.9 del artículo 87 de la Ley 142 de 1994, modificado por el artículo 99 de la Ley 1450 de 2011, o aquella que la modifique, aclare o sustituya.</w:t>
      </w:r>
    </w:p>
    <w:p w14:paraId="6EB43C08" w14:textId="77777777" w:rsidR="00646E83" w:rsidRPr="008A20A8" w:rsidRDefault="008A20A8" w:rsidP="008A20A8">
      <w:pPr>
        <w:ind w:left="284"/>
        <w:jc w:val="both"/>
        <w:rPr>
          <w:rFonts w:ascii="Bookman Old Style" w:hAnsi="Bookman Old Style"/>
          <w:i/>
          <w:sz w:val="22"/>
          <w:szCs w:val="22"/>
        </w:rPr>
      </w:pPr>
      <w:r w:rsidRPr="008A20A8">
        <w:rPr>
          <w:rFonts w:ascii="Bookman Old Style" w:hAnsi="Bookman Old Style" w:cs="Arial"/>
          <w:b/>
          <w:bCs/>
          <w:i/>
          <w:sz w:val="22"/>
          <w:szCs w:val="22"/>
        </w:rPr>
        <w:t xml:space="preserve">Parágrafo 2. </w:t>
      </w:r>
      <w:r w:rsidRPr="008A20A8">
        <w:rPr>
          <w:rFonts w:ascii="Bookman Old Style" w:hAnsi="Bookman Old Style" w:cs="Arial"/>
          <w:i/>
          <w:sz w:val="22"/>
          <w:szCs w:val="22"/>
        </w:rPr>
        <w:t>Los Cargos de Distribución del presente artículo se actualizarán de conformidad con lo establecido en el artículo 12 de la Resolución CREG 202 de 2013, modificado por el artículo 3 de la Resolución CREG 125 de 2015”.</w:t>
      </w:r>
    </w:p>
    <w:p w14:paraId="136FE15D" w14:textId="77777777" w:rsidR="00646E83" w:rsidRDefault="00646E83" w:rsidP="00646E83">
      <w:pPr>
        <w:ind w:left="0"/>
        <w:jc w:val="both"/>
        <w:rPr>
          <w:rFonts w:ascii="Bookman Old Style" w:hAnsi="Bookman Old Style"/>
          <w:i/>
          <w:sz w:val="22"/>
        </w:rPr>
      </w:pPr>
    </w:p>
    <w:p w14:paraId="09F38A6F" w14:textId="0D6E7A4F" w:rsidR="007F2DB5" w:rsidRPr="007F2DB5" w:rsidRDefault="007F2DB5" w:rsidP="007F2DB5">
      <w:pPr>
        <w:ind w:left="0"/>
        <w:jc w:val="both"/>
        <w:rPr>
          <w:rFonts w:ascii="Bookman Old Style" w:hAnsi="Bookman Old Style"/>
        </w:rPr>
      </w:pPr>
      <w:r w:rsidRPr="007F2DB5">
        <w:rPr>
          <w:rFonts w:ascii="Bookman Old Style" w:hAnsi="Bookman Old Style"/>
          <w:b/>
        </w:rPr>
        <w:t xml:space="preserve">ARTÍCULO </w:t>
      </w:r>
      <w:r w:rsidR="00D00681">
        <w:rPr>
          <w:rFonts w:ascii="Bookman Old Style" w:hAnsi="Bookman Old Style"/>
          <w:b/>
        </w:rPr>
        <w:t>5</w:t>
      </w:r>
      <w:r w:rsidRPr="007F2DB5">
        <w:rPr>
          <w:rFonts w:ascii="Bookman Old Style" w:hAnsi="Bookman Old Style"/>
          <w:b/>
        </w:rPr>
        <w:t>.</w:t>
      </w:r>
      <w:r w:rsidRPr="007F2DB5">
        <w:rPr>
          <w:rFonts w:ascii="Bookman Old Style" w:hAnsi="Bookman Old Style"/>
        </w:rPr>
        <w:t xml:space="preserve"> La presente resolución deberá notificarse a la empresa GASES DE LA GUAJIRA S.A. E.S.P. y publicarse en el </w:t>
      </w:r>
      <w:r w:rsidRPr="007F2DB5">
        <w:rPr>
          <w:rFonts w:ascii="Bookman Old Style" w:hAnsi="Bookman Old Style"/>
          <w:i/>
        </w:rPr>
        <w:t>Diario Oficial</w:t>
      </w:r>
      <w:r w:rsidRPr="007F2DB5">
        <w:rPr>
          <w:rFonts w:ascii="Bookman Old Style" w:hAnsi="Bookman Old Style"/>
        </w:rPr>
        <w:t>. Contra las disposiciones contenidas en esta Resolución no procede recurso alguno.</w:t>
      </w:r>
    </w:p>
    <w:p w14:paraId="5F127B78" w14:textId="77777777" w:rsidR="00646E83" w:rsidRDefault="00646E83" w:rsidP="00646E83">
      <w:pPr>
        <w:ind w:left="0"/>
        <w:jc w:val="both"/>
        <w:rPr>
          <w:rFonts w:ascii="Bookman Old Style" w:hAnsi="Bookman Old Style"/>
          <w:i/>
          <w:sz w:val="22"/>
        </w:rPr>
      </w:pPr>
    </w:p>
    <w:p w14:paraId="63179ECE" w14:textId="77777777" w:rsidR="00045D3D" w:rsidRPr="00C435C3" w:rsidRDefault="00045D3D" w:rsidP="00045D3D">
      <w:pPr>
        <w:ind w:left="0"/>
        <w:rPr>
          <w:rFonts w:ascii="Bookman Old Style" w:hAnsi="Bookman Old Style"/>
        </w:rPr>
      </w:pPr>
    </w:p>
    <w:p w14:paraId="1C343A7A"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1AB4148B" w14:textId="77777777" w:rsidR="00045D3D" w:rsidRPr="00C435C3" w:rsidRDefault="00045D3D" w:rsidP="00045D3D">
      <w:pPr>
        <w:rPr>
          <w:rFonts w:ascii="Bookman Old Style" w:hAnsi="Bookman Old Style"/>
        </w:rPr>
      </w:pPr>
    </w:p>
    <w:p w14:paraId="0984D125" w14:textId="77777777" w:rsidR="00045D3D" w:rsidRDefault="00045D3D" w:rsidP="00045D3D">
      <w:pPr>
        <w:ind w:left="0"/>
        <w:rPr>
          <w:rFonts w:ascii="Bookman Old Style" w:hAnsi="Bookman Old Style"/>
        </w:rPr>
      </w:pPr>
      <w:r>
        <w:rPr>
          <w:rFonts w:ascii="Bookman Old Style" w:hAnsi="Bookman Old Style"/>
        </w:rPr>
        <w:t>Dada en Bogotá, D.C.</w:t>
      </w:r>
      <w:r w:rsidR="00CA3AA6">
        <w:rPr>
          <w:rFonts w:ascii="Bookman Old Style" w:hAnsi="Bookman Old Style"/>
        </w:rPr>
        <w:t xml:space="preserve"> a</w:t>
      </w:r>
    </w:p>
    <w:p w14:paraId="47583835" w14:textId="77777777" w:rsidR="00045D3D" w:rsidRDefault="00045D3D" w:rsidP="00045D3D">
      <w:pPr>
        <w:ind w:left="0"/>
        <w:rPr>
          <w:rFonts w:ascii="Bookman Old Style" w:hAnsi="Bookman Old Style"/>
        </w:rPr>
      </w:pPr>
    </w:p>
    <w:p w14:paraId="1E7112D6" w14:textId="069BEEB2" w:rsidR="00045D3D" w:rsidRDefault="00045D3D" w:rsidP="00045D3D">
      <w:pPr>
        <w:ind w:left="0"/>
        <w:rPr>
          <w:rFonts w:ascii="Bookman Old Style" w:hAnsi="Bookman Old Style"/>
        </w:rPr>
      </w:pPr>
    </w:p>
    <w:p w14:paraId="2720DD09" w14:textId="7DD5BFFD" w:rsidR="008B1C43" w:rsidRDefault="008B1C43" w:rsidP="00045D3D">
      <w:pPr>
        <w:ind w:left="0"/>
        <w:rPr>
          <w:rFonts w:ascii="Bookman Old Style" w:hAnsi="Bookman Old Style"/>
        </w:rPr>
      </w:pPr>
    </w:p>
    <w:p w14:paraId="0C3353A2" w14:textId="77777777" w:rsidR="008B1C43" w:rsidRDefault="008B1C43" w:rsidP="00045D3D">
      <w:pPr>
        <w:ind w:left="0"/>
        <w:rPr>
          <w:rFonts w:ascii="Bookman Old Style" w:hAnsi="Bookman Old Style"/>
        </w:rPr>
      </w:pPr>
    </w:p>
    <w:p w14:paraId="72EC5D74" w14:textId="77777777" w:rsidR="00D1599A" w:rsidRDefault="00D1599A" w:rsidP="00045D3D">
      <w:pPr>
        <w:ind w:left="0"/>
        <w:rPr>
          <w:rFonts w:ascii="Bookman Old Style" w:hAnsi="Bookman Old Style"/>
        </w:rPr>
      </w:pPr>
    </w:p>
    <w:p w14:paraId="70CA1071" w14:textId="77777777" w:rsidR="007F2DB5" w:rsidRDefault="007F2DB5" w:rsidP="00045D3D">
      <w:pPr>
        <w:ind w:left="0"/>
        <w:rPr>
          <w:rFonts w:ascii="Bookman Old Style" w:hAnsi="Bookman Old Style"/>
        </w:rPr>
      </w:pPr>
    </w:p>
    <w:tbl>
      <w:tblPr>
        <w:tblW w:w="10129" w:type="dxa"/>
        <w:jc w:val="center"/>
        <w:tblCellSpacing w:w="0" w:type="dxa"/>
        <w:tblCellMar>
          <w:left w:w="0" w:type="dxa"/>
          <w:right w:w="0" w:type="dxa"/>
        </w:tblCellMar>
        <w:tblLook w:val="04A0" w:firstRow="1" w:lastRow="0" w:firstColumn="1" w:lastColumn="0" w:noHBand="0" w:noVBand="1"/>
      </w:tblPr>
      <w:tblGrid>
        <w:gridCol w:w="4871"/>
        <w:gridCol w:w="274"/>
        <w:gridCol w:w="4565"/>
        <w:gridCol w:w="419"/>
      </w:tblGrid>
      <w:tr w:rsidR="006F101E" w:rsidRPr="00576D9E" w14:paraId="3085EDC0" w14:textId="77777777" w:rsidTr="006F101E">
        <w:trPr>
          <w:gridAfter w:val="1"/>
          <w:wAfter w:w="419" w:type="dxa"/>
          <w:tblCellSpacing w:w="0" w:type="dxa"/>
          <w:jc w:val="center"/>
        </w:trPr>
        <w:tc>
          <w:tcPr>
            <w:tcW w:w="5145" w:type="dxa"/>
            <w:gridSpan w:val="2"/>
          </w:tcPr>
          <w:p w14:paraId="60C90589" w14:textId="77777777" w:rsidR="006F101E" w:rsidRPr="00211EF9" w:rsidRDefault="006F101E" w:rsidP="004F6C48">
            <w:pPr>
              <w:jc w:val="center"/>
              <w:rPr>
                <w:rFonts w:ascii="Bookman Old Style" w:hAnsi="Bookman Old Style" w:cs="Arial"/>
                <w:b/>
                <w:spacing w:val="-3"/>
              </w:rPr>
            </w:pPr>
          </w:p>
          <w:p w14:paraId="1AE64784" w14:textId="77777777" w:rsidR="006F101E" w:rsidRPr="00211EF9" w:rsidRDefault="006F101E" w:rsidP="004F6C48">
            <w:pPr>
              <w:jc w:val="center"/>
              <w:rPr>
                <w:rFonts w:ascii="Bookman Old Style" w:hAnsi="Bookman Old Style" w:cs="Arial"/>
                <w:b/>
                <w:spacing w:val="-3"/>
              </w:rPr>
            </w:pPr>
          </w:p>
          <w:p w14:paraId="0F525844" w14:textId="77777777" w:rsidR="006F101E" w:rsidRPr="00211EF9" w:rsidRDefault="006F101E" w:rsidP="004F6C48">
            <w:pPr>
              <w:ind w:left="66"/>
              <w:jc w:val="center"/>
              <w:rPr>
                <w:rFonts w:ascii="Bookman Old Style" w:hAnsi="Bookman Old Style" w:cs="Arial"/>
                <w:b/>
                <w:spacing w:val="-3"/>
              </w:rPr>
            </w:pPr>
          </w:p>
          <w:p w14:paraId="6510DCDA" w14:textId="77777777" w:rsidR="006F101E" w:rsidRPr="00211EF9" w:rsidRDefault="006F101E" w:rsidP="004F6C48">
            <w:pPr>
              <w:ind w:left="66"/>
              <w:rPr>
                <w:rFonts w:ascii="Bookman Old Style" w:hAnsi="Bookman Old Style" w:cs="Arial"/>
                <w:b/>
                <w:spacing w:val="-3"/>
              </w:rPr>
            </w:pPr>
            <w:r>
              <w:rPr>
                <w:rFonts w:ascii="Bookman Old Style" w:hAnsi="Bookman Old Style" w:cs="Arial"/>
                <w:b/>
                <w:spacing w:val="-3"/>
              </w:rPr>
              <w:t xml:space="preserve">                </w:t>
            </w:r>
            <w:r w:rsidRPr="00211EF9">
              <w:rPr>
                <w:rFonts w:ascii="Bookman Old Style" w:hAnsi="Bookman Old Style" w:cs="Arial"/>
                <w:b/>
                <w:spacing w:val="-3"/>
              </w:rPr>
              <w:t>DIEGO MESA PUYO</w:t>
            </w:r>
          </w:p>
        </w:tc>
        <w:tc>
          <w:tcPr>
            <w:tcW w:w="4565" w:type="dxa"/>
          </w:tcPr>
          <w:p w14:paraId="52F58138" w14:textId="77777777" w:rsidR="006F101E" w:rsidRPr="00211EF9" w:rsidRDefault="006F101E" w:rsidP="004F6C48">
            <w:pPr>
              <w:ind w:left="89"/>
              <w:jc w:val="center"/>
              <w:rPr>
                <w:rFonts w:ascii="Bookman Old Style" w:hAnsi="Bookman Old Style" w:cs="Arial"/>
                <w:b/>
                <w:spacing w:val="-3"/>
              </w:rPr>
            </w:pPr>
          </w:p>
          <w:p w14:paraId="2F6B1C02" w14:textId="77777777" w:rsidR="006F101E" w:rsidRPr="00211EF9" w:rsidRDefault="006F101E" w:rsidP="004F6C48">
            <w:pPr>
              <w:ind w:left="89"/>
              <w:jc w:val="center"/>
              <w:rPr>
                <w:rFonts w:ascii="Bookman Old Style" w:hAnsi="Bookman Old Style" w:cs="Arial"/>
                <w:b/>
                <w:spacing w:val="-3"/>
              </w:rPr>
            </w:pPr>
          </w:p>
          <w:p w14:paraId="3B1E4A53" w14:textId="77777777" w:rsidR="006F101E" w:rsidRPr="00211EF9" w:rsidRDefault="006F101E" w:rsidP="004F6C48">
            <w:pPr>
              <w:ind w:left="89"/>
              <w:jc w:val="center"/>
              <w:rPr>
                <w:rFonts w:ascii="Bookman Old Style" w:hAnsi="Bookman Old Style" w:cs="Arial"/>
                <w:b/>
                <w:spacing w:val="-3"/>
              </w:rPr>
            </w:pPr>
          </w:p>
          <w:p w14:paraId="14162494" w14:textId="77777777" w:rsidR="006F101E" w:rsidRPr="00211EF9" w:rsidRDefault="006F101E" w:rsidP="004F6C48">
            <w:pPr>
              <w:ind w:left="89"/>
              <w:jc w:val="center"/>
              <w:rPr>
                <w:rFonts w:ascii="Bookman Old Style" w:hAnsi="Bookman Old Style" w:cs="Arial"/>
                <w:b/>
                <w:spacing w:val="-3"/>
              </w:rPr>
            </w:pPr>
            <w:r w:rsidRPr="00211EF9">
              <w:rPr>
                <w:rFonts w:ascii="Bookman Old Style" w:hAnsi="Bookman Old Style" w:cs="Arial"/>
                <w:b/>
                <w:spacing w:val="-3"/>
              </w:rPr>
              <w:t>CHRISTIAN JARAMILLO HERRERA</w:t>
            </w:r>
          </w:p>
        </w:tc>
      </w:tr>
      <w:tr w:rsidR="006F101E" w:rsidRPr="00233A38" w14:paraId="2349576B" w14:textId="77777777" w:rsidTr="006F101E">
        <w:trPr>
          <w:gridAfter w:val="1"/>
          <w:wAfter w:w="419" w:type="dxa"/>
          <w:tblCellSpacing w:w="0" w:type="dxa"/>
          <w:jc w:val="center"/>
        </w:trPr>
        <w:tc>
          <w:tcPr>
            <w:tcW w:w="5145" w:type="dxa"/>
            <w:gridSpan w:val="2"/>
            <w:hideMark/>
          </w:tcPr>
          <w:p w14:paraId="1CFEAA21" w14:textId="77777777" w:rsidR="006F101E" w:rsidRPr="00211EF9" w:rsidRDefault="006F101E" w:rsidP="004F6C48">
            <w:pPr>
              <w:rPr>
                <w:rFonts w:ascii="Bookman Old Style" w:hAnsi="Bookman Old Style" w:cs="Arial"/>
                <w:spacing w:val="-3"/>
              </w:rPr>
            </w:pPr>
            <w:r>
              <w:rPr>
                <w:rFonts w:ascii="Bookman Old Style" w:hAnsi="Bookman Old Style" w:cs="Arial"/>
                <w:spacing w:val="-3"/>
              </w:rPr>
              <w:t xml:space="preserve">       </w:t>
            </w:r>
            <w:r w:rsidRPr="00211EF9">
              <w:rPr>
                <w:rFonts w:ascii="Bookman Old Style" w:hAnsi="Bookman Old Style" w:cs="Arial"/>
                <w:spacing w:val="-3"/>
              </w:rPr>
              <w:t>Viceministro de Energía</w:t>
            </w:r>
          </w:p>
          <w:p w14:paraId="70D1837C" w14:textId="77777777" w:rsidR="006F101E" w:rsidRPr="00211EF9" w:rsidRDefault="006F101E" w:rsidP="004F6C48">
            <w:pPr>
              <w:ind w:left="0"/>
              <w:jc w:val="center"/>
              <w:rPr>
                <w:rFonts w:ascii="Bookman Old Style" w:hAnsi="Bookman Old Style" w:cs="Arial"/>
                <w:spacing w:val="-3"/>
              </w:rPr>
            </w:pPr>
            <w:r w:rsidRPr="00211EF9">
              <w:rPr>
                <w:rFonts w:ascii="Bookman Old Style" w:hAnsi="Bookman Old Style" w:cs="Arial"/>
                <w:spacing w:val="-3"/>
              </w:rPr>
              <w:t>Delegado de la Ministra de Minas y Energía</w:t>
            </w:r>
          </w:p>
        </w:tc>
        <w:tc>
          <w:tcPr>
            <w:tcW w:w="4565" w:type="dxa"/>
            <w:hideMark/>
          </w:tcPr>
          <w:p w14:paraId="30AE2189" w14:textId="77777777" w:rsidR="006F101E" w:rsidRPr="00211EF9" w:rsidRDefault="006F101E" w:rsidP="004F6C48">
            <w:pPr>
              <w:jc w:val="center"/>
              <w:rPr>
                <w:rFonts w:ascii="Bookman Old Style" w:hAnsi="Bookman Old Style" w:cs="Arial"/>
                <w:spacing w:val="-3"/>
              </w:rPr>
            </w:pPr>
            <w:r w:rsidRPr="00211EF9">
              <w:rPr>
                <w:rFonts w:ascii="Bookman Old Style" w:hAnsi="Bookman Old Style" w:cs="Arial"/>
                <w:spacing w:val="-3"/>
              </w:rPr>
              <w:t>Director Ejecutivo</w:t>
            </w:r>
          </w:p>
        </w:tc>
      </w:tr>
      <w:tr w:rsidR="006F101E" w:rsidRPr="00233A38" w14:paraId="667BE12E" w14:textId="77777777" w:rsidTr="006F101E">
        <w:trPr>
          <w:gridAfter w:val="1"/>
          <w:wAfter w:w="419" w:type="dxa"/>
          <w:tblCellSpacing w:w="0" w:type="dxa"/>
          <w:jc w:val="center"/>
        </w:trPr>
        <w:tc>
          <w:tcPr>
            <w:tcW w:w="5145" w:type="dxa"/>
            <w:gridSpan w:val="2"/>
            <w:hideMark/>
          </w:tcPr>
          <w:p w14:paraId="4FAB64C2" w14:textId="77777777" w:rsidR="006F101E" w:rsidRPr="00211EF9" w:rsidRDefault="006F101E" w:rsidP="004F6C48">
            <w:pPr>
              <w:rPr>
                <w:rFonts w:ascii="Bookman Old Style" w:hAnsi="Bookman Old Style" w:cs="Arial"/>
                <w:spacing w:val="-3"/>
              </w:rPr>
            </w:pPr>
            <w:r>
              <w:rPr>
                <w:rFonts w:ascii="Bookman Old Style" w:hAnsi="Bookman Old Style" w:cs="Arial"/>
                <w:spacing w:val="-3"/>
              </w:rPr>
              <w:t xml:space="preserve">                 </w:t>
            </w:r>
            <w:r w:rsidRPr="00211EF9">
              <w:rPr>
                <w:rFonts w:ascii="Bookman Old Style" w:hAnsi="Bookman Old Style" w:cs="Arial"/>
                <w:spacing w:val="-3"/>
              </w:rPr>
              <w:t>Presidente</w:t>
            </w:r>
          </w:p>
        </w:tc>
        <w:tc>
          <w:tcPr>
            <w:tcW w:w="4565" w:type="dxa"/>
          </w:tcPr>
          <w:p w14:paraId="7D454BDA" w14:textId="77777777" w:rsidR="006F101E" w:rsidRPr="00211EF9" w:rsidRDefault="006F101E" w:rsidP="004F6C48">
            <w:pPr>
              <w:jc w:val="center"/>
              <w:rPr>
                <w:rFonts w:ascii="Bookman Old Style" w:hAnsi="Bookman Old Style" w:cs="Arial"/>
                <w:spacing w:val="-3"/>
              </w:rPr>
            </w:pPr>
          </w:p>
        </w:tc>
      </w:tr>
      <w:tr w:rsidR="00045D3D" w:rsidRPr="00720520" w14:paraId="119C1309" w14:textId="77777777" w:rsidTr="006F101E">
        <w:tblPrEx>
          <w:jc w:val="right"/>
          <w:tblCellSpacing w:w="0" w:type="nil"/>
          <w:tblCellMar>
            <w:left w:w="70" w:type="dxa"/>
            <w:right w:w="70" w:type="dxa"/>
          </w:tblCellMar>
          <w:tblLook w:val="0000" w:firstRow="0" w:lastRow="0" w:firstColumn="0" w:lastColumn="0" w:noHBand="0" w:noVBand="0"/>
        </w:tblPrEx>
        <w:trPr>
          <w:jc w:val="right"/>
        </w:trPr>
        <w:tc>
          <w:tcPr>
            <w:tcW w:w="4871" w:type="dxa"/>
          </w:tcPr>
          <w:p w14:paraId="478A22A5" w14:textId="77777777" w:rsidR="00045D3D" w:rsidRPr="00720520" w:rsidRDefault="00045D3D" w:rsidP="006F101E">
            <w:pPr>
              <w:ind w:left="0"/>
              <w:rPr>
                <w:rFonts w:ascii="Bookman Old Style" w:hAnsi="Bookman Old Style" w:cs="Arial"/>
                <w:spacing w:val="-3"/>
              </w:rPr>
            </w:pPr>
          </w:p>
        </w:tc>
        <w:tc>
          <w:tcPr>
            <w:tcW w:w="5258" w:type="dxa"/>
            <w:gridSpan w:val="3"/>
          </w:tcPr>
          <w:p w14:paraId="195FF739" w14:textId="77777777" w:rsidR="00045D3D" w:rsidRPr="00720520" w:rsidRDefault="00045D3D" w:rsidP="006B6194">
            <w:pPr>
              <w:rPr>
                <w:rFonts w:ascii="Bookman Old Style" w:hAnsi="Bookman Old Style" w:cs="Arial"/>
                <w:spacing w:val="-3"/>
              </w:rPr>
            </w:pPr>
          </w:p>
        </w:tc>
      </w:tr>
    </w:tbl>
    <w:p w14:paraId="2B930521" w14:textId="77777777" w:rsidR="00E060BE" w:rsidRPr="00E060BE" w:rsidRDefault="00E060BE" w:rsidP="00D1599A">
      <w:pPr>
        <w:ind w:left="0"/>
        <w:rPr>
          <w:rFonts w:ascii="Bookman Old Style" w:hAnsi="Bookman Old Style" w:cs="Arial"/>
        </w:rPr>
      </w:pPr>
    </w:p>
    <w:sectPr w:rsidR="00E060BE" w:rsidRPr="00E060BE"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A7555" w14:textId="77777777" w:rsidR="005F18FB" w:rsidRDefault="005F18FB">
      <w:r>
        <w:separator/>
      </w:r>
    </w:p>
  </w:endnote>
  <w:endnote w:type="continuationSeparator" w:id="0">
    <w:p w14:paraId="0B5A7B11" w14:textId="77777777" w:rsidR="005F18FB" w:rsidRDefault="005F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E7892" w14:textId="77777777" w:rsidR="005F18FB" w:rsidRDefault="005F18FB">
      <w:r>
        <w:separator/>
      </w:r>
    </w:p>
  </w:footnote>
  <w:footnote w:type="continuationSeparator" w:id="0">
    <w:p w14:paraId="558AAE83" w14:textId="77777777" w:rsidR="005F18FB" w:rsidRDefault="005F18FB">
      <w:r>
        <w:continuationSeparator/>
      </w:r>
    </w:p>
  </w:footnote>
  <w:footnote w:id="1">
    <w:p w14:paraId="54D8E6DD" w14:textId="77777777" w:rsidR="008A3957" w:rsidRPr="00D1599A" w:rsidRDefault="008A3957">
      <w:pPr>
        <w:pStyle w:val="Textonotapie"/>
        <w:rPr>
          <w:sz w:val="18"/>
          <w:szCs w:val="18"/>
        </w:rPr>
      </w:pPr>
      <w:r w:rsidRPr="00D1599A">
        <w:rPr>
          <w:rStyle w:val="Refdenotaalpie"/>
          <w:sz w:val="18"/>
          <w:szCs w:val="18"/>
        </w:rPr>
        <w:footnoteRef/>
      </w:r>
      <w:r w:rsidRPr="00D1599A">
        <w:rPr>
          <w:sz w:val="18"/>
          <w:szCs w:val="18"/>
        </w:rPr>
        <w:t xml:space="preserve"> Documento soporte de la Resolución CREG 027 de 2018.</w:t>
      </w:r>
    </w:p>
  </w:footnote>
  <w:footnote w:id="2">
    <w:p w14:paraId="201D91BE" w14:textId="77777777" w:rsidR="008A3957" w:rsidRPr="00D1599A" w:rsidRDefault="008A3957">
      <w:pPr>
        <w:pStyle w:val="Textonotapie"/>
        <w:rPr>
          <w:sz w:val="18"/>
          <w:szCs w:val="18"/>
        </w:rPr>
      </w:pPr>
      <w:r w:rsidRPr="00D1599A">
        <w:rPr>
          <w:rStyle w:val="Refdenotaalpie"/>
          <w:sz w:val="18"/>
          <w:szCs w:val="18"/>
        </w:rPr>
        <w:footnoteRef/>
      </w:r>
      <w:r w:rsidRPr="00D1599A">
        <w:rPr>
          <w:sz w:val="18"/>
          <w:szCs w:val="18"/>
        </w:rPr>
        <w:t xml:space="preserve"> </w:t>
      </w:r>
      <w:r w:rsidRPr="00D1599A">
        <w:rPr>
          <w:rFonts w:eastAsia="Times New Roman"/>
          <w:sz w:val="18"/>
          <w:szCs w:val="18"/>
          <w:lang w:val="es-ES_tradnl" w:eastAsia="es-ES"/>
        </w:rPr>
        <w:t>Por la cual se aprueba el Cargo Promedio de Distribución por uso del Sistema de Distribución de gas combustible por red y el Cargo Máximo Base de Comercialización de gas combustible por red a usuarios regulados, para el mercado relevante conformado por los municipios de Albania, Barrancas, Dibulla, Distracción, El Molino, Fonseca, Hatonuevo, Maicao, Manaure, Riohacha, San Juan del Cesar, Uribia, Urumita y Villanueva, departamento de La Guajira, según solicitud tarifaria presentada por la empresa GASES DE LA GUAJIRA S.A. E</w:t>
      </w:r>
      <w:r>
        <w:rPr>
          <w:rFonts w:eastAsia="Times New Roman"/>
          <w:sz w:val="18"/>
          <w:szCs w:val="18"/>
          <w:lang w:val="es-ES_tradnl" w:eastAsia="es-ES"/>
        </w:rPr>
        <w:t>.</w:t>
      </w:r>
      <w:r w:rsidRPr="00D1599A">
        <w:rPr>
          <w:rFonts w:eastAsia="Times New Roman"/>
          <w:sz w:val="18"/>
          <w:szCs w:val="18"/>
          <w:lang w:val="es-ES_tradnl" w:eastAsia="es-ES"/>
        </w:rPr>
        <w:t>S</w:t>
      </w:r>
      <w:r>
        <w:rPr>
          <w:rFonts w:eastAsia="Times New Roman"/>
          <w:sz w:val="18"/>
          <w:szCs w:val="18"/>
          <w:lang w:val="es-ES_tradnl" w:eastAsia="es-ES"/>
        </w:rPr>
        <w:t>.</w:t>
      </w:r>
      <w:r w:rsidRPr="00D1599A">
        <w:rPr>
          <w:rFonts w:eastAsia="Times New Roman"/>
          <w:sz w:val="18"/>
          <w:szCs w:val="18"/>
          <w:lang w:val="es-ES_tradnl" w:eastAsia="es-ES"/>
        </w:rPr>
        <w:t>P.</w:t>
      </w:r>
    </w:p>
  </w:footnote>
  <w:footnote w:id="3">
    <w:p w14:paraId="296CD741" w14:textId="77777777" w:rsidR="008A3957" w:rsidRDefault="008A3957">
      <w:pPr>
        <w:pStyle w:val="Textonotapie"/>
      </w:pPr>
      <w:r w:rsidRPr="00D1599A">
        <w:rPr>
          <w:rStyle w:val="Refdenotaalpie"/>
          <w:sz w:val="18"/>
        </w:rPr>
        <w:footnoteRef/>
      </w:r>
      <w:r w:rsidRPr="00D1599A">
        <w:rPr>
          <w:sz w:val="18"/>
        </w:rPr>
        <w:t xml:space="preserve"> Esta información corresponde a la reportada por las empresas en el marco de la Circular CREG 111 de 2015, es decir, a la información presentada por las empresas para la</w:t>
      </w:r>
      <w:r w:rsidRPr="00D1599A">
        <w:rPr>
          <w:rFonts w:cs="Arial"/>
          <w:sz w:val="18"/>
        </w:rPr>
        <w:t xml:space="preserve"> solicitud de cargos de distribución de gas combustible por redes de tubería para los mercados existentes de distribución que hubieren concluido su periodo tarifario o que no lo hubieren concluido pero que decidieron acogerse a lo establecido en el numeral 6.5. de la Resolución CREG 202 de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67B8" w14:textId="77777777" w:rsidR="008A3957" w:rsidRDefault="008A3957" w:rsidP="00951F79">
    <w:pPr>
      <w:pStyle w:val="Ttulo1"/>
      <w:ind w:right="6"/>
      <w:jc w:val="left"/>
      <w:rPr>
        <w:rFonts w:ascii="Bookman Old Style" w:hAnsi="Bookman Old Style" w:cs="Arial"/>
        <w:b w:val="0"/>
        <w:sz w:val="22"/>
        <w:szCs w:val="22"/>
      </w:rPr>
    </w:pPr>
  </w:p>
  <w:p w14:paraId="1FEDA09D" w14:textId="4B91A37C" w:rsidR="008A3957" w:rsidRPr="00951F79" w:rsidRDefault="008A395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27D74">
      <w:rPr>
        <w:rFonts w:ascii="Bookman Old Style" w:hAnsi="Bookman Old Style" w:cs="Arial"/>
        <w:b w:val="0"/>
        <w:noProof/>
        <w:sz w:val="22"/>
        <w:szCs w:val="22"/>
      </w:rPr>
      <w:t>14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27D74" w:rsidRPr="00D27D74">
        <w:rPr>
          <w:rFonts w:ascii="Bookman Old Style" w:hAnsi="Bookman Old Style" w:cs="Arial"/>
          <w:b w:val="0"/>
          <w:noProof/>
          <w:sz w:val="22"/>
          <w:szCs w:val="22"/>
        </w:rPr>
        <w:t>14</w:t>
      </w:r>
    </w:fldSimple>
  </w:p>
  <w:p w14:paraId="7A37654C" w14:textId="77777777" w:rsidR="008A3957" w:rsidRDefault="008A3957"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6B86AD05" wp14:editId="28A87FFF">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12AF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A3612A4" w14:textId="77777777" w:rsidR="008A3957" w:rsidRPr="00970D32" w:rsidRDefault="008A3957" w:rsidP="00970D32">
    <w:pPr>
      <w:widowControl w:val="0"/>
      <w:adjustRightInd w:val="0"/>
      <w:ind w:left="0" w:right="20"/>
      <w:jc w:val="both"/>
      <w:rPr>
        <w:rFonts w:ascii="Bookman Old Style" w:hAnsi="Bookman Old Style"/>
        <w:sz w:val="22"/>
        <w:szCs w:val="22"/>
      </w:rPr>
    </w:pPr>
    <w:r w:rsidRPr="00970D32">
      <w:rPr>
        <w:rFonts w:ascii="Bookman Old Style" w:hAnsi="Bookman Old Style" w:cs="Arial"/>
        <w:sz w:val="22"/>
        <w:szCs w:val="22"/>
      </w:rPr>
      <w:t>Por la cual se resuelve el recurso de reposición interpuesto por la empresa GASES DE LA GUAJIRA S.A. E.S.P. contra la Resolución CREG 027 de 2018, “</w:t>
    </w:r>
    <w:r w:rsidRPr="00970D32">
      <w:rPr>
        <w:rFonts w:ascii="Bookman Old Style" w:hAnsi="Bookman Old Style" w:cs="Arial"/>
        <w:sz w:val="22"/>
        <w:szCs w:val="22"/>
        <w:lang w:val="es-ES_tradnl"/>
      </w:rPr>
      <w:t>Por la cual se aprueba cargo transitorio por uso del sistema de distribución de gas combustible por redes de tubería, para el mercado relevante conformado por los municipios de Riohacha, Albania, Barrancas, Dibulla, Distracción, El Molino, Fonseca, Hatonuevo, Maica</w:t>
    </w:r>
    <w:r>
      <w:rPr>
        <w:rFonts w:ascii="Bookman Old Style" w:hAnsi="Bookman Old Style" w:cs="Arial"/>
        <w:sz w:val="22"/>
        <w:szCs w:val="22"/>
        <w:lang w:val="es-ES_tradnl"/>
      </w:rPr>
      <w:t>o</w:t>
    </w:r>
    <w:r w:rsidRPr="00970D32">
      <w:rPr>
        <w:rFonts w:ascii="Bookman Old Style" w:hAnsi="Bookman Old Style" w:cs="Arial"/>
        <w:sz w:val="22"/>
        <w:szCs w:val="22"/>
        <w:lang w:val="es-ES_tradnl"/>
      </w:rPr>
      <w:t>, Manaure, San Juan del Cesar, Uribia, Urumita, Villanueva y La Jagua del Pilar, según solicitud tarifaria presentada por GASES DE LA GUAJIRA S.A. E.S.P</w:t>
    </w:r>
    <w:r>
      <w:rPr>
        <w:rFonts w:ascii="Bookman Old Style" w:hAnsi="Bookman Old Style" w:cs="Arial"/>
        <w:sz w:val="22"/>
        <w:szCs w:val="22"/>
        <w:lang w:val="es-ES_tradnl"/>
      </w:rPr>
      <w:t>.</w:t>
    </w:r>
    <w:r w:rsidRPr="00970D32">
      <w:rPr>
        <w:rFonts w:ascii="Bookman Old Style" w:hAnsi="Bookman Old Style" w:cs="Arial"/>
        <w:sz w:val="22"/>
        <w:szCs w:val="22"/>
        <w:lang w:val="es-ES_tradnl"/>
      </w:rPr>
      <w:t>”</w:t>
    </w:r>
  </w:p>
  <w:p w14:paraId="4775E522" w14:textId="77777777" w:rsidR="008A3957" w:rsidRPr="008C7E52" w:rsidRDefault="008A3957" w:rsidP="00DE0495">
    <w:pPr>
      <w:pBdr>
        <w:bottom w:val="single" w:sz="4" w:space="1" w:color="auto"/>
      </w:pBdr>
      <w:spacing w:after="120"/>
      <w:ind w:left="142" w:right="147"/>
      <w:rPr>
        <w:b/>
        <w:sz w:val="4"/>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5E191" w14:textId="77777777" w:rsidR="008A3957" w:rsidRDefault="008A3957" w:rsidP="008A165F">
    <w:pPr>
      <w:pStyle w:val="Encabezado"/>
      <w:ind w:hanging="567"/>
      <w:jc w:val="center"/>
      <w:rPr>
        <w:rFonts w:ascii="Arial" w:hAnsi="Arial" w:cs="Arial"/>
        <w:spacing w:val="20"/>
        <w:sz w:val="20"/>
      </w:rPr>
    </w:pPr>
    <w:r>
      <w:rPr>
        <w:rFonts w:ascii="Arial" w:hAnsi="Arial" w:cs="Arial"/>
        <w:spacing w:val="20"/>
        <w:sz w:val="20"/>
      </w:rPr>
      <w:t>República de Colombia</w:t>
    </w:r>
  </w:p>
  <w:p w14:paraId="313B3737" w14:textId="77777777" w:rsidR="008A3957" w:rsidRDefault="008A3957">
    <w:pPr>
      <w:pStyle w:val="Encabezado"/>
      <w:jc w:val="center"/>
      <w:rPr>
        <w:rFonts w:ascii="Arial" w:hAnsi="Arial" w:cs="Arial"/>
        <w:spacing w:val="20"/>
        <w:sz w:val="20"/>
      </w:rPr>
    </w:pPr>
  </w:p>
  <w:p w14:paraId="47C21405" w14:textId="77777777" w:rsidR="008A3957" w:rsidRDefault="008A395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34311C2" wp14:editId="1F0D1B3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4DA2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141FF5"/>
    <w:multiLevelType w:val="hybridMultilevel"/>
    <w:tmpl w:val="25104474"/>
    <w:lvl w:ilvl="0" w:tplc="240A000F">
      <w:start w:val="1"/>
      <w:numFmt w:val="decimal"/>
      <w:lvlText w:val="%1."/>
      <w:lvlJc w:val="left"/>
      <w:pPr>
        <w:tabs>
          <w:tab w:val="num" w:pos="1080"/>
        </w:tabs>
        <w:ind w:left="1080" w:hanging="720"/>
      </w:pPr>
      <w:rPr>
        <w:rFonts w:hint="default"/>
      </w:rPr>
    </w:lvl>
    <w:lvl w:ilvl="1" w:tplc="36249162">
      <w:start w:val="1"/>
      <w:numFmt w:val="decimal"/>
      <w:lvlText w:val="%2."/>
      <w:lvlJc w:val="left"/>
      <w:pPr>
        <w:ind w:left="1485" w:hanging="405"/>
      </w:pPr>
      <w:rPr>
        <w:rFonts w:hint="default"/>
        <w:b/>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C7110C"/>
    <w:multiLevelType w:val="hybridMultilevel"/>
    <w:tmpl w:val="075CC2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AC610E7"/>
    <w:multiLevelType w:val="hybridMultilevel"/>
    <w:tmpl w:val="A6AA46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4260BE"/>
    <w:multiLevelType w:val="hybridMultilevel"/>
    <w:tmpl w:val="07800A12"/>
    <w:lvl w:ilvl="0" w:tplc="240A0001">
      <w:start w:val="128"/>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3856273"/>
    <w:multiLevelType w:val="hybridMultilevel"/>
    <w:tmpl w:val="070A6690"/>
    <w:name w:val="WW8Num6423"/>
    <w:lvl w:ilvl="0" w:tplc="BC34A7B4">
      <w:start w:val="1"/>
      <w:numFmt w:val="upperRoman"/>
      <w:lvlText w:val="%1."/>
      <w:lvlJc w:val="left"/>
      <w:pPr>
        <w:tabs>
          <w:tab w:val="num" w:pos="1080"/>
        </w:tabs>
        <w:ind w:left="1080" w:hanging="720"/>
      </w:pPr>
      <w:rPr>
        <w:rFonts w:hint="default"/>
      </w:rPr>
    </w:lvl>
    <w:lvl w:ilvl="1" w:tplc="36249162">
      <w:start w:val="1"/>
      <w:numFmt w:val="decimal"/>
      <w:lvlText w:val="%2."/>
      <w:lvlJc w:val="left"/>
      <w:pPr>
        <w:ind w:left="1485" w:hanging="405"/>
      </w:pPr>
      <w:rPr>
        <w:rFonts w:hint="default"/>
        <w:b/>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9" w15:restartNumberingAfterBreak="0">
    <w:nsid w:val="5418656F"/>
    <w:multiLevelType w:val="hybridMultilevel"/>
    <w:tmpl w:val="4548616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33339DD"/>
    <w:multiLevelType w:val="multilevel"/>
    <w:tmpl w:val="498851FC"/>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7FFD71D2"/>
    <w:multiLevelType w:val="hybridMultilevel"/>
    <w:tmpl w:val="5240E964"/>
    <w:lvl w:ilvl="0" w:tplc="778472C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6"/>
  </w:num>
  <w:num w:numId="5">
    <w:abstractNumId w:val="5"/>
  </w:num>
  <w:num w:numId="6">
    <w:abstractNumId w:val="10"/>
  </w:num>
  <w:num w:numId="7">
    <w:abstractNumId w:val="9"/>
  </w:num>
  <w:num w:numId="8">
    <w:abstractNumId w:val="7"/>
  </w:num>
  <w:num w:numId="9">
    <w:abstractNumId w:val="4"/>
  </w:num>
  <w:num w:numId="10">
    <w:abstractNumId w:val="11"/>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B3D"/>
    <w:rsid w:val="00006AE2"/>
    <w:rsid w:val="000076A1"/>
    <w:rsid w:val="00012259"/>
    <w:rsid w:val="000226CC"/>
    <w:rsid w:val="00025383"/>
    <w:rsid w:val="00031B62"/>
    <w:rsid w:val="000430C4"/>
    <w:rsid w:val="00045D3D"/>
    <w:rsid w:val="00052C82"/>
    <w:rsid w:val="00063657"/>
    <w:rsid w:val="00065EFE"/>
    <w:rsid w:val="0006621E"/>
    <w:rsid w:val="00073AF2"/>
    <w:rsid w:val="00076680"/>
    <w:rsid w:val="00076A1D"/>
    <w:rsid w:val="0008073E"/>
    <w:rsid w:val="00091CDB"/>
    <w:rsid w:val="000A19AC"/>
    <w:rsid w:val="000B2EC9"/>
    <w:rsid w:val="000D26F8"/>
    <w:rsid w:val="000D661E"/>
    <w:rsid w:val="00101F4F"/>
    <w:rsid w:val="00103A23"/>
    <w:rsid w:val="00106654"/>
    <w:rsid w:val="001103A5"/>
    <w:rsid w:val="00115FAE"/>
    <w:rsid w:val="00123461"/>
    <w:rsid w:val="00130B0E"/>
    <w:rsid w:val="0013526C"/>
    <w:rsid w:val="00136597"/>
    <w:rsid w:val="001405C6"/>
    <w:rsid w:val="00141013"/>
    <w:rsid w:val="00144D54"/>
    <w:rsid w:val="001549CB"/>
    <w:rsid w:val="001570F3"/>
    <w:rsid w:val="0017547B"/>
    <w:rsid w:val="00176990"/>
    <w:rsid w:val="00192CBF"/>
    <w:rsid w:val="00192FF1"/>
    <w:rsid w:val="001A5F1B"/>
    <w:rsid w:val="001B1C22"/>
    <w:rsid w:val="001B34C6"/>
    <w:rsid w:val="001D1712"/>
    <w:rsid w:val="001D34FF"/>
    <w:rsid w:val="001D3D65"/>
    <w:rsid w:val="001D7832"/>
    <w:rsid w:val="00205C2B"/>
    <w:rsid w:val="00210DC1"/>
    <w:rsid w:val="00211D34"/>
    <w:rsid w:val="00214F04"/>
    <w:rsid w:val="0021525A"/>
    <w:rsid w:val="00222A6B"/>
    <w:rsid w:val="00230A8B"/>
    <w:rsid w:val="002352B9"/>
    <w:rsid w:val="002405D6"/>
    <w:rsid w:val="00242207"/>
    <w:rsid w:val="00245A33"/>
    <w:rsid w:val="00250534"/>
    <w:rsid w:val="002603E6"/>
    <w:rsid w:val="00266CD6"/>
    <w:rsid w:val="002673AC"/>
    <w:rsid w:val="00272DC3"/>
    <w:rsid w:val="00275DAB"/>
    <w:rsid w:val="0028692A"/>
    <w:rsid w:val="002903C0"/>
    <w:rsid w:val="0029694E"/>
    <w:rsid w:val="002A689A"/>
    <w:rsid w:val="002A782A"/>
    <w:rsid w:val="002A7FD7"/>
    <w:rsid w:val="002B06FD"/>
    <w:rsid w:val="002B11E2"/>
    <w:rsid w:val="002B1BF3"/>
    <w:rsid w:val="002B24B8"/>
    <w:rsid w:val="002B30E9"/>
    <w:rsid w:val="002B5482"/>
    <w:rsid w:val="002C518D"/>
    <w:rsid w:val="002D3AE9"/>
    <w:rsid w:val="002D434C"/>
    <w:rsid w:val="002D44B4"/>
    <w:rsid w:val="002D4510"/>
    <w:rsid w:val="002E7F46"/>
    <w:rsid w:val="002F0734"/>
    <w:rsid w:val="002F29F7"/>
    <w:rsid w:val="002F46E7"/>
    <w:rsid w:val="002F5267"/>
    <w:rsid w:val="003101DA"/>
    <w:rsid w:val="00310201"/>
    <w:rsid w:val="003111C3"/>
    <w:rsid w:val="00314757"/>
    <w:rsid w:val="003163BC"/>
    <w:rsid w:val="0031712B"/>
    <w:rsid w:val="003211CE"/>
    <w:rsid w:val="00323CA3"/>
    <w:rsid w:val="003322DF"/>
    <w:rsid w:val="00332C65"/>
    <w:rsid w:val="0035403A"/>
    <w:rsid w:val="0036394B"/>
    <w:rsid w:val="00366DB6"/>
    <w:rsid w:val="00366E5B"/>
    <w:rsid w:val="003709B5"/>
    <w:rsid w:val="0037220F"/>
    <w:rsid w:val="003724AC"/>
    <w:rsid w:val="003759C2"/>
    <w:rsid w:val="00382002"/>
    <w:rsid w:val="00382A13"/>
    <w:rsid w:val="00397365"/>
    <w:rsid w:val="003A31F6"/>
    <w:rsid w:val="003A3EF0"/>
    <w:rsid w:val="003A63CC"/>
    <w:rsid w:val="003B7FC2"/>
    <w:rsid w:val="003C2BB5"/>
    <w:rsid w:val="003C3447"/>
    <w:rsid w:val="003D076C"/>
    <w:rsid w:val="003E4D0A"/>
    <w:rsid w:val="003E5B84"/>
    <w:rsid w:val="003E6625"/>
    <w:rsid w:val="003E707B"/>
    <w:rsid w:val="003E78B5"/>
    <w:rsid w:val="003F1C37"/>
    <w:rsid w:val="0040053E"/>
    <w:rsid w:val="0041553C"/>
    <w:rsid w:val="00415BAB"/>
    <w:rsid w:val="00415ED2"/>
    <w:rsid w:val="004163FE"/>
    <w:rsid w:val="0042068C"/>
    <w:rsid w:val="00426AD0"/>
    <w:rsid w:val="00427CDD"/>
    <w:rsid w:val="00442FE3"/>
    <w:rsid w:val="0044318E"/>
    <w:rsid w:val="00443B35"/>
    <w:rsid w:val="0047122B"/>
    <w:rsid w:val="00473B7A"/>
    <w:rsid w:val="00475E85"/>
    <w:rsid w:val="004900AD"/>
    <w:rsid w:val="004960E9"/>
    <w:rsid w:val="004A2E88"/>
    <w:rsid w:val="004A3E09"/>
    <w:rsid w:val="004A5305"/>
    <w:rsid w:val="004A5320"/>
    <w:rsid w:val="004B2EB5"/>
    <w:rsid w:val="004B437F"/>
    <w:rsid w:val="004D113D"/>
    <w:rsid w:val="004D267B"/>
    <w:rsid w:val="004D73BE"/>
    <w:rsid w:val="004D7634"/>
    <w:rsid w:val="004E4A0B"/>
    <w:rsid w:val="004E611A"/>
    <w:rsid w:val="004F0183"/>
    <w:rsid w:val="004F4A00"/>
    <w:rsid w:val="004F6460"/>
    <w:rsid w:val="00504F2A"/>
    <w:rsid w:val="00513DF4"/>
    <w:rsid w:val="00522684"/>
    <w:rsid w:val="0052303E"/>
    <w:rsid w:val="005300D3"/>
    <w:rsid w:val="00537303"/>
    <w:rsid w:val="00542A10"/>
    <w:rsid w:val="00544F82"/>
    <w:rsid w:val="005509D2"/>
    <w:rsid w:val="005516C2"/>
    <w:rsid w:val="00581C8A"/>
    <w:rsid w:val="00585B50"/>
    <w:rsid w:val="00593C4F"/>
    <w:rsid w:val="005946A8"/>
    <w:rsid w:val="005A0D14"/>
    <w:rsid w:val="005A4407"/>
    <w:rsid w:val="005A59EF"/>
    <w:rsid w:val="005B1C7E"/>
    <w:rsid w:val="005C2A66"/>
    <w:rsid w:val="005C6976"/>
    <w:rsid w:val="005C6B10"/>
    <w:rsid w:val="005D3695"/>
    <w:rsid w:val="005D506E"/>
    <w:rsid w:val="005F18FB"/>
    <w:rsid w:val="005F3F26"/>
    <w:rsid w:val="005F55B3"/>
    <w:rsid w:val="005F5D91"/>
    <w:rsid w:val="005F6F41"/>
    <w:rsid w:val="00613AC4"/>
    <w:rsid w:val="006224F1"/>
    <w:rsid w:val="00622687"/>
    <w:rsid w:val="006250AE"/>
    <w:rsid w:val="00625DC6"/>
    <w:rsid w:val="00626EED"/>
    <w:rsid w:val="00630DE7"/>
    <w:rsid w:val="006374CF"/>
    <w:rsid w:val="0064391D"/>
    <w:rsid w:val="00646E83"/>
    <w:rsid w:val="00651821"/>
    <w:rsid w:val="00654384"/>
    <w:rsid w:val="0066365E"/>
    <w:rsid w:val="00666288"/>
    <w:rsid w:val="006675CD"/>
    <w:rsid w:val="00670CE4"/>
    <w:rsid w:val="006723D4"/>
    <w:rsid w:val="00680D87"/>
    <w:rsid w:val="00684D9B"/>
    <w:rsid w:val="0068510A"/>
    <w:rsid w:val="00697556"/>
    <w:rsid w:val="006B09C3"/>
    <w:rsid w:val="006B4647"/>
    <w:rsid w:val="006B4C2B"/>
    <w:rsid w:val="006B6194"/>
    <w:rsid w:val="006B6D47"/>
    <w:rsid w:val="006C35B0"/>
    <w:rsid w:val="006C444F"/>
    <w:rsid w:val="006C5AFE"/>
    <w:rsid w:val="006D1FE9"/>
    <w:rsid w:val="006D4823"/>
    <w:rsid w:val="006D66F1"/>
    <w:rsid w:val="006D7B5D"/>
    <w:rsid w:val="006E702F"/>
    <w:rsid w:val="006F101E"/>
    <w:rsid w:val="006F2EC8"/>
    <w:rsid w:val="006F6D95"/>
    <w:rsid w:val="00706F13"/>
    <w:rsid w:val="007072E8"/>
    <w:rsid w:val="007139FF"/>
    <w:rsid w:val="0071618D"/>
    <w:rsid w:val="00722030"/>
    <w:rsid w:val="00725FA4"/>
    <w:rsid w:val="00726EB6"/>
    <w:rsid w:val="007327FD"/>
    <w:rsid w:val="007403EC"/>
    <w:rsid w:val="00740446"/>
    <w:rsid w:val="007438A9"/>
    <w:rsid w:val="00743F6E"/>
    <w:rsid w:val="0074491E"/>
    <w:rsid w:val="0076247A"/>
    <w:rsid w:val="00765A53"/>
    <w:rsid w:val="00775964"/>
    <w:rsid w:val="007765FE"/>
    <w:rsid w:val="00780394"/>
    <w:rsid w:val="00783CB8"/>
    <w:rsid w:val="00786D8B"/>
    <w:rsid w:val="00793844"/>
    <w:rsid w:val="00794E2E"/>
    <w:rsid w:val="00795BFB"/>
    <w:rsid w:val="007A0300"/>
    <w:rsid w:val="007B2760"/>
    <w:rsid w:val="007B4944"/>
    <w:rsid w:val="007C2D69"/>
    <w:rsid w:val="007C3F68"/>
    <w:rsid w:val="007F2DB5"/>
    <w:rsid w:val="00806C01"/>
    <w:rsid w:val="00813184"/>
    <w:rsid w:val="008148CC"/>
    <w:rsid w:val="008211A4"/>
    <w:rsid w:val="0084693A"/>
    <w:rsid w:val="00854D89"/>
    <w:rsid w:val="00873150"/>
    <w:rsid w:val="0087657D"/>
    <w:rsid w:val="008807D5"/>
    <w:rsid w:val="00880832"/>
    <w:rsid w:val="0088380D"/>
    <w:rsid w:val="00886EE1"/>
    <w:rsid w:val="0088727D"/>
    <w:rsid w:val="008962EE"/>
    <w:rsid w:val="00897C75"/>
    <w:rsid w:val="008A165F"/>
    <w:rsid w:val="008A20A8"/>
    <w:rsid w:val="008A3957"/>
    <w:rsid w:val="008A42A6"/>
    <w:rsid w:val="008A5BDC"/>
    <w:rsid w:val="008A7A9C"/>
    <w:rsid w:val="008B1C43"/>
    <w:rsid w:val="008C1130"/>
    <w:rsid w:val="008C7E52"/>
    <w:rsid w:val="008D18E6"/>
    <w:rsid w:val="008D73D1"/>
    <w:rsid w:val="008D7A9B"/>
    <w:rsid w:val="008E0060"/>
    <w:rsid w:val="008E7091"/>
    <w:rsid w:val="008E76AC"/>
    <w:rsid w:val="008F21F6"/>
    <w:rsid w:val="008F4BEA"/>
    <w:rsid w:val="0090058D"/>
    <w:rsid w:val="00902269"/>
    <w:rsid w:val="009211EF"/>
    <w:rsid w:val="0092637D"/>
    <w:rsid w:val="00940085"/>
    <w:rsid w:val="00941A7B"/>
    <w:rsid w:val="00951F79"/>
    <w:rsid w:val="009637E2"/>
    <w:rsid w:val="00970D32"/>
    <w:rsid w:val="00974AB5"/>
    <w:rsid w:val="00976C50"/>
    <w:rsid w:val="0098706D"/>
    <w:rsid w:val="00991FDF"/>
    <w:rsid w:val="009935FB"/>
    <w:rsid w:val="009A0CFC"/>
    <w:rsid w:val="009A5A3F"/>
    <w:rsid w:val="009B212E"/>
    <w:rsid w:val="009E7E57"/>
    <w:rsid w:val="009F4A54"/>
    <w:rsid w:val="009F4BEC"/>
    <w:rsid w:val="009F5874"/>
    <w:rsid w:val="009F65FD"/>
    <w:rsid w:val="00A00D79"/>
    <w:rsid w:val="00A010CB"/>
    <w:rsid w:val="00A10671"/>
    <w:rsid w:val="00A12210"/>
    <w:rsid w:val="00A207E7"/>
    <w:rsid w:val="00A25FD7"/>
    <w:rsid w:val="00A43AFF"/>
    <w:rsid w:val="00A52D07"/>
    <w:rsid w:val="00A64305"/>
    <w:rsid w:val="00A7464E"/>
    <w:rsid w:val="00A7793A"/>
    <w:rsid w:val="00A81E0B"/>
    <w:rsid w:val="00AA2326"/>
    <w:rsid w:val="00AA4CC7"/>
    <w:rsid w:val="00AA5E8E"/>
    <w:rsid w:val="00AA7CA4"/>
    <w:rsid w:val="00AB2BAD"/>
    <w:rsid w:val="00AB429E"/>
    <w:rsid w:val="00AB6CA7"/>
    <w:rsid w:val="00AB6DFC"/>
    <w:rsid w:val="00AC1439"/>
    <w:rsid w:val="00AC5029"/>
    <w:rsid w:val="00AD01E4"/>
    <w:rsid w:val="00AD0858"/>
    <w:rsid w:val="00AD15B6"/>
    <w:rsid w:val="00AE02E3"/>
    <w:rsid w:val="00AE0893"/>
    <w:rsid w:val="00AE7340"/>
    <w:rsid w:val="00AF14CC"/>
    <w:rsid w:val="00AF1B75"/>
    <w:rsid w:val="00AF1BBD"/>
    <w:rsid w:val="00AF2987"/>
    <w:rsid w:val="00AF63A0"/>
    <w:rsid w:val="00B10207"/>
    <w:rsid w:val="00B141E7"/>
    <w:rsid w:val="00B315C5"/>
    <w:rsid w:val="00B351B4"/>
    <w:rsid w:val="00B44ACF"/>
    <w:rsid w:val="00B46BCA"/>
    <w:rsid w:val="00B478AA"/>
    <w:rsid w:val="00B54287"/>
    <w:rsid w:val="00B57301"/>
    <w:rsid w:val="00B57F46"/>
    <w:rsid w:val="00B74686"/>
    <w:rsid w:val="00B765B4"/>
    <w:rsid w:val="00B87806"/>
    <w:rsid w:val="00B87EC9"/>
    <w:rsid w:val="00B90B6F"/>
    <w:rsid w:val="00B95CCA"/>
    <w:rsid w:val="00BB3060"/>
    <w:rsid w:val="00BC22FD"/>
    <w:rsid w:val="00BC38FD"/>
    <w:rsid w:val="00BC4F1B"/>
    <w:rsid w:val="00BD5716"/>
    <w:rsid w:val="00BE0A4F"/>
    <w:rsid w:val="00BE3DE4"/>
    <w:rsid w:val="00BF4A2B"/>
    <w:rsid w:val="00C005CB"/>
    <w:rsid w:val="00C034CB"/>
    <w:rsid w:val="00C051A8"/>
    <w:rsid w:val="00C054BC"/>
    <w:rsid w:val="00C0612E"/>
    <w:rsid w:val="00C17897"/>
    <w:rsid w:val="00C35E8E"/>
    <w:rsid w:val="00C409D5"/>
    <w:rsid w:val="00C435C3"/>
    <w:rsid w:val="00C4426C"/>
    <w:rsid w:val="00C44E5F"/>
    <w:rsid w:val="00C51B7C"/>
    <w:rsid w:val="00C576A1"/>
    <w:rsid w:val="00C6234B"/>
    <w:rsid w:val="00C63EAE"/>
    <w:rsid w:val="00C64CBD"/>
    <w:rsid w:val="00C73260"/>
    <w:rsid w:val="00C7629F"/>
    <w:rsid w:val="00C80084"/>
    <w:rsid w:val="00C84A67"/>
    <w:rsid w:val="00C8661B"/>
    <w:rsid w:val="00CA03C8"/>
    <w:rsid w:val="00CA139A"/>
    <w:rsid w:val="00CA2899"/>
    <w:rsid w:val="00CA3A3D"/>
    <w:rsid w:val="00CA3AA6"/>
    <w:rsid w:val="00CA77FB"/>
    <w:rsid w:val="00CB379B"/>
    <w:rsid w:val="00CB57C9"/>
    <w:rsid w:val="00CB5DD0"/>
    <w:rsid w:val="00CC51D4"/>
    <w:rsid w:val="00CC65DA"/>
    <w:rsid w:val="00CD3DDB"/>
    <w:rsid w:val="00CD7769"/>
    <w:rsid w:val="00CE4880"/>
    <w:rsid w:val="00CE52F1"/>
    <w:rsid w:val="00CF21B9"/>
    <w:rsid w:val="00CF3859"/>
    <w:rsid w:val="00CF6BF9"/>
    <w:rsid w:val="00D00681"/>
    <w:rsid w:val="00D0366B"/>
    <w:rsid w:val="00D03800"/>
    <w:rsid w:val="00D065D3"/>
    <w:rsid w:val="00D14C94"/>
    <w:rsid w:val="00D1599A"/>
    <w:rsid w:val="00D16510"/>
    <w:rsid w:val="00D1695A"/>
    <w:rsid w:val="00D275E2"/>
    <w:rsid w:val="00D27D74"/>
    <w:rsid w:val="00D342A6"/>
    <w:rsid w:val="00D4539C"/>
    <w:rsid w:val="00D45CA6"/>
    <w:rsid w:val="00D464BF"/>
    <w:rsid w:val="00D53E26"/>
    <w:rsid w:val="00D56D35"/>
    <w:rsid w:val="00D57292"/>
    <w:rsid w:val="00D605D9"/>
    <w:rsid w:val="00D66C02"/>
    <w:rsid w:val="00DB182C"/>
    <w:rsid w:val="00DC6150"/>
    <w:rsid w:val="00DD4F0E"/>
    <w:rsid w:val="00DE0495"/>
    <w:rsid w:val="00DF0BF0"/>
    <w:rsid w:val="00DF3CA2"/>
    <w:rsid w:val="00DF6302"/>
    <w:rsid w:val="00E01463"/>
    <w:rsid w:val="00E03109"/>
    <w:rsid w:val="00E05E0A"/>
    <w:rsid w:val="00E060BE"/>
    <w:rsid w:val="00E16DC8"/>
    <w:rsid w:val="00E2233B"/>
    <w:rsid w:val="00E232C1"/>
    <w:rsid w:val="00E241B4"/>
    <w:rsid w:val="00E24851"/>
    <w:rsid w:val="00E3333E"/>
    <w:rsid w:val="00E35ABE"/>
    <w:rsid w:val="00E36A09"/>
    <w:rsid w:val="00E37041"/>
    <w:rsid w:val="00E41433"/>
    <w:rsid w:val="00E51704"/>
    <w:rsid w:val="00E534CF"/>
    <w:rsid w:val="00E62975"/>
    <w:rsid w:val="00E767B8"/>
    <w:rsid w:val="00E81CB4"/>
    <w:rsid w:val="00E8585B"/>
    <w:rsid w:val="00E87F41"/>
    <w:rsid w:val="00E934CC"/>
    <w:rsid w:val="00E9554A"/>
    <w:rsid w:val="00E95C8C"/>
    <w:rsid w:val="00E96974"/>
    <w:rsid w:val="00EA2A18"/>
    <w:rsid w:val="00EA2AA8"/>
    <w:rsid w:val="00EA3F15"/>
    <w:rsid w:val="00EA7847"/>
    <w:rsid w:val="00EB1039"/>
    <w:rsid w:val="00EB3C85"/>
    <w:rsid w:val="00EB4C2F"/>
    <w:rsid w:val="00EC42FA"/>
    <w:rsid w:val="00EC5C62"/>
    <w:rsid w:val="00ED4C2F"/>
    <w:rsid w:val="00ED6DF5"/>
    <w:rsid w:val="00EE2E6E"/>
    <w:rsid w:val="00EE40B5"/>
    <w:rsid w:val="00EF07F2"/>
    <w:rsid w:val="00EF2D18"/>
    <w:rsid w:val="00EF7474"/>
    <w:rsid w:val="00F00A5C"/>
    <w:rsid w:val="00F0759E"/>
    <w:rsid w:val="00F108EE"/>
    <w:rsid w:val="00F148D2"/>
    <w:rsid w:val="00F16A43"/>
    <w:rsid w:val="00F2180B"/>
    <w:rsid w:val="00F37A10"/>
    <w:rsid w:val="00F41D98"/>
    <w:rsid w:val="00F46780"/>
    <w:rsid w:val="00F52070"/>
    <w:rsid w:val="00F52971"/>
    <w:rsid w:val="00F77D2D"/>
    <w:rsid w:val="00F821A3"/>
    <w:rsid w:val="00F9314A"/>
    <w:rsid w:val="00F940B2"/>
    <w:rsid w:val="00FB3027"/>
    <w:rsid w:val="00FB6B66"/>
    <w:rsid w:val="00FC58EF"/>
    <w:rsid w:val="00FD0121"/>
    <w:rsid w:val="00FD33DF"/>
    <w:rsid w:val="00FD5118"/>
    <w:rsid w:val="00FD6C71"/>
    <w:rsid w:val="00FE39D7"/>
    <w:rsid w:val="00FE3F8E"/>
    <w:rsid w:val="00FE6A6E"/>
    <w:rsid w:val="00FF1B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26414A"/>
  <w15:chartTrackingRefBased/>
  <w15:docId w15:val="{B2A83972-78EA-4722-B1B9-E5EBCEC6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626EED"/>
    <w:pPr>
      <w:keepNext/>
      <w:keepLines/>
      <w:spacing w:before="40"/>
      <w:ind w:left="0"/>
      <w:jc w:val="both"/>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11"/>
    <w:qFormat/>
    <w:rsid w:val="003A31F6"/>
    <w:pPr>
      <w:ind w:left="0"/>
    </w:pPr>
    <w:rPr>
      <w:rFonts w:ascii="Century Gothic" w:hAnsi="Century Gothic"/>
      <w:b/>
      <w:bCs/>
    </w:rPr>
  </w:style>
  <w:style w:type="character" w:customStyle="1" w:styleId="SubttuloCar">
    <w:name w:val="Subtítulo Car"/>
    <w:link w:val="Subttulo"/>
    <w:uiPriority w:val="11"/>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basedOn w:val="Fuentedeprrafopredeter"/>
    <w:link w:val="Ttulo2"/>
    <w:uiPriority w:val="9"/>
    <w:semiHidden/>
    <w:rsid w:val="00626EED"/>
    <w:rPr>
      <w:rFonts w:asciiTheme="majorHAnsi" w:eastAsiaTheme="majorEastAsia" w:hAnsiTheme="majorHAnsi" w:cstheme="majorBidi"/>
      <w:color w:val="2E74B5" w:themeColor="accent1" w:themeShade="BF"/>
      <w:sz w:val="26"/>
      <w:szCs w:val="26"/>
      <w:lang w:val="es-ES" w:eastAsia="es-ES"/>
    </w:rPr>
  </w:style>
  <w:style w:type="character" w:customStyle="1" w:styleId="Ttulo1Car">
    <w:name w:val="Título 1 Car"/>
    <w:link w:val="Ttulo1"/>
    <w:rsid w:val="00626EED"/>
    <w:rPr>
      <w:rFonts w:ascii="CG Times" w:hAnsi="CG Times"/>
      <w:b/>
      <w:sz w:val="24"/>
      <w:lang w:eastAsia="es-ES"/>
    </w:rPr>
  </w:style>
  <w:style w:type="paragraph" w:styleId="Textocomentario">
    <w:name w:val="annotation text"/>
    <w:basedOn w:val="Normal"/>
    <w:link w:val="TextocomentarioCar"/>
    <w:uiPriority w:val="99"/>
    <w:semiHidden/>
    <w:rsid w:val="00626EED"/>
    <w:pPr>
      <w:ind w:left="0"/>
      <w:jc w:val="both"/>
    </w:pPr>
    <w:rPr>
      <w:rFonts w:ascii="CG Times" w:hAnsi="CG Times"/>
      <w:sz w:val="20"/>
      <w:szCs w:val="20"/>
      <w:lang w:val="es-CO"/>
    </w:rPr>
  </w:style>
  <w:style w:type="character" w:customStyle="1" w:styleId="TextocomentarioCar">
    <w:name w:val="Texto comentario Car"/>
    <w:basedOn w:val="Fuentedeprrafopredeter"/>
    <w:link w:val="Textocomentario"/>
    <w:uiPriority w:val="99"/>
    <w:semiHidden/>
    <w:rsid w:val="00626EED"/>
    <w:rPr>
      <w:rFonts w:ascii="CG Times" w:hAnsi="CG Times"/>
      <w:lang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r,texto de nota al "/>
    <w:basedOn w:val="Normal"/>
    <w:link w:val="TextonotapieCar"/>
    <w:uiPriority w:val="99"/>
    <w:semiHidden/>
    <w:rsid w:val="00626EED"/>
    <w:pPr>
      <w:ind w:left="0"/>
      <w:jc w:val="both"/>
    </w:pPr>
    <w:rPr>
      <w:rFonts w:ascii="Bookman Old Style" w:eastAsia="SimSun" w:hAnsi="Bookman Old Style"/>
      <w:sz w:val="20"/>
      <w:szCs w:val="20"/>
      <w:lang w:val="es-CO" w:eastAsia="zh-CN"/>
    </w:rPr>
  </w:style>
  <w:style w:type="character" w:customStyle="1" w:styleId="TextonotapieCar">
    <w:name w:val="Texto nota pie Car"/>
    <w:aliases w:val="Footnote Text Char Char Char Char Char Car1,Footnote Text Char Char Char Char Car1,Footnote reference Car1,FA Fu Car1,texto de nota al pie Car1,Footnote Text Char Char Char Car1,Footnote Text Char Car1,texto de nota al  Car1"/>
    <w:basedOn w:val="Fuentedeprrafopredeter"/>
    <w:link w:val="Textonotapie"/>
    <w:uiPriority w:val="99"/>
    <w:semiHidden/>
    <w:rsid w:val="00626EED"/>
    <w:rPr>
      <w:rFonts w:ascii="Bookman Old Style" w:eastAsia="SimSun" w:hAnsi="Bookman Old Style"/>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fr,Ref"/>
    <w:rsid w:val="00626EED"/>
    <w:rPr>
      <w:vertAlign w:val="superscript"/>
    </w:rPr>
  </w:style>
  <w:style w:type="paragraph" w:styleId="NormalWeb">
    <w:name w:val="Normal (Web)"/>
    <w:basedOn w:val="Normal"/>
    <w:uiPriority w:val="99"/>
    <w:unhideWhenUsed/>
    <w:rsid w:val="00626EED"/>
    <w:pPr>
      <w:spacing w:before="100" w:beforeAutospacing="1" w:after="100" w:afterAutospacing="1"/>
      <w:ind w:left="0"/>
      <w:jc w:val="both"/>
    </w:pPr>
    <w:rPr>
      <w:rFonts w:ascii="Bookman Old Style" w:hAnsi="Bookman Old Style"/>
      <w:color w:val="000000"/>
      <w:lang w:val="es-CO" w:eastAsia="es-CO"/>
    </w:rPr>
  </w:style>
  <w:style w:type="character" w:customStyle="1" w:styleId="PiedepginaCar">
    <w:name w:val="Pie de página Car"/>
    <w:link w:val="Piedepgina"/>
    <w:uiPriority w:val="99"/>
    <w:rsid w:val="00626EED"/>
    <w:rPr>
      <w:sz w:val="24"/>
      <w:szCs w:val="24"/>
      <w:lang w:val="es-ES" w:eastAsia="es-ES"/>
    </w:rPr>
  </w:style>
  <w:style w:type="character" w:customStyle="1" w:styleId="CharStyle9">
    <w:name w:val="Char Style 9"/>
    <w:link w:val="Style2"/>
    <w:uiPriority w:val="99"/>
    <w:locked/>
    <w:rsid w:val="00626EED"/>
    <w:rPr>
      <w:rFonts w:ascii="Arial" w:hAnsi="Arial" w:cs="Arial"/>
      <w:sz w:val="14"/>
      <w:szCs w:val="14"/>
      <w:shd w:val="clear" w:color="auto" w:fill="FFFFFF"/>
    </w:rPr>
  </w:style>
  <w:style w:type="paragraph" w:customStyle="1" w:styleId="Style2">
    <w:name w:val="Style 2"/>
    <w:basedOn w:val="Normal"/>
    <w:link w:val="CharStyle9"/>
    <w:uiPriority w:val="99"/>
    <w:rsid w:val="00626EED"/>
    <w:pPr>
      <w:widowControl w:val="0"/>
      <w:shd w:val="clear" w:color="auto" w:fill="FFFFFF"/>
      <w:spacing w:before="120" w:line="240" w:lineRule="atLeast"/>
      <w:ind w:left="0" w:hanging="1420"/>
      <w:jc w:val="both"/>
    </w:pPr>
    <w:rPr>
      <w:rFonts w:ascii="Arial" w:hAnsi="Arial" w:cs="Arial"/>
      <w:sz w:val="14"/>
      <w:szCs w:val="14"/>
      <w:lang w:val="es-CO" w:eastAsia="es-CO"/>
    </w:rPr>
  </w:style>
  <w:style w:type="character" w:styleId="Refdecomentario">
    <w:name w:val="annotation reference"/>
    <w:uiPriority w:val="99"/>
    <w:semiHidden/>
    <w:unhideWhenUsed/>
    <w:rsid w:val="00626EED"/>
    <w:rPr>
      <w:sz w:val="16"/>
      <w:szCs w:val="16"/>
    </w:rPr>
  </w:style>
  <w:style w:type="paragraph" w:customStyle="1" w:styleId="Estilo2">
    <w:name w:val="Estilo2"/>
    <w:basedOn w:val="Normal"/>
    <w:link w:val="Estilo2Car"/>
    <w:rsid w:val="00626EED"/>
    <w:pPr>
      <w:keepNext/>
      <w:widowControl w:val="0"/>
      <w:tabs>
        <w:tab w:val="num" w:pos="2357"/>
      </w:tabs>
      <w:adjustRightInd w:val="0"/>
      <w:spacing w:before="240" w:after="240"/>
      <w:ind w:left="917"/>
      <w:jc w:val="both"/>
      <w:textAlignment w:val="baseline"/>
      <w:outlineLvl w:val="0"/>
    </w:pPr>
    <w:rPr>
      <w:rFonts w:ascii="Bookman Old Style" w:hAnsi="Bookman Old Style"/>
      <w:b/>
      <w:bCs/>
      <w:lang w:eastAsia="ar-SA"/>
    </w:rPr>
  </w:style>
  <w:style w:type="character" w:customStyle="1" w:styleId="Estilo2Car">
    <w:name w:val="Estilo2 Car"/>
    <w:link w:val="Estilo2"/>
    <w:rsid w:val="00626EED"/>
    <w:rPr>
      <w:rFonts w:ascii="Bookman Old Style" w:hAnsi="Bookman Old Style"/>
      <w:b/>
      <w:bCs/>
      <w:sz w:val="24"/>
      <w:szCs w:val="24"/>
      <w:lang w:val="es-ES" w:eastAsia="ar-SA"/>
    </w:rPr>
  </w:style>
  <w:style w:type="paragraph" w:styleId="Revisin">
    <w:name w:val="Revision"/>
    <w:hidden/>
    <w:uiPriority w:val="99"/>
    <w:semiHidden/>
    <w:rsid w:val="00626EED"/>
    <w:rPr>
      <w:sz w:val="24"/>
      <w:szCs w:val="24"/>
      <w:lang w:val="es-ES" w:eastAsia="es-ES"/>
    </w:rPr>
  </w:style>
  <w:style w:type="paragraph" w:styleId="Cita">
    <w:name w:val="Quote"/>
    <w:basedOn w:val="Normal"/>
    <w:next w:val="Normal"/>
    <w:link w:val="CitaCar"/>
    <w:uiPriority w:val="29"/>
    <w:qFormat/>
    <w:rsid w:val="00626EED"/>
    <w:pPr>
      <w:spacing w:before="120" w:after="120"/>
      <w:ind w:right="567"/>
      <w:jc w:val="both"/>
    </w:pPr>
    <w:rPr>
      <w:rFonts w:ascii="Bookman Old Style" w:hAnsi="Bookman Old Style"/>
      <w:i/>
      <w:iCs/>
      <w:color w:val="000000" w:themeColor="text1"/>
      <w:sz w:val="20"/>
    </w:rPr>
  </w:style>
  <w:style w:type="character" w:customStyle="1" w:styleId="CitaCar">
    <w:name w:val="Cita Car"/>
    <w:basedOn w:val="Fuentedeprrafopredeter"/>
    <w:link w:val="Cita"/>
    <w:uiPriority w:val="29"/>
    <w:rsid w:val="00626EED"/>
    <w:rPr>
      <w:rFonts w:ascii="Bookman Old Style" w:hAnsi="Bookman Old Style"/>
      <w:i/>
      <w:iCs/>
      <w:color w:val="000000" w:themeColor="text1"/>
      <w:szCs w:val="24"/>
      <w:lang w:val="es-ES" w:eastAsia="es-ES"/>
    </w:rPr>
  </w:style>
  <w:style w:type="character" w:customStyle="1" w:styleId="CharStyle3">
    <w:name w:val="Char Style 3"/>
    <w:basedOn w:val="Fuentedeprrafopredeter"/>
    <w:uiPriority w:val="99"/>
    <w:locked/>
    <w:rsid w:val="00626EED"/>
    <w:rPr>
      <w:rFonts w:ascii="Arial" w:hAnsi="Arial" w:cs="Arial"/>
      <w:i/>
      <w:iCs/>
      <w:sz w:val="23"/>
      <w:szCs w:val="23"/>
      <w:u w:val="none"/>
    </w:rPr>
  </w:style>
  <w:style w:type="character" w:customStyle="1" w:styleId="CharStyle5">
    <w:name w:val="Char Style 5"/>
    <w:basedOn w:val="CharStyle3"/>
    <w:uiPriority w:val="99"/>
    <w:rsid w:val="00626EED"/>
    <w:rPr>
      <w:rFonts w:ascii="Arial" w:hAnsi="Arial" w:cs="Arial"/>
      <w:b/>
      <w:bCs/>
      <w:i/>
      <w:iCs/>
      <w:sz w:val="23"/>
      <w:szCs w:val="23"/>
      <w:u w:val="none"/>
    </w:rPr>
  </w:style>
  <w:style w:type="character" w:customStyle="1" w:styleId="CharStyle24">
    <w:name w:val="Char Style 24"/>
    <w:basedOn w:val="Fuentedeprrafopredeter"/>
    <w:uiPriority w:val="99"/>
    <w:rsid w:val="00626EED"/>
    <w:rPr>
      <w:rFonts w:ascii="Arial" w:hAnsi="Arial" w:cs="Arial"/>
      <w:b/>
      <w:bCs/>
      <w:i/>
      <w:iCs/>
      <w:sz w:val="13"/>
      <w:szCs w:val="13"/>
      <w:u w:val="none"/>
    </w:rPr>
  </w:style>
  <w:style w:type="character" w:customStyle="1" w:styleId="CharStyle20">
    <w:name w:val="Char Style 20"/>
    <w:basedOn w:val="Fuentedeprrafopredeter"/>
    <w:link w:val="Style19"/>
    <w:uiPriority w:val="99"/>
    <w:locked/>
    <w:rsid w:val="00626EED"/>
    <w:rPr>
      <w:rFonts w:ascii="Arial" w:hAnsi="Arial" w:cs="Arial"/>
      <w:sz w:val="30"/>
      <w:szCs w:val="30"/>
      <w:shd w:val="clear" w:color="auto" w:fill="FFFFFF"/>
    </w:rPr>
  </w:style>
  <w:style w:type="character" w:customStyle="1" w:styleId="CharStyle86Exact">
    <w:name w:val="Char Style 86 Exact"/>
    <w:basedOn w:val="Fuentedeprrafopredeter"/>
    <w:link w:val="Style85"/>
    <w:uiPriority w:val="99"/>
    <w:locked/>
    <w:rsid w:val="00626EED"/>
    <w:rPr>
      <w:rFonts w:ascii="Arial" w:hAnsi="Arial" w:cs="Arial"/>
      <w:b/>
      <w:bCs/>
      <w:spacing w:val="-3"/>
      <w:shd w:val="clear" w:color="auto" w:fill="FFFFFF"/>
    </w:rPr>
  </w:style>
  <w:style w:type="character" w:customStyle="1" w:styleId="CharStyle97Exact">
    <w:name w:val="Char Style 97 Exact"/>
    <w:basedOn w:val="Fuentedeprrafopredeter"/>
    <w:link w:val="Style96"/>
    <w:uiPriority w:val="99"/>
    <w:locked/>
    <w:rsid w:val="00626EED"/>
    <w:rPr>
      <w:rFonts w:ascii="Arial" w:hAnsi="Arial" w:cs="Arial"/>
      <w:spacing w:val="-5"/>
      <w:sz w:val="22"/>
      <w:szCs w:val="22"/>
      <w:shd w:val="clear" w:color="auto" w:fill="FFFFFF"/>
    </w:rPr>
  </w:style>
  <w:style w:type="character" w:customStyle="1" w:styleId="CharStyle100Exact">
    <w:name w:val="Char Style 100 Exact"/>
    <w:basedOn w:val="Fuentedeprrafopredeter"/>
    <w:uiPriority w:val="99"/>
    <w:rsid w:val="00626EED"/>
    <w:rPr>
      <w:rFonts w:ascii="Arial" w:hAnsi="Arial" w:cs="Arial"/>
      <w:spacing w:val="-5"/>
      <w:sz w:val="22"/>
      <w:szCs w:val="22"/>
      <w:u w:val="none"/>
    </w:rPr>
  </w:style>
  <w:style w:type="paragraph" w:customStyle="1" w:styleId="Style19">
    <w:name w:val="Style 19"/>
    <w:basedOn w:val="Normal"/>
    <w:link w:val="CharStyle20"/>
    <w:uiPriority w:val="99"/>
    <w:rsid w:val="00626EED"/>
    <w:pPr>
      <w:widowControl w:val="0"/>
      <w:shd w:val="clear" w:color="auto" w:fill="FFFFFF"/>
      <w:spacing w:line="240" w:lineRule="atLeast"/>
      <w:ind w:left="0" w:hanging="380"/>
    </w:pPr>
    <w:rPr>
      <w:rFonts w:ascii="Arial" w:hAnsi="Arial" w:cs="Arial"/>
      <w:sz w:val="30"/>
      <w:szCs w:val="30"/>
      <w:lang w:val="es-CO" w:eastAsia="es-CO"/>
    </w:rPr>
  </w:style>
  <w:style w:type="paragraph" w:customStyle="1" w:styleId="Style85">
    <w:name w:val="Style 85"/>
    <w:basedOn w:val="Normal"/>
    <w:link w:val="CharStyle86Exact"/>
    <w:uiPriority w:val="99"/>
    <w:rsid w:val="00626EED"/>
    <w:pPr>
      <w:widowControl w:val="0"/>
      <w:shd w:val="clear" w:color="auto" w:fill="FFFFFF"/>
      <w:spacing w:after="60" w:line="240" w:lineRule="atLeast"/>
      <w:ind w:left="0"/>
      <w:jc w:val="right"/>
    </w:pPr>
    <w:rPr>
      <w:rFonts w:ascii="Arial" w:hAnsi="Arial" w:cs="Arial"/>
      <w:b/>
      <w:bCs/>
      <w:spacing w:val="-3"/>
      <w:sz w:val="20"/>
      <w:szCs w:val="20"/>
      <w:lang w:val="es-CO" w:eastAsia="es-CO"/>
    </w:rPr>
  </w:style>
  <w:style w:type="paragraph" w:customStyle="1" w:styleId="Style96">
    <w:name w:val="Style 96"/>
    <w:basedOn w:val="Normal"/>
    <w:link w:val="CharStyle97Exact"/>
    <w:uiPriority w:val="99"/>
    <w:rsid w:val="00626EED"/>
    <w:pPr>
      <w:widowControl w:val="0"/>
      <w:shd w:val="clear" w:color="auto" w:fill="FFFFFF"/>
      <w:spacing w:line="360" w:lineRule="exact"/>
      <w:ind w:left="0"/>
      <w:jc w:val="both"/>
    </w:pPr>
    <w:rPr>
      <w:rFonts w:ascii="Arial" w:hAnsi="Arial" w:cs="Arial"/>
      <w:spacing w:val="-5"/>
      <w:sz w:val="22"/>
      <w:szCs w:val="22"/>
      <w:lang w:val="es-CO" w:eastAsia="es-CO"/>
    </w:rPr>
  </w:style>
  <w:style w:type="character" w:customStyle="1" w:styleId="CharStyle4">
    <w:name w:val="Char Style 4"/>
    <w:basedOn w:val="CharStyle3"/>
    <w:uiPriority w:val="99"/>
    <w:rsid w:val="00626EED"/>
    <w:rPr>
      <w:rFonts w:ascii="Arial" w:hAnsi="Arial" w:cs="Arial"/>
      <w:i/>
      <w:iCs/>
      <w:sz w:val="23"/>
      <w:szCs w:val="23"/>
      <w:u w:val="none"/>
    </w:rPr>
  </w:style>
  <w:style w:type="character" w:customStyle="1" w:styleId="CharStyle7">
    <w:name w:val="Char Style 7"/>
    <w:basedOn w:val="Fuentedeprrafopredeter"/>
    <w:link w:val="Style6"/>
    <w:uiPriority w:val="99"/>
    <w:rsid w:val="00626EED"/>
    <w:rPr>
      <w:i/>
      <w:iCs/>
      <w:sz w:val="23"/>
      <w:szCs w:val="23"/>
      <w:shd w:val="clear" w:color="auto" w:fill="FFFFFF"/>
    </w:rPr>
  </w:style>
  <w:style w:type="character" w:customStyle="1" w:styleId="CharStyle8">
    <w:name w:val="Char Style 8"/>
    <w:basedOn w:val="CharStyle7"/>
    <w:uiPriority w:val="99"/>
    <w:rsid w:val="00626EED"/>
    <w:rPr>
      <w:i w:val="0"/>
      <w:iCs w:val="0"/>
      <w:sz w:val="23"/>
      <w:szCs w:val="23"/>
      <w:shd w:val="clear" w:color="auto" w:fill="FFFFFF"/>
    </w:rPr>
  </w:style>
  <w:style w:type="paragraph" w:customStyle="1" w:styleId="Style6">
    <w:name w:val="Style 6"/>
    <w:basedOn w:val="Normal"/>
    <w:link w:val="CharStyle7"/>
    <w:uiPriority w:val="99"/>
    <w:rsid w:val="00626EED"/>
    <w:pPr>
      <w:widowControl w:val="0"/>
      <w:shd w:val="clear" w:color="auto" w:fill="FFFFFF"/>
      <w:spacing w:before="300" w:after="480" w:line="273" w:lineRule="exact"/>
      <w:ind w:left="0" w:hanging="360"/>
      <w:jc w:val="both"/>
    </w:pPr>
    <w:rPr>
      <w:i/>
      <w:iCs/>
      <w:sz w:val="23"/>
      <w:szCs w:val="23"/>
      <w:lang w:val="es-CO" w:eastAsia="es-CO"/>
    </w:rPr>
  </w:style>
  <w:style w:type="character" w:customStyle="1" w:styleId="CharStyle10">
    <w:name w:val="Char Style 10"/>
    <w:basedOn w:val="CharStyle3"/>
    <w:uiPriority w:val="99"/>
    <w:rsid w:val="00626EED"/>
    <w:rPr>
      <w:rFonts w:ascii="Arial" w:hAnsi="Arial" w:cs="Arial"/>
      <w:b/>
      <w:bCs/>
      <w:i w:val="0"/>
      <w:iCs w:val="0"/>
      <w:sz w:val="24"/>
      <w:szCs w:val="24"/>
      <w:u w:val="none"/>
    </w:rPr>
  </w:style>
  <w:style w:type="character" w:customStyle="1" w:styleId="CharStyle11">
    <w:name w:val="Char Style 11"/>
    <w:basedOn w:val="CharStyle3"/>
    <w:uiPriority w:val="99"/>
    <w:rsid w:val="00626EED"/>
    <w:rPr>
      <w:rFonts w:ascii="Arial" w:hAnsi="Arial" w:cs="Arial"/>
      <w:b/>
      <w:bCs/>
      <w:i w:val="0"/>
      <w:iCs w:val="0"/>
      <w:sz w:val="16"/>
      <w:szCs w:val="16"/>
      <w:u w:val="none"/>
    </w:rPr>
  </w:style>
  <w:style w:type="character" w:customStyle="1" w:styleId="CharStyle12">
    <w:name w:val="Char Style 12"/>
    <w:basedOn w:val="CharStyle3"/>
    <w:uiPriority w:val="99"/>
    <w:rsid w:val="00626EED"/>
    <w:rPr>
      <w:rFonts w:ascii="Arial" w:hAnsi="Arial" w:cs="Arial"/>
      <w:b/>
      <w:bCs/>
      <w:i w:val="0"/>
      <w:iCs w:val="0"/>
      <w:sz w:val="17"/>
      <w:szCs w:val="17"/>
      <w:u w:val="none"/>
    </w:rPr>
  </w:style>
  <w:style w:type="character" w:customStyle="1" w:styleId="CharStyle13">
    <w:name w:val="Char Style 13"/>
    <w:basedOn w:val="CharStyle3"/>
    <w:uiPriority w:val="99"/>
    <w:rsid w:val="00626EED"/>
    <w:rPr>
      <w:rFonts w:ascii="Arial" w:hAnsi="Arial" w:cs="Arial"/>
      <w:i w:val="0"/>
      <w:iCs w:val="0"/>
      <w:sz w:val="17"/>
      <w:szCs w:val="17"/>
      <w:u w:val="none"/>
    </w:rPr>
  </w:style>
  <w:style w:type="paragraph" w:styleId="Asuntodelcomentario">
    <w:name w:val="annotation subject"/>
    <w:basedOn w:val="Textocomentario"/>
    <w:next w:val="Textocomentario"/>
    <w:link w:val="AsuntodelcomentarioCar"/>
    <w:uiPriority w:val="99"/>
    <w:semiHidden/>
    <w:unhideWhenUsed/>
    <w:rsid w:val="00626EED"/>
    <w:rPr>
      <w:rFonts w:ascii="Bookman Old Style" w:hAnsi="Bookman Old Style"/>
      <w:b/>
      <w:bCs/>
      <w:lang w:val="es-ES"/>
    </w:rPr>
  </w:style>
  <w:style w:type="character" w:customStyle="1" w:styleId="AsuntodelcomentarioCar">
    <w:name w:val="Asunto del comentario Car"/>
    <w:basedOn w:val="TextocomentarioCar"/>
    <w:link w:val="Asuntodelcomentario"/>
    <w:uiPriority w:val="99"/>
    <w:semiHidden/>
    <w:rsid w:val="00626EED"/>
    <w:rPr>
      <w:rFonts w:ascii="Bookman Old Style" w:hAnsi="Bookman Old Style"/>
      <w:b/>
      <w:bCs/>
      <w:lang w:val="es-ES" w:eastAsia="es-ES"/>
    </w:rPr>
  </w:style>
  <w:style w:type="character" w:customStyle="1" w:styleId="CharStyle15">
    <w:name w:val="Char Style 15"/>
    <w:basedOn w:val="Fuentedeprrafopredeter"/>
    <w:link w:val="Style14"/>
    <w:uiPriority w:val="99"/>
    <w:rsid w:val="00626EED"/>
    <w:rPr>
      <w:rFonts w:ascii="Arial" w:hAnsi="Arial" w:cs="Arial"/>
      <w:b/>
      <w:bCs/>
      <w:sz w:val="22"/>
      <w:szCs w:val="22"/>
      <w:shd w:val="clear" w:color="auto" w:fill="FFFFFF"/>
    </w:rPr>
  </w:style>
  <w:style w:type="character" w:customStyle="1" w:styleId="CharStyle17">
    <w:name w:val="Char Style 17"/>
    <w:basedOn w:val="Fuentedeprrafopredeter"/>
    <w:link w:val="Style16"/>
    <w:uiPriority w:val="99"/>
    <w:rsid w:val="00626EED"/>
    <w:rPr>
      <w:rFonts w:ascii="Arial" w:hAnsi="Arial" w:cs="Arial"/>
      <w:b/>
      <w:bCs/>
      <w:sz w:val="22"/>
      <w:szCs w:val="22"/>
      <w:shd w:val="clear" w:color="auto" w:fill="FFFFFF"/>
    </w:rPr>
  </w:style>
  <w:style w:type="paragraph" w:customStyle="1" w:styleId="Style14">
    <w:name w:val="Style 14"/>
    <w:basedOn w:val="Normal"/>
    <w:link w:val="CharStyle15"/>
    <w:uiPriority w:val="99"/>
    <w:rsid w:val="00626EED"/>
    <w:pPr>
      <w:widowControl w:val="0"/>
      <w:shd w:val="clear" w:color="auto" w:fill="FFFFFF"/>
      <w:spacing w:line="340" w:lineRule="exact"/>
      <w:ind w:left="0"/>
      <w:jc w:val="both"/>
      <w:outlineLvl w:val="2"/>
    </w:pPr>
    <w:rPr>
      <w:rFonts w:ascii="Arial" w:hAnsi="Arial" w:cs="Arial"/>
      <w:b/>
      <w:bCs/>
      <w:sz w:val="22"/>
      <w:szCs w:val="22"/>
      <w:lang w:val="es-CO" w:eastAsia="es-CO"/>
    </w:rPr>
  </w:style>
  <w:style w:type="paragraph" w:customStyle="1" w:styleId="Style16">
    <w:name w:val="Style 16"/>
    <w:basedOn w:val="Normal"/>
    <w:link w:val="CharStyle17"/>
    <w:uiPriority w:val="99"/>
    <w:rsid w:val="00626EED"/>
    <w:pPr>
      <w:widowControl w:val="0"/>
      <w:shd w:val="clear" w:color="auto" w:fill="FFFFFF"/>
      <w:spacing w:after="240" w:line="340" w:lineRule="exact"/>
      <w:ind w:left="0"/>
      <w:jc w:val="both"/>
      <w:outlineLvl w:val="2"/>
    </w:pPr>
    <w:rPr>
      <w:rFonts w:ascii="Arial" w:hAnsi="Arial" w:cs="Arial"/>
      <w:b/>
      <w:bCs/>
      <w:sz w:val="22"/>
      <w:szCs w:val="22"/>
      <w:lang w:val="es-CO" w:eastAsia="es-CO"/>
    </w:rPr>
  </w:style>
  <w:style w:type="character" w:styleId="Hipervnculo">
    <w:name w:val="Hyperlink"/>
    <w:basedOn w:val="Fuentedeprrafopredeter"/>
    <w:uiPriority w:val="99"/>
    <w:unhideWhenUsed/>
    <w:rsid w:val="00626EED"/>
    <w:rPr>
      <w:color w:val="0563C1" w:themeColor="hyperlink"/>
      <w:u w:val="single"/>
    </w:rPr>
  </w:style>
  <w:style w:type="character" w:customStyle="1" w:styleId="CharacterStyle1">
    <w:name w:val="Character Style 1"/>
    <w:uiPriority w:val="99"/>
    <w:rsid w:val="00626EED"/>
    <w:rPr>
      <w:sz w:val="20"/>
    </w:rPr>
  </w:style>
  <w:style w:type="table" w:customStyle="1" w:styleId="Tablaconcuadrcula11">
    <w:name w:val="Tabla con cuadrícula11"/>
    <w:basedOn w:val="Tablanormal"/>
    <w:uiPriority w:val="59"/>
    <w:rsid w:val="00626EE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 1"/>
    <w:uiPriority w:val="99"/>
    <w:rsid w:val="00626EED"/>
    <w:pPr>
      <w:widowControl w:val="0"/>
      <w:autoSpaceDE w:val="0"/>
      <w:autoSpaceDN w:val="0"/>
      <w:adjustRightInd w:val="0"/>
    </w:pPr>
    <w:rPr>
      <w:lang w:val="en-U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texto de nota al  Car"/>
    <w:uiPriority w:val="99"/>
    <w:semiHidden/>
    <w:locked/>
    <w:rsid w:val="00626EED"/>
    <w:rPr>
      <w:rFonts w:ascii="Arial" w:hAnsi="Arial"/>
      <w:lang w:val="es-ES_tradnl"/>
    </w:rPr>
  </w:style>
  <w:style w:type="paragraph" w:customStyle="1" w:styleId="NormalDocSoporte">
    <w:name w:val="Normal DocSoporte"/>
    <w:basedOn w:val="Normal"/>
    <w:link w:val="NormalDocSoporteCar"/>
    <w:qFormat/>
    <w:rsid w:val="00626EED"/>
    <w:pPr>
      <w:widowControl w:val="0"/>
      <w:adjustRightInd w:val="0"/>
      <w:spacing w:before="200" w:after="200"/>
      <w:ind w:left="0" w:right="23"/>
      <w:jc w:val="both"/>
    </w:pPr>
    <w:rPr>
      <w:rFonts w:ascii="Arial" w:hAnsi="Arial" w:cs="Arial"/>
      <w:sz w:val="22"/>
      <w:szCs w:val="22"/>
      <w:lang w:val="es-CO"/>
    </w:rPr>
  </w:style>
  <w:style w:type="character" w:customStyle="1" w:styleId="NormalDocSoporteCar">
    <w:name w:val="Normal DocSoporte Car"/>
    <w:link w:val="NormalDocSoporte"/>
    <w:rsid w:val="00626EED"/>
    <w:rPr>
      <w:rFonts w:ascii="Arial" w:hAnsi="Arial" w:cs="Arial"/>
      <w:sz w:val="22"/>
      <w:szCs w:val="22"/>
      <w:lang w:eastAsia="es-ES"/>
    </w:rPr>
  </w:style>
  <w:style w:type="paragraph" w:styleId="Descripcin">
    <w:name w:val="caption"/>
    <w:basedOn w:val="Normal"/>
    <w:next w:val="Normal"/>
    <w:uiPriority w:val="35"/>
    <w:qFormat/>
    <w:rsid w:val="004900AD"/>
    <w:pPr>
      <w:spacing w:after="200"/>
      <w:ind w:left="0"/>
    </w:pPr>
    <w:rPr>
      <w:rFonts w:ascii="Arial" w:hAnsi="Arial"/>
      <w:i/>
      <w:iCs/>
      <w:color w:val="44546A" w:themeColor="text2"/>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925">
      <w:bodyDiv w:val="1"/>
      <w:marLeft w:val="0"/>
      <w:marRight w:val="0"/>
      <w:marTop w:val="0"/>
      <w:marBottom w:val="0"/>
      <w:divBdr>
        <w:top w:val="none" w:sz="0" w:space="0" w:color="auto"/>
        <w:left w:val="none" w:sz="0" w:space="0" w:color="auto"/>
        <w:bottom w:val="none" w:sz="0" w:space="0" w:color="auto"/>
        <w:right w:val="none" w:sz="0" w:space="0" w:color="auto"/>
      </w:divBdr>
    </w:div>
    <w:div w:id="1053693669">
      <w:bodyDiv w:val="1"/>
      <w:marLeft w:val="0"/>
      <w:marRight w:val="0"/>
      <w:marTop w:val="0"/>
      <w:marBottom w:val="0"/>
      <w:divBdr>
        <w:top w:val="none" w:sz="0" w:space="0" w:color="auto"/>
        <w:left w:val="none" w:sz="0" w:space="0" w:color="auto"/>
        <w:bottom w:val="none" w:sz="0" w:space="0" w:color="auto"/>
        <w:right w:val="none" w:sz="0" w:space="0" w:color="auto"/>
      </w:divBdr>
    </w:div>
    <w:div w:id="1482230845">
      <w:bodyDiv w:val="1"/>
      <w:marLeft w:val="0"/>
      <w:marRight w:val="0"/>
      <w:marTop w:val="0"/>
      <w:marBottom w:val="0"/>
      <w:divBdr>
        <w:top w:val="none" w:sz="0" w:space="0" w:color="auto"/>
        <w:left w:val="none" w:sz="0" w:space="0" w:color="auto"/>
        <w:bottom w:val="none" w:sz="0" w:space="0" w:color="auto"/>
        <w:right w:val="none" w:sz="0" w:space="0" w:color="auto"/>
      </w:divBdr>
    </w:div>
    <w:div w:id="1698315035">
      <w:bodyDiv w:val="1"/>
      <w:marLeft w:val="0"/>
      <w:marRight w:val="0"/>
      <w:marTop w:val="0"/>
      <w:marBottom w:val="0"/>
      <w:divBdr>
        <w:top w:val="none" w:sz="0" w:space="0" w:color="auto"/>
        <w:left w:val="none" w:sz="0" w:space="0" w:color="auto"/>
        <w:bottom w:val="none" w:sz="0" w:space="0" w:color="auto"/>
        <w:right w:val="none" w:sz="0" w:space="0" w:color="auto"/>
      </w:divBdr>
    </w:div>
    <w:div w:id="1698509383">
      <w:bodyDiv w:val="1"/>
      <w:marLeft w:val="0"/>
      <w:marRight w:val="0"/>
      <w:marTop w:val="0"/>
      <w:marBottom w:val="0"/>
      <w:divBdr>
        <w:top w:val="none" w:sz="0" w:space="0" w:color="auto"/>
        <w:left w:val="none" w:sz="0" w:space="0" w:color="auto"/>
        <w:bottom w:val="none" w:sz="0" w:space="0" w:color="auto"/>
        <w:right w:val="none" w:sz="0" w:space="0" w:color="auto"/>
      </w:divBdr>
    </w:div>
    <w:div w:id="17114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B419B-3C47-4D56-A958-9C33C6C3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15</Pages>
  <Words>7472</Words>
  <Characters>41100</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2018-12-05T14:30:00Z</cp:lastPrinted>
  <dcterms:created xsi:type="dcterms:W3CDTF">2018-12-26T20:56:00Z</dcterms:created>
  <dcterms:modified xsi:type="dcterms:W3CDTF">2018-12-26T20:56:00Z</dcterms:modified>
</cp:coreProperties>
</file>