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36DE87" w14:textId="77777777" w:rsidR="00625DC6" w:rsidRPr="00E060BE" w:rsidRDefault="007365E7" w:rsidP="00012259">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noProof/>
          <w:szCs w:val="24"/>
        </w:rPr>
        <w:object w:dxaOrig="1440" w:dyaOrig="1440" w14:anchorId="42389A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3.65pt;margin-top:-53.35pt;width:45.75pt;height:48.75pt;z-index:251657728" fillcolor="#0c9">
            <v:imagedata r:id="rId8" o:title="" cropright="8426f"/>
          </v:shape>
          <o:OLEObject Type="Embed" ProgID="PBrush" ShapeID="_x0000_s1026" DrawAspect="Content" ObjectID="_1621691030" r:id="rId9"/>
        </w:object>
      </w:r>
    </w:p>
    <w:p w14:paraId="2D03B018" w14:textId="77777777" w:rsidR="00625DC6" w:rsidRPr="008A165F" w:rsidRDefault="00625DC6" w:rsidP="008A165F">
      <w:pPr>
        <w:widowControl w:val="0"/>
        <w:adjustRightInd w:val="0"/>
        <w:ind w:left="0" w:right="20"/>
        <w:jc w:val="center"/>
        <w:rPr>
          <w:rFonts w:ascii="Bookman Old Style" w:hAnsi="Bookman Old Style" w:cs="Arial"/>
        </w:rPr>
      </w:pPr>
    </w:p>
    <w:p w14:paraId="01875467" w14:textId="77777777" w:rsidR="00CA77FB" w:rsidRPr="008A165F" w:rsidRDefault="00CA77FB" w:rsidP="008A165F">
      <w:pPr>
        <w:widowControl w:val="0"/>
        <w:adjustRightInd w:val="0"/>
        <w:ind w:left="0" w:right="20"/>
        <w:jc w:val="center"/>
        <w:rPr>
          <w:rFonts w:ascii="Bookman Old Style" w:hAnsi="Bookman Old Style" w:cs="Arial"/>
        </w:rPr>
      </w:pPr>
      <w:r w:rsidRPr="008A165F">
        <w:rPr>
          <w:rFonts w:ascii="Bookman Old Style" w:hAnsi="Bookman Old Style" w:cs="Arial"/>
        </w:rPr>
        <w:t>Ministerio de Minas y Energía</w:t>
      </w:r>
    </w:p>
    <w:p w14:paraId="3FBD9210" w14:textId="77777777" w:rsidR="00CA77FB" w:rsidRPr="00E060BE" w:rsidRDefault="00CA77FB" w:rsidP="00012259">
      <w:pPr>
        <w:pStyle w:val="Ttulo4"/>
        <w:tabs>
          <w:tab w:val="left" w:pos="0"/>
          <w:tab w:val="right" w:pos="9356"/>
        </w:tabs>
        <w:ind w:left="0"/>
        <w:rPr>
          <w:rFonts w:ascii="Bookman Old Style" w:hAnsi="Bookman Old Style"/>
          <w:b w:val="0"/>
          <w:bCs/>
          <w:sz w:val="24"/>
          <w:szCs w:val="24"/>
        </w:rPr>
      </w:pPr>
    </w:p>
    <w:p w14:paraId="669954D1" w14:textId="77777777" w:rsidR="00CA77FB" w:rsidRPr="00E060BE" w:rsidRDefault="00CA77FB" w:rsidP="00012259">
      <w:pPr>
        <w:pStyle w:val="Ttulo3"/>
        <w:tabs>
          <w:tab w:val="left" w:pos="0"/>
          <w:tab w:val="right" w:pos="9356"/>
        </w:tabs>
        <w:ind w:left="0"/>
        <w:rPr>
          <w:rFonts w:ascii="Bookman Old Style" w:hAnsi="Bookman Old Style" w:cs="Arial"/>
          <w:spacing w:val="20"/>
          <w:szCs w:val="24"/>
        </w:rPr>
      </w:pPr>
      <w:r w:rsidRPr="00E060BE">
        <w:rPr>
          <w:rFonts w:ascii="Bookman Old Style" w:hAnsi="Bookman Old Style" w:cs="Arial"/>
          <w:spacing w:val="20"/>
          <w:szCs w:val="24"/>
        </w:rPr>
        <w:t>COMISIÓN DE REGULACIÓN DE ENERGÍA Y GAS</w:t>
      </w:r>
    </w:p>
    <w:p w14:paraId="2357B589" w14:textId="77777777" w:rsidR="00CA77FB" w:rsidRPr="00E060BE" w:rsidRDefault="00CA77FB" w:rsidP="00012259">
      <w:pPr>
        <w:pStyle w:val="Ttulo5"/>
        <w:tabs>
          <w:tab w:val="left" w:pos="0"/>
          <w:tab w:val="right" w:pos="9356"/>
        </w:tabs>
        <w:ind w:left="0"/>
        <w:rPr>
          <w:rFonts w:ascii="Bookman Old Style" w:hAnsi="Bookman Old Style"/>
          <w:sz w:val="24"/>
          <w:szCs w:val="24"/>
        </w:rPr>
      </w:pPr>
    </w:p>
    <w:p w14:paraId="76DC19EA" w14:textId="77777777" w:rsidR="00CA77FB" w:rsidRPr="00E060BE" w:rsidRDefault="00CA77FB" w:rsidP="00012259">
      <w:pPr>
        <w:pStyle w:val="Ttulo5"/>
        <w:tabs>
          <w:tab w:val="left" w:pos="0"/>
          <w:tab w:val="right" w:pos="9356"/>
        </w:tabs>
        <w:ind w:left="0"/>
        <w:rPr>
          <w:rFonts w:ascii="Bookman Old Style" w:hAnsi="Bookman Old Style"/>
          <w:sz w:val="24"/>
          <w:szCs w:val="24"/>
        </w:rPr>
      </w:pPr>
    </w:p>
    <w:p w14:paraId="74DB1B58" w14:textId="25CDB122" w:rsidR="00CA77FB" w:rsidRPr="00E060BE" w:rsidRDefault="00CA77FB" w:rsidP="00012259">
      <w:pPr>
        <w:pStyle w:val="Ttulo5"/>
        <w:tabs>
          <w:tab w:val="left" w:pos="0"/>
          <w:tab w:val="right" w:pos="9356"/>
        </w:tabs>
        <w:ind w:left="0"/>
        <w:rPr>
          <w:rFonts w:ascii="Bookman Old Style" w:hAnsi="Bookman Old Style"/>
          <w:sz w:val="24"/>
          <w:szCs w:val="24"/>
        </w:rPr>
      </w:pPr>
      <w:r w:rsidRPr="00E060BE">
        <w:rPr>
          <w:rFonts w:ascii="Bookman Old Style" w:hAnsi="Bookman Old Style"/>
          <w:sz w:val="24"/>
          <w:szCs w:val="24"/>
        </w:rPr>
        <w:t xml:space="preserve">RESOLUCIÓN No. </w:t>
      </w:r>
      <w:r w:rsidR="00795BFB" w:rsidRPr="00E060BE">
        <w:rPr>
          <w:rFonts w:ascii="Bookman Old Style" w:hAnsi="Bookman Old Style"/>
          <w:sz w:val="24"/>
          <w:szCs w:val="24"/>
        </w:rPr>
        <w:t xml:space="preserve">                  </w:t>
      </w:r>
      <w:r w:rsidRPr="00E060BE">
        <w:rPr>
          <w:rFonts w:ascii="Bookman Old Style" w:hAnsi="Bookman Old Style"/>
          <w:sz w:val="24"/>
          <w:szCs w:val="24"/>
        </w:rPr>
        <w:t>DE 20</w:t>
      </w:r>
      <w:r w:rsidR="00795BFB" w:rsidRPr="00E060BE">
        <w:rPr>
          <w:rFonts w:ascii="Bookman Old Style" w:hAnsi="Bookman Old Style"/>
          <w:sz w:val="24"/>
          <w:szCs w:val="24"/>
        </w:rPr>
        <w:t>1</w:t>
      </w:r>
      <w:r w:rsidR="00AA3298">
        <w:rPr>
          <w:rFonts w:ascii="Bookman Old Style" w:hAnsi="Bookman Old Style"/>
          <w:sz w:val="24"/>
          <w:szCs w:val="24"/>
        </w:rPr>
        <w:t>9</w:t>
      </w:r>
    </w:p>
    <w:p w14:paraId="14B4EA32" w14:textId="77777777" w:rsidR="00CA77FB" w:rsidRPr="00E060BE" w:rsidRDefault="00CA77FB" w:rsidP="00012259">
      <w:pPr>
        <w:tabs>
          <w:tab w:val="left" w:pos="0"/>
          <w:tab w:val="right" w:pos="9356"/>
        </w:tabs>
        <w:ind w:left="0"/>
        <w:jc w:val="center"/>
        <w:rPr>
          <w:rFonts w:ascii="Bookman Old Style" w:hAnsi="Bookman Old Style" w:cs="Arial"/>
          <w:b/>
          <w:snapToGrid w:val="0"/>
          <w:color w:val="000000"/>
          <w:lang w:val="es-ES_tradnl"/>
        </w:rPr>
      </w:pPr>
    </w:p>
    <w:p w14:paraId="7B8930F0" w14:textId="77777777" w:rsidR="00CA77FB" w:rsidRPr="00E060BE" w:rsidRDefault="00CA77FB" w:rsidP="00012259">
      <w:pPr>
        <w:pStyle w:val="Ttulo3"/>
        <w:tabs>
          <w:tab w:val="left" w:pos="0"/>
          <w:tab w:val="right" w:pos="9356"/>
        </w:tabs>
        <w:ind w:left="0"/>
        <w:rPr>
          <w:rFonts w:ascii="Bookman Old Style" w:hAnsi="Bookman Old Style"/>
          <w:b w:val="0"/>
          <w:szCs w:val="24"/>
        </w:rPr>
      </w:pPr>
      <w:r w:rsidRPr="00E060BE">
        <w:rPr>
          <w:rFonts w:ascii="Bookman Old Style" w:hAnsi="Bookman Old Style"/>
          <w:b w:val="0"/>
          <w:szCs w:val="24"/>
        </w:rPr>
        <w:t>(                                  )</w:t>
      </w:r>
    </w:p>
    <w:p w14:paraId="592770E8" w14:textId="77777777" w:rsidR="00CA77FB" w:rsidRPr="00E060BE" w:rsidRDefault="00CA77FB" w:rsidP="00012259">
      <w:pPr>
        <w:tabs>
          <w:tab w:val="left" w:pos="0"/>
          <w:tab w:val="right" w:pos="9356"/>
        </w:tabs>
        <w:ind w:left="0"/>
        <w:jc w:val="center"/>
        <w:rPr>
          <w:rFonts w:ascii="Bookman Old Style" w:hAnsi="Bookman Old Style"/>
          <w:lang w:val="es-ES_tradnl"/>
        </w:rPr>
      </w:pPr>
    </w:p>
    <w:p w14:paraId="39A9D63F" w14:textId="77777777" w:rsidR="00B351B4" w:rsidRPr="00E060BE" w:rsidRDefault="00B351B4" w:rsidP="00012259">
      <w:pPr>
        <w:ind w:left="0"/>
        <w:rPr>
          <w:rFonts w:ascii="Bookman Old Style" w:hAnsi="Bookman Old Style"/>
          <w:bCs/>
          <w:lang w:val="es-CO"/>
        </w:rPr>
      </w:pPr>
    </w:p>
    <w:p w14:paraId="438CFE16" w14:textId="116BE0B1" w:rsidR="00D66C02" w:rsidRPr="00D66C02" w:rsidRDefault="00D66C02" w:rsidP="00535716">
      <w:pPr>
        <w:widowControl w:val="0"/>
        <w:adjustRightInd w:val="0"/>
        <w:ind w:left="0" w:right="20"/>
        <w:jc w:val="both"/>
        <w:rPr>
          <w:rFonts w:ascii="Bookman Old Style" w:hAnsi="Bookman Old Style" w:cs="Arial"/>
          <w:lang w:val="es-ES_tradnl"/>
        </w:rPr>
      </w:pPr>
      <w:r w:rsidRPr="00D66C02">
        <w:rPr>
          <w:rFonts w:ascii="Bookman Old Style" w:hAnsi="Bookman Old Style" w:cs="Arial"/>
        </w:rPr>
        <w:t xml:space="preserve">Por la cual se resuelve el recurso de reposición interpuesto por la empresa </w:t>
      </w:r>
      <w:r w:rsidR="00535716">
        <w:rPr>
          <w:rFonts w:ascii="Bookman Old Style" w:hAnsi="Bookman Old Style" w:cs="Arial"/>
        </w:rPr>
        <w:t xml:space="preserve">INGENIERIA Y SERVICIOS S.A. E.S.P. </w:t>
      </w:r>
      <w:r w:rsidRPr="00D66C02">
        <w:rPr>
          <w:rFonts w:ascii="Bookman Old Style" w:hAnsi="Bookman Old Style" w:cs="Arial"/>
        </w:rPr>
        <w:t xml:space="preserve">contra la Resolución CREG </w:t>
      </w:r>
      <w:r w:rsidR="00535716">
        <w:rPr>
          <w:rFonts w:ascii="Bookman Old Style" w:hAnsi="Bookman Old Style" w:cs="Arial"/>
        </w:rPr>
        <w:t>111</w:t>
      </w:r>
      <w:r w:rsidRPr="00D66C02">
        <w:rPr>
          <w:rFonts w:ascii="Bookman Old Style" w:hAnsi="Bookman Old Style" w:cs="Arial"/>
        </w:rPr>
        <w:t xml:space="preserve"> de 201</w:t>
      </w:r>
      <w:r>
        <w:rPr>
          <w:rFonts w:ascii="Bookman Old Style" w:hAnsi="Bookman Old Style" w:cs="Arial"/>
        </w:rPr>
        <w:t>8</w:t>
      </w:r>
      <w:r w:rsidRPr="00D66C02">
        <w:rPr>
          <w:rFonts w:ascii="Bookman Old Style" w:hAnsi="Bookman Old Style" w:cs="Arial"/>
        </w:rPr>
        <w:t>, “</w:t>
      </w:r>
      <w:r w:rsidR="00535716" w:rsidRPr="001954E9">
        <w:rPr>
          <w:rFonts w:ascii="Bookman Old Style" w:hAnsi="Bookman Old Style" w:cs="Arial"/>
          <w:lang w:val="es-ES_tradnl"/>
        </w:rPr>
        <w:t xml:space="preserve">Por la cual se aprueba cargo de distribución transitorio </w:t>
      </w:r>
      <w:r w:rsidR="00535716" w:rsidRPr="00341E8F">
        <w:rPr>
          <w:rFonts w:ascii="Bookman Old Style" w:hAnsi="Bookman Old Style" w:cs="Arial"/>
          <w:lang w:val="es-ES_tradnl"/>
        </w:rPr>
        <w:t xml:space="preserve">por uso del sistema de distribución de gas combustible por redes de tubería para el mercado relevante </w:t>
      </w:r>
      <w:r w:rsidR="00535716">
        <w:rPr>
          <w:rFonts w:ascii="Bookman Old Style" w:hAnsi="Bookman Old Style" w:cs="Arial"/>
          <w:lang w:val="es-ES_tradnl"/>
        </w:rPr>
        <w:t xml:space="preserve">conformado </w:t>
      </w:r>
      <w:r w:rsidR="00535716" w:rsidRPr="00241B5F">
        <w:rPr>
          <w:rFonts w:ascii="Bookman Old Style" w:hAnsi="Bookman Old Style" w:cs="Arial"/>
          <w:lang w:val="es-ES_tradnl"/>
        </w:rPr>
        <w:t xml:space="preserve">por </w:t>
      </w:r>
      <w:r w:rsidR="00535716">
        <w:rPr>
          <w:rFonts w:ascii="Bookman Old Style" w:hAnsi="Bookman Old Style" w:cs="Arial"/>
          <w:lang w:val="es-ES_tradnl"/>
        </w:rPr>
        <w:t xml:space="preserve">los </w:t>
      </w:r>
      <w:r w:rsidR="00535716" w:rsidRPr="006B3722">
        <w:rPr>
          <w:rFonts w:ascii="Bookman Old Style" w:hAnsi="Bookman Old Style" w:cs="Arial"/>
          <w:lang w:val="es-ES_tradnl"/>
        </w:rPr>
        <w:t>munici</w:t>
      </w:r>
      <w:r w:rsidR="00535716">
        <w:rPr>
          <w:rFonts w:ascii="Bookman Old Style" w:hAnsi="Bookman Old Style" w:cs="Arial"/>
          <w:lang w:val="es-ES_tradnl"/>
        </w:rPr>
        <w:t xml:space="preserve">pios de Córdoba, </w:t>
      </w:r>
      <w:proofErr w:type="spellStart"/>
      <w:r w:rsidR="00535716">
        <w:rPr>
          <w:rFonts w:ascii="Bookman Old Style" w:hAnsi="Bookman Old Style" w:cs="Arial"/>
          <w:lang w:val="es-ES_tradnl"/>
        </w:rPr>
        <w:t>Guaitarilla</w:t>
      </w:r>
      <w:proofErr w:type="spellEnd"/>
      <w:r w:rsidR="00535716">
        <w:rPr>
          <w:rFonts w:ascii="Bookman Old Style" w:hAnsi="Bookman Old Style" w:cs="Arial"/>
          <w:lang w:val="es-ES_tradnl"/>
        </w:rPr>
        <w:t xml:space="preserve"> y </w:t>
      </w:r>
      <w:proofErr w:type="spellStart"/>
      <w:r w:rsidR="00535716" w:rsidRPr="006B3722">
        <w:rPr>
          <w:rFonts w:ascii="Bookman Old Style" w:hAnsi="Bookman Old Style" w:cs="Arial"/>
          <w:lang w:val="es-ES_tradnl"/>
        </w:rPr>
        <w:t>Pupiales</w:t>
      </w:r>
      <w:proofErr w:type="spellEnd"/>
      <w:r w:rsidR="00535716" w:rsidRPr="00B16C69">
        <w:rPr>
          <w:rFonts w:ascii="Bookman Old Style" w:hAnsi="Bookman Old Style" w:cs="Arial"/>
          <w:lang w:val="es-ES_tradnl"/>
        </w:rPr>
        <w:t xml:space="preserve"> </w:t>
      </w:r>
      <w:r w:rsidR="00535716" w:rsidRPr="00B16C69">
        <w:rPr>
          <w:rFonts w:ascii="Bookman Old Style" w:hAnsi="Bookman Old Style" w:cs="Arial"/>
        </w:rPr>
        <w:t>en el departamento de Nariño,</w:t>
      </w:r>
      <w:r w:rsidR="00535716" w:rsidRPr="00B16C69">
        <w:rPr>
          <w:rFonts w:ascii="Bookman Old Style" w:hAnsi="Bookman Old Style" w:cs="Arial"/>
          <w:lang w:val="es-ES_tradnl"/>
        </w:rPr>
        <w:t xml:space="preserve"> según solicitud tarifaria presentada por la empresa </w:t>
      </w:r>
      <w:r w:rsidR="00535716" w:rsidRPr="006B3722">
        <w:rPr>
          <w:rFonts w:ascii="Bookman Old Style" w:hAnsi="Bookman Old Style" w:cs="Arial"/>
          <w:lang w:val="es-ES_tradnl"/>
        </w:rPr>
        <w:t>INGENIERIA Y SERVICIOS S.A. E.S.P</w:t>
      </w:r>
      <w:r w:rsidR="00535716">
        <w:rPr>
          <w:rFonts w:ascii="Bookman Old Style" w:hAnsi="Bookman Old Style" w:cs="Arial"/>
          <w:lang w:val="es-ES_tradnl"/>
        </w:rPr>
        <w:t>”</w:t>
      </w:r>
      <w:r w:rsidR="00535716" w:rsidRPr="006B3722">
        <w:rPr>
          <w:rFonts w:ascii="Bookman Old Style" w:hAnsi="Bookman Old Style" w:cs="Arial"/>
          <w:lang w:val="es-ES_tradnl"/>
        </w:rPr>
        <w:t>.</w:t>
      </w:r>
    </w:p>
    <w:p w14:paraId="12FC6B9C" w14:textId="77777777" w:rsidR="00045D3D" w:rsidRPr="00C435C3" w:rsidRDefault="00045D3D" w:rsidP="00045D3D">
      <w:pPr>
        <w:ind w:left="0"/>
        <w:jc w:val="center"/>
        <w:rPr>
          <w:rFonts w:ascii="Bookman Old Style" w:hAnsi="Bookman Old Style"/>
        </w:rPr>
      </w:pPr>
    </w:p>
    <w:p w14:paraId="78B8FC70" w14:textId="77777777" w:rsidR="00045D3D" w:rsidRPr="00C435C3" w:rsidRDefault="00045D3D" w:rsidP="00045D3D">
      <w:pPr>
        <w:ind w:right="51"/>
        <w:rPr>
          <w:rFonts w:ascii="Bookman Old Style" w:hAnsi="Bookman Old Style"/>
        </w:rPr>
      </w:pPr>
    </w:p>
    <w:p w14:paraId="6BB93A70" w14:textId="77777777" w:rsidR="00045D3D" w:rsidRPr="00C435C3" w:rsidRDefault="00045D3D" w:rsidP="008A165F">
      <w:pPr>
        <w:ind w:left="0" w:right="51"/>
        <w:jc w:val="center"/>
        <w:rPr>
          <w:rFonts w:ascii="Bookman Old Style" w:hAnsi="Bookman Old Style"/>
          <w:b/>
        </w:rPr>
      </w:pPr>
      <w:r w:rsidRPr="00C435C3">
        <w:rPr>
          <w:rFonts w:ascii="Bookman Old Style" w:hAnsi="Bookman Old Style"/>
          <w:b/>
        </w:rPr>
        <w:t>LA COMISIÓN DE REGULACIÓN DE ENERGÍA Y GAS</w:t>
      </w:r>
    </w:p>
    <w:p w14:paraId="3C03CE4D" w14:textId="77777777" w:rsidR="00045D3D" w:rsidRPr="00C435C3" w:rsidRDefault="00045D3D" w:rsidP="00045D3D">
      <w:pPr>
        <w:ind w:left="0" w:right="51"/>
        <w:rPr>
          <w:rFonts w:ascii="Bookman Old Style" w:hAnsi="Bookman Old Style"/>
        </w:rPr>
      </w:pPr>
    </w:p>
    <w:p w14:paraId="790E444C" w14:textId="2F7224E6" w:rsidR="00045D3D" w:rsidRPr="008A165F" w:rsidRDefault="00045D3D" w:rsidP="00475E85">
      <w:pPr>
        <w:adjustRightInd w:val="0"/>
        <w:spacing w:before="240" w:after="240"/>
        <w:ind w:left="708" w:hanging="708"/>
        <w:jc w:val="center"/>
        <w:rPr>
          <w:rFonts w:ascii="Bookman Old Style" w:hAnsi="Bookman Old Style" w:cs="Arial"/>
        </w:rPr>
      </w:pPr>
      <w:r w:rsidRPr="008A165F">
        <w:rPr>
          <w:rFonts w:ascii="Bookman Old Style" w:hAnsi="Bookman Old Style" w:cs="Arial"/>
        </w:rPr>
        <w:t xml:space="preserve">En ejercicio de sus atribuciones constitucionales y legales, en especial la conferida por la </w:t>
      </w:r>
      <w:r w:rsidR="002352B9" w:rsidRPr="008A165F">
        <w:rPr>
          <w:rFonts w:ascii="Bookman Old Style" w:hAnsi="Bookman Old Style" w:cs="Arial"/>
        </w:rPr>
        <w:t>l</w:t>
      </w:r>
      <w:r w:rsidRPr="008A165F">
        <w:rPr>
          <w:rFonts w:ascii="Bookman Old Style" w:hAnsi="Bookman Old Style" w:cs="Arial"/>
        </w:rPr>
        <w:t xml:space="preserve">ey 142 de 1994, y en desarrollo de los </w:t>
      </w:r>
      <w:r w:rsidR="002352B9" w:rsidRPr="008A165F">
        <w:rPr>
          <w:rFonts w:ascii="Bookman Old Style" w:hAnsi="Bookman Old Style" w:cs="Arial"/>
        </w:rPr>
        <w:t>d</w:t>
      </w:r>
      <w:r w:rsidRPr="008A165F">
        <w:rPr>
          <w:rFonts w:ascii="Bookman Old Style" w:hAnsi="Bookman Old Style" w:cs="Arial"/>
        </w:rPr>
        <w:t>ecretos 1524</w:t>
      </w:r>
      <w:r w:rsidR="002B30E9">
        <w:rPr>
          <w:rFonts w:ascii="Bookman Old Style" w:hAnsi="Bookman Old Style" w:cs="Arial"/>
        </w:rPr>
        <w:t>,</w:t>
      </w:r>
      <w:r w:rsidRPr="008A165F">
        <w:rPr>
          <w:rFonts w:ascii="Bookman Old Style" w:hAnsi="Bookman Old Style" w:cs="Arial"/>
        </w:rPr>
        <w:t xml:space="preserve"> 2253 de 1994</w:t>
      </w:r>
      <w:r w:rsidR="002B30E9">
        <w:rPr>
          <w:rFonts w:ascii="Bookman Old Style" w:hAnsi="Bookman Old Style" w:cs="Arial"/>
        </w:rPr>
        <w:t xml:space="preserve"> </w:t>
      </w:r>
      <w:r w:rsidR="006C444F">
        <w:rPr>
          <w:rFonts w:ascii="Bookman Old Style" w:hAnsi="Bookman Old Style" w:cs="Arial"/>
        </w:rPr>
        <w:t xml:space="preserve">y 1260 de 2013 </w:t>
      </w:r>
      <w:r w:rsidR="002B30E9">
        <w:rPr>
          <w:rFonts w:ascii="Bookman Old Style" w:hAnsi="Bookman Old Style" w:cs="Arial"/>
        </w:rPr>
        <w:t>y</w:t>
      </w:r>
      <w:r w:rsidRPr="008A165F">
        <w:rPr>
          <w:rFonts w:ascii="Bookman Old Style" w:hAnsi="Bookman Old Style" w:cs="Arial"/>
        </w:rPr>
        <w:t>.</w:t>
      </w:r>
    </w:p>
    <w:p w14:paraId="335F2021" w14:textId="77777777" w:rsidR="00045D3D" w:rsidRDefault="00045D3D" w:rsidP="00045D3D">
      <w:pPr>
        <w:ind w:right="51"/>
        <w:rPr>
          <w:rFonts w:ascii="Bookman Old Style" w:hAnsi="Bookman Old Style"/>
        </w:rPr>
      </w:pPr>
    </w:p>
    <w:p w14:paraId="63606A07" w14:textId="77777777" w:rsidR="00045D3D" w:rsidRPr="00C435C3" w:rsidRDefault="00045D3D" w:rsidP="001103A5">
      <w:pPr>
        <w:ind w:left="0" w:right="51"/>
        <w:jc w:val="center"/>
        <w:rPr>
          <w:rFonts w:ascii="Bookman Old Style" w:hAnsi="Bookman Old Style"/>
          <w:b/>
        </w:rPr>
      </w:pPr>
      <w:r w:rsidRPr="00C435C3">
        <w:rPr>
          <w:rFonts w:ascii="Bookman Old Style" w:hAnsi="Bookman Old Style"/>
          <w:b/>
        </w:rPr>
        <w:t xml:space="preserve">C O N S I D E R A N D </w:t>
      </w:r>
      <w:proofErr w:type="gramStart"/>
      <w:r w:rsidRPr="00C435C3">
        <w:rPr>
          <w:rFonts w:ascii="Bookman Old Style" w:hAnsi="Bookman Old Style"/>
          <w:b/>
        </w:rPr>
        <w:t>O</w:t>
      </w:r>
      <w:r w:rsidR="001103A5">
        <w:rPr>
          <w:rFonts w:ascii="Bookman Old Style" w:hAnsi="Bookman Old Style"/>
          <w:b/>
        </w:rPr>
        <w:t xml:space="preserve"> </w:t>
      </w:r>
      <w:r>
        <w:rPr>
          <w:rFonts w:ascii="Bookman Old Style" w:hAnsi="Bookman Old Style"/>
          <w:b/>
        </w:rPr>
        <w:t xml:space="preserve"> Q</w:t>
      </w:r>
      <w:proofErr w:type="gramEnd"/>
      <w:r>
        <w:rPr>
          <w:rFonts w:ascii="Bookman Old Style" w:hAnsi="Bookman Old Style"/>
          <w:b/>
        </w:rPr>
        <w:t xml:space="preserve"> U E</w:t>
      </w:r>
      <w:r w:rsidRPr="00C435C3">
        <w:rPr>
          <w:rFonts w:ascii="Bookman Old Style" w:hAnsi="Bookman Old Style"/>
          <w:b/>
        </w:rPr>
        <w:t>:</w:t>
      </w:r>
    </w:p>
    <w:p w14:paraId="04D078CC" w14:textId="77777777" w:rsidR="00045D3D" w:rsidRPr="00C435C3" w:rsidRDefault="00045D3D" w:rsidP="00045D3D">
      <w:pPr>
        <w:ind w:right="51"/>
        <w:jc w:val="center"/>
        <w:rPr>
          <w:rFonts w:ascii="Bookman Old Style" w:hAnsi="Bookman Old Style"/>
          <w:b/>
        </w:rPr>
      </w:pPr>
    </w:p>
    <w:p w14:paraId="1BE171E0" w14:textId="77777777" w:rsidR="00626EED" w:rsidRPr="00626EED" w:rsidRDefault="00626EED" w:rsidP="00245A33">
      <w:pPr>
        <w:pStyle w:val="Ttulo5"/>
        <w:numPr>
          <w:ilvl w:val="0"/>
          <w:numId w:val="2"/>
        </w:numPr>
        <w:tabs>
          <w:tab w:val="clear" w:pos="1080"/>
          <w:tab w:val="num" w:pos="851"/>
        </w:tabs>
        <w:spacing w:before="360" w:after="240"/>
        <w:ind w:left="567" w:hanging="567"/>
        <w:jc w:val="both"/>
        <w:rPr>
          <w:rFonts w:ascii="Bookman Old Style" w:hAnsi="Bookman Old Style"/>
          <w:sz w:val="24"/>
          <w:szCs w:val="24"/>
        </w:rPr>
      </w:pPr>
      <w:r w:rsidRPr="00626EED">
        <w:rPr>
          <w:rFonts w:ascii="Bookman Old Style" w:hAnsi="Bookman Old Style"/>
          <w:sz w:val="24"/>
          <w:szCs w:val="24"/>
        </w:rPr>
        <w:t>ANTECEDENTES</w:t>
      </w:r>
    </w:p>
    <w:p w14:paraId="2EED426B" w14:textId="77777777" w:rsidR="00474A7C" w:rsidRPr="00474A7C" w:rsidRDefault="00474A7C" w:rsidP="00474A7C">
      <w:pPr>
        <w:adjustRightInd w:val="0"/>
        <w:spacing w:before="240" w:after="240"/>
        <w:ind w:left="0"/>
        <w:jc w:val="both"/>
        <w:rPr>
          <w:rFonts w:ascii="Bookman Old Style" w:hAnsi="Bookman Old Style"/>
          <w:shd w:val="clear" w:color="auto" w:fill="FFFFFF"/>
        </w:rPr>
      </w:pPr>
      <w:r w:rsidRPr="00474A7C">
        <w:rPr>
          <w:rFonts w:ascii="Bookman Old Style" w:hAnsi="Bookman Old Style"/>
          <w:shd w:val="clear" w:color="auto" w:fill="FFFFFF"/>
        </w:rPr>
        <w:t>A través de la Resolución CREG 202 de 2013 se establecieron los criterios generales para remunerar la actividad de distribución de gas combustible por redes de tubería y se dictan otras disposiciones.</w:t>
      </w:r>
    </w:p>
    <w:p w14:paraId="7B9D01A9" w14:textId="7E8CA8C3" w:rsidR="00474A7C" w:rsidRPr="00474A7C" w:rsidRDefault="00474A7C" w:rsidP="00474A7C">
      <w:pPr>
        <w:adjustRightInd w:val="0"/>
        <w:spacing w:before="240" w:after="240"/>
        <w:ind w:left="0"/>
        <w:jc w:val="both"/>
        <w:rPr>
          <w:rFonts w:ascii="Bookman Old Style" w:hAnsi="Bookman Old Style"/>
          <w:shd w:val="clear" w:color="auto" w:fill="FFFFFF"/>
        </w:rPr>
      </w:pPr>
      <w:r w:rsidRPr="00474A7C">
        <w:rPr>
          <w:rFonts w:ascii="Bookman Old Style" w:hAnsi="Bookman Old Style"/>
          <w:shd w:val="clear" w:color="auto" w:fill="FFFFFF"/>
        </w:rPr>
        <w:t>El artículo 9º de la Resolución 202 de 2013, dispone que la metodología para el cálculo de los cargos de distribución se hará aplicando costos medios históricos y/o los costos medios de mediano plazo, para el Mercado Relevante de Distribución para el Siguiente Período Tarifario, y se calculan con la Valoración de la Inversión Base, los gastos de Administración, Operación y Mantenimiento (AOM), la Demanda de Volumen del mercado correspondiente y la tasa de retorno, aplicando los criterios tarifarios establecidos en la Ley 142 de 1994 y de acuerdo a la conformación del Mer</w:t>
      </w:r>
      <w:r>
        <w:rPr>
          <w:rFonts w:ascii="Bookman Old Style" w:hAnsi="Bookman Old Style"/>
          <w:shd w:val="clear" w:color="auto" w:fill="FFFFFF"/>
        </w:rPr>
        <w:t>cado Relevante de Distribución.</w:t>
      </w:r>
    </w:p>
    <w:p w14:paraId="5155A907" w14:textId="77777777" w:rsidR="00474A7C" w:rsidRPr="00474A7C" w:rsidRDefault="00474A7C" w:rsidP="00474A7C">
      <w:pPr>
        <w:adjustRightInd w:val="0"/>
        <w:spacing w:before="240" w:after="240"/>
        <w:ind w:left="0"/>
        <w:jc w:val="both"/>
        <w:rPr>
          <w:rFonts w:ascii="Bookman Old Style" w:hAnsi="Bookman Old Style"/>
          <w:shd w:val="clear" w:color="auto" w:fill="FFFFFF"/>
        </w:rPr>
      </w:pPr>
      <w:r w:rsidRPr="00474A7C">
        <w:rPr>
          <w:rFonts w:ascii="Bookman Old Style" w:hAnsi="Bookman Old Style"/>
          <w:shd w:val="clear" w:color="auto" w:fill="FFFFFF"/>
        </w:rPr>
        <w:t>Mediante la Resolución CREG 052 de 2014, Resolución CREG 138 de 2014, Resolución CREG 112 de 2015, Resolución CREG 125 de 2015 y Resolución CREG 141 de 2015 se modificó y adicionó la Resolución CREG 202 de 2013.</w:t>
      </w:r>
    </w:p>
    <w:p w14:paraId="5E425C77" w14:textId="77777777" w:rsidR="00474A7C" w:rsidRPr="00474A7C" w:rsidRDefault="00474A7C" w:rsidP="00474A7C">
      <w:pPr>
        <w:adjustRightInd w:val="0"/>
        <w:spacing w:before="240" w:after="240"/>
        <w:ind w:left="0"/>
        <w:jc w:val="both"/>
        <w:rPr>
          <w:rFonts w:ascii="Bookman Old Style" w:hAnsi="Bookman Old Style"/>
          <w:shd w:val="clear" w:color="auto" w:fill="FFFFFF"/>
        </w:rPr>
      </w:pPr>
    </w:p>
    <w:p w14:paraId="2A2799FF" w14:textId="77777777" w:rsidR="00CE33CC" w:rsidRDefault="00CE33CC" w:rsidP="00CE33CC">
      <w:pPr>
        <w:adjustRightInd w:val="0"/>
        <w:ind w:left="0"/>
        <w:jc w:val="both"/>
        <w:rPr>
          <w:rFonts w:ascii="Bookman Old Style" w:hAnsi="Bookman Old Style"/>
          <w:shd w:val="clear" w:color="auto" w:fill="FFFFFF"/>
        </w:rPr>
      </w:pPr>
    </w:p>
    <w:p w14:paraId="285D65E4" w14:textId="455A1C7D" w:rsidR="00474A7C" w:rsidRDefault="00474A7C" w:rsidP="00CE33CC">
      <w:pPr>
        <w:adjustRightInd w:val="0"/>
        <w:ind w:left="0"/>
        <w:jc w:val="both"/>
        <w:rPr>
          <w:rFonts w:ascii="Bookman Old Style" w:hAnsi="Bookman Old Style"/>
          <w:shd w:val="clear" w:color="auto" w:fill="FFFFFF"/>
        </w:rPr>
      </w:pPr>
      <w:r w:rsidRPr="00474A7C">
        <w:rPr>
          <w:rFonts w:ascii="Bookman Old Style" w:hAnsi="Bookman Old Style"/>
          <w:shd w:val="clear" w:color="auto" w:fill="FFFFFF"/>
        </w:rPr>
        <w:t>Con la Resolución CREG 095 de 2015 se aprobó la metodología para el cálculo de la tasa de descuento que se aplicará en las actividades de transporte de gas natural, distribución de gas combustible, transporte de GLP por ductos, transmisión y distribución de energía eléctrica en el sistema interconectado nacional, y generación y distribución de energía eléctric</w:t>
      </w:r>
      <w:r>
        <w:rPr>
          <w:rFonts w:ascii="Bookman Old Style" w:hAnsi="Bookman Old Style"/>
          <w:shd w:val="clear" w:color="auto" w:fill="FFFFFF"/>
        </w:rPr>
        <w:t xml:space="preserve">a en zonas no interconectadas. </w:t>
      </w:r>
    </w:p>
    <w:p w14:paraId="2D03CFC9" w14:textId="77777777" w:rsidR="00CE33CC" w:rsidRPr="00474A7C" w:rsidRDefault="00CE33CC" w:rsidP="00CE33CC">
      <w:pPr>
        <w:adjustRightInd w:val="0"/>
        <w:ind w:left="0"/>
        <w:jc w:val="both"/>
        <w:rPr>
          <w:rFonts w:ascii="Bookman Old Style" w:hAnsi="Bookman Old Style"/>
          <w:shd w:val="clear" w:color="auto" w:fill="FFFFFF"/>
        </w:rPr>
      </w:pPr>
    </w:p>
    <w:p w14:paraId="754817D5" w14:textId="1E3409F7" w:rsidR="00474A7C" w:rsidRPr="00474A7C" w:rsidRDefault="00474A7C" w:rsidP="00CE33CC">
      <w:pPr>
        <w:adjustRightInd w:val="0"/>
        <w:spacing w:after="240"/>
        <w:ind w:left="0"/>
        <w:jc w:val="both"/>
        <w:rPr>
          <w:rFonts w:ascii="Bookman Old Style" w:hAnsi="Bookman Old Style"/>
          <w:shd w:val="clear" w:color="auto" w:fill="FFFFFF"/>
        </w:rPr>
      </w:pPr>
      <w:r w:rsidRPr="00474A7C">
        <w:rPr>
          <w:rFonts w:ascii="Bookman Old Style" w:hAnsi="Bookman Old Style"/>
          <w:shd w:val="clear" w:color="auto" w:fill="FFFFFF"/>
        </w:rPr>
        <w:t>En la Resolución CREG 096 de 2015 se definen los valores de la prima por diferencias entre el esquema de remuneración del mercado de referencia y el esquema aplicado en Colombia (R_(</w:t>
      </w:r>
      <w:proofErr w:type="spellStart"/>
      <w:proofErr w:type="gramStart"/>
      <w:r w:rsidRPr="00474A7C">
        <w:rPr>
          <w:rFonts w:ascii="Bookman Old Style" w:hAnsi="Bookman Old Style"/>
          <w:shd w:val="clear" w:color="auto" w:fill="FFFFFF"/>
        </w:rPr>
        <w:t>r,a</w:t>
      </w:r>
      <w:proofErr w:type="spellEnd"/>
      <w:proofErr w:type="gramEnd"/>
      <w:r w:rsidRPr="00474A7C">
        <w:rPr>
          <w:rFonts w:ascii="Bookman Old Style" w:hAnsi="Bookman Old Style"/>
          <w:shd w:val="clear" w:color="auto" w:fill="FFFFFF"/>
        </w:rPr>
        <w:t>)) y la tasa de descuento para la actividad de dis</w:t>
      </w:r>
      <w:r>
        <w:rPr>
          <w:rFonts w:ascii="Bookman Old Style" w:hAnsi="Bookman Old Style"/>
          <w:shd w:val="clear" w:color="auto" w:fill="FFFFFF"/>
        </w:rPr>
        <w:t xml:space="preserve">tribución de gas combustible.  </w:t>
      </w:r>
    </w:p>
    <w:p w14:paraId="47B25ABE" w14:textId="1017C035" w:rsidR="00474A7C" w:rsidRPr="00474A7C" w:rsidRDefault="00474A7C" w:rsidP="00474A7C">
      <w:pPr>
        <w:adjustRightInd w:val="0"/>
        <w:spacing w:before="240" w:after="240"/>
        <w:ind w:left="0"/>
        <w:jc w:val="both"/>
        <w:rPr>
          <w:rFonts w:ascii="Bookman Old Style" w:hAnsi="Bookman Old Style"/>
          <w:shd w:val="clear" w:color="auto" w:fill="FFFFFF"/>
        </w:rPr>
      </w:pPr>
      <w:r w:rsidRPr="00474A7C">
        <w:rPr>
          <w:rFonts w:ascii="Bookman Old Style" w:hAnsi="Bookman Old Style"/>
          <w:shd w:val="clear" w:color="auto" w:fill="FFFFFF"/>
        </w:rPr>
        <w:t>A través de la Circular CREG 130 de 2015, se definió el proceso de presentación de solicitudes tarifarias para la aprobación de cargos de distribución de gas combustible por redes de tubería para nuevos mercados conforme a lo definido en la Resolución CREG 20</w:t>
      </w:r>
      <w:r>
        <w:rPr>
          <w:rFonts w:ascii="Bookman Old Style" w:hAnsi="Bookman Old Style"/>
          <w:shd w:val="clear" w:color="auto" w:fill="FFFFFF"/>
        </w:rPr>
        <w:t>2 de 2013 y sus modificatorias.</w:t>
      </w:r>
    </w:p>
    <w:p w14:paraId="4791738A" w14:textId="20501054" w:rsidR="00474A7C" w:rsidRDefault="00474A7C" w:rsidP="00474A7C">
      <w:pPr>
        <w:adjustRightInd w:val="0"/>
        <w:spacing w:before="240" w:after="240"/>
        <w:ind w:left="0"/>
        <w:jc w:val="both"/>
        <w:rPr>
          <w:rFonts w:ascii="Bookman Old Style" w:hAnsi="Bookman Old Style"/>
          <w:shd w:val="clear" w:color="auto" w:fill="FFFFFF"/>
        </w:rPr>
      </w:pPr>
      <w:r w:rsidRPr="00474A7C">
        <w:rPr>
          <w:rFonts w:ascii="Bookman Old Style" w:hAnsi="Bookman Old Style"/>
          <w:shd w:val="clear" w:color="auto" w:fill="FFFFFF"/>
        </w:rPr>
        <w:t>Mediante la Resolución CREG 093 del 11 de julio de 2016, se revocó parcialmente la Resolución CREG 202 de 2013, modificada por las Resoluciones CREG, 138 de 2014 y 125 de 2015.</w:t>
      </w:r>
    </w:p>
    <w:p w14:paraId="50567A33" w14:textId="71A77859" w:rsidR="00474A7C" w:rsidRDefault="00A36E15" w:rsidP="002405D6">
      <w:pPr>
        <w:adjustRightInd w:val="0"/>
        <w:spacing w:before="240" w:after="240"/>
        <w:ind w:left="0"/>
        <w:jc w:val="both"/>
        <w:rPr>
          <w:rFonts w:ascii="Bookman Old Style" w:hAnsi="Bookman Old Style"/>
          <w:shd w:val="clear" w:color="auto" w:fill="FFFFFF"/>
        </w:rPr>
      </w:pPr>
      <w:r>
        <w:rPr>
          <w:rFonts w:ascii="Bookman Old Style" w:hAnsi="Bookman Old Style"/>
          <w:shd w:val="clear" w:color="auto" w:fill="FFFFFF"/>
        </w:rPr>
        <w:t xml:space="preserve">La empresa INGENIERÍA Y SERVICIOS S.A. E.S.P., </w:t>
      </w:r>
      <w:r w:rsidRPr="00A36E15">
        <w:rPr>
          <w:rFonts w:ascii="Bookman Old Style" w:hAnsi="Bookman Old Style"/>
          <w:shd w:val="clear" w:color="auto" w:fill="FFFFFF"/>
        </w:rPr>
        <w:t xml:space="preserve">a través de la comunicación radicada en la CREG bajo el número </w:t>
      </w:r>
      <w:r w:rsidRPr="000769DB">
        <w:rPr>
          <w:rFonts w:ascii="Bookman Old Style" w:hAnsi="Bookman Old Style"/>
          <w:shd w:val="clear" w:color="auto" w:fill="FFFFFF"/>
        </w:rPr>
        <w:t>E-2017-</w:t>
      </w:r>
      <w:r w:rsidR="00AA31F3" w:rsidRPr="000769DB">
        <w:rPr>
          <w:rFonts w:ascii="Bookman Old Style" w:hAnsi="Bookman Old Style"/>
          <w:shd w:val="clear" w:color="auto" w:fill="FFFFFF"/>
        </w:rPr>
        <w:t>012045</w:t>
      </w:r>
      <w:r w:rsidR="00AA31F3">
        <w:rPr>
          <w:rFonts w:ascii="Bookman Old Style" w:hAnsi="Bookman Old Style"/>
          <w:shd w:val="clear" w:color="auto" w:fill="FFFFFF"/>
        </w:rPr>
        <w:t xml:space="preserve"> de diciembre 26 de 2017</w:t>
      </w:r>
      <w:r w:rsidRPr="00A36E15">
        <w:rPr>
          <w:rFonts w:ascii="Bookman Old Style" w:hAnsi="Bookman Old Style"/>
          <w:shd w:val="clear" w:color="auto" w:fill="FFFFFF"/>
        </w:rPr>
        <w:t xml:space="preserve">, solicitó aprobación de cargos de distribución de GLP por redes, para el mercado relevante conformado por </w:t>
      </w:r>
      <w:r w:rsidR="00AA31F3">
        <w:rPr>
          <w:rFonts w:ascii="Bookman Old Style" w:hAnsi="Bookman Old Style"/>
          <w:shd w:val="clear" w:color="auto" w:fill="FFFFFF"/>
        </w:rPr>
        <w:t xml:space="preserve">los municipios de Córdoba, </w:t>
      </w:r>
      <w:proofErr w:type="spellStart"/>
      <w:r w:rsidR="00AA31F3">
        <w:rPr>
          <w:rFonts w:ascii="Bookman Old Style" w:hAnsi="Bookman Old Style"/>
          <w:shd w:val="clear" w:color="auto" w:fill="FFFFFF"/>
        </w:rPr>
        <w:t>Guaitarilla</w:t>
      </w:r>
      <w:proofErr w:type="spellEnd"/>
      <w:r w:rsidR="00AA31F3">
        <w:rPr>
          <w:rFonts w:ascii="Bookman Old Style" w:hAnsi="Bookman Old Style"/>
          <w:shd w:val="clear" w:color="auto" w:fill="FFFFFF"/>
        </w:rPr>
        <w:t xml:space="preserve"> y </w:t>
      </w:r>
      <w:proofErr w:type="spellStart"/>
      <w:r w:rsidR="00AA31F3">
        <w:rPr>
          <w:rFonts w:ascii="Bookman Old Style" w:hAnsi="Bookman Old Style"/>
          <w:shd w:val="clear" w:color="auto" w:fill="FFFFFF"/>
        </w:rPr>
        <w:t>Pupiales</w:t>
      </w:r>
      <w:proofErr w:type="spellEnd"/>
      <w:r w:rsidR="00AA31F3">
        <w:rPr>
          <w:rFonts w:ascii="Bookman Old Style" w:hAnsi="Bookman Old Style"/>
          <w:shd w:val="clear" w:color="auto" w:fill="FFFFFF"/>
        </w:rPr>
        <w:t xml:space="preserve"> en el departamento de Nariño.</w:t>
      </w:r>
    </w:p>
    <w:p w14:paraId="3818100A" w14:textId="02320060" w:rsidR="00474A7C" w:rsidRPr="00075624" w:rsidRDefault="00657782" w:rsidP="00075624">
      <w:pPr>
        <w:adjustRightInd w:val="0"/>
        <w:spacing w:before="240" w:after="240"/>
        <w:ind w:left="0" w:right="23"/>
        <w:jc w:val="both"/>
        <w:rPr>
          <w:rFonts w:ascii="Bookman Old Style" w:hAnsi="Bookman Old Style"/>
          <w:i/>
        </w:rPr>
      </w:pPr>
      <w:r>
        <w:rPr>
          <w:rFonts w:ascii="Bookman Old Style" w:hAnsi="Bookman Old Style"/>
        </w:rPr>
        <w:t>L</w:t>
      </w:r>
      <w:r w:rsidRPr="00626EED">
        <w:rPr>
          <w:rFonts w:ascii="Bookman Old Style" w:hAnsi="Bookman Old Style"/>
        </w:rPr>
        <w:t>a Comisión de Regulación de</w:t>
      </w:r>
      <w:r>
        <w:rPr>
          <w:rFonts w:ascii="Bookman Old Style" w:hAnsi="Bookman Old Style"/>
        </w:rPr>
        <w:t xml:space="preserve"> Energía y Gas, en su sesión 870</w:t>
      </w:r>
      <w:r w:rsidRPr="00626EED">
        <w:rPr>
          <w:rFonts w:ascii="Bookman Old Style" w:hAnsi="Bookman Old Style"/>
        </w:rPr>
        <w:t xml:space="preserve"> del </w:t>
      </w:r>
      <w:r>
        <w:rPr>
          <w:rFonts w:ascii="Bookman Old Style" w:hAnsi="Bookman Old Style"/>
        </w:rPr>
        <w:t>31</w:t>
      </w:r>
      <w:r w:rsidRPr="00626EED">
        <w:rPr>
          <w:rFonts w:ascii="Bookman Old Style" w:hAnsi="Bookman Old Style"/>
        </w:rPr>
        <w:t xml:space="preserve"> de </w:t>
      </w:r>
      <w:r>
        <w:rPr>
          <w:rFonts w:ascii="Bookman Old Style" w:hAnsi="Bookman Old Style"/>
        </w:rPr>
        <w:t>julio</w:t>
      </w:r>
      <w:r w:rsidRPr="00626EED">
        <w:rPr>
          <w:rFonts w:ascii="Bookman Old Style" w:hAnsi="Bookman Old Style"/>
        </w:rPr>
        <w:t xml:space="preserve"> de 201</w:t>
      </w:r>
      <w:r>
        <w:rPr>
          <w:rFonts w:ascii="Bookman Old Style" w:hAnsi="Bookman Old Style"/>
        </w:rPr>
        <w:t>8</w:t>
      </w:r>
      <w:r w:rsidRPr="00626EED">
        <w:rPr>
          <w:rFonts w:ascii="Bookman Old Style" w:hAnsi="Bookman Old Style"/>
        </w:rPr>
        <w:t>, acord</w:t>
      </w:r>
      <w:r>
        <w:rPr>
          <w:rFonts w:ascii="Bookman Old Style" w:hAnsi="Bookman Old Style"/>
        </w:rPr>
        <w:t>ó expedir la Resolución CREG 111</w:t>
      </w:r>
      <w:r w:rsidRPr="00626EED">
        <w:rPr>
          <w:rFonts w:ascii="Bookman Old Style" w:hAnsi="Bookman Old Style"/>
        </w:rPr>
        <w:t xml:space="preserve"> de 201</w:t>
      </w:r>
      <w:r>
        <w:rPr>
          <w:rFonts w:ascii="Bookman Old Style" w:hAnsi="Bookman Old Style"/>
        </w:rPr>
        <w:t>8</w:t>
      </w:r>
      <w:r w:rsidRPr="00626EED">
        <w:rPr>
          <w:rFonts w:ascii="Bookman Old Style" w:hAnsi="Bookman Old Style"/>
        </w:rPr>
        <w:t xml:space="preserve"> </w:t>
      </w:r>
      <w:r w:rsidRPr="00E9554A">
        <w:rPr>
          <w:rFonts w:ascii="Bookman Old Style" w:hAnsi="Bookman Old Style"/>
          <w:i/>
        </w:rPr>
        <w:t>“</w:t>
      </w:r>
      <w:r w:rsidRPr="00657782">
        <w:rPr>
          <w:rFonts w:ascii="Bookman Old Style" w:hAnsi="Bookman Old Style"/>
          <w:i/>
        </w:rPr>
        <w:t xml:space="preserve">Por la cual se aprueba cargo de distribución transitorio por uso del sistema de distribución de gas combustible por redes de tubería para el mercado relevante conformado por los municipios de Córdoba, </w:t>
      </w:r>
      <w:proofErr w:type="spellStart"/>
      <w:r w:rsidRPr="00657782">
        <w:rPr>
          <w:rFonts w:ascii="Bookman Old Style" w:hAnsi="Bookman Old Style"/>
          <w:i/>
        </w:rPr>
        <w:t>Guaitarilla</w:t>
      </w:r>
      <w:proofErr w:type="spellEnd"/>
      <w:r w:rsidRPr="00657782">
        <w:rPr>
          <w:rFonts w:ascii="Bookman Old Style" w:hAnsi="Bookman Old Style"/>
          <w:i/>
        </w:rPr>
        <w:t xml:space="preserve"> y </w:t>
      </w:r>
      <w:proofErr w:type="spellStart"/>
      <w:r w:rsidRPr="00657782">
        <w:rPr>
          <w:rFonts w:ascii="Bookman Old Style" w:hAnsi="Bookman Old Style"/>
          <w:i/>
        </w:rPr>
        <w:t>Pupiales</w:t>
      </w:r>
      <w:proofErr w:type="spellEnd"/>
      <w:r w:rsidRPr="00657782">
        <w:rPr>
          <w:rFonts w:ascii="Bookman Old Style" w:hAnsi="Bookman Old Style"/>
          <w:i/>
        </w:rPr>
        <w:t xml:space="preserve"> en el departamento de Nariño, según solicitud tarifaria presentada por la empresa INGENIERIA Y SERVICIOS S.A. E.S.P.</w:t>
      </w:r>
    </w:p>
    <w:p w14:paraId="7882C70F" w14:textId="26D19230" w:rsidR="00626EED" w:rsidRDefault="00F148D2" w:rsidP="00626EED">
      <w:pPr>
        <w:adjustRightInd w:val="0"/>
        <w:spacing w:before="240" w:after="240"/>
        <w:ind w:left="0" w:right="23"/>
        <w:jc w:val="both"/>
        <w:rPr>
          <w:rFonts w:ascii="Bookman Old Style" w:hAnsi="Bookman Old Style"/>
        </w:rPr>
      </w:pPr>
      <w:r>
        <w:rPr>
          <w:rFonts w:ascii="Bookman Old Style" w:hAnsi="Bookman Old Style"/>
        </w:rPr>
        <w:t xml:space="preserve">La Resolución CREG </w:t>
      </w:r>
      <w:r w:rsidR="00075624">
        <w:rPr>
          <w:rFonts w:ascii="Bookman Old Style" w:hAnsi="Bookman Old Style"/>
        </w:rPr>
        <w:t>111</w:t>
      </w:r>
      <w:r w:rsidR="00626EED" w:rsidRPr="00626EED">
        <w:rPr>
          <w:rFonts w:ascii="Bookman Old Style" w:hAnsi="Bookman Old Style"/>
        </w:rPr>
        <w:t xml:space="preserve"> de 201</w:t>
      </w:r>
      <w:r>
        <w:rPr>
          <w:rFonts w:ascii="Bookman Old Style" w:hAnsi="Bookman Old Style"/>
        </w:rPr>
        <w:t>8</w:t>
      </w:r>
      <w:r w:rsidR="00626EED" w:rsidRPr="00626EED">
        <w:rPr>
          <w:rFonts w:ascii="Bookman Old Style" w:hAnsi="Bookman Old Style"/>
        </w:rPr>
        <w:t xml:space="preserve"> fue notificada </w:t>
      </w:r>
      <w:r w:rsidR="00075624">
        <w:rPr>
          <w:rFonts w:ascii="Bookman Old Style" w:hAnsi="Bookman Old Style"/>
        </w:rPr>
        <w:t>al</w:t>
      </w:r>
      <w:r>
        <w:rPr>
          <w:rFonts w:ascii="Bookman Old Style" w:hAnsi="Bookman Old Style"/>
        </w:rPr>
        <w:t xml:space="preserve"> gerente</w:t>
      </w:r>
      <w:r w:rsidR="00626EED" w:rsidRPr="00626EED">
        <w:rPr>
          <w:rFonts w:ascii="Bookman Old Style" w:hAnsi="Bookman Old Style"/>
        </w:rPr>
        <w:t xml:space="preserve"> de la empresa </w:t>
      </w:r>
      <w:r w:rsidR="00535716">
        <w:rPr>
          <w:rFonts w:ascii="Bookman Old Style" w:hAnsi="Bookman Old Style"/>
        </w:rPr>
        <w:t>INGENIERIA Y SERVICIOS S.A. E.S.P.</w:t>
      </w:r>
      <w:r w:rsidR="00075624">
        <w:rPr>
          <w:rFonts w:ascii="Bookman Old Style" w:hAnsi="Bookman Old Style"/>
        </w:rPr>
        <w:t xml:space="preserve"> </w:t>
      </w:r>
      <w:r w:rsidR="00626EED" w:rsidRPr="00626EED">
        <w:rPr>
          <w:rFonts w:ascii="Bookman Old Style" w:hAnsi="Bookman Old Style"/>
        </w:rPr>
        <w:t xml:space="preserve">el día </w:t>
      </w:r>
      <w:r w:rsidR="00075624">
        <w:rPr>
          <w:rFonts w:ascii="Bookman Old Style" w:hAnsi="Bookman Old Style"/>
        </w:rPr>
        <w:t>30</w:t>
      </w:r>
      <w:r w:rsidR="00626EED" w:rsidRPr="00626EED">
        <w:rPr>
          <w:rFonts w:ascii="Bookman Old Style" w:hAnsi="Bookman Old Style"/>
        </w:rPr>
        <w:t xml:space="preserve"> de </w:t>
      </w:r>
      <w:r w:rsidR="00075624">
        <w:rPr>
          <w:rFonts w:ascii="Bookman Old Style" w:hAnsi="Bookman Old Style"/>
        </w:rPr>
        <w:t>agosto</w:t>
      </w:r>
      <w:r w:rsidR="00626EED" w:rsidRPr="00626EED">
        <w:rPr>
          <w:rFonts w:ascii="Bookman Old Style" w:hAnsi="Bookman Old Style"/>
        </w:rPr>
        <w:t xml:space="preserve"> de 2018</w:t>
      </w:r>
      <w:r>
        <w:rPr>
          <w:rFonts w:ascii="Bookman Old Style" w:hAnsi="Bookman Old Style"/>
        </w:rPr>
        <w:t>,</w:t>
      </w:r>
      <w:r w:rsidR="00626EED" w:rsidRPr="00626EED">
        <w:rPr>
          <w:rFonts w:ascii="Bookman Old Style" w:hAnsi="Bookman Old Style"/>
        </w:rPr>
        <w:t xml:space="preserve"> tal como consta en el radicado CREG I-2018-00</w:t>
      </w:r>
      <w:r w:rsidR="00075624">
        <w:rPr>
          <w:rFonts w:ascii="Bookman Old Style" w:hAnsi="Bookman Old Style"/>
        </w:rPr>
        <w:t>4820</w:t>
      </w:r>
      <w:r w:rsidR="00626EED" w:rsidRPr="00626EED">
        <w:rPr>
          <w:rFonts w:ascii="Bookman Old Style" w:hAnsi="Bookman Old Style"/>
        </w:rPr>
        <w:t>.</w:t>
      </w:r>
    </w:p>
    <w:p w14:paraId="4C1B87F4" w14:textId="62663A01" w:rsidR="00DE0495" w:rsidRDefault="00626EED" w:rsidP="00626EED">
      <w:pPr>
        <w:adjustRightInd w:val="0"/>
        <w:spacing w:before="240" w:after="240"/>
        <w:ind w:left="0" w:right="23"/>
        <w:jc w:val="both"/>
        <w:rPr>
          <w:rFonts w:ascii="Bookman Old Style" w:hAnsi="Bookman Old Style"/>
        </w:rPr>
      </w:pPr>
      <w:r w:rsidRPr="00626EED">
        <w:rPr>
          <w:rFonts w:ascii="Bookman Old Style" w:hAnsi="Bookman Old Style"/>
        </w:rPr>
        <w:t>Surtido el trámite de notificación de la referida decisión y estando dentro del término legal,</w:t>
      </w:r>
      <w:r w:rsidR="00F148D2">
        <w:rPr>
          <w:rFonts w:ascii="Bookman Old Style" w:hAnsi="Bookman Old Style"/>
        </w:rPr>
        <w:t xml:space="preserve"> </w:t>
      </w:r>
      <w:r w:rsidRPr="00626EED">
        <w:rPr>
          <w:rFonts w:ascii="Bookman Old Style" w:hAnsi="Bookman Old Style"/>
        </w:rPr>
        <w:t xml:space="preserve">el representante legal de </w:t>
      </w:r>
      <w:r w:rsidR="00535716">
        <w:rPr>
          <w:rFonts w:ascii="Bookman Old Style" w:hAnsi="Bookman Old Style"/>
        </w:rPr>
        <w:t>INGENIERIA Y SERVICIOS S.A. E.S.P.</w:t>
      </w:r>
      <w:r w:rsidR="00197207">
        <w:rPr>
          <w:rFonts w:ascii="Bookman Old Style" w:hAnsi="Bookman Old Style"/>
        </w:rPr>
        <w:t xml:space="preserve"> </w:t>
      </w:r>
      <w:r w:rsidRPr="00626EED">
        <w:rPr>
          <w:rFonts w:ascii="Bookman Old Style" w:hAnsi="Bookman Old Style"/>
        </w:rPr>
        <w:t xml:space="preserve">interpuso recurso de reposición contra la mencionada resolución el </w:t>
      </w:r>
      <w:r w:rsidR="00A2302C">
        <w:rPr>
          <w:rFonts w:ascii="Bookman Old Style" w:hAnsi="Bookman Old Style"/>
        </w:rPr>
        <w:t>06</w:t>
      </w:r>
      <w:r w:rsidRPr="00626EED">
        <w:rPr>
          <w:rFonts w:ascii="Bookman Old Style" w:hAnsi="Bookman Old Style"/>
        </w:rPr>
        <w:t xml:space="preserve"> de </w:t>
      </w:r>
      <w:r w:rsidR="00A2302C">
        <w:rPr>
          <w:rFonts w:ascii="Bookman Old Style" w:hAnsi="Bookman Old Style"/>
        </w:rPr>
        <w:t xml:space="preserve">septiembre </w:t>
      </w:r>
      <w:r w:rsidRPr="00626EED">
        <w:rPr>
          <w:rFonts w:ascii="Bookman Old Style" w:hAnsi="Bookman Old Style"/>
        </w:rPr>
        <w:t>de 2018</w:t>
      </w:r>
      <w:r w:rsidR="00E35ABE">
        <w:rPr>
          <w:rFonts w:ascii="Bookman Old Style" w:hAnsi="Bookman Old Style"/>
        </w:rPr>
        <w:t xml:space="preserve"> mediante radicado</w:t>
      </w:r>
      <w:r w:rsidR="00475E85">
        <w:rPr>
          <w:rFonts w:ascii="Bookman Old Style" w:hAnsi="Bookman Old Style"/>
        </w:rPr>
        <w:t>s</w:t>
      </w:r>
      <w:r w:rsidR="00E35ABE">
        <w:rPr>
          <w:rFonts w:ascii="Bookman Old Style" w:hAnsi="Bookman Old Style"/>
        </w:rPr>
        <w:t xml:space="preserve"> CREG E-2018-00</w:t>
      </w:r>
      <w:r w:rsidR="00A2302C">
        <w:rPr>
          <w:rFonts w:ascii="Bookman Old Style" w:hAnsi="Bookman Old Style"/>
        </w:rPr>
        <w:t>9099</w:t>
      </w:r>
      <w:r w:rsidR="00475E85">
        <w:rPr>
          <w:rFonts w:ascii="Bookman Old Style" w:hAnsi="Bookman Old Style"/>
        </w:rPr>
        <w:t xml:space="preserve"> y E-2018-00</w:t>
      </w:r>
      <w:r w:rsidR="00A2302C">
        <w:rPr>
          <w:rFonts w:ascii="Bookman Old Style" w:hAnsi="Bookman Old Style"/>
        </w:rPr>
        <w:t>9100</w:t>
      </w:r>
      <w:r w:rsidR="00E35ABE">
        <w:rPr>
          <w:rFonts w:ascii="Bookman Old Style" w:hAnsi="Bookman Old Style"/>
        </w:rPr>
        <w:t>.</w:t>
      </w:r>
    </w:p>
    <w:p w14:paraId="573B7F12" w14:textId="68B6397E" w:rsidR="00EB1039" w:rsidRDefault="003E4D0A" w:rsidP="00EB1039">
      <w:pPr>
        <w:spacing w:before="240" w:after="240"/>
        <w:ind w:left="0"/>
        <w:jc w:val="both"/>
        <w:rPr>
          <w:rFonts w:ascii="Bookman Old Style" w:hAnsi="Bookman Old Style"/>
          <w:lang w:val="es-ES_tradnl"/>
        </w:rPr>
      </w:pPr>
      <w:r>
        <w:rPr>
          <w:rFonts w:ascii="Bookman Old Style" w:hAnsi="Bookman Old Style"/>
          <w:lang w:val="es-ES_tradnl"/>
        </w:rPr>
        <w:t>Como soporte del recurso de reposición, la empresa solicita que se tengan en cuenta las siguientes pruebas:</w:t>
      </w:r>
      <w:r w:rsidR="003724AC">
        <w:rPr>
          <w:rFonts w:ascii="Bookman Old Style" w:hAnsi="Bookman Old Style"/>
          <w:lang w:val="es-ES_tradnl"/>
        </w:rPr>
        <w:t xml:space="preserve"> </w:t>
      </w:r>
    </w:p>
    <w:p w14:paraId="31C87D20" w14:textId="77777777" w:rsidR="00D73007" w:rsidRDefault="00D73007" w:rsidP="00D73007">
      <w:pPr>
        <w:ind w:left="0"/>
        <w:jc w:val="both"/>
        <w:rPr>
          <w:rFonts w:ascii="Bookman Old Style" w:hAnsi="Bookman Old Style"/>
          <w:lang w:val="es-ES_tradnl"/>
        </w:rPr>
      </w:pPr>
    </w:p>
    <w:p w14:paraId="2086B0CE" w14:textId="11DE5643" w:rsidR="00EB1039" w:rsidRDefault="00A2302C" w:rsidP="00D73007">
      <w:pPr>
        <w:pStyle w:val="Prrafodelista"/>
        <w:numPr>
          <w:ilvl w:val="0"/>
          <w:numId w:val="10"/>
        </w:numPr>
        <w:ind w:left="567" w:hanging="567"/>
        <w:jc w:val="both"/>
        <w:rPr>
          <w:rFonts w:ascii="Bookman Old Style" w:hAnsi="Bookman Old Style"/>
          <w:sz w:val="24"/>
          <w:szCs w:val="24"/>
          <w:lang w:val="es-ES_tradnl"/>
        </w:rPr>
      </w:pPr>
      <w:r>
        <w:rPr>
          <w:rFonts w:ascii="Bookman Old Style" w:hAnsi="Bookman Old Style"/>
          <w:sz w:val="24"/>
          <w:szCs w:val="24"/>
          <w:lang w:val="es-ES_tradnl"/>
        </w:rPr>
        <w:t xml:space="preserve">Estudio de proyección de demanda para el mercado de gas conformado por los municipios de Córdoba, </w:t>
      </w:r>
      <w:proofErr w:type="spellStart"/>
      <w:r>
        <w:rPr>
          <w:rFonts w:ascii="Bookman Old Style" w:hAnsi="Bookman Old Style"/>
          <w:sz w:val="24"/>
          <w:szCs w:val="24"/>
          <w:lang w:val="es-ES_tradnl"/>
        </w:rPr>
        <w:t>Guaitarilla</w:t>
      </w:r>
      <w:proofErr w:type="spellEnd"/>
      <w:r>
        <w:rPr>
          <w:rFonts w:ascii="Bookman Old Style" w:hAnsi="Bookman Old Style"/>
          <w:sz w:val="24"/>
          <w:szCs w:val="24"/>
          <w:lang w:val="es-ES_tradnl"/>
        </w:rPr>
        <w:t xml:space="preserve"> y </w:t>
      </w:r>
      <w:proofErr w:type="spellStart"/>
      <w:r>
        <w:rPr>
          <w:rFonts w:ascii="Bookman Old Style" w:hAnsi="Bookman Old Style"/>
          <w:sz w:val="24"/>
          <w:szCs w:val="24"/>
          <w:lang w:val="es-ES_tradnl"/>
        </w:rPr>
        <w:t>Pupiales</w:t>
      </w:r>
      <w:proofErr w:type="spellEnd"/>
      <w:r>
        <w:rPr>
          <w:rFonts w:ascii="Bookman Old Style" w:hAnsi="Bookman Old Style"/>
          <w:sz w:val="24"/>
          <w:szCs w:val="24"/>
          <w:lang w:val="es-ES_tradnl"/>
        </w:rPr>
        <w:t xml:space="preserve"> (Nariño).</w:t>
      </w:r>
    </w:p>
    <w:p w14:paraId="6A398B73" w14:textId="6C015236" w:rsidR="00EB1039" w:rsidRPr="00382A13" w:rsidRDefault="00A2302C" w:rsidP="00323CA3">
      <w:pPr>
        <w:pStyle w:val="Prrafodelista"/>
        <w:numPr>
          <w:ilvl w:val="0"/>
          <w:numId w:val="10"/>
        </w:numPr>
        <w:spacing w:before="240" w:after="240"/>
        <w:ind w:left="567" w:hanging="567"/>
        <w:jc w:val="both"/>
        <w:rPr>
          <w:rFonts w:ascii="Bookman Old Style" w:hAnsi="Bookman Old Style"/>
          <w:sz w:val="24"/>
          <w:szCs w:val="24"/>
          <w:lang w:val="es-ES_tradnl"/>
        </w:rPr>
      </w:pPr>
      <w:r>
        <w:rPr>
          <w:rFonts w:ascii="Bookman Old Style" w:hAnsi="Bookman Old Style"/>
          <w:sz w:val="24"/>
          <w:szCs w:val="24"/>
          <w:lang w:val="es-ES_tradnl"/>
        </w:rPr>
        <w:t xml:space="preserve">Anexo 2 de las Resoluciones CREG 087 de 2010 y 075 de 2013, contrastadas con el número de usuarios realmente conectados </w:t>
      </w:r>
      <w:r w:rsidR="00FB06CC">
        <w:rPr>
          <w:rFonts w:ascii="Bookman Old Style" w:hAnsi="Bookman Old Style"/>
          <w:sz w:val="24"/>
          <w:szCs w:val="24"/>
          <w:lang w:val="es-ES_tradnl"/>
        </w:rPr>
        <w:t>en estos mercados, según la información oficial del Sistema Único de información de la Superintendencia de Servicios Públicos – SUI.</w:t>
      </w:r>
    </w:p>
    <w:p w14:paraId="3CA7B8F5" w14:textId="13CB3CB8" w:rsidR="00EB1039" w:rsidRPr="00382A13" w:rsidRDefault="00FB06CC" w:rsidP="00323CA3">
      <w:pPr>
        <w:pStyle w:val="Prrafodelista"/>
        <w:numPr>
          <w:ilvl w:val="0"/>
          <w:numId w:val="10"/>
        </w:numPr>
        <w:spacing w:before="240" w:after="240"/>
        <w:ind w:left="567" w:hanging="567"/>
        <w:jc w:val="both"/>
        <w:rPr>
          <w:rFonts w:ascii="Bookman Old Style" w:hAnsi="Bookman Old Style"/>
          <w:sz w:val="24"/>
          <w:szCs w:val="24"/>
          <w:lang w:val="es-ES_tradnl"/>
        </w:rPr>
      </w:pPr>
      <w:r>
        <w:rPr>
          <w:rFonts w:ascii="Bookman Old Style" w:hAnsi="Bookman Old Style"/>
          <w:sz w:val="24"/>
          <w:szCs w:val="24"/>
          <w:lang w:val="es-ES_tradnl"/>
        </w:rPr>
        <w:t>Copia simple del Convenio de Cofinanciación GGC 645 de 2017.</w:t>
      </w:r>
    </w:p>
    <w:p w14:paraId="096F645A" w14:textId="04359DE8" w:rsidR="00EB1039" w:rsidRDefault="00FB06CC" w:rsidP="00323CA3">
      <w:pPr>
        <w:pStyle w:val="Prrafodelista"/>
        <w:numPr>
          <w:ilvl w:val="0"/>
          <w:numId w:val="10"/>
        </w:numPr>
        <w:spacing w:before="240" w:after="240"/>
        <w:ind w:left="567" w:hanging="567"/>
        <w:jc w:val="both"/>
        <w:rPr>
          <w:rFonts w:ascii="Bookman Old Style" w:hAnsi="Bookman Old Style"/>
          <w:sz w:val="24"/>
          <w:szCs w:val="24"/>
          <w:lang w:val="es-ES_tradnl"/>
        </w:rPr>
      </w:pPr>
      <w:r>
        <w:rPr>
          <w:rFonts w:ascii="Bookman Old Style" w:hAnsi="Bookman Old Style"/>
          <w:sz w:val="24"/>
          <w:szCs w:val="24"/>
          <w:lang w:val="es-ES_tradnl"/>
        </w:rPr>
        <w:t>Oficiar al Ministerio de Minas y Energía, en particular con el supervisor del convenio GGC 645 de 2017, con el ánimo de validar los siguientes aspectos:</w:t>
      </w:r>
    </w:p>
    <w:p w14:paraId="17F78C60" w14:textId="4E7F0ADB" w:rsidR="00FB06CC" w:rsidRDefault="00FB06CC" w:rsidP="00FB06CC">
      <w:pPr>
        <w:pStyle w:val="Prrafodelista"/>
        <w:numPr>
          <w:ilvl w:val="1"/>
          <w:numId w:val="10"/>
        </w:numPr>
        <w:spacing w:before="240" w:after="240"/>
        <w:jc w:val="both"/>
        <w:rPr>
          <w:rFonts w:ascii="Bookman Old Style" w:hAnsi="Bookman Old Style"/>
          <w:sz w:val="24"/>
          <w:szCs w:val="24"/>
          <w:lang w:val="es-ES_tradnl"/>
        </w:rPr>
      </w:pPr>
      <w:r>
        <w:rPr>
          <w:rFonts w:ascii="Bookman Old Style" w:hAnsi="Bookman Old Style"/>
          <w:sz w:val="24"/>
          <w:szCs w:val="24"/>
          <w:lang w:val="es-ES_tradnl"/>
        </w:rPr>
        <w:t>Realización del total de las inversiones asociadas al nuevo mercado de gas, en el año 1 del nuevo mercado, incluso siendo posible su total terminación antes del inicio de la vigencia de los cargos de distribución y comercialización.</w:t>
      </w:r>
    </w:p>
    <w:p w14:paraId="08BAF46F" w14:textId="06565F4B" w:rsidR="00FB06CC" w:rsidRPr="000D588F" w:rsidRDefault="00FB06CC" w:rsidP="000D588F">
      <w:pPr>
        <w:pStyle w:val="Prrafodelista"/>
        <w:numPr>
          <w:ilvl w:val="1"/>
          <w:numId w:val="10"/>
        </w:numPr>
        <w:spacing w:before="240" w:after="240"/>
        <w:jc w:val="both"/>
        <w:rPr>
          <w:rFonts w:ascii="Bookman Old Style" w:hAnsi="Bookman Old Style"/>
          <w:sz w:val="24"/>
          <w:szCs w:val="24"/>
          <w:lang w:val="es-ES_tradnl"/>
        </w:rPr>
      </w:pPr>
      <w:r>
        <w:rPr>
          <w:rFonts w:ascii="Bookman Old Style" w:hAnsi="Bookman Old Style"/>
          <w:sz w:val="24"/>
          <w:szCs w:val="24"/>
          <w:lang w:val="es-ES_tradnl"/>
        </w:rPr>
        <w:t>Verificar que los subsidios al cargo por conexión incluidos en el convenio</w:t>
      </w:r>
      <w:r w:rsidR="000D588F">
        <w:rPr>
          <w:rFonts w:ascii="Bookman Old Style" w:hAnsi="Bookman Old Style"/>
          <w:sz w:val="24"/>
          <w:szCs w:val="24"/>
          <w:lang w:val="es-ES_tradnl"/>
        </w:rPr>
        <w:t>, NO fue posible hacerlos efectivos, por razones ajenas al distribuidor.</w:t>
      </w:r>
      <w:r>
        <w:rPr>
          <w:rFonts w:ascii="Bookman Old Style" w:hAnsi="Bookman Old Style"/>
          <w:sz w:val="24"/>
          <w:szCs w:val="24"/>
          <w:lang w:val="es-ES_tradnl"/>
        </w:rPr>
        <w:t xml:space="preserve"> </w:t>
      </w:r>
    </w:p>
    <w:p w14:paraId="53683BA7" w14:textId="77777777" w:rsidR="00626EED" w:rsidRPr="00626EED" w:rsidRDefault="00626EED" w:rsidP="00245A33">
      <w:pPr>
        <w:pStyle w:val="Ttulo5"/>
        <w:numPr>
          <w:ilvl w:val="0"/>
          <w:numId w:val="2"/>
        </w:numPr>
        <w:tabs>
          <w:tab w:val="clear" w:pos="1080"/>
          <w:tab w:val="num" w:pos="567"/>
        </w:tabs>
        <w:spacing w:before="360" w:after="240"/>
        <w:ind w:left="567" w:hanging="567"/>
        <w:jc w:val="both"/>
        <w:rPr>
          <w:rFonts w:ascii="Bookman Old Style" w:hAnsi="Bookman Old Style"/>
          <w:sz w:val="24"/>
          <w:szCs w:val="24"/>
          <w:lang w:eastAsia="es-ES_tradnl"/>
        </w:rPr>
      </w:pPr>
      <w:r w:rsidRPr="00626EED">
        <w:rPr>
          <w:rFonts w:ascii="Bookman Old Style" w:hAnsi="Bookman Old Style"/>
          <w:sz w:val="24"/>
          <w:szCs w:val="24"/>
          <w:lang w:eastAsia="es-ES_tradnl"/>
        </w:rPr>
        <w:t>CONSIDERACIONES DEL RECURRENTE</w:t>
      </w:r>
    </w:p>
    <w:p w14:paraId="1B9E2439" w14:textId="30DC7AE8" w:rsidR="00DB24AD" w:rsidRDefault="00DB24AD" w:rsidP="00AF2987">
      <w:pPr>
        <w:adjustRightInd w:val="0"/>
        <w:spacing w:before="240" w:after="240"/>
        <w:ind w:left="0" w:right="23"/>
        <w:jc w:val="both"/>
        <w:rPr>
          <w:rFonts w:ascii="Bookman Old Style" w:hAnsi="Bookman Old Style"/>
        </w:rPr>
      </w:pPr>
      <w:r>
        <w:rPr>
          <w:rFonts w:ascii="Bookman Old Style" w:hAnsi="Bookman Old Style"/>
        </w:rPr>
        <w:t>Señala el recurrente que la metodología de Costos Medio de Mediano Plazo se fundamenta en proyecciones de inversiones, demandas y gastos de administración, operación y mantenimiento, proyecciones que fueron realizadas y presentadas por la empresa a través de la comunicación E-2017-012045 del 26 de diciembre de 2017.</w:t>
      </w:r>
    </w:p>
    <w:p w14:paraId="1563D4B3" w14:textId="473F9D04" w:rsidR="00684A8B" w:rsidRDefault="00684A8B" w:rsidP="00AF2987">
      <w:pPr>
        <w:adjustRightInd w:val="0"/>
        <w:spacing w:before="240" w:after="240"/>
        <w:ind w:left="0" w:right="23"/>
        <w:jc w:val="both"/>
        <w:rPr>
          <w:rFonts w:ascii="Bookman Old Style" w:hAnsi="Bookman Old Style"/>
        </w:rPr>
      </w:pPr>
      <w:r>
        <w:rPr>
          <w:rFonts w:ascii="Bookman Old Style" w:hAnsi="Bookman Old Style"/>
        </w:rPr>
        <w:t xml:space="preserve">Que mediante el convenio de Cofinanciación No. 645 del 21 de diciembre de 2017, el Ministerio de Minas y Energía e INGENIERÍA Y SERVICIOS S.A. E.S.P., establecieron las condiciones para adelantar el proyecto de implementación del servicio de gas GLP por redes en los municipios de Córdoba, </w:t>
      </w:r>
      <w:proofErr w:type="spellStart"/>
      <w:r>
        <w:rPr>
          <w:rFonts w:ascii="Bookman Old Style" w:hAnsi="Bookman Old Style"/>
        </w:rPr>
        <w:t>Guaitarilla</w:t>
      </w:r>
      <w:proofErr w:type="spellEnd"/>
      <w:r>
        <w:rPr>
          <w:rFonts w:ascii="Bookman Old Style" w:hAnsi="Bookman Old Style"/>
        </w:rPr>
        <w:t xml:space="preserve"> y </w:t>
      </w:r>
      <w:proofErr w:type="spellStart"/>
      <w:r>
        <w:rPr>
          <w:rFonts w:ascii="Bookman Old Style" w:hAnsi="Bookman Old Style"/>
        </w:rPr>
        <w:t>Pupiales</w:t>
      </w:r>
      <w:proofErr w:type="spellEnd"/>
      <w:r>
        <w:rPr>
          <w:rFonts w:ascii="Bookman Old Style" w:hAnsi="Bookman Old Style"/>
        </w:rPr>
        <w:t>, en el departamento de Nariño.</w:t>
      </w:r>
    </w:p>
    <w:p w14:paraId="74C5D038" w14:textId="363F5168" w:rsidR="00E633CA" w:rsidRDefault="000D00BC" w:rsidP="00AF2987">
      <w:pPr>
        <w:adjustRightInd w:val="0"/>
        <w:spacing w:before="240" w:after="240"/>
        <w:ind w:left="0" w:right="23"/>
        <w:jc w:val="both"/>
        <w:rPr>
          <w:rFonts w:ascii="Bookman Old Style" w:hAnsi="Bookman Old Style"/>
        </w:rPr>
      </w:pPr>
      <w:r>
        <w:rPr>
          <w:rFonts w:ascii="Bookman Old Style" w:hAnsi="Bookman Old Style"/>
        </w:rPr>
        <w:t>E</w:t>
      </w:r>
      <w:r w:rsidR="00BB5045">
        <w:rPr>
          <w:rFonts w:ascii="Bookman Old Style" w:hAnsi="Bookman Old Style"/>
        </w:rPr>
        <w:t>xpone</w:t>
      </w:r>
      <w:r w:rsidR="00E633CA">
        <w:rPr>
          <w:rFonts w:ascii="Bookman Old Style" w:hAnsi="Bookman Old Style"/>
        </w:rPr>
        <w:t xml:space="preserve"> que los cronogramas son desarrollados en un orden específico, es decir, primero construyen la infraestructura para luego realizar las conexiones a los usuarios</w:t>
      </w:r>
      <w:r w:rsidR="00C041A1">
        <w:rPr>
          <w:rFonts w:ascii="Bookman Old Style" w:hAnsi="Bookman Old Style"/>
        </w:rPr>
        <w:t xml:space="preserve"> y </w:t>
      </w:r>
      <w:r w:rsidR="00E633CA">
        <w:rPr>
          <w:rFonts w:ascii="Bookman Old Style" w:hAnsi="Bookman Old Style"/>
        </w:rPr>
        <w:t>al ser aprobado por el MME constituye una obligación contractual de la empresa.</w:t>
      </w:r>
      <w:r w:rsidR="00C041A1">
        <w:rPr>
          <w:rFonts w:ascii="Bookman Old Style" w:hAnsi="Bookman Old Style"/>
        </w:rPr>
        <w:t xml:space="preserve"> </w:t>
      </w:r>
      <w:r w:rsidR="00104E6C">
        <w:rPr>
          <w:rFonts w:ascii="Bookman Old Style" w:hAnsi="Bookman Old Style"/>
        </w:rPr>
        <w:t>A su vez, afirma que</w:t>
      </w:r>
      <w:r w:rsidR="00C041A1">
        <w:rPr>
          <w:rFonts w:ascii="Bookman Old Style" w:hAnsi="Bookman Old Style"/>
        </w:rPr>
        <w:t xml:space="preserve"> la conexión de los usuarios siempre está sujeta a la entrada en vigencia del acto administrativo que determina los cargos de distribución y comercialización para establecer la tarifa a cobrar, donde por más que la infraestructura esté completamente construida, cuente con los avales técnicos y cumpla con las pruebas previas para la operación, no puede regulatoriamente proceder a la conexión de los usuarios sin que exista</w:t>
      </w:r>
      <w:r w:rsidR="00104E6C">
        <w:rPr>
          <w:rFonts w:ascii="Bookman Old Style" w:hAnsi="Bookman Old Style"/>
        </w:rPr>
        <w:t>n</w:t>
      </w:r>
      <w:r w:rsidR="00C041A1">
        <w:rPr>
          <w:rFonts w:ascii="Bookman Old Style" w:hAnsi="Bookman Old Style"/>
        </w:rPr>
        <w:t xml:space="preserve"> los cargos aprobados.</w:t>
      </w:r>
    </w:p>
    <w:p w14:paraId="311D9F01" w14:textId="77777777" w:rsidR="00D73007" w:rsidRDefault="00D73007" w:rsidP="00AF2987">
      <w:pPr>
        <w:adjustRightInd w:val="0"/>
        <w:spacing w:before="240" w:after="240"/>
        <w:ind w:left="0" w:right="23"/>
        <w:jc w:val="both"/>
        <w:rPr>
          <w:rFonts w:ascii="Bookman Old Style" w:hAnsi="Bookman Old Style"/>
        </w:rPr>
      </w:pPr>
    </w:p>
    <w:p w14:paraId="5CB98D47" w14:textId="77777777" w:rsidR="00D73007" w:rsidRDefault="00D73007" w:rsidP="00D73007">
      <w:pPr>
        <w:adjustRightInd w:val="0"/>
        <w:ind w:left="0" w:right="23"/>
        <w:jc w:val="both"/>
        <w:rPr>
          <w:rFonts w:ascii="Bookman Old Style" w:hAnsi="Bookman Old Style"/>
        </w:rPr>
      </w:pPr>
    </w:p>
    <w:p w14:paraId="06F229C8" w14:textId="5FD72BD6" w:rsidR="00E633CA" w:rsidRDefault="00043601" w:rsidP="00AF2987">
      <w:pPr>
        <w:adjustRightInd w:val="0"/>
        <w:spacing w:before="240" w:after="240"/>
        <w:ind w:left="0" w:right="23"/>
        <w:jc w:val="both"/>
        <w:rPr>
          <w:rFonts w:ascii="Bookman Old Style" w:hAnsi="Bookman Old Style"/>
        </w:rPr>
      </w:pPr>
      <w:r>
        <w:rPr>
          <w:rFonts w:ascii="Bookman Old Style" w:hAnsi="Bookman Old Style"/>
        </w:rPr>
        <w:t xml:space="preserve">El recurrente </w:t>
      </w:r>
      <w:r w:rsidR="000D00BC">
        <w:rPr>
          <w:rFonts w:ascii="Bookman Old Style" w:hAnsi="Bookman Old Style"/>
        </w:rPr>
        <w:t>informa</w:t>
      </w:r>
      <w:r>
        <w:rPr>
          <w:rFonts w:ascii="Bookman Old Style" w:hAnsi="Bookman Old Style"/>
        </w:rPr>
        <w:t xml:space="preserve"> </w:t>
      </w:r>
      <w:r w:rsidR="009E7EFC">
        <w:rPr>
          <w:rFonts w:ascii="Bookman Old Style" w:hAnsi="Bookman Old Style"/>
        </w:rPr>
        <w:t>que dentro de los aportes contractuales, se incluyen subsidios a los derechos de conexión de los usuarios de menores ingresos (estratos 1 y 2), los cuales corresponden al 97.5% del total de los usuarios potenciales del servicio, donde, el cronograma de conexión de estos usuarios se estableció considerando el desembolso de los recursos para dicha conexi</w:t>
      </w:r>
      <w:r w:rsidR="00377184">
        <w:rPr>
          <w:rFonts w:ascii="Bookman Old Style" w:hAnsi="Bookman Old Style"/>
        </w:rPr>
        <w:t>ón, es decir, el Ministerio de Minas y Energía aportaría recursos tanto para la infraestructura como para la conexi</w:t>
      </w:r>
      <w:r w:rsidR="000D00BC">
        <w:rPr>
          <w:rFonts w:ascii="Bookman Old Style" w:hAnsi="Bookman Old Style"/>
        </w:rPr>
        <w:t>ón de los us</w:t>
      </w:r>
      <w:r w:rsidR="00377184">
        <w:rPr>
          <w:rFonts w:ascii="Bookman Old Style" w:hAnsi="Bookman Old Style"/>
        </w:rPr>
        <w:t>u</w:t>
      </w:r>
      <w:r w:rsidR="000D00BC">
        <w:rPr>
          <w:rFonts w:ascii="Bookman Old Style" w:hAnsi="Bookman Old Style"/>
        </w:rPr>
        <w:t>a</w:t>
      </w:r>
      <w:r w:rsidR="00377184">
        <w:rPr>
          <w:rFonts w:ascii="Bookman Old Style" w:hAnsi="Bookman Old Style"/>
        </w:rPr>
        <w:t>rios</w:t>
      </w:r>
      <w:r w:rsidR="000D00BC">
        <w:rPr>
          <w:rFonts w:ascii="Bookman Old Style" w:hAnsi="Bookman Old Style"/>
        </w:rPr>
        <w:t>.</w:t>
      </w:r>
    </w:p>
    <w:p w14:paraId="0D34BB3B" w14:textId="2E654984" w:rsidR="006174B1" w:rsidRDefault="00156581" w:rsidP="00AF2987">
      <w:pPr>
        <w:adjustRightInd w:val="0"/>
        <w:spacing w:before="240" w:after="240"/>
        <w:ind w:left="0" w:right="23"/>
        <w:jc w:val="both"/>
        <w:rPr>
          <w:rFonts w:ascii="Bookman Old Style" w:hAnsi="Bookman Old Style"/>
        </w:rPr>
      </w:pPr>
      <w:r>
        <w:rPr>
          <w:rFonts w:ascii="Bookman Old Style" w:hAnsi="Bookman Old Style"/>
        </w:rPr>
        <w:t>Afirma</w:t>
      </w:r>
      <w:r w:rsidR="000D00BC">
        <w:rPr>
          <w:rFonts w:ascii="Bookman Old Style" w:hAnsi="Bookman Old Style"/>
        </w:rPr>
        <w:t xml:space="preserve"> que </w:t>
      </w:r>
      <w:r w:rsidR="00334335">
        <w:rPr>
          <w:rFonts w:ascii="Bookman Old Style" w:hAnsi="Bookman Old Style"/>
        </w:rPr>
        <w:t>la vinculación de usuarios no será posible en los plazos señalados inicialmen</w:t>
      </w:r>
      <w:r w:rsidR="006E0241">
        <w:rPr>
          <w:rFonts w:ascii="Bookman Old Style" w:hAnsi="Bookman Old Style"/>
        </w:rPr>
        <w:t>te (1 año), por lo cual, estima</w:t>
      </w:r>
      <w:r w:rsidR="00334335">
        <w:rPr>
          <w:rFonts w:ascii="Bookman Old Style" w:hAnsi="Bookman Old Style"/>
        </w:rPr>
        <w:t xml:space="preserve"> que el 100% de los usuarios se materializará al final del cuarto (4) año, </w:t>
      </w:r>
      <w:r w:rsidR="006E0241">
        <w:rPr>
          <w:rFonts w:ascii="Bookman Old Style" w:hAnsi="Bookman Old Style"/>
        </w:rPr>
        <w:t>lo anterior, infiriendo a partir del</w:t>
      </w:r>
      <w:r w:rsidR="00334335">
        <w:rPr>
          <w:rFonts w:ascii="Bookman Old Style" w:hAnsi="Bookman Old Style"/>
        </w:rPr>
        <w:t xml:space="preserve"> crecimiento real de los mercados de gas, en particular de</w:t>
      </w:r>
      <w:r w:rsidR="006E0241">
        <w:rPr>
          <w:rFonts w:ascii="Bookman Old Style" w:hAnsi="Bookman Old Style"/>
        </w:rPr>
        <w:t>l</w:t>
      </w:r>
      <w:r w:rsidR="00334335">
        <w:rPr>
          <w:rFonts w:ascii="Bookman Old Style" w:hAnsi="Bookman Old Style"/>
        </w:rPr>
        <w:t xml:space="preserve"> GLP por redes.</w:t>
      </w:r>
    </w:p>
    <w:p w14:paraId="446118AE" w14:textId="7EC21AF3" w:rsidR="006174B1" w:rsidRDefault="006174B1" w:rsidP="00AF2987">
      <w:pPr>
        <w:adjustRightInd w:val="0"/>
        <w:spacing w:before="240" w:after="240"/>
        <w:ind w:left="0" w:right="23"/>
        <w:jc w:val="both"/>
        <w:rPr>
          <w:rFonts w:ascii="Bookman Old Style" w:hAnsi="Bookman Old Style"/>
        </w:rPr>
      </w:pPr>
      <w:r>
        <w:rPr>
          <w:rFonts w:ascii="Bookman Old Style" w:hAnsi="Bookman Old Style"/>
        </w:rPr>
        <w:t>El recurrente manifiesta que la CREG ha sido consistente durante las dos últimas propuestas metodológicas en señalar que los activos que se construyan deberán guardar una relación directa con la demanda, no obstante, ya que está frente a un mercado nuevo las redes que se construyen tienen como objeto atender una demanda potencial y no real, ya que una demanda futura ha sido afectada por circunstancias externas, propias de los tiempos que el regulador dispone para realizar los trámites propios de un cálculo tarifario y que en buena medida resultan imprevisibles y, en otros casos por situaciones propias de la dinámica del negocio, tales como una dificultad de la labor comercial que no se ha podido desarrollar con la oportunidad deseada y que en todo caso implica una obligación de medio y no de resultado tanto ante el Ministerio de Minas y Energía, como ante la CREG.</w:t>
      </w:r>
    </w:p>
    <w:p w14:paraId="03D068E1" w14:textId="7790DFD9" w:rsidR="006174B1" w:rsidRDefault="004B4D48" w:rsidP="00AF2987">
      <w:pPr>
        <w:adjustRightInd w:val="0"/>
        <w:spacing w:before="240" w:after="240"/>
        <w:ind w:left="0" w:right="23"/>
        <w:jc w:val="both"/>
        <w:rPr>
          <w:rFonts w:ascii="Bookman Old Style" w:hAnsi="Bookman Old Style"/>
        </w:rPr>
      </w:pPr>
      <w:r>
        <w:rPr>
          <w:rFonts w:ascii="Bookman Old Style" w:hAnsi="Bookman Old Style"/>
        </w:rPr>
        <w:t xml:space="preserve">Lo anterior </w:t>
      </w:r>
      <w:r w:rsidR="00156581">
        <w:rPr>
          <w:rFonts w:ascii="Bookman Old Style" w:hAnsi="Bookman Old Style"/>
        </w:rPr>
        <w:t>involucra</w:t>
      </w:r>
      <w:r w:rsidR="006174B1">
        <w:rPr>
          <w:rFonts w:ascii="Bookman Old Style" w:hAnsi="Bookman Old Style"/>
        </w:rPr>
        <w:t xml:space="preserve"> que se deben hacer ajustes para acercar la demanda al nivel de eficiencia real en relación con la infraestructura construida para evitar que las ineficiencias de este fenómeno sean trasladadas de forma injusta tanto a los usuarios como a las empresas en este caso, ya que el principio de eficiencia económica que orienta la Ley 142 debe ser entendido en esta doble vía.</w:t>
      </w:r>
    </w:p>
    <w:p w14:paraId="4FB52430" w14:textId="77777777" w:rsidR="0026133D" w:rsidRDefault="00843ACF" w:rsidP="00AF2987">
      <w:pPr>
        <w:adjustRightInd w:val="0"/>
        <w:spacing w:before="240" w:after="240"/>
        <w:ind w:left="0" w:right="23"/>
        <w:jc w:val="both"/>
        <w:rPr>
          <w:rFonts w:ascii="Bookman Old Style" w:hAnsi="Bookman Old Style"/>
        </w:rPr>
      </w:pPr>
      <w:r>
        <w:rPr>
          <w:rFonts w:ascii="Bookman Old Style" w:hAnsi="Bookman Old Style"/>
        </w:rPr>
        <w:t xml:space="preserve">Adicionalmente </w:t>
      </w:r>
      <w:r w:rsidR="00E80977">
        <w:rPr>
          <w:rFonts w:ascii="Bookman Old Style" w:hAnsi="Bookman Old Style"/>
        </w:rPr>
        <w:t>expone que la Comisión elevó artificialmente la demanda</w:t>
      </w:r>
      <w:r w:rsidR="00B62CF7">
        <w:rPr>
          <w:rFonts w:ascii="Bookman Old Style" w:hAnsi="Bookman Old Style"/>
        </w:rPr>
        <w:t xml:space="preserve"> del mercado</w:t>
      </w:r>
      <w:r w:rsidR="00E80977">
        <w:rPr>
          <w:rFonts w:ascii="Bookman Old Style" w:hAnsi="Bookman Old Style"/>
        </w:rPr>
        <w:t xml:space="preserve"> aplicando el Factor de Uso Eficiente de Redes – FUE–  </w:t>
      </w:r>
      <w:r w:rsidR="00B62CF7">
        <w:rPr>
          <w:rFonts w:ascii="Bookman Old Style" w:hAnsi="Bookman Old Style"/>
        </w:rPr>
        <w:t>afectando la eficiencia del cargo en detrimento de los interesas de INGENIERÍA Y SERVICIOS S.A. E.S.P.</w:t>
      </w:r>
      <w:r w:rsidR="000862BD">
        <w:rPr>
          <w:rFonts w:ascii="Bookman Old Style" w:hAnsi="Bookman Old Style"/>
        </w:rPr>
        <w:t xml:space="preserve"> prestando el servicio en condiciones de pérdidas, que sería la realidad a la que se vería avocada INS si se mantienen las proyecciones de deman</w:t>
      </w:r>
      <w:r w:rsidR="0026133D">
        <w:rPr>
          <w:rFonts w:ascii="Bookman Old Style" w:hAnsi="Bookman Old Style"/>
        </w:rPr>
        <w:t>da del 100% para el primer año.</w:t>
      </w:r>
    </w:p>
    <w:p w14:paraId="4F5E7663" w14:textId="2B8A2E07" w:rsidR="00BB5045" w:rsidRDefault="00E57E2E" w:rsidP="00AF2987">
      <w:pPr>
        <w:adjustRightInd w:val="0"/>
        <w:spacing w:before="240" w:after="240"/>
        <w:ind w:left="0" w:right="23"/>
        <w:jc w:val="both"/>
        <w:rPr>
          <w:rFonts w:ascii="Bookman Old Style" w:hAnsi="Bookman Old Style"/>
        </w:rPr>
      </w:pPr>
      <w:r>
        <w:rPr>
          <w:rFonts w:ascii="Bookman Old Style" w:hAnsi="Bookman Old Style"/>
        </w:rPr>
        <w:t xml:space="preserve">Argumenta que </w:t>
      </w:r>
      <w:r w:rsidR="0026133D">
        <w:rPr>
          <w:rFonts w:ascii="Bookman Old Style" w:hAnsi="Bookman Old Style"/>
        </w:rPr>
        <w:t>el</w:t>
      </w:r>
      <w:r w:rsidR="0026133D" w:rsidRPr="0026133D">
        <w:rPr>
          <w:rFonts w:ascii="Bookman Old Style" w:hAnsi="Bookman Old Style"/>
        </w:rPr>
        <w:t xml:space="preserve"> impacto en la proyección de usuarios se refleja en los cargos aprobados en la Resolución</w:t>
      </w:r>
      <w:r w:rsidR="0026133D">
        <w:rPr>
          <w:rFonts w:ascii="Bookman Old Style" w:hAnsi="Bookman Old Style"/>
        </w:rPr>
        <w:t xml:space="preserve"> </w:t>
      </w:r>
      <w:r w:rsidR="0026133D" w:rsidRPr="0026133D">
        <w:rPr>
          <w:rFonts w:ascii="Bookman Old Style" w:hAnsi="Bookman Old Style"/>
        </w:rPr>
        <w:t>111</w:t>
      </w:r>
      <w:r w:rsidR="00156581">
        <w:rPr>
          <w:rFonts w:ascii="Bookman Old Style" w:hAnsi="Bookman Old Style"/>
        </w:rPr>
        <w:t xml:space="preserve"> </w:t>
      </w:r>
      <w:r w:rsidR="0026133D" w:rsidRPr="0026133D">
        <w:rPr>
          <w:rFonts w:ascii="Bookman Old Style" w:hAnsi="Bookman Old Style"/>
        </w:rPr>
        <w:t>de 2</w:t>
      </w:r>
      <w:r w:rsidR="0026133D">
        <w:rPr>
          <w:rFonts w:ascii="Bookman Old Style" w:hAnsi="Bookman Old Style"/>
        </w:rPr>
        <w:t>018</w:t>
      </w:r>
      <w:r w:rsidR="0026133D" w:rsidRPr="0026133D">
        <w:rPr>
          <w:rFonts w:ascii="Bookman Old Style" w:hAnsi="Bookman Old Style"/>
        </w:rPr>
        <w:t>, los cuales presenta</w:t>
      </w:r>
      <w:r w:rsidR="0026133D">
        <w:rPr>
          <w:rFonts w:ascii="Bookman Old Style" w:hAnsi="Bookman Old Style"/>
        </w:rPr>
        <w:t>n</w:t>
      </w:r>
      <w:r w:rsidR="0026133D" w:rsidRPr="0026133D">
        <w:rPr>
          <w:rFonts w:ascii="Bookman Old Style" w:hAnsi="Bookman Old Style"/>
        </w:rPr>
        <w:t xml:space="preserve"> un desequilibrio económico que afecta al prestador, siendo necesario garantizar</w:t>
      </w:r>
      <w:r w:rsidR="0026133D">
        <w:rPr>
          <w:rFonts w:ascii="Bookman Old Style" w:hAnsi="Bookman Old Style"/>
        </w:rPr>
        <w:t xml:space="preserve"> </w:t>
      </w:r>
      <w:r w:rsidR="0026133D" w:rsidRPr="0026133D">
        <w:rPr>
          <w:rFonts w:ascii="Bookman Old Style" w:hAnsi="Bookman Old Style"/>
        </w:rPr>
        <w:t>que los cargos aprobados garanticen la suficiencia financiera del nuevo mercado,</w:t>
      </w:r>
      <w:r w:rsidR="0026133D">
        <w:rPr>
          <w:rFonts w:ascii="Bookman Old Style" w:hAnsi="Bookman Old Style"/>
        </w:rPr>
        <w:t xml:space="preserve"> </w:t>
      </w:r>
      <w:r w:rsidR="0026133D" w:rsidRPr="0026133D">
        <w:rPr>
          <w:rFonts w:ascii="Bookman Old Style" w:hAnsi="Bookman Old Style"/>
        </w:rPr>
        <w:t>permitiendo la remuneración de inversiones</w:t>
      </w:r>
      <w:r w:rsidR="0026133D">
        <w:rPr>
          <w:rFonts w:ascii="Bookman Old Style" w:hAnsi="Bookman Old Style"/>
        </w:rPr>
        <w:t xml:space="preserve"> </w:t>
      </w:r>
      <w:r w:rsidR="0026133D" w:rsidRPr="0026133D">
        <w:rPr>
          <w:rFonts w:ascii="Bookman Old Style" w:hAnsi="Bookman Old Style"/>
        </w:rPr>
        <w:t>y</w:t>
      </w:r>
      <w:r w:rsidR="0026133D">
        <w:rPr>
          <w:rFonts w:ascii="Bookman Old Style" w:hAnsi="Bookman Old Style"/>
        </w:rPr>
        <w:t xml:space="preserve"> </w:t>
      </w:r>
      <w:r w:rsidR="0026133D" w:rsidRPr="0026133D">
        <w:rPr>
          <w:rFonts w:ascii="Bookman Old Style" w:hAnsi="Bookman Old Style"/>
        </w:rPr>
        <w:t xml:space="preserve">gastos </w:t>
      </w:r>
      <w:r w:rsidR="0026133D">
        <w:rPr>
          <w:rFonts w:ascii="Bookman Old Style" w:hAnsi="Bookman Old Style"/>
        </w:rPr>
        <w:t xml:space="preserve">AOM </w:t>
      </w:r>
      <w:r w:rsidR="0026133D" w:rsidRPr="0026133D">
        <w:rPr>
          <w:rFonts w:ascii="Bookman Old Style" w:hAnsi="Bookman Old Style"/>
        </w:rPr>
        <w:t>acorde</w:t>
      </w:r>
      <w:r w:rsidR="0026133D">
        <w:rPr>
          <w:rFonts w:ascii="Bookman Old Style" w:hAnsi="Bookman Old Style"/>
        </w:rPr>
        <w:t xml:space="preserve"> </w:t>
      </w:r>
      <w:r w:rsidR="0026133D" w:rsidRPr="0026133D">
        <w:rPr>
          <w:rFonts w:ascii="Bookman Old Style" w:hAnsi="Bookman Old Style"/>
        </w:rPr>
        <w:t>a</w:t>
      </w:r>
      <w:r w:rsidR="0026133D">
        <w:rPr>
          <w:rFonts w:ascii="Bookman Old Style" w:hAnsi="Bookman Old Style"/>
        </w:rPr>
        <w:t xml:space="preserve"> </w:t>
      </w:r>
      <w:r w:rsidR="0026133D" w:rsidRPr="0026133D">
        <w:rPr>
          <w:rFonts w:ascii="Bookman Old Style" w:hAnsi="Bookman Old Style"/>
        </w:rPr>
        <w:t>los costos de su ejecución,</w:t>
      </w:r>
      <w:r w:rsidR="0026133D">
        <w:rPr>
          <w:rFonts w:ascii="Bookman Old Style" w:hAnsi="Bookman Old Style"/>
        </w:rPr>
        <w:t xml:space="preserve"> </w:t>
      </w:r>
      <w:r w:rsidR="0026133D" w:rsidRPr="0026133D">
        <w:rPr>
          <w:rFonts w:ascii="Bookman Old Style" w:hAnsi="Bookman Old Style"/>
        </w:rPr>
        <w:t xml:space="preserve">los cuales con las condiciones </w:t>
      </w:r>
      <w:r w:rsidR="00364EEE">
        <w:rPr>
          <w:rFonts w:ascii="Bookman Old Style" w:hAnsi="Bookman Old Style"/>
        </w:rPr>
        <w:t xml:space="preserve">de demanda </w:t>
      </w:r>
      <w:r w:rsidR="0026133D" w:rsidRPr="0026133D">
        <w:rPr>
          <w:rFonts w:ascii="Bookman Old Style" w:hAnsi="Bookman Old Style"/>
        </w:rPr>
        <w:t>consideradas no cubren los costos reales, ya que distan en gran medida de la progresividad en la vinculación de los usuarios propia</w:t>
      </w:r>
      <w:r w:rsidR="00364EEE">
        <w:rPr>
          <w:rFonts w:ascii="Bookman Old Style" w:hAnsi="Bookman Old Style"/>
        </w:rPr>
        <w:t xml:space="preserve"> de este tipo de mercados de GLP</w:t>
      </w:r>
      <w:r w:rsidR="0026133D" w:rsidRPr="0026133D">
        <w:rPr>
          <w:rFonts w:ascii="Bookman Old Style" w:hAnsi="Bookman Old Style"/>
        </w:rPr>
        <w:t xml:space="preserve"> por redes</w:t>
      </w:r>
      <w:r w:rsidR="00364EEE">
        <w:rPr>
          <w:rFonts w:ascii="Bookman Old Style" w:hAnsi="Bookman Old Style"/>
        </w:rPr>
        <w:t>.</w:t>
      </w:r>
    </w:p>
    <w:p w14:paraId="5A34547B" w14:textId="77777777" w:rsidR="00D73007" w:rsidRDefault="00D73007" w:rsidP="00D73007">
      <w:pPr>
        <w:pStyle w:val="Style20"/>
        <w:shd w:val="clear" w:color="auto" w:fill="auto"/>
        <w:spacing w:before="0" w:after="0" w:line="264" w:lineRule="exact"/>
        <w:ind w:left="20" w:right="20" w:firstLine="0"/>
        <w:rPr>
          <w:rFonts w:ascii="Bookman Old Style" w:hAnsi="Bookman Old Style" w:cs="Times New Roman"/>
          <w:sz w:val="24"/>
          <w:szCs w:val="24"/>
          <w:lang w:val="es-ES" w:eastAsia="es-ES"/>
        </w:rPr>
      </w:pPr>
    </w:p>
    <w:p w14:paraId="31FCB9EE" w14:textId="40961F1C" w:rsidR="00173B98" w:rsidRPr="00173B98" w:rsidRDefault="00173B98" w:rsidP="00173B98">
      <w:pPr>
        <w:pStyle w:val="Style20"/>
        <w:shd w:val="clear" w:color="auto" w:fill="auto"/>
        <w:spacing w:before="0" w:after="240" w:line="264" w:lineRule="exact"/>
        <w:ind w:left="20" w:right="20" w:firstLine="0"/>
        <w:rPr>
          <w:rFonts w:ascii="Bookman Old Style" w:hAnsi="Bookman Old Style" w:cs="Times New Roman"/>
          <w:sz w:val="24"/>
          <w:szCs w:val="24"/>
          <w:lang w:val="es-ES" w:eastAsia="es-ES"/>
        </w:rPr>
      </w:pPr>
      <w:r>
        <w:rPr>
          <w:rFonts w:ascii="Bookman Old Style" w:hAnsi="Bookman Old Style" w:cs="Times New Roman"/>
          <w:sz w:val="24"/>
          <w:szCs w:val="24"/>
          <w:lang w:val="es-ES" w:eastAsia="es-ES"/>
        </w:rPr>
        <w:t>En el mismo sentido, afirma</w:t>
      </w:r>
      <w:r w:rsidRPr="00173B98">
        <w:rPr>
          <w:rFonts w:ascii="Bookman Old Style" w:hAnsi="Bookman Old Style" w:cs="Times New Roman"/>
          <w:sz w:val="24"/>
          <w:szCs w:val="24"/>
          <w:lang w:val="es-ES" w:eastAsia="es-ES"/>
        </w:rPr>
        <w:t xml:space="preserve"> que el establecimiento del F</w:t>
      </w:r>
      <w:r>
        <w:rPr>
          <w:rFonts w:ascii="Bookman Old Style" w:hAnsi="Bookman Old Style" w:cs="Times New Roman"/>
          <w:sz w:val="24"/>
          <w:szCs w:val="24"/>
          <w:lang w:val="es-ES" w:eastAsia="es-ES"/>
        </w:rPr>
        <w:t>UE, es</w:t>
      </w:r>
      <w:r w:rsidRPr="00173B98">
        <w:rPr>
          <w:rFonts w:ascii="Bookman Old Style" w:hAnsi="Bookman Old Style" w:cs="Times New Roman"/>
          <w:sz w:val="24"/>
          <w:szCs w:val="24"/>
          <w:lang w:val="es-ES" w:eastAsia="es-ES"/>
        </w:rPr>
        <w:t xml:space="preserve"> un claro precedente del desfase entre la capacidad de uso</w:t>
      </w:r>
      <w:r>
        <w:rPr>
          <w:rFonts w:ascii="Bookman Old Style" w:hAnsi="Bookman Old Style" w:cs="Times New Roman"/>
          <w:sz w:val="24"/>
          <w:szCs w:val="24"/>
          <w:lang w:val="es-ES" w:eastAsia="es-ES"/>
        </w:rPr>
        <w:t xml:space="preserve"> </w:t>
      </w:r>
      <w:r w:rsidRPr="00173B98">
        <w:rPr>
          <w:rFonts w:ascii="Bookman Old Style" w:hAnsi="Bookman Old Style" w:cs="Times New Roman"/>
          <w:sz w:val="24"/>
          <w:szCs w:val="24"/>
          <w:lang w:val="es-ES" w:eastAsia="es-ES"/>
        </w:rPr>
        <w:t>de la red instalada y la efectiva demanda generada por los usuarios que se vinculan anualmente,</w:t>
      </w:r>
      <w:r>
        <w:rPr>
          <w:rFonts w:ascii="Bookman Old Style" w:hAnsi="Bookman Old Style" w:cs="Times New Roman"/>
          <w:sz w:val="24"/>
          <w:szCs w:val="24"/>
          <w:lang w:val="es-ES" w:eastAsia="es-ES"/>
        </w:rPr>
        <w:t xml:space="preserve"> donde la C</w:t>
      </w:r>
      <w:r w:rsidRPr="00173B98">
        <w:rPr>
          <w:rFonts w:ascii="Bookman Old Style" w:hAnsi="Bookman Old Style" w:cs="Times New Roman"/>
          <w:sz w:val="24"/>
          <w:szCs w:val="24"/>
          <w:lang w:val="es-ES" w:eastAsia="es-ES"/>
        </w:rPr>
        <w:t>omisión</w:t>
      </w:r>
      <w:r>
        <w:rPr>
          <w:rFonts w:ascii="Bookman Old Style" w:hAnsi="Bookman Old Style" w:cs="Times New Roman"/>
          <w:sz w:val="24"/>
          <w:szCs w:val="24"/>
          <w:lang w:val="es-ES" w:eastAsia="es-ES"/>
        </w:rPr>
        <w:t xml:space="preserve"> </w:t>
      </w:r>
      <w:r w:rsidRPr="00173B98">
        <w:rPr>
          <w:rFonts w:ascii="Bookman Old Style" w:hAnsi="Bookman Old Style" w:cs="Times New Roman"/>
          <w:sz w:val="24"/>
          <w:szCs w:val="24"/>
          <w:lang w:val="es-ES" w:eastAsia="es-ES"/>
        </w:rPr>
        <w:t>cuantificó este aspecto</w:t>
      </w:r>
      <w:r>
        <w:rPr>
          <w:rFonts w:ascii="Bookman Old Style" w:hAnsi="Bookman Old Style" w:cs="Times New Roman"/>
          <w:sz w:val="24"/>
          <w:szCs w:val="24"/>
          <w:lang w:val="es-ES" w:eastAsia="es-ES"/>
        </w:rPr>
        <w:t xml:space="preserve"> </w:t>
      </w:r>
      <w:r w:rsidRPr="00173B98">
        <w:rPr>
          <w:rFonts w:ascii="Bookman Old Style" w:hAnsi="Bookman Old Style" w:cs="Times New Roman"/>
          <w:sz w:val="24"/>
          <w:szCs w:val="24"/>
          <w:lang w:val="es-ES" w:eastAsia="es-ES"/>
        </w:rPr>
        <w:t>a</w:t>
      </w:r>
      <w:r>
        <w:rPr>
          <w:rFonts w:ascii="Bookman Old Style" w:hAnsi="Bookman Old Style" w:cs="Times New Roman"/>
          <w:sz w:val="24"/>
          <w:szCs w:val="24"/>
          <w:lang w:val="es-ES" w:eastAsia="es-ES"/>
        </w:rPr>
        <w:t xml:space="preserve"> </w:t>
      </w:r>
      <w:r w:rsidRPr="00173B98">
        <w:rPr>
          <w:rFonts w:ascii="Bookman Old Style" w:hAnsi="Bookman Old Style" w:cs="Times New Roman"/>
          <w:sz w:val="24"/>
          <w:szCs w:val="24"/>
          <w:lang w:val="es-ES" w:eastAsia="es-ES"/>
        </w:rPr>
        <w:t>través de lo establecido en el anexo19</w:t>
      </w:r>
      <w:r>
        <w:rPr>
          <w:rFonts w:ascii="Bookman Old Style" w:hAnsi="Bookman Old Style" w:cs="Times New Roman"/>
          <w:sz w:val="24"/>
          <w:szCs w:val="24"/>
          <w:lang w:val="es-ES" w:eastAsia="es-ES"/>
        </w:rPr>
        <w:t xml:space="preserve"> </w:t>
      </w:r>
      <w:r w:rsidRPr="00173B98">
        <w:rPr>
          <w:rFonts w:ascii="Bookman Old Style" w:hAnsi="Bookman Old Style" w:cs="Times New Roman"/>
          <w:sz w:val="24"/>
          <w:szCs w:val="24"/>
          <w:lang w:val="es-ES" w:eastAsia="es-ES"/>
        </w:rPr>
        <w:t>y</w:t>
      </w:r>
      <w:r>
        <w:rPr>
          <w:rFonts w:ascii="Bookman Old Style" w:hAnsi="Bookman Old Style" w:cs="Times New Roman"/>
          <w:sz w:val="24"/>
          <w:szCs w:val="24"/>
          <w:lang w:val="es-ES" w:eastAsia="es-ES"/>
        </w:rPr>
        <w:t xml:space="preserve"> </w:t>
      </w:r>
      <w:r w:rsidRPr="00173B98">
        <w:rPr>
          <w:rFonts w:ascii="Bookman Old Style" w:hAnsi="Bookman Old Style" w:cs="Times New Roman"/>
          <w:sz w:val="24"/>
          <w:szCs w:val="24"/>
          <w:lang w:val="es-ES" w:eastAsia="es-ES"/>
        </w:rPr>
        <w:t>2</w:t>
      </w:r>
      <w:r>
        <w:rPr>
          <w:rFonts w:ascii="Bookman Old Style" w:hAnsi="Bookman Old Style" w:cs="Times New Roman"/>
          <w:sz w:val="24"/>
          <w:szCs w:val="24"/>
          <w:lang w:val="es-ES" w:eastAsia="es-ES"/>
        </w:rPr>
        <w:t>0</w:t>
      </w:r>
      <w:r w:rsidR="00F6559D">
        <w:rPr>
          <w:rFonts w:ascii="Bookman Old Style" w:hAnsi="Bookman Old Style" w:cs="Times New Roman"/>
          <w:sz w:val="24"/>
          <w:szCs w:val="24"/>
          <w:lang w:val="es-ES" w:eastAsia="es-ES"/>
        </w:rPr>
        <w:t xml:space="preserve"> de la resolución C</w:t>
      </w:r>
      <w:r>
        <w:rPr>
          <w:rFonts w:ascii="Bookman Old Style" w:hAnsi="Bookman Old Style" w:cs="Times New Roman"/>
          <w:sz w:val="24"/>
          <w:szCs w:val="24"/>
          <w:lang w:val="es-ES" w:eastAsia="es-ES"/>
        </w:rPr>
        <w:t>REG 202 de 20</w:t>
      </w:r>
      <w:r w:rsidRPr="00173B98">
        <w:rPr>
          <w:rFonts w:ascii="Bookman Old Style" w:hAnsi="Bookman Old Style" w:cs="Times New Roman"/>
          <w:sz w:val="24"/>
          <w:szCs w:val="24"/>
          <w:lang w:val="es-ES" w:eastAsia="es-ES"/>
        </w:rPr>
        <w:t>13,</w:t>
      </w:r>
      <w:r w:rsidR="00156581">
        <w:rPr>
          <w:rFonts w:ascii="Bookman Old Style" w:hAnsi="Bookman Old Style" w:cs="Times New Roman"/>
          <w:sz w:val="24"/>
          <w:szCs w:val="24"/>
          <w:lang w:val="es-ES" w:eastAsia="es-ES"/>
        </w:rPr>
        <w:t xml:space="preserve"> </w:t>
      </w:r>
      <w:r w:rsidRPr="00173B98">
        <w:rPr>
          <w:rFonts w:ascii="Bookman Old Style" w:hAnsi="Bookman Old Style" w:cs="Times New Roman"/>
          <w:sz w:val="24"/>
          <w:szCs w:val="24"/>
          <w:lang w:val="es-ES" w:eastAsia="es-ES"/>
        </w:rPr>
        <w:t>en el que acorde con la antigüedad del mercado se establece una meta</w:t>
      </w:r>
      <w:r>
        <w:rPr>
          <w:rFonts w:ascii="Bookman Old Style" w:hAnsi="Bookman Old Style" w:cs="Times New Roman"/>
          <w:sz w:val="24"/>
          <w:szCs w:val="24"/>
          <w:lang w:val="es-ES" w:eastAsia="es-ES"/>
        </w:rPr>
        <w:t xml:space="preserve"> </w:t>
      </w:r>
      <w:r w:rsidRPr="00173B98">
        <w:rPr>
          <w:rFonts w:ascii="Bookman Old Style" w:hAnsi="Bookman Old Style" w:cs="Times New Roman"/>
          <w:sz w:val="24"/>
          <w:szCs w:val="24"/>
          <w:lang w:val="es-ES" w:eastAsia="es-ES"/>
        </w:rPr>
        <w:t>a</w:t>
      </w:r>
      <w:r>
        <w:rPr>
          <w:rFonts w:ascii="Bookman Old Style" w:hAnsi="Bookman Old Style" w:cs="Times New Roman"/>
          <w:sz w:val="24"/>
          <w:szCs w:val="24"/>
          <w:lang w:val="es-ES" w:eastAsia="es-ES"/>
        </w:rPr>
        <w:t xml:space="preserve"> </w:t>
      </w:r>
      <w:r w:rsidRPr="00173B98">
        <w:rPr>
          <w:rFonts w:ascii="Bookman Old Style" w:hAnsi="Bookman Old Style" w:cs="Times New Roman"/>
          <w:sz w:val="24"/>
          <w:szCs w:val="24"/>
          <w:lang w:val="es-ES" w:eastAsia="es-ES"/>
        </w:rPr>
        <w:t>lograr como factor de uso eficiente de redes, para el nuevo mercado se co</w:t>
      </w:r>
      <w:r>
        <w:rPr>
          <w:rFonts w:ascii="Bookman Old Style" w:hAnsi="Bookman Old Style" w:cs="Times New Roman"/>
          <w:sz w:val="24"/>
          <w:szCs w:val="24"/>
          <w:lang w:val="es-ES" w:eastAsia="es-ES"/>
        </w:rPr>
        <w:t>nsidera el grupo metodológico 3</w:t>
      </w:r>
      <w:r w:rsidRPr="00173B98">
        <w:rPr>
          <w:rFonts w:ascii="Bookman Old Style" w:hAnsi="Bookman Old Style" w:cs="Times New Roman"/>
          <w:sz w:val="24"/>
          <w:szCs w:val="24"/>
          <w:vertAlign w:val="superscript"/>
          <w:lang w:val="es-ES" w:eastAsia="es-ES"/>
        </w:rPr>
        <w:t>2</w:t>
      </w:r>
      <w:r w:rsidRPr="00173B98">
        <w:rPr>
          <w:rFonts w:ascii="Bookman Old Style" w:hAnsi="Bookman Old Style" w:cs="Times New Roman"/>
          <w:sz w:val="24"/>
          <w:szCs w:val="24"/>
          <w:lang w:val="es-ES" w:eastAsia="es-ES"/>
        </w:rPr>
        <w:t xml:space="preserve"> (M3)el cual considera una eficiencia del 75%.</w:t>
      </w:r>
    </w:p>
    <w:p w14:paraId="37D89ACE" w14:textId="54676836" w:rsidR="00BB5045" w:rsidRDefault="004B4D48" w:rsidP="00AF2987">
      <w:pPr>
        <w:adjustRightInd w:val="0"/>
        <w:spacing w:before="240" w:after="240"/>
        <w:ind w:left="0" w:right="23"/>
        <w:jc w:val="both"/>
        <w:rPr>
          <w:rFonts w:ascii="Bookman Old Style" w:hAnsi="Bookman Old Style"/>
        </w:rPr>
      </w:pPr>
      <w:r>
        <w:rPr>
          <w:rFonts w:ascii="Bookman Old Style" w:hAnsi="Bookman Old Style"/>
        </w:rPr>
        <w:t>E</w:t>
      </w:r>
      <w:r w:rsidR="00F6559D">
        <w:rPr>
          <w:rFonts w:ascii="Bookman Old Style" w:hAnsi="Bookman Old Style"/>
        </w:rPr>
        <w:t xml:space="preserve">l recurrente </w:t>
      </w:r>
      <w:r>
        <w:rPr>
          <w:rFonts w:ascii="Bookman Old Style" w:hAnsi="Bookman Old Style"/>
        </w:rPr>
        <w:t xml:space="preserve">propone </w:t>
      </w:r>
      <w:r w:rsidR="00F6559D">
        <w:rPr>
          <w:rFonts w:ascii="Bookman Old Style" w:hAnsi="Bookman Old Style"/>
        </w:rPr>
        <w:t xml:space="preserve">que </w:t>
      </w:r>
      <w:r w:rsidR="00F6559D" w:rsidRPr="00F6559D">
        <w:rPr>
          <w:rFonts w:ascii="Bookman Old Style" w:hAnsi="Bookman Old Style"/>
        </w:rPr>
        <w:t xml:space="preserve">se realice el ajuste a la proyección en la vinculación de los usuarios del nuevo mercado, realizando </w:t>
      </w:r>
      <w:r w:rsidR="00F6559D">
        <w:rPr>
          <w:rFonts w:ascii="Bookman Old Style" w:hAnsi="Bookman Old Style"/>
        </w:rPr>
        <w:t>progresivamente la vinculación h</w:t>
      </w:r>
      <w:r w:rsidR="00F6559D" w:rsidRPr="00F6559D">
        <w:rPr>
          <w:rFonts w:ascii="Bookman Old Style" w:hAnsi="Bookman Old Style"/>
        </w:rPr>
        <w:t>asta alcanzar</w:t>
      </w:r>
      <w:r w:rsidR="00F6559D">
        <w:rPr>
          <w:rFonts w:ascii="Bookman Old Style" w:hAnsi="Bookman Old Style"/>
        </w:rPr>
        <w:t xml:space="preserve"> el 100</w:t>
      </w:r>
      <w:r w:rsidR="00F6559D" w:rsidRPr="00F6559D">
        <w:rPr>
          <w:rFonts w:ascii="Bookman Old Style" w:hAnsi="Bookman Old Style"/>
        </w:rPr>
        <w:t>% en los primeros cuatro (4)</w:t>
      </w:r>
      <w:r w:rsidR="00F6559D">
        <w:rPr>
          <w:rFonts w:ascii="Bookman Old Style" w:hAnsi="Bookman Old Style"/>
        </w:rPr>
        <w:t xml:space="preserve"> años De tal forma que INS</w:t>
      </w:r>
      <w:r w:rsidR="00F6559D" w:rsidRPr="00F6559D">
        <w:rPr>
          <w:rFonts w:ascii="Bookman Old Style" w:hAnsi="Bookman Old Style"/>
        </w:rPr>
        <w:t xml:space="preserve"> alcance la vinculación del 75% de los usuarios anillados del nuevo mercado en el año tres (3)</w:t>
      </w:r>
      <w:r w:rsidR="00F6559D">
        <w:rPr>
          <w:rFonts w:ascii="Bookman Old Style" w:hAnsi="Bookman Old Style"/>
        </w:rPr>
        <w:t xml:space="preserve"> </w:t>
      </w:r>
      <w:r w:rsidR="00F6559D" w:rsidRPr="00F6559D">
        <w:rPr>
          <w:rFonts w:ascii="Bookman Old Style" w:hAnsi="Bookman Old Style"/>
        </w:rPr>
        <w:t>del servicio,</w:t>
      </w:r>
      <w:r w:rsidR="00F6559D">
        <w:rPr>
          <w:rFonts w:ascii="Bookman Old Style" w:hAnsi="Bookman Old Style"/>
        </w:rPr>
        <w:t xml:space="preserve"> </w:t>
      </w:r>
      <w:r w:rsidR="00F6559D" w:rsidRPr="00F6559D">
        <w:rPr>
          <w:rFonts w:ascii="Bookman Old Style" w:hAnsi="Bookman Old Style"/>
        </w:rPr>
        <w:t>y</w:t>
      </w:r>
      <w:r w:rsidR="00F6559D">
        <w:rPr>
          <w:rFonts w:ascii="Bookman Old Style" w:hAnsi="Bookman Old Style"/>
        </w:rPr>
        <w:t xml:space="preserve"> </w:t>
      </w:r>
      <w:r w:rsidR="00F6559D" w:rsidRPr="00F6559D">
        <w:rPr>
          <w:rFonts w:ascii="Bookman Old Style" w:hAnsi="Bookman Old Style"/>
        </w:rPr>
        <w:t>ajustando la proyección de vinculación dentro de las metas d</w:t>
      </w:r>
      <w:r w:rsidR="00F6559D">
        <w:rPr>
          <w:rFonts w:ascii="Bookman Old Style" w:hAnsi="Bookman Old Style"/>
        </w:rPr>
        <w:t>e uso eficiente de las redes FUE establecido por la CRE</w:t>
      </w:r>
      <w:r w:rsidR="00F6559D" w:rsidRPr="00F6559D">
        <w:rPr>
          <w:rFonts w:ascii="Bookman Old Style" w:hAnsi="Bookman Old Style"/>
        </w:rPr>
        <w:t>G.</w:t>
      </w:r>
    </w:p>
    <w:p w14:paraId="2848994E" w14:textId="6FC72AFA" w:rsidR="00CC5D45" w:rsidRDefault="001B3F64" w:rsidP="00AF2987">
      <w:pPr>
        <w:adjustRightInd w:val="0"/>
        <w:spacing w:before="240" w:after="240"/>
        <w:ind w:left="0" w:right="23"/>
        <w:jc w:val="both"/>
        <w:rPr>
          <w:rFonts w:ascii="Bookman Old Style" w:hAnsi="Bookman Old Style"/>
        </w:rPr>
      </w:pPr>
      <w:r>
        <w:rPr>
          <w:rFonts w:ascii="Bookman Old Style" w:hAnsi="Bookman Old Style"/>
        </w:rPr>
        <w:t xml:space="preserve">También </w:t>
      </w:r>
      <w:r w:rsidRPr="001B3F64">
        <w:rPr>
          <w:rFonts w:ascii="Bookman Old Style" w:hAnsi="Bookman Old Style"/>
        </w:rPr>
        <w:t>muestra como referencia el comportamiento de la vinculación de usuarios real vs. la proyección de vinculación presentada en las solicitude</w:t>
      </w:r>
      <w:r>
        <w:rPr>
          <w:rFonts w:ascii="Bookman Old Style" w:hAnsi="Bookman Old Style"/>
        </w:rPr>
        <w:t xml:space="preserve">s tarifarias de los mercados de: i) Pasto (Nariño) y ii) Puerto Asís (Putumayo), argumentando que </w:t>
      </w:r>
      <w:r w:rsidR="006F4944" w:rsidRPr="006F4944">
        <w:rPr>
          <w:rFonts w:ascii="Bookman Old Style" w:hAnsi="Bookman Old Style"/>
        </w:rPr>
        <w:t>la efectiva vinculación de usuarios, dista mucho de la meta del 100% de vinculación de usuarios de los años 1 y 2 para los nuevos mercados</w:t>
      </w:r>
      <w:r w:rsidR="00BC4761">
        <w:rPr>
          <w:rFonts w:ascii="Bookman Old Style" w:hAnsi="Bookman Old Style"/>
        </w:rPr>
        <w:t>.</w:t>
      </w:r>
    </w:p>
    <w:p w14:paraId="46C8BAAC" w14:textId="6B51462F" w:rsidR="00BE7619" w:rsidRDefault="00BE7619" w:rsidP="00AF2987">
      <w:pPr>
        <w:adjustRightInd w:val="0"/>
        <w:spacing w:before="240" w:after="240"/>
        <w:ind w:left="0" w:right="23"/>
        <w:jc w:val="both"/>
        <w:rPr>
          <w:rFonts w:ascii="Bookman Old Style" w:hAnsi="Bookman Old Style"/>
        </w:rPr>
      </w:pPr>
      <w:r>
        <w:rPr>
          <w:rFonts w:ascii="Bookman Old Style" w:hAnsi="Bookman Old Style"/>
        </w:rPr>
        <w:t xml:space="preserve">Por último, hace </w:t>
      </w:r>
      <w:r w:rsidRPr="00BE7619">
        <w:rPr>
          <w:rFonts w:ascii="Bookman Old Style" w:hAnsi="Bookman Old Style"/>
        </w:rPr>
        <w:t>parte integral de</w:t>
      </w:r>
      <w:r>
        <w:rPr>
          <w:rFonts w:ascii="Bookman Old Style" w:hAnsi="Bookman Old Style"/>
        </w:rPr>
        <w:t>l</w:t>
      </w:r>
      <w:r w:rsidRPr="00BE7619">
        <w:rPr>
          <w:rFonts w:ascii="Bookman Old Style" w:hAnsi="Bookman Old Style"/>
        </w:rPr>
        <w:t xml:space="preserve"> recurso</w:t>
      </w:r>
      <w:r>
        <w:rPr>
          <w:rFonts w:ascii="Bookman Old Style" w:hAnsi="Bookman Old Style"/>
        </w:rPr>
        <w:t>:</w:t>
      </w:r>
      <w:r w:rsidRPr="00BE7619">
        <w:rPr>
          <w:rFonts w:ascii="Bookman Old Style" w:hAnsi="Bookman Old Style"/>
        </w:rPr>
        <w:t xml:space="preserve"> i) la nueva proyección de demanda siguiendo la metodología establecida en el anexo 13 de la resolución CREG 202 de 2013, en la que se aplican los ajustes mencionados en la vinculación de usuarios, ii) Planilla, </w:t>
      </w:r>
      <w:proofErr w:type="spellStart"/>
      <w:r w:rsidRPr="00BE7619">
        <w:rPr>
          <w:rFonts w:ascii="Bookman Old Style" w:hAnsi="Bookman Old Style"/>
        </w:rPr>
        <w:t>xls</w:t>
      </w:r>
      <w:proofErr w:type="spellEnd"/>
      <w:r w:rsidRPr="00BE7619">
        <w:rPr>
          <w:rFonts w:ascii="Bookman Old Style" w:hAnsi="Bookman Old Style"/>
        </w:rPr>
        <w:t>, del aplicativo APLICAS, en la que se modifican exclusivamente los datos asociados a la demanda acorde a las consideraciones expuestas.</w:t>
      </w:r>
    </w:p>
    <w:p w14:paraId="444746BA" w14:textId="2B6D5BE8" w:rsidR="00626EED" w:rsidRPr="00626EED" w:rsidRDefault="00E16DC8" w:rsidP="00245A33">
      <w:pPr>
        <w:pStyle w:val="Ttulo5"/>
        <w:numPr>
          <w:ilvl w:val="0"/>
          <w:numId w:val="2"/>
        </w:numPr>
        <w:tabs>
          <w:tab w:val="clear" w:pos="1080"/>
          <w:tab w:val="num" w:pos="567"/>
        </w:tabs>
        <w:spacing w:before="360" w:after="240"/>
        <w:ind w:left="567" w:hanging="567"/>
        <w:jc w:val="both"/>
        <w:rPr>
          <w:rFonts w:ascii="Bookman Old Style" w:eastAsia="Calibri" w:hAnsi="Bookman Old Style"/>
          <w:sz w:val="24"/>
          <w:szCs w:val="24"/>
          <w:lang w:eastAsia="es-CO"/>
        </w:rPr>
      </w:pPr>
      <w:r>
        <w:rPr>
          <w:rFonts w:ascii="Bookman Old Style" w:eastAsia="Calibri" w:hAnsi="Bookman Old Style"/>
          <w:sz w:val="24"/>
          <w:szCs w:val="24"/>
          <w:lang w:eastAsia="es-CO"/>
        </w:rPr>
        <w:t xml:space="preserve">PETICIÓN DE </w:t>
      </w:r>
      <w:r w:rsidR="00D701CB">
        <w:rPr>
          <w:rFonts w:ascii="Bookman Old Style" w:eastAsia="Calibri" w:hAnsi="Bookman Old Style"/>
          <w:sz w:val="24"/>
          <w:szCs w:val="24"/>
          <w:lang w:eastAsia="es-CO"/>
        </w:rPr>
        <w:t>INGENIERIA Y SERVICIOS</w:t>
      </w:r>
      <w:r w:rsidR="00626EED" w:rsidRPr="00626EED">
        <w:rPr>
          <w:rFonts w:ascii="Bookman Old Style" w:eastAsia="Calibri" w:hAnsi="Bookman Old Style"/>
          <w:sz w:val="24"/>
          <w:szCs w:val="24"/>
          <w:lang w:eastAsia="es-CO"/>
        </w:rPr>
        <w:t xml:space="preserve"> S.A. E.S.P.</w:t>
      </w:r>
    </w:p>
    <w:p w14:paraId="558BC791" w14:textId="4FAABEAF" w:rsidR="00BE7619" w:rsidRDefault="00E16DC8" w:rsidP="00DD3BDF">
      <w:pPr>
        <w:pStyle w:val="Prrafodelista"/>
        <w:numPr>
          <w:ilvl w:val="0"/>
          <w:numId w:val="12"/>
        </w:numPr>
        <w:adjustRightInd w:val="0"/>
        <w:spacing w:before="240" w:after="240"/>
        <w:ind w:right="23"/>
        <w:jc w:val="both"/>
        <w:rPr>
          <w:rFonts w:ascii="Bookman Old Style" w:hAnsi="Bookman Old Style"/>
          <w:sz w:val="24"/>
          <w:szCs w:val="24"/>
          <w:lang w:val="es-ES"/>
        </w:rPr>
      </w:pPr>
      <w:r w:rsidRPr="00DD3BDF">
        <w:rPr>
          <w:rFonts w:ascii="Bookman Old Style" w:hAnsi="Bookman Old Style"/>
          <w:sz w:val="24"/>
          <w:szCs w:val="24"/>
          <w:lang w:val="es-ES"/>
        </w:rPr>
        <w:t xml:space="preserve">Se </w:t>
      </w:r>
      <w:r w:rsidR="00BE7619" w:rsidRPr="00DD3BDF">
        <w:rPr>
          <w:rFonts w:ascii="Bookman Old Style" w:hAnsi="Bookman Old Style"/>
          <w:sz w:val="24"/>
          <w:szCs w:val="24"/>
          <w:lang w:val="es-ES"/>
        </w:rPr>
        <w:t xml:space="preserve">modifique el cargo de Distribución transitorio por uso del sistema de distribución de gas combustible por redes de tubería para el mercado relevante conformado por los municipios de Córdoba, </w:t>
      </w:r>
      <w:proofErr w:type="spellStart"/>
      <w:r w:rsidR="00BE7619" w:rsidRPr="00DD3BDF">
        <w:rPr>
          <w:rFonts w:ascii="Bookman Old Style" w:hAnsi="Bookman Old Style"/>
          <w:sz w:val="24"/>
          <w:szCs w:val="24"/>
          <w:lang w:val="es-ES"/>
        </w:rPr>
        <w:t>Guaitarilla</w:t>
      </w:r>
      <w:proofErr w:type="spellEnd"/>
      <w:r w:rsidR="00BE7619" w:rsidRPr="00DD3BDF">
        <w:rPr>
          <w:rFonts w:ascii="Bookman Old Style" w:hAnsi="Bookman Old Style"/>
          <w:sz w:val="24"/>
          <w:szCs w:val="24"/>
          <w:lang w:val="es-ES"/>
        </w:rPr>
        <w:t xml:space="preserve"> y </w:t>
      </w:r>
      <w:proofErr w:type="spellStart"/>
      <w:r w:rsidR="00BE7619" w:rsidRPr="00DD3BDF">
        <w:rPr>
          <w:rFonts w:ascii="Bookman Old Style" w:hAnsi="Bookman Old Style"/>
          <w:sz w:val="24"/>
          <w:szCs w:val="24"/>
          <w:lang w:val="es-ES"/>
        </w:rPr>
        <w:t>Pupiales</w:t>
      </w:r>
      <w:proofErr w:type="spellEnd"/>
      <w:r w:rsidR="00BE7619" w:rsidRPr="00DD3BDF">
        <w:rPr>
          <w:rFonts w:ascii="Bookman Old Style" w:hAnsi="Bookman Old Style"/>
          <w:sz w:val="24"/>
          <w:szCs w:val="24"/>
          <w:lang w:val="es-ES"/>
        </w:rPr>
        <w:t xml:space="preserve"> en el departamento de Nariño, establecido en la resolución CREG 111 de 2018, usando en la nueva base de cálculo la proyección de demanda presentada en los archivos adjuntos.</w:t>
      </w:r>
    </w:p>
    <w:p w14:paraId="64622D0B" w14:textId="0CC8BC95" w:rsidR="00DD3BDF" w:rsidRPr="00DD3BDF" w:rsidRDefault="00DD3BDF" w:rsidP="00DD3BDF">
      <w:pPr>
        <w:pStyle w:val="Prrafodelista"/>
        <w:numPr>
          <w:ilvl w:val="0"/>
          <w:numId w:val="12"/>
        </w:numPr>
        <w:adjustRightInd w:val="0"/>
        <w:spacing w:before="240" w:after="240"/>
        <w:ind w:right="23"/>
        <w:jc w:val="both"/>
        <w:rPr>
          <w:rFonts w:ascii="Bookman Old Style" w:hAnsi="Bookman Old Style"/>
          <w:sz w:val="24"/>
          <w:szCs w:val="24"/>
          <w:lang w:val="es-ES"/>
        </w:rPr>
      </w:pPr>
      <w:r>
        <w:rPr>
          <w:rFonts w:ascii="Bookman Old Style" w:hAnsi="Bookman Old Style"/>
          <w:sz w:val="24"/>
          <w:szCs w:val="24"/>
          <w:lang w:val="es-ES"/>
        </w:rPr>
        <w:t xml:space="preserve">El </w:t>
      </w:r>
      <w:r w:rsidRPr="00DD3BDF">
        <w:rPr>
          <w:rFonts w:ascii="Bookman Old Style" w:hAnsi="Bookman Old Style"/>
          <w:sz w:val="24"/>
          <w:szCs w:val="24"/>
          <w:lang w:val="es-ES"/>
        </w:rPr>
        <w:t>a</w:t>
      </w:r>
      <w:r>
        <w:rPr>
          <w:rFonts w:ascii="Bookman Old Style" w:hAnsi="Bookman Old Style"/>
          <w:sz w:val="24"/>
          <w:szCs w:val="24"/>
          <w:lang w:val="es-ES"/>
        </w:rPr>
        <w:t xml:space="preserve">juste en la vinculación de usuarios, así como </w:t>
      </w:r>
      <w:r w:rsidRPr="00DD3BDF">
        <w:rPr>
          <w:rFonts w:ascii="Bookman Old Style" w:hAnsi="Bookman Old Style"/>
          <w:sz w:val="24"/>
          <w:szCs w:val="24"/>
          <w:lang w:val="es-ES"/>
        </w:rPr>
        <w:t>la nueva demanda calculada, sea u</w:t>
      </w:r>
      <w:r>
        <w:rPr>
          <w:rFonts w:ascii="Bookman Old Style" w:hAnsi="Bookman Old Style"/>
          <w:sz w:val="24"/>
          <w:szCs w:val="24"/>
          <w:lang w:val="es-ES"/>
        </w:rPr>
        <w:t>sada para ajustar cada uno de lo</w:t>
      </w:r>
      <w:r w:rsidRPr="00DD3BDF">
        <w:rPr>
          <w:rFonts w:ascii="Bookman Old Style" w:hAnsi="Bookman Old Style"/>
          <w:sz w:val="24"/>
          <w:szCs w:val="24"/>
          <w:lang w:val="es-ES"/>
        </w:rPr>
        <w:t xml:space="preserve">s </w:t>
      </w:r>
      <w:r>
        <w:rPr>
          <w:rFonts w:ascii="Bookman Old Style" w:hAnsi="Bookman Old Style"/>
          <w:sz w:val="24"/>
          <w:szCs w:val="24"/>
          <w:lang w:val="es-ES"/>
        </w:rPr>
        <w:t>componentes de la estructura tarifaria tales com</w:t>
      </w:r>
      <w:r w:rsidR="000C1CC2">
        <w:rPr>
          <w:rFonts w:ascii="Bookman Old Style" w:hAnsi="Bookman Old Style"/>
          <w:sz w:val="24"/>
          <w:szCs w:val="24"/>
          <w:lang w:val="es-ES"/>
        </w:rPr>
        <w:t>o</w:t>
      </w:r>
      <w:r>
        <w:rPr>
          <w:rFonts w:ascii="Bookman Old Style" w:hAnsi="Bookman Old Style"/>
          <w:sz w:val="24"/>
          <w:szCs w:val="24"/>
          <w:lang w:val="es-ES"/>
        </w:rPr>
        <w:t xml:space="preserve"> Inversión B</w:t>
      </w:r>
      <w:r w:rsidRPr="00DD3BDF">
        <w:rPr>
          <w:rFonts w:ascii="Bookman Old Style" w:hAnsi="Bookman Old Style"/>
          <w:sz w:val="24"/>
          <w:szCs w:val="24"/>
          <w:lang w:val="es-ES"/>
        </w:rPr>
        <w:t>ase,</w:t>
      </w:r>
      <w:r>
        <w:rPr>
          <w:rFonts w:ascii="Bookman Old Style" w:hAnsi="Bookman Old Style"/>
          <w:sz w:val="24"/>
          <w:szCs w:val="24"/>
          <w:lang w:val="es-ES"/>
        </w:rPr>
        <w:t xml:space="preserve"> </w:t>
      </w:r>
      <w:r w:rsidRPr="00DD3BDF">
        <w:rPr>
          <w:rFonts w:ascii="Bookman Old Style" w:hAnsi="Bookman Old Style"/>
          <w:sz w:val="24"/>
          <w:szCs w:val="24"/>
          <w:lang w:val="es-ES"/>
        </w:rPr>
        <w:t>porcentaje de otros activos</w:t>
      </w:r>
      <w:r>
        <w:rPr>
          <w:rFonts w:ascii="Bookman Old Style" w:hAnsi="Bookman Old Style"/>
          <w:sz w:val="24"/>
          <w:szCs w:val="24"/>
          <w:lang w:val="es-ES"/>
        </w:rPr>
        <w:t xml:space="preserve"> </w:t>
      </w:r>
      <w:r w:rsidRPr="00DD3BDF">
        <w:rPr>
          <w:rFonts w:ascii="Bookman Old Style" w:hAnsi="Bookman Old Style"/>
          <w:sz w:val="24"/>
          <w:szCs w:val="24"/>
          <w:lang w:val="es-ES"/>
        </w:rPr>
        <w:t>y</w:t>
      </w:r>
      <w:r>
        <w:rPr>
          <w:rFonts w:ascii="Bookman Old Style" w:hAnsi="Bookman Old Style"/>
          <w:sz w:val="24"/>
          <w:szCs w:val="24"/>
          <w:lang w:val="es-ES"/>
        </w:rPr>
        <w:t xml:space="preserve"> </w:t>
      </w:r>
      <w:r w:rsidRPr="00DD3BDF">
        <w:rPr>
          <w:rFonts w:ascii="Bookman Old Style" w:hAnsi="Bookman Old Style"/>
          <w:sz w:val="24"/>
          <w:szCs w:val="24"/>
          <w:lang w:val="es-ES"/>
        </w:rPr>
        <w:t>reconocimiento de AOM.</w:t>
      </w:r>
    </w:p>
    <w:p w14:paraId="6D752042" w14:textId="77777777" w:rsidR="00626EED" w:rsidRDefault="00626EED" w:rsidP="00245A33">
      <w:pPr>
        <w:pStyle w:val="Ttulo5"/>
        <w:numPr>
          <w:ilvl w:val="0"/>
          <w:numId w:val="2"/>
        </w:numPr>
        <w:tabs>
          <w:tab w:val="clear" w:pos="1080"/>
        </w:tabs>
        <w:spacing w:before="360" w:after="240"/>
        <w:ind w:left="567" w:hanging="567"/>
        <w:jc w:val="both"/>
        <w:rPr>
          <w:rFonts w:ascii="Bookman Old Style" w:eastAsia="Calibri" w:hAnsi="Bookman Old Style"/>
          <w:sz w:val="24"/>
          <w:szCs w:val="24"/>
          <w:lang w:eastAsia="es-CO"/>
        </w:rPr>
      </w:pPr>
      <w:r w:rsidRPr="00626EED">
        <w:rPr>
          <w:rFonts w:ascii="Bookman Old Style" w:eastAsia="Calibri" w:hAnsi="Bookman Old Style"/>
          <w:sz w:val="24"/>
          <w:szCs w:val="24"/>
          <w:lang w:eastAsia="es-CO"/>
        </w:rPr>
        <w:t>ANÁLISIS DE LA CREG</w:t>
      </w:r>
    </w:p>
    <w:p w14:paraId="355A1AC3" w14:textId="5514540B" w:rsidR="00CF057C" w:rsidRDefault="008D73D1" w:rsidP="00E51704">
      <w:pPr>
        <w:spacing w:before="240" w:after="240"/>
        <w:ind w:left="0"/>
        <w:jc w:val="both"/>
        <w:rPr>
          <w:rFonts w:ascii="Bookman Old Style" w:hAnsi="Bookman Old Style"/>
          <w:lang w:val="es-ES_tradnl"/>
        </w:rPr>
      </w:pPr>
      <w:r>
        <w:rPr>
          <w:rFonts w:ascii="Bookman Old Style" w:hAnsi="Bookman Old Style"/>
          <w:lang w:val="es-ES_tradnl"/>
        </w:rPr>
        <w:t>P</w:t>
      </w:r>
      <w:r w:rsidR="002C518D" w:rsidRPr="003E4D0A">
        <w:rPr>
          <w:rFonts w:ascii="Bookman Old Style" w:hAnsi="Bookman Old Style"/>
          <w:lang w:val="es-ES_tradnl"/>
        </w:rPr>
        <w:t>ara el análisis</w:t>
      </w:r>
      <w:r w:rsidR="002C518D">
        <w:rPr>
          <w:rFonts w:ascii="Bookman Old Style" w:hAnsi="Bookman Old Style"/>
          <w:lang w:val="es-ES_tradnl"/>
        </w:rPr>
        <w:t xml:space="preserve"> del recurso de reposición se consideraron</w:t>
      </w:r>
      <w:r w:rsidR="001D34FF">
        <w:rPr>
          <w:rFonts w:ascii="Bookman Old Style" w:hAnsi="Bookman Old Style"/>
          <w:lang w:val="es-ES_tradnl"/>
        </w:rPr>
        <w:t xml:space="preserve"> como necesarias y suficientes </w:t>
      </w:r>
      <w:r w:rsidR="00CF057C">
        <w:rPr>
          <w:rFonts w:ascii="Bookman Old Style" w:hAnsi="Bookman Old Style"/>
          <w:lang w:val="es-ES_tradnl"/>
        </w:rPr>
        <w:t>las siguientes pruebas suministradas por la empresa INGENIERÍA Y SERVICIOS S.A. E.S.P.</w:t>
      </w:r>
      <w:r w:rsidR="006C56C5">
        <w:rPr>
          <w:rFonts w:ascii="Bookman Old Style" w:hAnsi="Bookman Old Style"/>
          <w:lang w:val="es-ES_tradnl"/>
        </w:rPr>
        <w:t>:</w:t>
      </w:r>
    </w:p>
    <w:p w14:paraId="07E908EF" w14:textId="77777777" w:rsidR="00D73007" w:rsidRDefault="00D73007" w:rsidP="00D73007">
      <w:pPr>
        <w:ind w:left="0"/>
        <w:jc w:val="both"/>
        <w:rPr>
          <w:rFonts w:ascii="Bookman Old Style" w:hAnsi="Bookman Old Style"/>
          <w:lang w:val="es-ES_tradnl"/>
        </w:rPr>
      </w:pPr>
    </w:p>
    <w:p w14:paraId="6C4B11E3" w14:textId="77777777" w:rsidR="00CF057C" w:rsidRDefault="00CF057C" w:rsidP="00D73007">
      <w:pPr>
        <w:pStyle w:val="Prrafodelista"/>
        <w:numPr>
          <w:ilvl w:val="0"/>
          <w:numId w:val="17"/>
        </w:numPr>
        <w:jc w:val="both"/>
        <w:rPr>
          <w:rFonts w:ascii="Bookman Old Style" w:hAnsi="Bookman Old Style"/>
          <w:sz w:val="24"/>
          <w:szCs w:val="24"/>
          <w:lang w:val="es-ES_tradnl"/>
        </w:rPr>
      </w:pPr>
      <w:r w:rsidRPr="00CF057C">
        <w:rPr>
          <w:rFonts w:ascii="Bookman Old Style" w:hAnsi="Bookman Old Style"/>
          <w:sz w:val="24"/>
          <w:szCs w:val="24"/>
          <w:lang w:val="es-ES_tradnl"/>
        </w:rPr>
        <w:t xml:space="preserve">Estudio de proyección de demanda para el mercado de gas conformado por los municipios de Córdoba, </w:t>
      </w:r>
      <w:proofErr w:type="spellStart"/>
      <w:r w:rsidRPr="00CF057C">
        <w:rPr>
          <w:rFonts w:ascii="Bookman Old Style" w:hAnsi="Bookman Old Style"/>
          <w:sz w:val="24"/>
          <w:szCs w:val="24"/>
          <w:lang w:val="es-ES_tradnl"/>
        </w:rPr>
        <w:t>Guaitarilla</w:t>
      </w:r>
      <w:proofErr w:type="spellEnd"/>
      <w:r w:rsidRPr="00CF057C">
        <w:rPr>
          <w:rFonts w:ascii="Bookman Old Style" w:hAnsi="Bookman Old Style"/>
          <w:sz w:val="24"/>
          <w:szCs w:val="24"/>
          <w:lang w:val="es-ES_tradnl"/>
        </w:rPr>
        <w:t xml:space="preserve"> y </w:t>
      </w:r>
      <w:proofErr w:type="spellStart"/>
      <w:r w:rsidRPr="00CF057C">
        <w:rPr>
          <w:rFonts w:ascii="Bookman Old Style" w:hAnsi="Bookman Old Style"/>
          <w:sz w:val="24"/>
          <w:szCs w:val="24"/>
          <w:lang w:val="es-ES_tradnl"/>
        </w:rPr>
        <w:t>Pupiales</w:t>
      </w:r>
      <w:proofErr w:type="spellEnd"/>
      <w:r w:rsidRPr="00CF057C">
        <w:rPr>
          <w:rFonts w:ascii="Bookman Old Style" w:hAnsi="Bookman Old Style"/>
          <w:sz w:val="24"/>
          <w:szCs w:val="24"/>
          <w:lang w:val="es-ES_tradnl"/>
        </w:rPr>
        <w:t xml:space="preserve"> (Nariño). </w:t>
      </w:r>
    </w:p>
    <w:p w14:paraId="57EC100D" w14:textId="7FA4B1EF" w:rsidR="00CF057C" w:rsidRPr="00382A13" w:rsidRDefault="00CF057C" w:rsidP="006C56C5">
      <w:pPr>
        <w:pStyle w:val="Prrafodelista"/>
        <w:numPr>
          <w:ilvl w:val="0"/>
          <w:numId w:val="17"/>
        </w:numPr>
        <w:spacing w:before="240" w:after="240"/>
        <w:jc w:val="both"/>
        <w:rPr>
          <w:rFonts w:ascii="Bookman Old Style" w:hAnsi="Bookman Old Style"/>
          <w:sz w:val="24"/>
          <w:szCs w:val="24"/>
          <w:lang w:val="es-ES_tradnl"/>
        </w:rPr>
      </w:pPr>
      <w:r>
        <w:rPr>
          <w:rFonts w:ascii="Bookman Old Style" w:hAnsi="Bookman Old Style"/>
          <w:sz w:val="24"/>
          <w:szCs w:val="24"/>
          <w:lang w:val="es-ES_tradnl"/>
        </w:rPr>
        <w:t>Copia simple del Convenio de Cofinanciación GGC 645 de 2017.</w:t>
      </w:r>
    </w:p>
    <w:p w14:paraId="5CE61519" w14:textId="77777777" w:rsidR="006C56C5" w:rsidRDefault="006C56C5" w:rsidP="006C56C5">
      <w:pPr>
        <w:spacing w:before="240" w:after="240"/>
        <w:ind w:left="0"/>
        <w:jc w:val="both"/>
        <w:rPr>
          <w:rFonts w:ascii="Bookman Old Style" w:hAnsi="Bookman Old Style"/>
          <w:lang w:val="es-ES_tradnl"/>
        </w:rPr>
      </w:pPr>
      <w:r>
        <w:rPr>
          <w:rFonts w:ascii="Bookman Old Style" w:hAnsi="Bookman Old Style"/>
          <w:lang w:val="es-ES_tradnl"/>
        </w:rPr>
        <w:t xml:space="preserve">Ahora, lo pretendido a través de la prueba relacionada con: </w:t>
      </w:r>
    </w:p>
    <w:p w14:paraId="0104A818" w14:textId="6008A8E1" w:rsidR="006C56C5" w:rsidRPr="006C56C5" w:rsidRDefault="006C56C5" w:rsidP="006C56C5">
      <w:pPr>
        <w:pStyle w:val="Prrafodelista"/>
        <w:numPr>
          <w:ilvl w:val="0"/>
          <w:numId w:val="17"/>
        </w:numPr>
        <w:spacing w:before="240" w:after="240"/>
        <w:jc w:val="both"/>
        <w:rPr>
          <w:rFonts w:ascii="Bookman Old Style" w:hAnsi="Bookman Old Style"/>
          <w:sz w:val="24"/>
          <w:szCs w:val="24"/>
          <w:lang w:val="es-ES_tradnl"/>
        </w:rPr>
      </w:pPr>
      <w:r w:rsidRPr="006C56C5">
        <w:rPr>
          <w:rFonts w:ascii="Bookman Old Style" w:hAnsi="Bookman Old Style"/>
          <w:sz w:val="24"/>
          <w:szCs w:val="24"/>
          <w:lang w:val="es-ES_tradnl"/>
        </w:rPr>
        <w:t xml:space="preserve">El </w:t>
      </w:r>
      <w:r w:rsidR="00CF057C" w:rsidRPr="006C56C5">
        <w:rPr>
          <w:rFonts w:ascii="Bookman Old Style" w:hAnsi="Bookman Old Style"/>
          <w:sz w:val="24"/>
          <w:szCs w:val="24"/>
          <w:lang w:val="es-ES_tradnl"/>
        </w:rPr>
        <w:t>Anexo 2 de las Resoluciones CREG 087 de 2010 y 075 de 2013, contrastadas con el número de usuarios realmente conectados en estos mercados, según la información oficial del Sistema Único de información de la Superintendencia de Servicios Públicos – SUI.</w:t>
      </w:r>
      <w:r w:rsidRPr="006C56C5">
        <w:rPr>
          <w:rFonts w:ascii="Bookman Old Style" w:hAnsi="Bookman Old Style"/>
          <w:sz w:val="24"/>
          <w:szCs w:val="24"/>
          <w:lang w:val="es-ES_tradnl"/>
        </w:rPr>
        <w:t xml:space="preserve"> </w:t>
      </w:r>
    </w:p>
    <w:p w14:paraId="1CEE6510" w14:textId="2F5264E3" w:rsidR="00CF057C" w:rsidRDefault="006C56C5" w:rsidP="006C56C5">
      <w:pPr>
        <w:spacing w:before="240" w:after="240"/>
        <w:ind w:left="0"/>
        <w:jc w:val="both"/>
        <w:rPr>
          <w:rFonts w:ascii="Bookman Old Style" w:hAnsi="Bookman Old Style"/>
          <w:lang w:val="es-ES_tradnl"/>
        </w:rPr>
      </w:pPr>
      <w:r>
        <w:rPr>
          <w:rFonts w:ascii="Bookman Old Style" w:hAnsi="Bookman Old Style"/>
          <w:lang w:val="es-ES_tradnl"/>
        </w:rPr>
        <w:t xml:space="preserve">No se decretó por considerar que lo </w:t>
      </w:r>
      <w:r w:rsidR="00104FA1">
        <w:rPr>
          <w:rFonts w:ascii="Bookman Old Style" w:hAnsi="Bookman Old Style"/>
          <w:lang w:val="es-ES_tradnl"/>
        </w:rPr>
        <w:t>supuesto</w:t>
      </w:r>
      <w:r>
        <w:rPr>
          <w:rFonts w:ascii="Bookman Old Style" w:hAnsi="Bookman Old Style"/>
          <w:lang w:val="es-ES_tradnl"/>
        </w:rPr>
        <w:t xml:space="preserve"> en </w:t>
      </w:r>
      <w:r w:rsidR="00104FA1">
        <w:rPr>
          <w:rFonts w:ascii="Bookman Old Style" w:hAnsi="Bookman Old Style"/>
          <w:lang w:val="es-ES_tradnl"/>
        </w:rPr>
        <w:t>la prueba</w:t>
      </w:r>
      <w:r>
        <w:rPr>
          <w:rFonts w:ascii="Bookman Old Style" w:hAnsi="Bookman Old Style"/>
          <w:lang w:val="es-ES_tradnl"/>
        </w:rPr>
        <w:t xml:space="preserve"> se encuentra detallado en </w:t>
      </w:r>
      <w:r w:rsidR="00104FA1">
        <w:rPr>
          <w:rFonts w:ascii="Bookman Old Style" w:hAnsi="Bookman Old Style"/>
          <w:lang w:val="es-ES_tradnl"/>
        </w:rPr>
        <w:t>los documentos</w:t>
      </w:r>
      <w:r>
        <w:rPr>
          <w:rFonts w:ascii="Bookman Old Style" w:hAnsi="Bookman Old Style"/>
          <w:lang w:val="es-ES_tradnl"/>
        </w:rPr>
        <w:t xml:space="preserve"> que hacen parte de las respectivas actuaciones administrativas.</w:t>
      </w:r>
    </w:p>
    <w:p w14:paraId="6FD318BB" w14:textId="64346655" w:rsidR="006C56C5" w:rsidRPr="00382A13" w:rsidRDefault="006C56C5" w:rsidP="006C56C5">
      <w:pPr>
        <w:spacing w:before="240" w:after="240"/>
        <w:ind w:left="0"/>
        <w:jc w:val="both"/>
        <w:rPr>
          <w:rFonts w:ascii="Bookman Old Style" w:hAnsi="Bookman Old Style"/>
          <w:lang w:val="es-ES_tradnl"/>
        </w:rPr>
      </w:pPr>
      <w:r>
        <w:rPr>
          <w:rFonts w:ascii="Bookman Old Style" w:hAnsi="Bookman Old Style"/>
          <w:lang w:val="es-ES_tradnl"/>
        </w:rPr>
        <w:t>Por último, en lo referente a:</w:t>
      </w:r>
    </w:p>
    <w:p w14:paraId="40250943" w14:textId="77777777" w:rsidR="00CF057C" w:rsidRDefault="00CF057C" w:rsidP="006C56C5">
      <w:pPr>
        <w:pStyle w:val="Prrafodelista"/>
        <w:numPr>
          <w:ilvl w:val="0"/>
          <w:numId w:val="19"/>
        </w:numPr>
        <w:spacing w:before="240" w:after="240"/>
        <w:ind w:hanging="294"/>
        <w:jc w:val="both"/>
        <w:rPr>
          <w:rFonts w:ascii="Bookman Old Style" w:hAnsi="Bookman Old Style"/>
          <w:sz w:val="24"/>
          <w:szCs w:val="24"/>
          <w:lang w:val="es-ES_tradnl"/>
        </w:rPr>
      </w:pPr>
      <w:r>
        <w:rPr>
          <w:rFonts w:ascii="Bookman Old Style" w:hAnsi="Bookman Old Style"/>
          <w:sz w:val="24"/>
          <w:szCs w:val="24"/>
          <w:lang w:val="es-ES_tradnl"/>
        </w:rPr>
        <w:t>Oficiar al Ministerio de Minas y Energía, en particular con el supervisor del convenio GGC 645 de 2017, con el ánimo de validar los siguientes aspectos:</w:t>
      </w:r>
    </w:p>
    <w:p w14:paraId="67E125E2" w14:textId="77777777" w:rsidR="00CF057C" w:rsidRDefault="00CF057C" w:rsidP="006C56C5">
      <w:pPr>
        <w:pStyle w:val="Prrafodelista"/>
        <w:numPr>
          <w:ilvl w:val="0"/>
          <w:numId w:val="16"/>
        </w:numPr>
        <w:spacing w:before="240" w:after="240"/>
        <w:jc w:val="both"/>
        <w:rPr>
          <w:rFonts w:ascii="Bookman Old Style" w:hAnsi="Bookman Old Style"/>
          <w:sz w:val="24"/>
          <w:szCs w:val="24"/>
          <w:lang w:val="es-ES_tradnl"/>
        </w:rPr>
      </w:pPr>
      <w:r>
        <w:rPr>
          <w:rFonts w:ascii="Bookman Old Style" w:hAnsi="Bookman Old Style"/>
          <w:sz w:val="24"/>
          <w:szCs w:val="24"/>
          <w:lang w:val="es-ES_tradnl"/>
        </w:rPr>
        <w:t>Realización del total de las inversiones asociadas al nuevo mercado de gas, en el año 1 del nuevo mercado, incluso siendo posible su total terminación antes del inicio de la vigencia de los cargos de distribución y comercialización.</w:t>
      </w:r>
    </w:p>
    <w:p w14:paraId="43772C8A" w14:textId="77777777" w:rsidR="00CF057C" w:rsidRPr="000D588F" w:rsidRDefault="00CF057C" w:rsidP="006C56C5">
      <w:pPr>
        <w:pStyle w:val="Prrafodelista"/>
        <w:numPr>
          <w:ilvl w:val="0"/>
          <w:numId w:val="16"/>
        </w:numPr>
        <w:spacing w:before="240" w:after="240"/>
        <w:jc w:val="both"/>
        <w:rPr>
          <w:rFonts w:ascii="Bookman Old Style" w:hAnsi="Bookman Old Style"/>
          <w:sz w:val="24"/>
          <w:szCs w:val="24"/>
          <w:lang w:val="es-ES_tradnl"/>
        </w:rPr>
      </w:pPr>
      <w:r>
        <w:rPr>
          <w:rFonts w:ascii="Bookman Old Style" w:hAnsi="Bookman Old Style"/>
          <w:sz w:val="24"/>
          <w:szCs w:val="24"/>
          <w:lang w:val="es-ES_tradnl"/>
        </w:rPr>
        <w:t xml:space="preserve">Verificar que los subsidios al cargo por conexión incluidos en el convenio, NO fue posible hacerlos efectivos, por razones ajenas al distribuidor. </w:t>
      </w:r>
    </w:p>
    <w:p w14:paraId="12FF3893" w14:textId="47C98645" w:rsidR="00CF057C" w:rsidRDefault="007B0383" w:rsidP="00E51704">
      <w:pPr>
        <w:spacing w:before="240" w:after="240"/>
        <w:ind w:left="0"/>
        <w:jc w:val="both"/>
        <w:rPr>
          <w:rFonts w:ascii="Bookman Old Style" w:hAnsi="Bookman Old Style"/>
          <w:lang w:val="es-ES_tradnl"/>
        </w:rPr>
      </w:pPr>
      <w:r>
        <w:rPr>
          <w:rFonts w:ascii="Bookman Old Style" w:hAnsi="Bookman Old Style"/>
          <w:lang w:val="es-ES_tradnl"/>
        </w:rPr>
        <w:t xml:space="preserve">No se decretó por considerar que lo referente a la ejecución </w:t>
      </w:r>
      <w:r w:rsidR="00837ABC">
        <w:rPr>
          <w:rFonts w:ascii="Bookman Old Style" w:hAnsi="Bookman Old Style"/>
          <w:lang w:val="es-ES_tradnl"/>
        </w:rPr>
        <w:t xml:space="preserve">de: a) </w:t>
      </w:r>
      <w:r>
        <w:rPr>
          <w:rFonts w:ascii="Bookman Old Style" w:hAnsi="Bookman Old Style"/>
          <w:lang w:val="es-ES_tradnl"/>
        </w:rPr>
        <w:t xml:space="preserve">las inversiones </w:t>
      </w:r>
      <w:r w:rsidR="00837ABC">
        <w:rPr>
          <w:rFonts w:ascii="Bookman Old Style" w:hAnsi="Bookman Old Style"/>
          <w:lang w:val="es-ES_tradnl"/>
        </w:rPr>
        <w:t>asociadas al proyecto y b) las conexiones de los usuarios,</w:t>
      </w:r>
      <w:r w:rsidR="00342F89">
        <w:rPr>
          <w:rFonts w:ascii="Bookman Old Style" w:hAnsi="Bookman Old Style"/>
          <w:lang w:val="es-ES_tradnl"/>
        </w:rPr>
        <w:t xml:space="preserve"> no se requieren para el cálculo del cargo de distribución por redes de tubería para el mercado objeto de recurso.</w:t>
      </w:r>
    </w:p>
    <w:p w14:paraId="40119F8A" w14:textId="0BE8868A" w:rsidR="0055126A" w:rsidRDefault="00342F89" w:rsidP="00E51704">
      <w:pPr>
        <w:spacing w:before="240" w:after="240"/>
        <w:ind w:left="0"/>
        <w:jc w:val="both"/>
        <w:rPr>
          <w:rFonts w:ascii="Bookman Old Style" w:hAnsi="Bookman Old Style"/>
          <w:lang w:val="es-ES_tradnl"/>
        </w:rPr>
      </w:pPr>
      <w:r>
        <w:rPr>
          <w:rFonts w:ascii="Bookman Old Style" w:hAnsi="Bookman Old Style"/>
          <w:lang w:val="es-ES_tradnl"/>
        </w:rPr>
        <w:t>Sin embargo, esta Comisión consider</w:t>
      </w:r>
      <w:r w:rsidR="00156581">
        <w:rPr>
          <w:rFonts w:ascii="Bookman Old Style" w:hAnsi="Bookman Old Style"/>
          <w:lang w:val="es-ES_tradnl"/>
        </w:rPr>
        <w:t>ó</w:t>
      </w:r>
      <w:r>
        <w:rPr>
          <w:rFonts w:ascii="Bookman Old Style" w:hAnsi="Bookman Old Style"/>
          <w:lang w:val="es-ES_tradnl"/>
        </w:rPr>
        <w:t xml:space="preserve"> que por tratarse de un proyecto que cuenta con recursos públicos otorgados por el Ministerio de Minas y Energía a través del convenio GGC 645 de 2017, es necesario</w:t>
      </w:r>
      <w:r w:rsidR="009E3E66">
        <w:rPr>
          <w:rFonts w:ascii="Bookman Old Style" w:hAnsi="Bookman Old Style"/>
          <w:lang w:val="es-ES_tradnl"/>
        </w:rPr>
        <w:t xml:space="preserve"> saber si las proyecciones presentadas por parte de la empresa INGENIERÍA Y SERVICIOS S.A. E.S.P.</w:t>
      </w:r>
      <w:r w:rsidR="0055126A">
        <w:rPr>
          <w:rFonts w:ascii="Bookman Old Style" w:hAnsi="Bookman Old Style"/>
          <w:lang w:val="es-ES_tradnl"/>
        </w:rPr>
        <w:t>,</w:t>
      </w:r>
      <w:r w:rsidR="009E3E66">
        <w:rPr>
          <w:rFonts w:ascii="Bookman Old Style" w:hAnsi="Bookman Old Style"/>
          <w:lang w:val="es-ES_tradnl"/>
        </w:rPr>
        <w:t xml:space="preserve"> </w:t>
      </w:r>
      <w:r w:rsidR="00BE07B8">
        <w:rPr>
          <w:rFonts w:ascii="Bookman Old Style" w:hAnsi="Bookman Old Style"/>
          <w:lang w:val="es-ES_tradnl"/>
        </w:rPr>
        <w:t xml:space="preserve">como parte integral de este recurso </w:t>
      </w:r>
      <w:r w:rsidR="009E3E66">
        <w:rPr>
          <w:rFonts w:ascii="Bookman Old Style" w:hAnsi="Bookman Old Style"/>
          <w:lang w:val="es-ES_tradnl"/>
        </w:rPr>
        <w:t xml:space="preserve">cumplen con lo dispuesto en la Resolución CREG 202 de 2013. </w:t>
      </w:r>
    </w:p>
    <w:p w14:paraId="2BACA67B" w14:textId="7C925670" w:rsidR="000064DC" w:rsidRDefault="000064DC" w:rsidP="000064DC">
      <w:pPr>
        <w:spacing w:before="240" w:after="240"/>
        <w:ind w:left="0"/>
        <w:jc w:val="both"/>
        <w:rPr>
          <w:rFonts w:ascii="Bookman Old Style" w:hAnsi="Bookman Old Style"/>
          <w:lang w:val="es-ES_tradnl"/>
        </w:rPr>
      </w:pPr>
      <w:r>
        <w:rPr>
          <w:rFonts w:ascii="Bookman Old Style" w:hAnsi="Bookman Old Style"/>
          <w:lang w:val="es-ES_tradnl"/>
        </w:rPr>
        <w:t xml:space="preserve">Por lo anterior, mediante auto de pruebas proferido el día </w:t>
      </w:r>
      <w:r w:rsidR="006A032F" w:rsidRPr="006A032F">
        <w:rPr>
          <w:rFonts w:ascii="Bookman Old Style" w:hAnsi="Bookman Old Style"/>
          <w:lang w:val="es-ES_tradnl"/>
        </w:rPr>
        <w:t>27</w:t>
      </w:r>
      <w:r w:rsidRPr="006A032F">
        <w:rPr>
          <w:rFonts w:ascii="Bookman Old Style" w:hAnsi="Bookman Old Style"/>
          <w:lang w:val="es-ES_tradnl"/>
        </w:rPr>
        <w:t xml:space="preserve"> de diciembre de 2018, esta Comisión solicitó a la Unidad de Planeación Minero Energética</w:t>
      </w:r>
      <w:r>
        <w:rPr>
          <w:rFonts w:ascii="Bookman Old Style" w:hAnsi="Bookman Old Style"/>
          <w:lang w:val="es-ES_tradnl"/>
        </w:rPr>
        <w:t xml:space="preserve"> –UPME, evaluar si </w:t>
      </w:r>
      <w:r w:rsidRPr="00200F03">
        <w:rPr>
          <w:rFonts w:ascii="Bookman Old Style" w:hAnsi="Bookman Old Style"/>
          <w:lang w:val="es-ES_tradnl"/>
        </w:rPr>
        <w:t xml:space="preserve">las proyecciones presentadas por la empresa INGENIERÍA Y SERVICIOS S.A. E.S.P. en el recurso de reposición con radicados CREG E-2018-009099 y E-2018-009100 cumple con lo dispuesto en el ANEXO 13 de la </w:t>
      </w:r>
      <w:r w:rsidRPr="00200F03">
        <w:rPr>
          <w:rFonts w:ascii="Bookman Old Style" w:hAnsi="Bookman Old Style"/>
          <w:lang w:val="es-ES_tradnl"/>
        </w:rPr>
        <w:lastRenderedPageBreak/>
        <w:t xml:space="preserve">Resolución CREG 202 de 2013 para el mercado conformado por los municipios de Córdoba, </w:t>
      </w:r>
      <w:proofErr w:type="spellStart"/>
      <w:r w:rsidRPr="00200F03">
        <w:rPr>
          <w:rFonts w:ascii="Bookman Old Style" w:hAnsi="Bookman Old Style"/>
          <w:lang w:val="es-ES_tradnl"/>
        </w:rPr>
        <w:t>Guaitarilla</w:t>
      </w:r>
      <w:proofErr w:type="spellEnd"/>
      <w:r w:rsidRPr="00200F03">
        <w:rPr>
          <w:rFonts w:ascii="Bookman Old Style" w:hAnsi="Bookman Old Style"/>
          <w:lang w:val="es-ES_tradnl"/>
        </w:rPr>
        <w:t xml:space="preserve"> y </w:t>
      </w:r>
      <w:proofErr w:type="spellStart"/>
      <w:r w:rsidRPr="00200F03">
        <w:rPr>
          <w:rFonts w:ascii="Bookman Old Style" w:hAnsi="Bookman Old Style"/>
          <w:lang w:val="es-ES_tradnl"/>
        </w:rPr>
        <w:t>Pupiales</w:t>
      </w:r>
      <w:proofErr w:type="spellEnd"/>
      <w:r w:rsidRPr="00200F03">
        <w:rPr>
          <w:rFonts w:ascii="Bookman Old Style" w:hAnsi="Bookman Old Style"/>
          <w:lang w:val="es-ES_tradnl"/>
        </w:rPr>
        <w:t>, departamento de Nariño.</w:t>
      </w:r>
    </w:p>
    <w:p w14:paraId="197B7E19" w14:textId="77777777" w:rsidR="000064DC" w:rsidRDefault="000064DC" w:rsidP="000064DC">
      <w:pPr>
        <w:spacing w:before="240" w:after="240"/>
        <w:ind w:left="0"/>
        <w:jc w:val="both"/>
        <w:rPr>
          <w:rFonts w:ascii="Bookman Old Style" w:hAnsi="Bookman Old Style"/>
          <w:lang w:val="es-ES_tradnl"/>
        </w:rPr>
      </w:pPr>
      <w:r>
        <w:rPr>
          <w:rFonts w:ascii="Bookman Old Style" w:hAnsi="Bookman Old Style"/>
          <w:lang w:val="es-ES_tradnl"/>
        </w:rPr>
        <w:t>A través de la comunicación con radicado CREG E-2019-001783 del 12 de febrero de 2019, la UPME da respuesta al auto de prueba informando lo siguiente:</w:t>
      </w:r>
    </w:p>
    <w:p w14:paraId="31A14E83" w14:textId="77777777" w:rsidR="000064DC" w:rsidRPr="00A43BCA" w:rsidRDefault="000064DC" w:rsidP="000064DC">
      <w:pPr>
        <w:spacing w:before="240" w:after="240"/>
        <w:ind w:right="567"/>
        <w:jc w:val="both"/>
        <w:rPr>
          <w:rFonts w:ascii="Bookman Old Style" w:hAnsi="Bookman Old Style"/>
          <w:i/>
          <w:lang w:val="es-ES_tradnl"/>
        </w:rPr>
      </w:pPr>
      <w:r w:rsidRPr="00A43BCA">
        <w:rPr>
          <w:rFonts w:ascii="Bookman Old Style" w:hAnsi="Bookman Old Style"/>
          <w:i/>
          <w:lang w:val="es-ES_tradnl"/>
        </w:rPr>
        <w:t>“Luego de evaluar los datos de proyección de usuarios presentados por la empresa INGENIERÍA Y SERVICIOS S.A. E.S.P. en el recurso de reposición con radicados CREG E-2018- 009099 y E-2018-009100, se determina que NO CUMPLE debido a que, por ser un proyecto que recibe recursos del programa “Distribución de recursos para pagos por menores tarifas sector GLP distribuidos en cilindros y tanques estacionarios a nivel nacional”, administrados por el Ministerio de Minas y Energía, tanto la proyección de usuarios como la proyección de la demanda presentada para la solicitud tarifaria deben ser iguales a las presentadas a la Oficina de Gestión de Proyectos de Fondos de la UPME, ya que con esos datos se evaluó la viabilidad del proyecto. Aunque con el cambio que solicita INGENIERÍA Y SERVICIOS S.A. E.S.P., el proyecto continúa siendo viable, el valor de la tarifa se incrementa afectando negativamente a los usuarios del proyecto.</w:t>
      </w:r>
    </w:p>
    <w:p w14:paraId="200ACB46" w14:textId="5E33AA8C" w:rsidR="000064DC" w:rsidRDefault="000064DC" w:rsidP="006A032F">
      <w:pPr>
        <w:ind w:right="567"/>
        <w:jc w:val="both"/>
        <w:rPr>
          <w:rFonts w:ascii="Bookman Old Style" w:hAnsi="Bookman Old Style"/>
          <w:i/>
          <w:lang w:val="es-ES_tradnl"/>
        </w:rPr>
      </w:pPr>
      <w:r w:rsidRPr="00A43BCA">
        <w:rPr>
          <w:rFonts w:ascii="Bookman Old Style" w:hAnsi="Bookman Old Style"/>
          <w:i/>
          <w:lang w:val="es-ES_tradnl"/>
        </w:rPr>
        <w:t xml:space="preserve">Cabe aclarar que, al revisar la metodología de proyección de la demanda para los proyectos de gas combustible, no sólo se verifica el cumplimiento de lo expuesto en el Anexo 13 de la Resolución CREG 202 de 2013, sino que también se verifica si pertenece a un proyecto que haya solicitado financiación del Estado. De ser así, se contrasta la información de la demanda y del número de usuarios, para comprobar que la metodología cumpla la condición de que los datos presentados en la proyección sean iguales a las condiciones expuestas en el proyecto presentado ante la Oficina de Gestión de Proyectos de Fondos. Para el caso en cuestión el proyecto presentado fue “Implementación de gas GLP por redes en los Municipios de Córdoba, </w:t>
      </w:r>
      <w:proofErr w:type="spellStart"/>
      <w:r w:rsidRPr="00A43BCA">
        <w:rPr>
          <w:rFonts w:ascii="Bookman Old Style" w:hAnsi="Bookman Old Style"/>
          <w:i/>
          <w:lang w:val="es-ES_tradnl"/>
        </w:rPr>
        <w:t>Guaitarilla</w:t>
      </w:r>
      <w:proofErr w:type="spellEnd"/>
      <w:r w:rsidRPr="00A43BCA">
        <w:rPr>
          <w:rFonts w:ascii="Bookman Old Style" w:hAnsi="Bookman Old Style"/>
          <w:i/>
          <w:lang w:val="es-ES_tradnl"/>
        </w:rPr>
        <w:t xml:space="preserve"> y </w:t>
      </w:r>
      <w:proofErr w:type="spellStart"/>
      <w:r w:rsidRPr="00A43BCA">
        <w:rPr>
          <w:rFonts w:ascii="Bookman Old Style" w:hAnsi="Bookman Old Style"/>
          <w:i/>
          <w:lang w:val="es-ES_tradnl"/>
        </w:rPr>
        <w:t>Pupiales</w:t>
      </w:r>
      <w:proofErr w:type="spellEnd"/>
      <w:r w:rsidRPr="00A43BCA">
        <w:rPr>
          <w:rFonts w:ascii="Bookman Old Style" w:hAnsi="Bookman Old Style"/>
          <w:i/>
          <w:lang w:val="es-ES_tradnl"/>
        </w:rPr>
        <w:t xml:space="preserve"> del Departamento de Nariño”, que hace parte del Convenio GGC 645 de 2017 suscrito entre el Ministerio de Minas y Energía y la empresa INGENIERÍA Y SERVICIOS S.A. E.S.P.”</w:t>
      </w:r>
    </w:p>
    <w:p w14:paraId="7F229951" w14:textId="77777777" w:rsidR="006A032F" w:rsidRPr="006A032F" w:rsidRDefault="006A032F" w:rsidP="006A032F">
      <w:pPr>
        <w:ind w:right="567"/>
        <w:jc w:val="both"/>
        <w:rPr>
          <w:rFonts w:ascii="Bookman Old Style" w:hAnsi="Bookman Old Style"/>
          <w:i/>
          <w:lang w:val="es-ES_tradnl"/>
        </w:rPr>
      </w:pPr>
    </w:p>
    <w:p w14:paraId="457A18B6" w14:textId="4120C671" w:rsidR="00200F03" w:rsidRDefault="00200F03" w:rsidP="00D73007">
      <w:pPr>
        <w:ind w:left="0"/>
        <w:jc w:val="both"/>
        <w:rPr>
          <w:rFonts w:ascii="Bookman Old Style" w:hAnsi="Bookman Old Style"/>
          <w:lang w:val="es-ES_tradnl"/>
        </w:rPr>
      </w:pPr>
      <w:r>
        <w:rPr>
          <w:rFonts w:ascii="Bookman Old Style" w:hAnsi="Bookman Old Style"/>
          <w:lang w:val="es-ES_tradnl"/>
        </w:rPr>
        <w:t xml:space="preserve">Con los elementos </w:t>
      </w:r>
      <w:r w:rsidR="00AA2940">
        <w:rPr>
          <w:rFonts w:ascii="Bookman Old Style" w:hAnsi="Bookman Old Style"/>
          <w:lang w:val="es-ES_tradnl"/>
        </w:rPr>
        <w:t>descritos</w:t>
      </w:r>
      <w:r>
        <w:rPr>
          <w:rFonts w:ascii="Bookman Old Style" w:hAnsi="Bookman Old Style"/>
          <w:lang w:val="es-ES_tradnl"/>
        </w:rPr>
        <w:t>, la Comisión procede a analizar la petición de la empresa INGENIERÍA Y SERVICIOS S.A. E.S.P.</w:t>
      </w:r>
      <w:r w:rsidR="008810F3">
        <w:rPr>
          <w:rFonts w:ascii="Bookman Old Style" w:hAnsi="Bookman Old Style"/>
          <w:lang w:val="es-ES_tradnl"/>
        </w:rPr>
        <w:t>, así:</w:t>
      </w:r>
    </w:p>
    <w:p w14:paraId="2169B625" w14:textId="77777777" w:rsidR="00D73007" w:rsidRDefault="00D73007" w:rsidP="00D73007">
      <w:pPr>
        <w:ind w:left="0"/>
        <w:jc w:val="both"/>
        <w:rPr>
          <w:rFonts w:ascii="Bookman Old Style" w:hAnsi="Bookman Old Style"/>
          <w:lang w:val="es-ES_tradnl"/>
        </w:rPr>
      </w:pPr>
    </w:p>
    <w:p w14:paraId="02705895" w14:textId="727E159A" w:rsidR="00AE31AA" w:rsidRDefault="00FF201C" w:rsidP="00D73007">
      <w:pPr>
        <w:tabs>
          <w:tab w:val="left" w:pos="3360"/>
        </w:tabs>
        <w:spacing w:after="240"/>
        <w:ind w:left="0"/>
        <w:jc w:val="both"/>
        <w:rPr>
          <w:rFonts w:ascii="Bookman Old Style" w:hAnsi="Bookman Old Style"/>
          <w:lang w:val="es-ES_tradnl"/>
        </w:rPr>
      </w:pPr>
      <w:r>
        <w:rPr>
          <w:rFonts w:ascii="Bookman Old Style" w:hAnsi="Bookman Old Style"/>
          <w:lang w:val="es-ES_tradnl"/>
        </w:rPr>
        <w:t>El</w:t>
      </w:r>
      <w:r w:rsidR="00AE31AA">
        <w:rPr>
          <w:rFonts w:ascii="Bookman Old Style" w:hAnsi="Bookman Old Style"/>
          <w:lang w:val="es-ES_tradnl"/>
        </w:rPr>
        <w:t xml:space="preserve"> </w:t>
      </w:r>
      <w:r w:rsidR="00B92BF7">
        <w:rPr>
          <w:rFonts w:ascii="Bookman Old Style" w:hAnsi="Bookman Old Style"/>
          <w:lang w:val="es-ES_tradnl"/>
        </w:rPr>
        <w:t>a</w:t>
      </w:r>
      <w:r w:rsidR="00AE31AA">
        <w:rPr>
          <w:rFonts w:ascii="Bookman Old Style" w:hAnsi="Bookman Old Style"/>
          <w:lang w:val="es-ES_tradnl"/>
        </w:rPr>
        <w:t xml:space="preserve">rtículo 9 de la citada resolución, estable la metodología para el cálculo de los cargos de distribución a partir de los costos medios históricos o costos medios de mediano plazo, </w:t>
      </w:r>
      <w:r w:rsidR="00AE1E9B">
        <w:rPr>
          <w:rFonts w:ascii="Bookman Old Style" w:hAnsi="Bookman Old Style"/>
          <w:lang w:val="es-ES_tradnl"/>
        </w:rPr>
        <w:t>donde</w:t>
      </w:r>
      <w:r w:rsidR="00AE31AA">
        <w:rPr>
          <w:rFonts w:ascii="Bookman Old Style" w:hAnsi="Bookman Old Style"/>
          <w:lang w:val="es-ES_tradnl"/>
        </w:rPr>
        <w:t>:</w:t>
      </w:r>
    </w:p>
    <w:p w14:paraId="71825029" w14:textId="2E91A1FD" w:rsidR="00102423" w:rsidRPr="00AE31AA" w:rsidRDefault="00AE31AA" w:rsidP="0016298E">
      <w:pPr>
        <w:spacing w:before="240" w:after="240"/>
        <w:ind w:left="284" w:right="425"/>
        <w:jc w:val="both"/>
        <w:rPr>
          <w:rFonts w:ascii="Bookman Old Style" w:hAnsi="Bookman Old Style"/>
          <w:i/>
          <w:lang w:val="es-ES_tradnl"/>
        </w:rPr>
      </w:pPr>
      <w:r w:rsidRPr="00AE31AA">
        <w:rPr>
          <w:rFonts w:ascii="Bookman Old Style" w:hAnsi="Bookman Old Style"/>
          <w:i/>
          <w:lang w:val="es-ES_tradnl"/>
        </w:rPr>
        <w:t>“</w:t>
      </w:r>
      <w:r w:rsidR="00425111" w:rsidRPr="00AE31AA">
        <w:rPr>
          <w:rFonts w:ascii="Bookman Old Style" w:hAnsi="Bookman Old Style"/>
          <w:i/>
          <w:lang w:val="es-ES_tradnl"/>
        </w:rPr>
        <w:t xml:space="preserve">Los costos medios históricos y/o los costos medios de mediano plazo, para el Mercado Relevante de Distribución para el Siguiente Período Tarifario, se calculan con la Valoración de la Inversión Base, los gastos de Administración, Operación y Mantenimiento (AOM), la Demanda de Volumen del mercado correspondiente y la tasa de retorno, aplicando los criterios </w:t>
      </w:r>
      <w:r w:rsidR="00425111" w:rsidRPr="00AE31AA">
        <w:rPr>
          <w:rFonts w:ascii="Bookman Old Style" w:hAnsi="Bookman Old Style"/>
          <w:i/>
          <w:lang w:val="es-ES_tradnl"/>
        </w:rPr>
        <w:lastRenderedPageBreak/>
        <w:t>tarifarios establecidos en la Ley 142 de 1994 y de acuerdo a la conformación del Mercado Relevante de Distribución.</w:t>
      </w:r>
      <w:r w:rsidRPr="00AE31AA">
        <w:rPr>
          <w:rFonts w:ascii="Bookman Old Style" w:hAnsi="Bookman Old Style"/>
          <w:i/>
          <w:lang w:val="es-ES_tradnl"/>
        </w:rPr>
        <w:t>”</w:t>
      </w:r>
    </w:p>
    <w:p w14:paraId="7DB4FFA9" w14:textId="6F558DA9" w:rsidR="00EE7794" w:rsidRDefault="00634D3D" w:rsidP="00EE7794">
      <w:pPr>
        <w:adjustRightInd w:val="0"/>
        <w:ind w:left="0" w:right="23"/>
        <w:jc w:val="both"/>
        <w:rPr>
          <w:rFonts w:ascii="Bookman Old Style" w:hAnsi="Bookman Old Style" w:cs="Arial"/>
        </w:rPr>
      </w:pPr>
      <w:r>
        <w:rPr>
          <w:rFonts w:ascii="Bookman Old Style" w:hAnsi="Bookman Old Style" w:cs="Arial"/>
        </w:rPr>
        <w:t>Por lo anterior</w:t>
      </w:r>
      <w:r w:rsidR="00EE7794">
        <w:rPr>
          <w:rFonts w:ascii="Bookman Old Style" w:hAnsi="Bookman Old Style" w:cs="Arial"/>
        </w:rPr>
        <w:t xml:space="preserve">, las metodologías tarifarias expedidas </w:t>
      </w:r>
      <w:r w:rsidR="001E543D">
        <w:rPr>
          <w:rFonts w:ascii="Bookman Old Style" w:hAnsi="Bookman Old Style" w:cs="Arial"/>
        </w:rPr>
        <w:t xml:space="preserve">por la Comisión </w:t>
      </w:r>
      <w:r w:rsidR="00EE7794">
        <w:rPr>
          <w:rFonts w:ascii="Bookman Old Style" w:hAnsi="Bookman Old Style" w:cs="Arial"/>
        </w:rPr>
        <w:t xml:space="preserve">en las Resoluciones CREG 011 de 2003 y 202 de 2013, han considerado los costos medios de mediano plazo para el cálculo de cargos de distribución en mercados relevantes </w:t>
      </w:r>
      <w:r w:rsidR="00AE1E9B">
        <w:rPr>
          <w:rFonts w:ascii="Bookman Old Style" w:hAnsi="Bookman Old Style" w:cs="Arial"/>
        </w:rPr>
        <w:t xml:space="preserve">que contengan </w:t>
      </w:r>
      <w:r w:rsidR="00EE7794">
        <w:rPr>
          <w:rFonts w:ascii="Bookman Old Style" w:hAnsi="Bookman Old Style" w:cs="Arial"/>
        </w:rPr>
        <w:t xml:space="preserve">municipios nuevos, </w:t>
      </w:r>
      <w:r w:rsidR="00AE1E9B">
        <w:rPr>
          <w:rFonts w:ascii="Bookman Old Style" w:hAnsi="Bookman Old Style" w:cs="Arial"/>
        </w:rPr>
        <w:t>por lo tanto,</w:t>
      </w:r>
      <w:r w:rsidR="00EE7794">
        <w:rPr>
          <w:rFonts w:ascii="Bookman Old Style" w:hAnsi="Bookman Old Style" w:cs="Arial"/>
        </w:rPr>
        <w:t xml:space="preserve"> </w:t>
      </w:r>
      <w:r w:rsidR="00AE1E9B">
        <w:rPr>
          <w:rFonts w:ascii="Bookman Old Style" w:hAnsi="Bookman Old Style" w:cs="Arial"/>
        </w:rPr>
        <w:t xml:space="preserve">el argumento expuesto </w:t>
      </w:r>
      <w:r w:rsidR="00F26854">
        <w:rPr>
          <w:rFonts w:ascii="Bookman Old Style" w:hAnsi="Bookman Old Style" w:cs="Arial"/>
        </w:rPr>
        <w:t>por el recurrente relacionado</w:t>
      </w:r>
      <w:r w:rsidR="00EE7794">
        <w:rPr>
          <w:rFonts w:ascii="Bookman Old Style" w:hAnsi="Bookman Old Style" w:cs="Arial"/>
        </w:rPr>
        <w:t xml:space="preserve"> con la afectación de la demanda potencial por circunstancias propias de los tiempos que el regulador dispone para el trámite tarifario y que son imprevisibles por el distribuidor, no es un argumento que se relacione con la metodología de costo medio de mediano plazo.</w:t>
      </w:r>
    </w:p>
    <w:p w14:paraId="347D7DD2" w14:textId="6A0F9AFF" w:rsidR="00FF201C" w:rsidRDefault="00634D3D" w:rsidP="00FF201C">
      <w:pPr>
        <w:spacing w:before="240" w:after="240"/>
        <w:ind w:left="0"/>
        <w:jc w:val="both"/>
        <w:rPr>
          <w:rFonts w:ascii="Bookman Old Style" w:hAnsi="Bookman Old Style"/>
          <w:lang w:val="es-ES_tradnl"/>
        </w:rPr>
      </w:pPr>
      <w:r>
        <w:rPr>
          <w:rFonts w:ascii="Bookman Old Style" w:hAnsi="Bookman Old Style"/>
          <w:lang w:val="es-ES_tradnl"/>
        </w:rPr>
        <w:t>Ahora bien, con relación</w:t>
      </w:r>
      <w:r w:rsidR="00D2375A">
        <w:rPr>
          <w:rFonts w:ascii="Bookman Old Style" w:hAnsi="Bookman Old Style"/>
          <w:lang w:val="es-ES_tradnl"/>
        </w:rPr>
        <w:t xml:space="preserve"> a la demanda</w:t>
      </w:r>
      <w:r w:rsidR="00571785">
        <w:rPr>
          <w:rFonts w:ascii="Bookman Old Style" w:hAnsi="Bookman Old Style"/>
          <w:lang w:val="es-ES_tradnl"/>
        </w:rPr>
        <w:t xml:space="preserve"> </w:t>
      </w:r>
      <w:r w:rsidR="00FF201C">
        <w:rPr>
          <w:rFonts w:ascii="Bookman Old Style" w:hAnsi="Bookman Old Style"/>
          <w:lang w:val="es-ES_tradnl"/>
        </w:rPr>
        <w:t xml:space="preserve">el </w:t>
      </w:r>
      <w:r w:rsidR="00B92BF7">
        <w:rPr>
          <w:rFonts w:ascii="Bookman Old Style" w:hAnsi="Bookman Old Style"/>
          <w:lang w:val="es-ES_tradnl"/>
        </w:rPr>
        <w:t>a</w:t>
      </w:r>
      <w:r w:rsidR="00FF201C">
        <w:rPr>
          <w:rFonts w:ascii="Bookman Old Style" w:hAnsi="Bookman Old Style"/>
          <w:lang w:val="es-ES_tradnl"/>
        </w:rPr>
        <w:t>rtículo 2 de la Resolución CREG 202 de 2013, la define como:</w:t>
      </w:r>
    </w:p>
    <w:p w14:paraId="4D509F67" w14:textId="77777777" w:rsidR="00FF201C" w:rsidRPr="008810F3" w:rsidRDefault="00FF201C" w:rsidP="00FF201C">
      <w:pPr>
        <w:spacing w:before="240" w:after="240"/>
        <w:ind w:left="284" w:right="425"/>
        <w:jc w:val="both"/>
        <w:rPr>
          <w:rFonts w:ascii="Bookman Old Style" w:hAnsi="Bookman Old Style"/>
          <w:i/>
          <w:lang w:val="es-ES_tradnl"/>
        </w:rPr>
      </w:pPr>
      <w:r w:rsidRPr="008810F3">
        <w:rPr>
          <w:rFonts w:ascii="Bookman Old Style" w:hAnsi="Bookman Old Style"/>
          <w:i/>
          <w:lang w:val="es-ES_tradnl"/>
        </w:rPr>
        <w:t xml:space="preserve">“Cantidad de gas combustible que el Distribuidor entregó en la Fecha de Corte o Fecha de Base en cada uno de los mercados relevantes de distribución o </w:t>
      </w:r>
      <w:r w:rsidRPr="00FF201C">
        <w:rPr>
          <w:rFonts w:ascii="Bookman Old Style" w:hAnsi="Bookman Old Style"/>
          <w:i/>
          <w:lang w:val="es-ES_tradnl"/>
        </w:rPr>
        <w:t xml:space="preserve">cantidad de gas combustible que el distribuidor proyecta entregar anualmente a los consumidores finales en un mercado relevante nuevo de distribución o en un Municipio Nuevo, para el Horizonte de Proyección, </w:t>
      </w:r>
      <w:r w:rsidRPr="008810F3">
        <w:rPr>
          <w:rFonts w:ascii="Bookman Old Style" w:hAnsi="Bookman Old Style"/>
          <w:i/>
          <w:lang w:val="es-ES_tradnl"/>
        </w:rPr>
        <w:t>expresado en metros cúbicos.”</w:t>
      </w:r>
    </w:p>
    <w:p w14:paraId="011E670F" w14:textId="73BA11C2" w:rsidR="00FF201C" w:rsidRDefault="00FF201C" w:rsidP="00AE31AA">
      <w:pPr>
        <w:spacing w:before="240" w:after="240"/>
        <w:ind w:left="0"/>
        <w:jc w:val="both"/>
        <w:rPr>
          <w:rFonts w:ascii="Bookman Old Style" w:hAnsi="Bookman Old Style"/>
          <w:lang w:val="es-ES_tradnl"/>
        </w:rPr>
      </w:pPr>
      <w:r>
        <w:rPr>
          <w:rFonts w:ascii="Bookman Old Style" w:hAnsi="Bookman Old Style"/>
          <w:lang w:val="es-ES_tradnl"/>
        </w:rPr>
        <w:t xml:space="preserve">En el mismo sentido </w:t>
      </w:r>
      <w:r w:rsidR="00571785">
        <w:rPr>
          <w:rFonts w:ascii="Bookman Old Style" w:hAnsi="Bookman Old Style"/>
          <w:lang w:val="es-ES_tradnl"/>
        </w:rPr>
        <w:t xml:space="preserve">el </w:t>
      </w:r>
      <w:r w:rsidR="00B92BF7">
        <w:rPr>
          <w:rFonts w:ascii="Bookman Old Style" w:hAnsi="Bookman Old Style"/>
          <w:lang w:val="es-ES_tradnl"/>
        </w:rPr>
        <w:t>a</w:t>
      </w:r>
      <w:r w:rsidR="00571785">
        <w:rPr>
          <w:rFonts w:ascii="Bookman Old Style" w:hAnsi="Bookman Old Style"/>
          <w:lang w:val="es-ES_tradnl"/>
        </w:rPr>
        <w:t>rtículo 9</w:t>
      </w:r>
      <w:r>
        <w:rPr>
          <w:rFonts w:ascii="Bookman Old Style" w:hAnsi="Bookman Old Style"/>
          <w:lang w:val="es-ES_tradnl"/>
        </w:rPr>
        <w:t xml:space="preserve">, numeral 9.8, dispone que </w:t>
      </w:r>
      <w:r w:rsidR="00DD0AF6">
        <w:rPr>
          <w:rFonts w:ascii="Bookman Old Style" w:hAnsi="Bookman Old Style"/>
          <w:lang w:val="es-ES_tradnl"/>
        </w:rPr>
        <w:t xml:space="preserve">el distribuidor reportará en su solicitud tarifaria la correspondiente demanda de volumen. </w:t>
      </w:r>
    </w:p>
    <w:p w14:paraId="65E91A0C" w14:textId="7EEA647F" w:rsidR="00571785" w:rsidRDefault="00DD0AF6" w:rsidP="00AE31AA">
      <w:pPr>
        <w:spacing w:before="240" w:after="240"/>
        <w:ind w:left="0"/>
        <w:jc w:val="both"/>
        <w:rPr>
          <w:rFonts w:ascii="Bookman Old Style" w:hAnsi="Bookman Old Style"/>
          <w:lang w:val="es-ES_tradnl"/>
        </w:rPr>
      </w:pPr>
      <w:r>
        <w:rPr>
          <w:rFonts w:ascii="Bookman Old Style" w:hAnsi="Bookman Old Style"/>
          <w:lang w:val="es-ES_tradnl"/>
        </w:rPr>
        <w:t>Para el caso de los municipios nuevos, el numeral 9.8.3, establece lo siguiente:</w:t>
      </w:r>
    </w:p>
    <w:p w14:paraId="4B2994D4" w14:textId="3C9BB101" w:rsidR="00DD0AF6" w:rsidRPr="00D4229D" w:rsidRDefault="00D4229D" w:rsidP="0016298E">
      <w:pPr>
        <w:spacing w:before="240" w:after="240"/>
        <w:ind w:left="284" w:right="425"/>
        <w:jc w:val="both"/>
        <w:rPr>
          <w:rFonts w:ascii="Bookman Old Style" w:hAnsi="Bookman Old Style"/>
          <w:i/>
          <w:lang w:val="es-ES_tradnl"/>
        </w:rPr>
      </w:pPr>
      <w:r w:rsidRPr="00D4229D">
        <w:rPr>
          <w:rFonts w:ascii="Bookman Old Style" w:hAnsi="Bookman Old Style"/>
          <w:i/>
          <w:lang w:val="es-ES_tradnl"/>
        </w:rPr>
        <w:t>“</w:t>
      </w:r>
      <w:r w:rsidR="00DD0AF6" w:rsidRPr="00D4229D">
        <w:rPr>
          <w:rFonts w:ascii="Bookman Old Style" w:hAnsi="Bookman Old Style"/>
          <w:i/>
          <w:lang w:val="es-ES_tradnl"/>
        </w:rPr>
        <w:t>9.8.3.</w:t>
      </w:r>
      <w:r w:rsidR="00DD0AF6" w:rsidRPr="00D4229D">
        <w:rPr>
          <w:rFonts w:ascii="Bookman Old Style" w:hAnsi="Bookman Old Style"/>
          <w:i/>
          <w:lang w:val="es-ES_tradnl"/>
        </w:rPr>
        <w:tab/>
        <w:t xml:space="preserve">Mercados Relevantes de Distribución para el Siguiente Período Tarifario Conformados por Municipios Nuevos </w:t>
      </w:r>
    </w:p>
    <w:p w14:paraId="153F5C6A" w14:textId="77777777" w:rsidR="00DD0AF6" w:rsidRPr="00D4229D" w:rsidRDefault="00DD0AF6" w:rsidP="0016298E">
      <w:pPr>
        <w:spacing w:before="240" w:after="240"/>
        <w:ind w:left="284" w:right="425"/>
        <w:jc w:val="both"/>
        <w:rPr>
          <w:rFonts w:ascii="Bookman Old Style" w:hAnsi="Bookman Old Style"/>
          <w:i/>
          <w:lang w:val="es-ES_tradnl"/>
        </w:rPr>
      </w:pPr>
      <w:r w:rsidRPr="00D4229D">
        <w:rPr>
          <w:rFonts w:ascii="Bookman Old Style" w:hAnsi="Bookman Old Style"/>
          <w:i/>
          <w:lang w:val="es-ES_tradnl"/>
        </w:rPr>
        <w:t>1.</w:t>
      </w:r>
      <w:r w:rsidRPr="00D4229D">
        <w:rPr>
          <w:rFonts w:ascii="Bookman Old Style" w:hAnsi="Bookman Old Style"/>
          <w:i/>
          <w:lang w:val="es-ES_tradnl"/>
        </w:rPr>
        <w:tab/>
        <w:t>Para el Horizonte de Proyección, deberán reportarse los volúmenes anuales proyectados de consumo de los usuarios del Sistema de Distribución (expresados en metros cúbicos) desagregados conforme al ANEXO 12 de la presente resolución. Los volúmenes proyectados deben ser consistentes con el Programa de Nuevas Inversiones.</w:t>
      </w:r>
    </w:p>
    <w:p w14:paraId="3AC9085A" w14:textId="5B334C16" w:rsidR="00DD0AF6" w:rsidRPr="00D4229D" w:rsidRDefault="00DD0AF6" w:rsidP="0016298E">
      <w:pPr>
        <w:spacing w:before="240" w:after="240"/>
        <w:ind w:left="284" w:right="425"/>
        <w:jc w:val="both"/>
        <w:rPr>
          <w:rFonts w:ascii="Bookman Old Style" w:hAnsi="Bookman Old Style"/>
          <w:i/>
          <w:lang w:val="es-ES_tradnl"/>
        </w:rPr>
      </w:pPr>
      <w:r w:rsidRPr="00D4229D">
        <w:rPr>
          <w:rFonts w:ascii="Bookman Old Style" w:hAnsi="Bookman Old Style"/>
          <w:i/>
          <w:lang w:val="es-ES_tradnl"/>
        </w:rPr>
        <w:t>2.</w:t>
      </w:r>
      <w:r w:rsidRPr="00D4229D">
        <w:rPr>
          <w:rFonts w:ascii="Bookman Old Style" w:hAnsi="Bookman Old Style"/>
          <w:i/>
          <w:lang w:val="es-ES_tradnl"/>
        </w:rPr>
        <w:tab/>
        <w:t>Para la elaboración de estas proyecciones, el distribuidor utilizará la metodología contenida en el ANEXO 13 de la presente resolución. Dichas proyecciones deberán ser enviadas a la UPME para su evaluación metodológica, simultáneamente con la presentación de la solicitud tarifaria a la Comisión. Copia del radicado deberá remitirse con la solicitud tarifaria.</w:t>
      </w:r>
      <w:r w:rsidR="00D4229D" w:rsidRPr="00D4229D">
        <w:rPr>
          <w:rFonts w:ascii="Bookman Old Style" w:hAnsi="Bookman Old Style"/>
          <w:i/>
          <w:lang w:val="es-ES_tradnl"/>
        </w:rPr>
        <w:t>”</w:t>
      </w:r>
    </w:p>
    <w:p w14:paraId="4D52473A" w14:textId="77777777" w:rsidR="00DD0AF6" w:rsidRPr="00183DEF" w:rsidRDefault="00DD0AF6" w:rsidP="0016298E">
      <w:pPr>
        <w:spacing w:before="240" w:after="240"/>
        <w:ind w:left="284" w:right="425"/>
        <w:jc w:val="both"/>
        <w:rPr>
          <w:rFonts w:ascii="Bookman Old Style" w:hAnsi="Bookman Old Style"/>
          <w:i/>
          <w:lang w:val="es-ES_tradnl"/>
        </w:rPr>
      </w:pPr>
      <w:r w:rsidRPr="00183DEF">
        <w:rPr>
          <w:rFonts w:ascii="Bookman Old Style" w:hAnsi="Bookman Old Style"/>
          <w:i/>
          <w:lang w:val="es-ES_tradnl"/>
        </w:rPr>
        <w:t>3.</w:t>
      </w:r>
      <w:r w:rsidRPr="00183DEF">
        <w:rPr>
          <w:rFonts w:ascii="Bookman Old Style" w:hAnsi="Bookman Old Style"/>
          <w:i/>
          <w:lang w:val="es-ES_tradnl"/>
        </w:rPr>
        <w:tab/>
        <w:t xml:space="preserve">Una vez se reciba el concepto de la UPME, en caso de ser negativo el distribuidor deberá modificar la proyección de demanda, y enviarla nuevamente a la UPME para su evaluación metodológica. </w:t>
      </w:r>
    </w:p>
    <w:p w14:paraId="6BEE4381" w14:textId="77777777" w:rsidR="00681C5A" w:rsidRDefault="00DD0AF6" w:rsidP="0016298E">
      <w:pPr>
        <w:spacing w:before="240" w:after="240"/>
        <w:ind w:left="284" w:right="425"/>
        <w:jc w:val="both"/>
        <w:rPr>
          <w:rFonts w:ascii="Bookman Old Style" w:hAnsi="Bookman Old Style"/>
          <w:i/>
          <w:lang w:val="es-ES_tradnl"/>
        </w:rPr>
      </w:pPr>
      <w:r w:rsidRPr="00183DEF">
        <w:rPr>
          <w:rFonts w:ascii="Bookman Old Style" w:hAnsi="Bookman Old Style"/>
          <w:i/>
          <w:lang w:val="es-ES_tradnl"/>
        </w:rPr>
        <w:t>4.</w:t>
      </w:r>
      <w:r w:rsidRPr="00183DEF">
        <w:rPr>
          <w:rFonts w:ascii="Bookman Old Style" w:hAnsi="Bookman Old Style"/>
          <w:i/>
          <w:lang w:val="es-ES_tradnl"/>
        </w:rPr>
        <w:tab/>
        <w:t xml:space="preserve">Para el cálculo de los Cargos de Distribución se tendrá en cuenta la proyección de Demanda de Volumen a entregar a los usuarios </w:t>
      </w:r>
      <w:proofErr w:type="gramStart"/>
      <w:r w:rsidRPr="00183DEF">
        <w:rPr>
          <w:rFonts w:ascii="Bookman Old Style" w:hAnsi="Bookman Old Style"/>
          <w:i/>
          <w:lang w:val="es-ES_tradnl"/>
        </w:rPr>
        <w:t>y</w:t>
      </w:r>
      <w:proofErr w:type="gramEnd"/>
      <w:r w:rsidRPr="00183DEF">
        <w:rPr>
          <w:rFonts w:ascii="Bookman Old Style" w:hAnsi="Bookman Old Style"/>
          <w:i/>
          <w:lang w:val="es-ES_tradnl"/>
        </w:rPr>
        <w:t xml:space="preserve"> por tanto, este volumen no incorporará las pérdidas de gas en el Sistema de Distribución.</w:t>
      </w:r>
    </w:p>
    <w:p w14:paraId="22D6542D" w14:textId="77777777" w:rsidR="00D73007" w:rsidRDefault="00D73007" w:rsidP="00681C5A">
      <w:pPr>
        <w:adjustRightInd w:val="0"/>
        <w:ind w:left="0" w:right="23"/>
        <w:jc w:val="both"/>
        <w:rPr>
          <w:rFonts w:ascii="Bookman Old Style" w:hAnsi="Bookman Old Style"/>
          <w:lang w:val="es-ES_tradnl"/>
        </w:rPr>
      </w:pPr>
    </w:p>
    <w:p w14:paraId="6ACBD144" w14:textId="1382FAA5" w:rsidR="00056911" w:rsidRDefault="00AE31AA" w:rsidP="00681C5A">
      <w:pPr>
        <w:adjustRightInd w:val="0"/>
        <w:ind w:left="0" w:right="23"/>
        <w:jc w:val="both"/>
        <w:rPr>
          <w:rFonts w:ascii="Bookman Old Style" w:hAnsi="Bookman Old Style" w:cs="Arial"/>
        </w:rPr>
      </w:pPr>
      <w:r>
        <w:rPr>
          <w:rFonts w:ascii="Bookman Old Style" w:hAnsi="Bookman Old Style"/>
          <w:lang w:val="es-ES_tradnl"/>
        </w:rPr>
        <w:t xml:space="preserve">Así las cosas, </w:t>
      </w:r>
      <w:r w:rsidR="00681C5A">
        <w:rPr>
          <w:rFonts w:ascii="Bookman Old Style" w:hAnsi="Bookman Old Style"/>
          <w:lang w:val="es-ES_tradnl"/>
        </w:rPr>
        <w:t xml:space="preserve">la información tomada por la Comisión </w:t>
      </w:r>
      <w:r w:rsidR="00681C5A">
        <w:rPr>
          <w:rFonts w:ascii="Bookman Old Style" w:hAnsi="Bookman Old Style" w:cs="Arial"/>
        </w:rPr>
        <w:t>para el cálculo del cargo</w:t>
      </w:r>
      <w:r w:rsidR="00056911">
        <w:rPr>
          <w:rFonts w:ascii="Bookman Old Style" w:hAnsi="Bookman Old Style" w:cs="Arial"/>
        </w:rPr>
        <w:t xml:space="preserve"> de distribución </w:t>
      </w:r>
      <w:r w:rsidR="00F67E7F">
        <w:rPr>
          <w:rFonts w:ascii="Bookman Old Style" w:hAnsi="Bookman Old Style" w:cs="Arial"/>
        </w:rPr>
        <w:t>transitorio para el</w:t>
      </w:r>
      <w:r w:rsidR="00681C5A">
        <w:rPr>
          <w:rFonts w:ascii="Bookman Old Style" w:hAnsi="Bookman Old Style" w:cs="Arial"/>
        </w:rPr>
        <w:t xml:space="preserve"> mercado relevante conformado por los municipios de Córdoba, </w:t>
      </w:r>
      <w:proofErr w:type="spellStart"/>
      <w:r w:rsidR="00681C5A">
        <w:rPr>
          <w:rFonts w:ascii="Bookman Old Style" w:hAnsi="Bookman Old Style" w:cs="Arial"/>
        </w:rPr>
        <w:t>Guaitarilla</w:t>
      </w:r>
      <w:proofErr w:type="spellEnd"/>
      <w:r w:rsidR="00681C5A">
        <w:rPr>
          <w:rFonts w:ascii="Bookman Old Style" w:hAnsi="Bookman Old Style" w:cs="Arial"/>
        </w:rPr>
        <w:t xml:space="preserve"> y </w:t>
      </w:r>
      <w:proofErr w:type="spellStart"/>
      <w:r w:rsidR="00681C5A">
        <w:rPr>
          <w:rFonts w:ascii="Bookman Old Style" w:hAnsi="Bookman Old Style" w:cs="Arial"/>
        </w:rPr>
        <w:t>Pupiales</w:t>
      </w:r>
      <w:proofErr w:type="spellEnd"/>
      <w:r w:rsidR="00681C5A">
        <w:rPr>
          <w:rFonts w:ascii="Bookman Old Style" w:hAnsi="Bookman Old Style" w:cs="Arial"/>
        </w:rPr>
        <w:t>, corresponde a la reportada por la empresa INGENIERÍA Y SERVICIOS S.A. E.S.P. en</w:t>
      </w:r>
      <w:r w:rsidR="00056911">
        <w:rPr>
          <w:rFonts w:ascii="Bookman Old Style" w:hAnsi="Bookman Old Style" w:cs="Arial"/>
        </w:rPr>
        <w:t>: i)</w:t>
      </w:r>
      <w:r w:rsidR="00681C5A">
        <w:rPr>
          <w:rFonts w:ascii="Bookman Old Style" w:hAnsi="Bookman Old Style" w:cs="Arial"/>
        </w:rPr>
        <w:t xml:space="preserve"> la soli</w:t>
      </w:r>
      <w:r w:rsidR="00523267">
        <w:rPr>
          <w:rFonts w:ascii="Bookman Old Style" w:hAnsi="Bookman Old Style" w:cs="Arial"/>
        </w:rPr>
        <w:t xml:space="preserve">citud tarifaria CREG E-2017-012045 </w:t>
      </w:r>
      <w:r w:rsidR="00056911">
        <w:rPr>
          <w:rFonts w:ascii="Bookman Old Style" w:hAnsi="Bookman Old Style" w:cs="Arial"/>
        </w:rPr>
        <w:t xml:space="preserve">y ii) </w:t>
      </w:r>
      <w:r w:rsidR="00681C5A">
        <w:rPr>
          <w:rFonts w:ascii="Bookman Old Style" w:hAnsi="Bookman Old Style" w:cs="Arial"/>
        </w:rPr>
        <w:t xml:space="preserve">en la solicitud de </w:t>
      </w:r>
      <w:proofErr w:type="spellStart"/>
      <w:r w:rsidR="00681C5A" w:rsidRPr="007A1B8F">
        <w:rPr>
          <w:rFonts w:ascii="Bookman Old Style" w:hAnsi="Bookman Old Style" w:cs="Arial"/>
        </w:rPr>
        <w:t>ApliGas</w:t>
      </w:r>
      <w:proofErr w:type="spellEnd"/>
      <w:r w:rsidR="00681C5A" w:rsidRPr="007A1B8F">
        <w:rPr>
          <w:rFonts w:ascii="Bookman Old Style" w:hAnsi="Bookman Old Style" w:cs="Arial"/>
        </w:rPr>
        <w:t xml:space="preserve"> No. </w:t>
      </w:r>
      <w:r w:rsidR="007A1B8F" w:rsidRPr="007A1B8F">
        <w:rPr>
          <w:rFonts w:ascii="Bookman Old Style" w:hAnsi="Bookman Old Style" w:cs="Arial"/>
        </w:rPr>
        <w:t>1323</w:t>
      </w:r>
      <w:r w:rsidR="00681C5A" w:rsidRPr="007A1B8F">
        <w:rPr>
          <w:rFonts w:ascii="Bookman Old Style" w:hAnsi="Bookman Old Style" w:cs="Arial"/>
        </w:rPr>
        <w:t>.</w:t>
      </w:r>
      <w:r w:rsidR="00681C5A">
        <w:rPr>
          <w:rFonts w:ascii="Bookman Old Style" w:hAnsi="Bookman Old Style" w:cs="Arial"/>
        </w:rPr>
        <w:t xml:space="preserve"> </w:t>
      </w:r>
    </w:p>
    <w:p w14:paraId="51570E11" w14:textId="77777777" w:rsidR="00056911" w:rsidRDefault="00056911" w:rsidP="00681C5A">
      <w:pPr>
        <w:adjustRightInd w:val="0"/>
        <w:ind w:left="0" w:right="23"/>
        <w:jc w:val="both"/>
        <w:rPr>
          <w:rFonts w:ascii="Bookman Old Style" w:hAnsi="Bookman Old Style" w:cs="Arial"/>
        </w:rPr>
      </w:pPr>
    </w:p>
    <w:p w14:paraId="0EFF37F6" w14:textId="787C8B42" w:rsidR="00FB4BE4" w:rsidRDefault="00FB4BE4" w:rsidP="00681C5A">
      <w:pPr>
        <w:adjustRightInd w:val="0"/>
        <w:ind w:left="0" w:right="23"/>
        <w:jc w:val="both"/>
        <w:rPr>
          <w:rFonts w:ascii="Bookman Old Style" w:hAnsi="Bookman Old Style" w:cs="Arial"/>
        </w:rPr>
      </w:pPr>
      <w:r>
        <w:rPr>
          <w:rFonts w:ascii="Bookman Old Style" w:hAnsi="Bookman Old Style" w:cs="Arial"/>
        </w:rPr>
        <w:t xml:space="preserve">Donde, para el caso de la demanda la empresa INGENIERÍA Y SERVICIOS S.A. E.S.P., elaboró las proyecciones con base en la metodología contenida en el Anexo 13 de la Resolución CREG 202 de 2013, enviándolas a la UPME para su evaluación. Lo anterior, se evidencia con el radicado CREG E-2018-000965 donde la UPME informa a la Comisión que la proyección de la demanda correspondiente a la solicitud tarifaria para el mercado relevante </w:t>
      </w:r>
      <w:r w:rsidR="00E301B2">
        <w:rPr>
          <w:rFonts w:ascii="Bookman Old Style" w:hAnsi="Bookman Old Style" w:cs="Arial"/>
        </w:rPr>
        <w:t>objeto de la solicitud</w:t>
      </w:r>
      <w:r>
        <w:rPr>
          <w:rFonts w:ascii="Bookman Old Style" w:hAnsi="Bookman Old Style" w:cs="Arial"/>
        </w:rPr>
        <w:t>, cumple con los requerimientos contenidos en el Anexo 13 de la Resolución CREG 202 de 2013.</w:t>
      </w:r>
    </w:p>
    <w:p w14:paraId="6480508D" w14:textId="77777777" w:rsidR="00FB4BE4" w:rsidRDefault="00FB4BE4" w:rsidP="00681C5A">
      <w:pPr>
        <w:adjustRightInd w:val="0"/>
        <w:ind w:left="0" w:right="23"/>
        <w:jc w:val="both"/>
        <w:rPr>
          <w:rFonts w:ascii="Bookman Old Style" w:hAnsi="Bookman Old Style" w:cs="Arial"/>
        </w:rPr>
      </w:pPr>
    </w:p>
    <w:p w14:paraId="30A220DF" w14:textId="3328DE34" w:rsidR="00D1494F" w:rsidRDefault="0074028D" w:rsidP="00681C5A">
      <w:pPr>
        <w:adjustRightInd w:val="0"/>
        <w:ind w:left="0" w:right="23"/>
        <w:jc w:val="both"/>
        <w:rPr>
          <w:rFonts w:ascii="Bookman Old Style" w:hAnsi="Bookman Old Style" w:cs="Arial"/>
        </w:rPr>
      </w:pPr>
      <w:r>
        <w:rPr>
          <w:rFonts w:ascii="Bookman Old Style" w:hAnsi="Bookman Old Style" w:cs="Arial"/>
        </w:rPr>
        <w:t>Ahora bien, el Anexo 13 de la Resolución CREG 202 de 2013</w:t>
      </w:r>
      <w:r w:rsidR="00D61749">
        <w:rPr>
          <w:rFonts w:ascii="Bookman Old Style" w:hAnsi="Bookman Old Style" w:cs="Arial"/>
        </w:rPr>
        <w:t xml:space="preserve">, dispone la metodología para la determinación de la proyección de demanda de gas combustible en los municipios nuevos, donde, </w:t>
      </w:r>
      <w:r w:rsidR="00F024E3">
        <w:rPr>
          <w:rFonts w:ascii="Bookman Old Style" w:hAnsi="Bookman Old Style" w:cs="Arial"/>
        </w:rPr>
        <w:t>el distribuidor</w:t>
      </w:r>
      <w:r w:rsidR="00D61749">
        <w:rPr>
          <w:rFonts w:ascii="Bookman Old Style" w:hAnsi="Bookman Old Style" w:cs="Arial"/>
        </w:rPr>
        <w:t xml:space="preserve"> debe estimar </w:t>
      </w:r>
      <w:r w:rsidR="00BE35C1">
        <w:rPr>
          <w:rFonts w:ascii="Bookman Old Style" w:hAnsi="Bookman Old Style" w:cs="Arial"/>
        </w:rPr>
        <w:t>las proyecciones d</w:t>
      </w:r>
      <w:r w:rsidR="00D61749">
        <w:rPr>
          <w:rFonts w:ascii="Bookman Old Style" w:hAnsi="Bookman Old Style" w:cs="Arial"/>
        </w:rPr>
        <w:t xml:space="preserve">el número de viviendas y el consumo promedio por vivienda para un horizonte de tiempo de 20 años. </w:t>
      </w:r>
    </w:p>
    <w:p w14:paraId="14A82F07" w14:textId="410C71CB" w:rsidR="00D1494F" w:rsidRDefault="00D1494F" w:rsidP="00681C5A">
      <w:pPr>
        <w:adjustRightInd w:val="0"/>
        <w:ind w:left="0" w:right="23"/>
        <w:jc w:val="both"/>
        <w:rPr>
          <w:rFonts w:ascii="Bookman Old Style" w:hAnsi="Bookman Old Style" w:cs="Arial"/>
        </w:rPr>
      </w:pPr>
    </w:p>
    <w:p w14:paraId="15764819" w14:textId="62A2F6DB" w:rsidR="00D1494F" w:rsidRDefault="00D1494F" w:rsidP="00681C5A">
      <w:pPr>
        <w:adjustRightInd w:val="0"/>
        <w:ind w:left="0" w:right="23"/>
        <w:jc w:val="both"/>
        <w:rPr>
          <w:rFonts w:ascii="Bookman Old Style" w:hAnsi="Bookman Old Style" w:cs="Arial"/>
        </w:rPr>
      </w:pPr>
      <w:r>
        <w:rPr>
          <w:rFonts w:ascii="Bookman Old Style" w:hAnsi="Bookman Old Style" w:cs="Arial"/>
        </w:rPr>
        <w:t xml:space="preserve">Así mismo, el citado </w:t>
      </w:r>
      <w:r w:rsidR="00E65441">
        <w:rPr>
          <w:rFonts w:ascii="Bookman Old Style" w:hAnsi="Bookman Old Style" w:cs="Arial"/>
        </w:rPr>
        <w:t>a</w:t>
      </w:r>
      <w:r>
        <w:rPr>
          <w:rFonts w:ascii="Bookman Old Style" w:hAnsi="Bookman Old Style" w:cs="Arial"/>
        </w:rPr>
        <w:t xml:space="preserve">nexo sugiere que </w:t>
      </w:r>
      <w:r w:rsidR="009352C7">
        <w:rPr>
          <w:rFonts w:ascii="Bookman Old Style" w:hAnsi="Bookman Old Style" w:cs="Arial"/>
        </w:rPr>
        <w:t>se</w:t>
      </w:r>
      <w:r>
        <w:rPr>
          <w:rFonts w:ascii="Bookman Old Style" w:hAnsi="Bookman Old Style" w:cs="Arial"/>
        </w:rPr>
        <w:t xml:space="preserve"> incluya:</w:t>
      </w:r>
    </w:p>
    <w:p w14:paraId="33676856" w14:textId="71F73A59" w:rsidR="00D1494F" w:rsidRDefault="00D1494F" w:rsidP="00681C5A">
      <w:pPr>
        <w:adjustRightInd w:val="0"/>
        <w:ind w:left="0" w:right="23"/>
        <w:jc w:val="both"/>
        <w:rPr>
          <w:rFonts w:ascii="Bookman Old Style" w:hAnsi="Bookman Old Style" w:cs="Arial"/>
        </w:rPr>
      </w:pPr>
    </w:p>
    <w:p w14:paraId="702A88E7" w14:textId="3E99D9E9" w:rsidR="006C3F07" w:rsidRPr="006C3F07" w:rsidRDefault="00D1494F" w:rsidP="006C3F07">
      <w:pPr>
        <w:adjustRightInd w:val="0"/>
        <w:ind w:left="284" w:right="425"/>
        <w:jc w:val="both"/>
        <w:rPr>
          <w:rFonts w:ascii="Bookman Old Style" w:hAnsi="Bookman Old Style" w:cs="Arial"/>
          <w:i/>
        </w:rPr>
      </w:pPr>
      <w:r w:rsidRPr="00D1494F">
        <w:rPr>
          <w:rFonts w:ascii="Bookman Old Style" w:hAnsi="Bookman Old Style" w:cs="Arial"/>
          <w:i/>
        </w:rPr>
        <w:t>“</w:t>
      </w:r>
      <w:r w:rsidR="006C3F07" w:rsidRPr="006C3F07">
        <w:rPr>
          <w:rFonts w:ascii="Bookman Old Style" w:hAnsi="Bookman Old Style" w:cs="Arial"/>
          <w:i/>
        </w:rPr>
        <w:t>1.</w:t>
      </w:r>
      <w:r w:rsidR="006C3F07" w:rsidRPr="006C3F07">
        <w:rPr>
          <w:rFonts w:ascii="Bookman Old Style" w:hAnsi="Bookman Old Style" w:cs="Arial"/>
          <w:i/>
        </w:rPr>
        <w:tab/>
        <w:t>Revisión de estudios anteriores, bases de datos y documentos que sean relevantes para el análisis de mercados calóricos y carburantes penetrables con gas natural.</w:t>
      </w:r>
    </w:p>
    <w:p w14:paraId="2AD2E886" w14:textId="77777777" w:rsidR="006C3F07" w:rsidRPr="006C3F07" w:rsidRDefault="006C3F07" w:rsidP="006C3F07">
      <w:pPr>
        <w:adjustRightInd w:val="0"/>
        <w:ind w:left="284" w:right="425"/>
        <w:jc w:val="both"/>
        <w:rPr>
          <w:rFonts w:ascii="Bookman Old Style" w:hAnsi="Bookman Old Style" w:cs="Arial"/>
          <w:i/>
        </w:rPr>
      </w:pPr>
    </w:p>
    <w:p w14:paraId="30BA48C0" w14:textId="4C614DFB" w:rsidR="006C3F07" w:rsidRDefault="006C3F07" w:rsidP="006C3F07">
      <w:pPr>
        <w:adjustRightInd w:val="0"/>
        <w:ind w:left="284" w:right="425"/>
        <w:jc w:val="both"/>
        <w:rPr>
          <w:rFonts w:ascii="Bookman Old Style" w:hAnsi="Bookman Old Style" w:cs="Arial"/>
          <w:i/>
          <w:u w:val="single"/>
        </w:rPr>
      </w:pPr>
      <w:r w:rsidRPr="006C3F07">
        <w:rPr>
          <w:rFonts w:ascii="Bookman Old Style" w:hAnsi="Bookman Old Style" w:cs="Arial"/>
          <w:i/>
        </w:rPr>
        <w:t>2.</w:t>
      </w:r>
      <w:r w:rsidRPr="006C3F07">
        <w:rPr>
          <w:rFonts w:ascii="Bookman Old Style" w:hAnsi="Bookman Old Style" w:cs="Arial"/>
          <w:i/>
        </w:rPr>
        <w:tab/>
        <w:t xml:space="preserve">Se considera importante complementar la tarea anterior con la </w:t>
      </w:r>
      <w:r w:rsidRPr="002C32DB">
        <w:rPr>
          <w:rFonts w:ascii="Bookman Old Style" w:hAnsi="Bookman Old Style" w:cs="Arial"/>
          <w:i/>
          <w:u w:val="single"/>
        </w:rPr>
        <w:t>revisión de la evolución de los sistemas combustibles en localidades similares.</w:t>
      </w:r>
    </w:p>
    <w:p w14:paraId="4BF97830" w14:textId="716AC720" w:rsidR="002C32DB" w:rsidRPr="002C32DB" w:rsidRDefault="002C32DB" w:rsidP="006C3F07">
      <w:pPr>
        <w:adjustRightInd w:val="0"/>
        <w:ind w:left="284" w:right="425"/>
        <w:jc w:val="both"/>
        <w:rPr>
          <w:rFonts w:ascii="Bookman Old Style" w:hAnsi="Bookman Old Style" w:cs="Arial"/>
        </w:rPr>
      </w:pPr>
      <w:r w:rsidRPr="002C32DB">
        <w:rPr>
          <w:rFonts w:ascii="Bookman Old Style" w:hAnsi="Bookman Old Style" w:cs="Arial"/>
        </w:rPr>
        <w:t>Subrayado fuera de texto.</w:t>
      </w:r>
    </w:p>
    <w:p w14:paraId="7AF14877" w14:textId="77777777" w:rsidR="006C3F07" w:rsidRPr="006C3F07" w:rsidRDefault="006C3F07" w:rsidP="006C3F07">
      <w:pPr>
        <w:adjustRightInd w:val="0"/>
        <w:ind w:left="284" w:right="425"/>
        <w:jc w:val="both"/>
        <w:rPr>
          <w:rFonts w:ascii="Bookman Old Style" w:hAnsi="Bookman Old Style" w:cs="Arial"/>
          <w:i/>
        </w:rPr>
      </w:pPr>
    </w:p>
    <w:p w14:paraId="59986B37" w14:textId="72879322" w:rsidR="00D1494F" w:rsidRPr="001D5385" w:rsidRDefault="00D1494F" w:rsidP="001D5385">
      <w:pPr>
        <w:adjustRightInd w:val="0"/>
        <w:ind w:left="284" w:right="425"/>
        <w:jc w:val="both"/>
        <w:rPr>
          <w:rFonts w:ascii="Bookman Old Style" w:hAnsi="Bookman Old Style" w:cs="Arial"/>
          <w:i/>
        </w:rPr>
      </w:pPr>
      <w:r w:rsidRPr="00D1494F">
        <w:rPr>
          <w:rFonts w:ascii="Bookman Old Style" w:hAnsi="Bookman Old Style" w:cs="Arial"/>
          <w:i/>
        </w:rPr>
        <w:t>3.</w:t>
      </w:r>
      <w:r w:rsidRPr="00D1494F">
        <w:rPr>
          <w:rFonts w:ascii="Bookman Old Style" w:hAnsi="Bookman Old Style" w:cs="Arial"/>
          <w:i/>
        </w:rPr>
        <w:tab/>
        <w:t>Escenario socioeconómico: construcción del escenario de evolución socioeconómica que se considere más probable y que sirva de marco de referencia a las proyecciones de la demanda.”</w:t>
      </w:r>
    </w:p>
    <w:p w14:paraId="5F6ED568" w14:textId="77777777" w:rsidR="00D1494F" w:rsidRDefault="00D1494F" w:rsidP="00681C5A">
      <w:pPr>
        <w:adjustRightInd w:val="0"/>
        <w:ind w:left="0" w:right="23"/>
        <w:jc w:val="both"/>
        <w:rPr>
          <w:rFonts w:ascii="Bookman Old Style" w:hAnsi="Bookman Old Style" w:cs="Arial"/>
        </w:rPr>
      </w:pPr>
    </w:p>
    <w:p w14:paraId="56EEFBA6" w14:textId="4E224117" w:rsidR="00FB4BE4" w:rsidRDefault="00D61749" w:rsidP="00681C5A">
      <w:pPr>
        <w:adjustRightInd w:val="0"/>
        <w:ind w:left="0" w:right="23"/>
        <w:jc w:val="both"/>
        <w:rPr>
          <w:rFonts w:ascii="Bookman Old Style" w:hAnsi="Bookman Old Style" w:cs="Arial"/>
        </w:rPr>
      </w:pPr>
      <w:r>
        <w:rPr>
          <w:rFonts w:ascii="Bookman Old Style" w:hAnsi="Bookman Old Style" w:cs="Arial"/>
        </w:rPr>
        <w:t>Por lo anterior, lo manifestado</w:t>
      </w:r>
      <w:r w:rsidR="001D5385">
        <w:rPr>
          <w:rFonts w:ascii="Bookman Old Style" w:hAnsi="Bookman Old Style" w:cs="Arial"/>
        </w:rPr>
        <w:t xml:space="preserve"> por el recurrente </w:t>
      </w:r>
      <w:r w:rsidR="00FB1B88">
        <w:rPr>
          <w:rFonts w:ascii="Bookman Old Style" w:hAnsi="Bookman Old Style" w:cs="Arial"/>
        </w:rPr>
        <w:t xml:space="preserve">en el sentido de </w:t>
      </w:r>
      <w:r w:rsidR="007A770B">
        <w:rPr>
          <w:rFonts w:ascii="Bookman Old Style" w:hAnsi="Bookman Old Style" w:cs="Arial"/>
        </w:rPr>
        <w:t>tomar como referencia</w:t>
      </w:r>
      <w:r w:rsidR="001D5385">
        <w:rPr>
          <w:rFonts w:ascii="Bookman Old Style" w:hAnsi="Bookman Old Style" w:cs="Arial"/>
        </w:rPr>
        <w:t xml:space="preserve"> </w:t>
      </w:r>
      <w:r w:rsidR="00677507">
        <w:rPr>
          <w:rFonts w:ascii="Bookman Old Style" w:hAnsi="Bookman Old Style" w:cs="Arial"/>
        </w:rPr>
        <w:t xml:space="preserve">el comportamiento en la vinculación de usuarios en un mercado nuevo, es un ejercicio que la regulación sugiere que </w:t>
      </w:r>
      <w:r w:rsidR="00F44A04">
        <w:rPr>
          <w:rFonts w:ascii="Bookman Old Style" w:hAnsi="Bookman Old Style" w:cs="Arial"/>
        </w:rPr>
        <w:t>desarrolle el distribuidor al</w:t>
      </w:r>
      <w:r w:rsidR="00677507">
        <w:rPr>
          <w:rFonts w:ascii="Bookman Old Style" w:hAnsi="Bookman Old Style" w:cs="Arial"/>
        </w:rPr>
        <w:t xml:space="preserve"> momento </w:t>
      </w:r>
      <w:r w:rsidR="00F44A04">
        <w:rPr>
          <w:rFonts w:ascii="Bookman Old Style" w:hAnsi="Bookman Old Style" w:cs="Arial"/>
        </w:rPr>
        <w:t xml:space="preserve">de realizar la proyección de la demanda. Por lo tanto, solicitar a la Comisión que considere dichos comparativos una vez se aprueba el cargo </w:t>
      </w:r>
      <w:r w:rsidR="00B85BA6">
        <w:rPr>
          <w:rFonts w:ascii="Bookman Old Style" w:hAnsi="Bookman Old Style" w:cs="Arial"/>
        </w:rPr>
        <w:t>de distribución</w:t>
      </w:r>
      <w:r w:rsidR="00EE7794">
        <w:rPr>
          <w:rFonts w:ascii="Bookman Old Style" w:hAnsi="Bookman Old Style" w:cs="Arial"/>
        </w:rPr>
        <w:t xml:space="preserve"> por redes de tubería</w:t>
      </w:r>
      <w:r w:rsidR="00B85BA6">
        <w:rPr>
          <w:rFonts w:ascii="Bookman Old Style" w:hAnsi="Bookman Old Style" w:cs="Arial"/>
        </w:rPr>
        <w:t xml:space="preserve"> </w:t>
      </w:r>
      <w:r w:rsidR="00F44A04">
        <w:rPr>
          <w:rFonts w:ascii="Bookman Old Style" w:hAnsi="Bookman Old Style" w:cs="Arial"/>
        </w:rPr>
        <w:t xml:space="preserve">no es </w:t>
      </w:r>
      <w:r w:rsidR="007A3A79">
        <w:rPr>
          <w:rFonts w:ascii="Bookman Old Style" w:hAnsi="Bookman Old Style" w:cs="Arial"/>
        </w:rPr>
        <w:t>procedente</w:t>
      </w:r>
      <w:r w:rsidR="009352C7">
        <w:rPr>
          <w:rFonts w:ascii="Bookman Old Style" w:hAnsi="Bookman Old Style" w:cs="Arial"/>
        </w:rPr>
        <w:t>.</w:t>
      </w:r>
    </w:p>
    <w:p w14:paraId="0DE4CD39" w14:textId="57775EF2" w:rsidR="007E3A5A" w:rsidRDefault="007E3A5A" w:rsidP="00681C5A">
      <w:pPr>
        <w:adjustRightInd w:val="0"/>
        <w:ind w:left="0" w:right="23"/>
        <w:jc w:val="both"/>
        <w:rPr>
          <w:rFonts w:ascii="Bookman Old Style" w:hAnsi="Bookman Old Style" w:cs="Arial"/>
        </w:rPr>
      </w:pPr>
    </w:p>
    <w:p w14:paraId="016EABC1" w14:textId="7BDD0D06" w:rsidR="00F932F0" w:rsidRDefault="00AB280C" w:rsidP="00681C5A">
      <w:pPr>
        <w:adjustRightInd w:val="0"/>
        <w:ind w:left="0" w:right="23"/>
        <w:jc w:val="both"/>
        <w:rPr>
          <w:rFonts w:ascii="Bookman Old Style" w:hAnsi="Bookman Old Style" w:cs="Arial"/>
        </w:rPr>
      </w:pPr>
      <w:r>
        <w:rPr>
          <w:rFonts w:ascii="Bookman Old Style" w:hAnsi="Bookman Old Style" w:cs="Arial"/>
        </w:rPr>
        <w:t>Con relación al Factor de Uso Eficiente de Redes –FUE, l</w:t>
      </w:r>
      <w:r w:rsidR="00F67E7F">
        <w:rPr>
          <w:rFonts w:ascii="Bookman Old Style" w:hAnsi="Bookman Old Style" w:cs="Arial"/>
        </w:rPr>
        <w:t xml:space="preserve">a Resolución CREG 111 de 2018, </w:t>
      </w:r>
      <w:r w:rsidR="00AE48F4">
        <w:rPr>
          <w:rFonts w:ascii="Bookman Old Style" w:hAnsi="Bookman Old Style" w:cs="Arial"/>
        </w:rPr>
        <w:t>detalla</w:t>
      </w:r>
      <w:r w:rsidR="00F67E7F">
        <w:rPr>
          <w:rFonts w:ascii="Bookman Old Style" w:hAnsi="Bookman Old Style" w:cs="Arial"/>
        </w:rPr>
        <w:t xml:space="preserve"> el procedimiento por medio del cual se realizó el </w:t>
      </w:r>
      <w:r w:rsidR="00AE48F4">
        <w:rPr>
          <w:rFonts w:ascii="Bookman Old Style" w:hAnsi="Bookman Old Style" w:cs="Arial"/>
        </w:rPr>
        <w:t xml:space="preserve">cálculo del cargo, donde </w:t>
      </w:r>
      <w:r w:rsidR="002B3E5E">
        <w:rPr>
          <w:rFonts w:ascii="Bookman Old Style" w:hAnsi="Bookman Old Style" w:cs="Arial"/>
        </w:rPr>
        <w:t xml:space="preserve">para el caso </w:t>
      </w:r>
      <w:r w:rsidR="00F932F0">
        <w:rPr>
          <w:rFonts w:ascii="Bookman Old Style" w:hAnsi="Bookman Old Style" w:cs="Arial"/>
        </w:rPr>
        <w:t xml:space="preserve">del mercado </w:t>
      </w:r>
      <w:r w:rsidR="00D36275">
        <w:rPr>
          <w:rFonts w:ascii="Bookman Old Style" w:hAnsi="Bookman Old Style" w:cs="Arial"/>
        </w:rPr>
        <w:t xml:space="preserve">relevante de distribución nuevo </w:t>
      </w:r>
      <w:r w:rsidR="00F932F0">
        <w:rPr>
          <w:rFonts w:ascii="Bookman Old Style" w:hAnsi="Bookman Old Style" w:cs="Arial"/>
        </w:rPr>
        <w:t xml:space="preserve">de Córdoba, </w:t>
      </w:r>
      <w:proofErr w:type="spellStart"/>
      <w:r w:rsidR="00F932F0">
        <w:rPr>
          <w:rFonts w:ascii="Bookman Old Style" w:hAnsi="Bookman Old Style" w:cs="Arial"/>
        </w:rPr>
        <w:t>Guaitarilla</w:t>
      </w:r>
      <w:proofErr w:type="spellEnd"/>
      <w:r w:rsidR="00F932F0">
        <w:rPr>
          <w:rFonts w:ascii="Bookman Old Style" w:hAnsi="Bookman Old Style" w:cs="Arial"/>
        </w:rPr>
        <w:t xml:space="preserve"> y </w:t>
      </w:r>
      <w:proofErr w:type="spellStart"/>
      <w:r w:rsidR="00F932F0">
        <w:rPr>
          <w:rFonts w:ascii="Bookman Old Style" w:hAnsi="Bookman Old Style" w:cs="Arial"/>
        </w:rPr>
        <w:t>Pupiales</w:t>
      </w:r>
      <w:proofErr w:type="spellEnd"/>
      <w:r w:rsidR="00F932F0">
        <w:rPr>
          <w:rFonts w:ascii="Bookman Old Style" w:hAnsi="Bookman Old Style" w:cs="Arial"/>
        </w:rPr>
        <w:t xml:space="preserve"> este factor no aplica, toda vez </w:t>
      </w:r>
      <w:r w:rsidR="001C3024">
        <w:rPr>
          <w:rFonts w:ascii="Bookman Old Style" w:hAnsi="Bookman Old Style" w:cs="Arial"/>
        </w:rPr>
        <w:t xml:space="preserve">que se </w:t>
      </w:r>
      <w:r w:rsidR="00F1760A">
        <w:rPr>
          <w:rFonts w:ascii="Bookman Old Style" w:hAnsi="Bookman Old Style" w:cs="Arial"/>
        </w:rPr>
        <w:t xml:space="preserve">creó para </w:t>
      </w:r>
      <w:r w:rsidR="001C3024">
        <w:rPr>
          <w:rFonts w:ascii="Bookman Old Style" w:hAnsi="Bookman Old Style" w:cs="Arial"/>
        </w:rPr>
        <w:t>desarroll</w:t>
      </w:r>
      <w:r w:rsidR="00F1760A">
        <w:rPr>
          <w:rFonts w:ascii="Bookman Old Style" w:hAnsi="Bookman Old Style" w:cs="Arial"/>
        </w:rPr>
        <w:t>arse</w:t>
      </w:r>
      <w:r w:rsidR="001C3024">
        <w:rPr>
          <w:rFonts w:ascii="Bookman Old Style" w:hAnsi="Bookman Old Style" w:cs="Arial"/>
        </w:rPr>
        <w:t xml:space="preserve"> </w:t>
      </w:r>
      <w:r w:rsidR="00F1760A">
        <w:rPr>
          <w:rFonts w:ascii="Bookman Old Style" w:hAnsi="Bookman Old Style" w:cs="Arial"/>
        </w:rPr>
        <w:t>en</w:t>
      </w:r>
      <w:r w:rsidR="001C3024">
        <w:rPr>
          <w:rFonts w:ascii="Bookman Old Style" w:hAnsi="Bookman Old Style" w:cs="Arial"/>
        </w:rPr>
        <w:t xml:space="preserve"> </w:t>
      </w:r>
      <w:r w:rsidR="00D36275">
        <w:rPr>
          <w:rFonts w:ascii="Bookman Old Style" w:hAnsi="Bookman Old Style" w:cs="Arial"/>
        </w:rPr>
        <w:t xml:space="preserve">mercados relevantes </w:t>
      </w:r>
      <w:r w:rsidR="00F1760A">
        <w:rPr>
          <w:rFonts w:ascii="Bookman Old Style" w:hAnsi="Bookman Old Style" w:cs="Arial"/>
        </w:rPr>
        <w:t>de distribución</w:t>
      </w:r>
      <w:r w:rsidR="001C3024">
        <w:rPr>
          <w:rFonts w:ascii="Bookman Old Style" w:hAnsi="Bookman Old Style" w:cs="Arial"/>
        </w:rPr>
        <w:t xml:space="preserve"> </w:t>
      </w:r>
      <w:r w:rsidR="00D36275">
        <w:rPr>
          <w:rFonts w:ascii="Bookman Old Style" w:hAnsi="Bookman Old Style" w:cs="Arial"/>
        </w:rPr>
        <w:t xml:space="preserve">existentes </w:t>
      </w:r>
      <w:r w:rsidR="001C3024">
        <w:rPr>
          <w:rFonts w:ascii="Bookman Old Style" w:hAnsi="Bookman Old Style" w:cs="Arial"/>
        </w:rPr>
        <w:t xml:space="preserve">y no </w:t>
      </w:r>
      <w:r w:rsidR="00F1760A">
        <w:rPr>
          <w:rFonts w:ascii="Bookman Old Style" w:hAnsi="Bookman Old Style" w:cs="Arial"/>
        </w:rPr>
        <w:t xml:space="preserve">en </w:t>
      </w:r>
      <w:r w:rsidR="00F1760A">
        <w:rPr>
          <w:rFonts w:ascii="Bookman Old Style" w:hAnsi="Bookman Old Style" w:cs="Arial"/>
        </w:rPr>
        <w:lastRenderedPageBreak/>
        <w:t>mercados</w:t>
      </w:r>
      <w:r w:rsidR="001C3024">
        <w:rPr>
          <w:rFonts w:ascii="Bookman Old Style" w:hAnsi="Bookman Old Style" w:cs="Arial"/>
        </w:rPr>
        <w:t xml:space="preserve"> nuevos.</w:t>
      </w:r>
      <w:r w:rsidR="00F142BF">
        <w:rPr>
          <w:rFonts w:ascii="Bookman Old Style" w:hAnsi="Bookman Old Style" w:cs="Arial"/>
        </w:rPr>
        <w:t xml:space="preserve">  </w:t>
      </w:r>
      <w:r w:rsidR="00F1760A">
        <w:rPr>
          <w:rFonts w:ascii="Bookman Old Style" w:hAnsi="Bookman Old Style" w:cs="Arial"/>
        </w:rPr>
        <w:t>L</w:t>
      </w:r>
      <w:r w:rsidR="001C3024">
        <w:rPr>
          <w:rFonts w:ascii="Bookman Old Style" w:hAnsi="Bookman Old Style" w:cs="Arial"/>
        </w:rPr>
        <w:t xml:space="preserve">os mercados existentes son aquellos </w:t>
      </w:r>
      <w:r w:rsidR="001C3024" w:rsidRPr="001C3024">
        <w:rPr>
          <w:rFonts w:ascii="Bookman Old Style" w:hAnsi="Bookman Old Style" w:cs="Arial"/>
        </w:rPr>
        <w:t xml:space="preserve">para </w:t>
      </w:r>
      <w:r w:rsidR="001C3024">
        <w:rPr>
          <w:rFonts w:ascii="Bookman Old Style" w:hAnsi="Bookman Old Style" w:cs="Arial"/>
        </w:rPr>
        <w:t>los</w:t>
      </w:r>
      <w:r w:rsidR="001C3024" w:rsidRPr="001C3024">
        <w:rPr>
          <w:rFonts w:ascii="Bookman Old Style" w:hAnsi="Bookman Old Style" w:cs="Arial"/>
        </w:rPr>
        <w:t xml:space="preserve"> cual</w:t>
      </w:r>
      <w:r w:rsidR="001C3024">
        <w:rPr>
          <w:rFonts w:ascii="Bookman Old Style" w:hAnsi="Bookman Old Style" w:cs="Arial"/>
        </w:rPr>
        <w:t>es</w:t>
      </w:r>
      <w:r w:rsidR="001C3024" w:rsidRPr="001C3024">
        <w:rPr>
          <w:rFonts w:ascii="Bookman Old Style" w:hAnsi="Bookman Old Style" w:cs="Arial"/>
        </w:rPr>
        <w:t xml:space="preserve"> la CREG estableció cargos por uso del Sistema de Distribución con base en la metodología de la Resolución CREG 011 de 2003.</w:t>
      </w:r>
      <w:r w:rsidR="005E384A">
        <w:rPr>
          <w:rFonts w:ascii="Bookman Old Style" w:hAnsi="Bookman Old Style" w:cs="Arial"/>
        </w:rPr>
        <w:t xml:space="preserve"> Así las cosas, los argumentos expuestos </w:t>
      </w:r>
      <w:r w:rsidR="000C5DA8">
        <w:rPr>
          <w:rFonts w:ascii="Bookman Old Style" w:hAnsi="Bookman Old Style" w:cs="Arial"/>
        </w:rPr>
        <w:t xml:space="preserve">por </w:t>
      </w:r>
      <w:r w:rsidR="005E384A">
        <w:rPr>
          <w:rFonts w:ascii="Bookman Old Style" w:hAnsi="Bookman Old Style" w:cs="Arial"/>
        </w:rPr>
        <w:t>la empresa INGENIER</w:t>
      </w:r>
      <w:r w:rsidR="000C5DA8">
        <w:rPr>
          <w:rFonts w:ascii="Bookman Old Style" w:hAnsi="Bookman Old Style" w:cs="Arial"/>
        </w:rPr>
        <w:t>ÍA Y SERVICIOS S.A</w:t>
      </w:r>
      <w:r w:rsidR="005E384A">
        <w:rPr>
          <w:rFonts w:ascii="Bookman Old Style" w:hAnsi="Bookman Old Style" w:cs="Arial"/>
        </w:rPr>
        <w:t>.</w:t>
      </w:r>
      <w:r w:rsidR="00DD067D">
        <w:rPr>
          <w:rFonts w:ascii="Bookman Old Style" w:hAnsi="Bookman Old Style" w:cs="Arial"/>
        </w:rPr>
        <w:t xml:space="preserve"> </w:t>
      </w:r>
      <w:r w:rsidR="005E384A">
        <w:rPr>
          <w:rFonts w:ascii="Bookman Old Style" w:hAnsi="Bookman Old Style" w:cs="Arial"/>
        </w:rPr>
        <w:t xml:space="preserve">E.S.P. </w:t>
      </w:r>
      <w:r w:rsidR="000C5DA8">
        <w:rPr>
          <w:rFonts w:ascii="Bookman Old Style" w:hAnsi="Bookman Old Style" w:cs="Arial"/>
        </w:rPr>
        <w:t xml:space="preserve">en este tema </w:t>
      </w:r>
      <w:r w:rsidR="005E384A">
        <w:rPr>
          <w:rFonts w:ascii="Bookman Old Style" w:hAnsi="Bookman Old Style" w:cs="Arial"/>
        </w:rPr>
        <w:t xml:space="preserve">no </w:t>
      </w:r>
      <w:r w:rsidR="00F142BF">
        <w:rPr>
          <w:rFonts w:ascii="Bookman Old Style" w:hAnsi="Bookman Old Style" w:cs="Arial"/>
        </w:rPr>
        <w:t>son pertinentes</w:t>
      </w:r>
      <w:r w:rsidR="000C5DA8">
        <w:rPr>
          <w:rFonts w:ascii="Bookman Old Style" w:hAnsi="Bookman Old Style" w:cs="Arial"/>
        </w:rPr>
        <w:t>.</w:t>
      </w:r>
    </w:p>
    <w:p w14:paraId="3B65FF29" w14:textId="675DBF41" w:rsidR="00F932F0" w:rsidRDefault="00F932F0" w:rsidP="00681C5A">
      <w:pPr>
        <w:adjustRightInd w:val="0"/>
        <w:ind w:left="0" w:right="23"/>
        <w:jc w:val="both"/>
        <w:rPr>
          <w:rFonts w:ascii="Bookman Old Style" w:hAnsi="Bookman Old Style" w:cs="Arial"/>
        </w:rPr>
      </w:pPr>
    </w:p>
    <w:p w14:paraId="1CB6462C" w14:textId="225E535E" w:rsidR="00244D6F" w:rsidRDefault="00244D6F" w:rsidP="00244D6F">
      <w:pPr>
        <w:adjustRightInd w:val="0"/>
        <w:ind w:left="0" w:right="23"/>
        <w:jc w:val="both"/>
        <w:rPr>
          <w:rFonts w:ascii="Bookman Old Style" w:hAnsi="Bookman Old Style" w:cs="Arial"/>
        </w:rPr>
      </w:pPr>
      <w:r>
        <w:rPr>
          <w:rFonts w:ascii="Bookman Old Style" w:hAnsi="Bookman Old Style" w:cs="Arial"/>
        </w:rPr>
        <w:t xml:space="preserve">En conclusión, realizar </w:t>
      </w:r>
      <w:r w:rsidR="00113EE0">
        <w:rPr>
          <w:rFonts w:ascii="Bookman Old Style" w:hAnsi="Bookman Old Style" w:cs="Arial"/>
        </w:rPr>
        <w:t>el ajuste</w:t>
      </w:r>
      <w:r>
        <w:rPr>
          <w:rFonts w:ascii="Bookman Old Style" w:hAnsi="Bookman Old Style" w:cs="Arial"/>
        </w:rPr>
        <w:t xml:space="preserve"> a la proyección de la demanda </w:t>
      </w:r>
      <w:r w:rsidR="00113EE0">
        <w:rPr>
          <w:rFonts w:ascii="Bookman Old Style" w:hAnsi="Bookman Old Style" w:cs="Arial"/>
        </w:rPr>
        <w:t xml:space="preserve">solicitado por el recurrente </w:t>
      </w:r>
      <w:r>
        <w:rPr>
          <w:rFonts w:ascii="Bookman Old Style" w:hAnsi="Bookman Old Style" w:cs="Arial"/>
        </w:rPr>
        <w:t xml:space="preserve">para el mercado relevante objeto de análisis, no es posible, toda vez que por ser un proyecto que cuenta con recursos públicos </w:t>
      </w:r>
      <w:r w:rsidR="00A70C93" w:rsidRPr="00A70C93">
        <w:rPr>
          <w:rFonts w:ascii="Bookman Old Style" w:hAnsi="Bookman Old Style" w:cs="Arial"/>
        </w:rPr>
        <w:t xml:space="preserve">del </w:t>
      </w:r>
      <w:r w:rsidR="00C606B0">
        <w:rPr>
          <w:rFonts w:ascii="Bookman Old Style" w:hAnsi="Bookman Old Style" w:cs="Arial"/>
        </w:rPr>
        <w:t>MME</w:t>
      </w:r>
      <w:r w:rsidR="00A70C93" w:rsidRPr="00A70C93">
        <w:rPr>
          <w:rFonts w:ascii="Bookman Old Style" w:hAnsi="Bookman Old Style" w:cs="Arial"/>
        </w:rPr>
        <w:t>, tanto la</w:t>
      </w:r>
      <w:r w:rsidR="00C606B0">
        <w:rPr>
          <w:rFonts w:ascii="Bookman Old Style" w:hAnsi="Bookman Old Style" w:cs="Arial"/>
        </w:rPr>
        <w:t>s</w:t>
      </w:r>
      <w:r w:rsidR="00A70C93" w:rsidRPr="00A70C93">
        <w:rPr>
          <w:rFonts w:ascii="Bookman Old Style" w:hAnsi="Bookman Old Style" w:cs="Arial"/>
        </w:rPr>
        <w:t xml:space="preserve"> proyecci</w:t>
      </w:r>
      <w:r w:rsidR="00C606B0">
        <w:rPr>
          <w:rFonts w:ascii="Bookman Old Style" w:hAnsi="Bookman Old Style" w:cs="Arial"/>
        </w:rPr>
        <w:t>ones</w:t>
      </w:r>
      <w:r w:rsidR="00A70C93" w:rsidRPr="00A70C93">
        <w:rPr>
          <w:rFonts w:ascii="Bookman Old Style" w:hAnsi="Bookman Old Style" w:cs="Arial"/>
        </w:rPr>
        <w:t xml:space="preserve"> de usuarios como </w:t>
      </w:r>
      <w:r w:rsidR="00C606B0">
        <w:rPr>
          <w:rFonts w:ascii="Bookman Old Style" w:hAnsi="Bookman Old Style" w:cs="Arial"/>
        </w:rPr>
        <w:t>de</w:t>
      </w:r>
      <w:r w:rsidR="00A70C93" w:rsidRPr="00A70C93">
        <w:rPr>
          <w:rFonts w:ascii="Bookman Old Style" w:hAnsi="Bookman Old Style" w:cs="Arial"/>
        </w:rPr>
        <w:t xml:space="preserve"> demanda </w:t>
      </w:r>
      <w:r w:rsidR="00E26704">
        <w:rPr>
          <w:rFonts w:ascii="Bookman Old Style" w:hAnsi="Bookman Old Style" w:cs="Arial"/>
        </w:rPr>
        <w:t>reportadas</w:t>
      </w:r>
      <w:r w:rsidR="00A70C93" w:rsidRPr="00A70C93">
        <w:rPr>
          <w:rFonts w:ascii="Bookman Old Style" w:hAnsi="Bookman Old Style" w:cs="Arial"/>
        </w:rPr>
        <w:t xml:space="preserve"> </w:t>
      </w:r>
      <w:r w:rsidR="00A70C93">
        <w:rPr>
          <w:rFonts w:ascii="Bookman Old Style" w:hAnsi="Bookman Old Style" w:cs="Arial"/>
        </w:rPr>
        <w:t xml:space="preserve">en </w:t>
      </w:r>
      <w:r w:rsidR="00A70C93" w:rsidRPr="00A70C93">
        <w:rPr>
          <w:rFonts w:ascii="Bookman Old Style" w:hAnsi="Bookman Old Style" w:cs="Arial"/>
        </w:rPr>
        <w:t>la solicitud tarifaria deben ser igual</w:t>
      </w:r>
      <w:r w:rsidR="00A70C93">
        <w:rPr>
          <w:rFonts w:ascii="Bookman Old Style" w:hAnsi="Bookman Old Style" w:cs="Arial"/>
        </w:rPr>
        <w:t>es</w:t>
      </w:r>
      <w:r w:rsidR="00A70C93" w:rsidRPr="00A70C93">
        <w:rPr>
          <w:rFonts w:ascii="Bookman Old Style" w:hAnsi="Bookman Old Style" w:cs="Arial"/>
        </w:rPr>
        <w:t xml:space="preserve"> a las </w:t>
      </w:r>
      <w:r w:rsidR="00E26704">
        <w:rPr>
          <w:rFonts w:ascii="Bookman Old Style" w:hAnsi="Bookman Old Style" w:cs="Arial"/>
        </w:rPr>
        <w:t>radicadas</w:t>
      </w:r>
      <w:r w:rsidR="00A70C93">
        <w:rPr>
          <w:rFonts w:ascii="Bookman Old Style" w:hAnsi="Bookman Old Style" w:cs="Arial"/>
        </w:rPr>
        <w:t xml:space="preserve"> </w:t>
      </w:r>
      <w:r w:rsidR="00C606B0">
        <w:rPr>
          <w:rFonts w:ascii="Bookman Old Style" w:hAnsi="Bookman Old Style" w:cs="Arial"/>
        </w:rPr>
        <w:t xml:space="preserve">ante </w:t>
      </w:r>
      <w:r w:rsidR="00A70C93">
        <w:rPr>
          <w:rFonts w:ascii="Bookman Old Style" w:hAnsi="Bookman Old Style" w:cs="Arial"/>
        </w:rPr>
        <w:t>la</w:t>
      </w:r>
      <w:r w:rsidR="00A70C93" w:rsidRPr="00A70C93">
        <w:rPr>
          <w:rFonts w:ascii="Bookman Old Style" w:hAnsi="Bookman Old Style" w:cs="Arial"/>
        </w:rPr>
        <w:t xml:space="preserve"> UPME, ya que con </w:t>
      </w:r>
      <w:r w:rsidR="00DE7CAE">
        <w:rPr>
          <w:rFonts w:ascii="Bookman Old Style" w:hAnsi="Bookman Old Style" w:cs="Arial"/>
        </w:rPr>
        <w:t>ellas</w:t>
      </w:r>
      <w:r w:rsidR="00A70C93" w:rsidRPr="00A70C93">
        <w:rPr>
          <w:rFonts w:ascii="Bookman Old Style" w:hAnsi="Bookman Old Style" w:cs="Arial"/>
        </w:rPr>
        <w:t xml:space="preserve"> se evaluó la viabilidad del proyecto</w:t>
      </w:r>
      <w:r w:rsidR="00E26704">
        <w:rPr>
          <w:rFonts w:ascii="Bookman Old Style" w:hAnsi="Bookman Old Style" w:cs="Arial"/>
        </w:rPr>
        <w:t>.</w:t>
      </w:r>
    </w:p>
    <w:p w14:paraId="17B1115F" w14:textId="1910DE3E" w:rsidR="00BE77FA" w:rsidRDefault="00BE77FA" w:rsidP="00244D6F">
      <w:pPr>
        <w:adjustRightInd w:val="0"/>
        <w:ind w:left="0" w:right="23"/>
        <w:jc w:val="both"/>
        <w:rPr>
          <w:rFonts w:ascii="Bookman Old Style" w:hAnsi="Bookman Old Style" w:cs="Arial"/>
        </w:rPr>
      </w:pPr>
    </w:p>
    <w:p w14:paraId="032D5E65" w14:textId="6740599D" w:rsidR="006C494F" w:rsidRDefault="006C494F" w:rsidP="00244D6F">
      <w:pPr>
        <w:adjustRightInd w:val="0"/>
        <w:ind w:left="0" w:right="23"/>
        <w:jc w:val="both"/>
        <w:rPr>
          <w:rFonts w:ascii="Bookman Old Style" w:hAnsi="Bookman Old Style"/>
        </w:rPr>
      </w:pPr>
      <w:r>
        <w:rPr>
          <w:rFonts w:ascii="Bookman Old Style" w:hAnsi="Bookman Old Style" w:cs="Arial"/>
        </w:rPr>
        <w:t>Por último, con respecto a la afirmación del recurrente</w:t>
      </w:r>
      <w:r w:rsidR="00C410CF">
        <w:rPr>
          <w:rFonts w:ascii="Bookman Old Style" w:hAnsi="Bookman Old Style" w:cs="Arial"/>
        </w:rPr>
        <w:t xml:space="preserve">, en </w:t>
      </w:r>
      <w:r>
        <w:rPr>
          <w:rFonts w:ascii="Bookman Old Style" w:hAnsi="Bookman Old Style" w:cs="Arial"/>
        </w:rPr>
        <w:t xml:space="preserve">donde </w:t>
      </w:r>
      <w:r w:rsidR="00C410CF">
        <w:rPr>
          <w:rFonts w:ascii="Bookman Old Style" w:hAnsi="Bookman Old Style" w:cs="Arial"/>
        </w:rPr>
        <w:t xml:space="preserve">señala </w:t>
      </w:r>
      <w:r>
        <w:rPr>
          <w:rFonts w:ascii="Bookman Old Style" w:hAnsi="Bookman Old Style" w:cs="Arial"/>
        </w:rPr>
        <w:t xml:space="preserve">que </w:t>
      </w:r>
      <w:r>
        <w:rPr>
          <w:rFonts w:ascii="Bookman Old Style" w:hAnsi="Bookman Old Style"/>
        </w:rPr>
        <w:t xml:space="preserve">la demanda futura ha sido afectada por circunstancias externas, propias de los tiempos que el regulador dispone para realizar los trámites de un cálculo tarifario y que en buena medida resultan imprevisibles, esta Comisión </w:t>
      </w:r>
      <w:r w:rsidR="00C410CF">
        <w:rPr>
          <w:rFonts w:ascii="Bookman Old Style" w:hAnsi="Bookman Old Style"/>
        </w:rPr>
        <w:t>precisa</w:t>
      </w:r>
      <w:r>
        <w:rPr>
          <w:rFonts w:ascii="Bookman Old Style" w:hAnsi="Bookman Old Style"/>
        </w:rPr>
        <w:t xml:space="preserve"> lo siguiente:</w:t>
      </w:r>
    </w:p>
    <w:p w14:paraId="410A8E3F" w14:textId="77777777" w:rsidR="00B06776" w:rsidRDefault="00B06776" w:rsidP="00817D71">
      <w:pPr>
        <w:adjustRightInd w:val="0"/>
        <w:ind w:left="0" w:right="23"/>
        <w:jc w:val="both"/>
        <w:rPr>
          <w:rFonts w:ascii="Bookman Old Style" w:hAnsi="Bookman Old Style" w:cs="Arial"/>
        </w:rPr>
      </w:pPr>
    </w:p>
    <w:p w14:paraId="6BB3C9A1" w14:textId="0A7B8E30" w:rsidR="00817D71" w:rsidRDefault="00817D71" w:rsidP="00817D71">
      <w:pPr>
        <w:adjustRightInd w:val="0"/>
        <w:ind w:left="0" w:right="23"/>
        <w:jc w:val="both"/>
        <w:rPr>
          <w:rFonts w:ascii="Bookman Old Style" w:hAnsi="Bookman Old Style" w:cs="Arial"/>
        </w:rPr>
      </w:pPr>
      <w:r>
        <w:rPr>
          <w:rFonts w:ascii="Bookman Old Style" w:hAnsi="Bookman Old Style" w:cs="Arial"/>
        </w:rPr>
        <w:t>La empresa INGENIERÍA Y SERVICIOS S.A. E.S.P. a través de la comunicación</w:t>
      </w:r>
      <w:r w:rsidRPr="006D34CD">
        <w:rPr>
          <w:rFonts w:ascii="Bookman Old Style" w:hAnsi="Bookman Old Style" w:cs="Arial"/>
        </w:rPr>
        <w:t xml:space="preserve"> radicada en la C</w:t>
      </w:r>
      <w:r>
        <w:rPr>
          <w:rFonts w:ascii="Bookman Old Style" w:hAnsi="Bookman Old Style" w:cs="Arial"/>
        </w:rPr>
        <w:t xml:space="preserve">REG bajo el </w:t>
      </w:r>
      <w:r w:rsidRPr="006D34CD">
        <w:rPr>
          <w:rFonts w:ascii="Bookman Old Style" w:hAnsi="Bookman Old Style" w:cs="Arial"/>
        </w:rPr>
        <w:t xml:space="preserve">número </w:t>
      </w:r>
      <w:r w:rsidRPr="000769DB">
        <w:rPr>
          <w:rFonts w:ascii="Bookman Old Style" w:hAnsi="Bookman Old Style" w:cs="Arial"/>
        </w:rPr>
        <w:t>E-2017-012045 de diciembre 26 de 2017</w:t>
      </w:r>
      <w:r w:rsidRPr="00817D71">
        <w:rPr>
          <w:rFonts w:ascii="Bookman Old Style" w:hAnsi="Bookman Old Style" w:cs="Arial"/>
        </w:rPr>
        <w:t xml:space="preserve">, solicitó aprobación de cargos de distribución </w:t>
      </w:r>
      <w:r w:rsidRPr="009040B0">
        <w:rPr>
          <w:rFonts w:ascii="Bookman Old Style" w:hAnsi="Bookman Old Style" w:cs="Arial"/>
        </w:rPr>
        <w:t xml:space="preserve">de </w:t>
      </w:r>
      <w:r w:rsidRPr="000769DB">
        <w:rPr>
          <w:rFonts w:ascii="Bookman Old Style" w:hAnsi="Bookman Old Style" w:cs="Arial"/>
        </w:rPr>
        <w:t>GLP</w:t>
      </w:r>
      <w:r w:rsidRPr="009040B0">
        <w:rPr>
          <w:rFonts w:ascii="Bookman Old Style" w:hAnsi="Bookman Old Style" w:cs="Arial"/>
        </w:rPr>
        <w:t xml:space="preserve"> para el mercado objeto de recurso.</w:t>
      </w:r>
      <w:r w:rsidR="009040B0" w:rsidRPr="009040B0">
        <w:rPr>
          <w:rFonts w:ascii="Bookman Old Style" w:hAnsi="Bookman Old Style" w:cs="Arial"/>
        </w:rPr>
        <w:t xml:space="preserve"> Adicionalmente, a través del radicado </w:t>
      </w:r>
      <w:r w:rsidR="009040B0" w:rsidRPr="000769DB">
        <w:rPr>
          <w:rFonts w:ascii="Bookman Old Style" w:hAnsi="Bookman Old Style" w:cs="Arial"/>
        </w:rPr>
        <w:t xml:space="preserve">CREG E-2018-000485 de enero 19 de 2018, </w:t>
      </w:r>
      <w:r w:rsidR="009040B0" w:rsidRPr="009040B0">
        <w:rPr>
          <w:rFonts w:ascii="Bookman Old Style" w:hAnsi="Bookman Old Style" w:cs="Arial"/>
        </w:rPr>
        <w:t>dio alcance a la solicitud tarifaria anexando copia del proyecto que radicó a la Unidad de Planeación Minero</w:t>
      </w:r>
      <w:r w:rsidR="009040B0">
        <w:rPr>
          <w:rFonts w:ascii="Bookman Old Style" w:hAnsi="Bookman Old Style" w:cs="Arial"/>
        </w:rPr>
        <w:t xml:space="preserve"> Energética – UPME, correspondiente a la proyección de demandas del mercado solicitado. </w:t>
      </w:r>
    </w:p>
    <w:p w14:paraId="57D45517" w14:textId="77777777" w:rsidR="009040B0" w:rsidRDefault="009040B0" w:rsidP="00817D71">
      <w:pPr>
        <w:adjustRightInd w:val="0"/>
        <w:ind w:left="0" w:right="23"/>
        <w:jc w:val="both"/>
        <w:rPr>
          <w:rFonts w:ascii="Bookman Old Style" w:hAnsi="Bookman Old Style" w:cs="Arial"/>
        </w:rPr>
      </w:pPr>
    </w:p>
    <w:p w14:paraId="101CEBCF" w14:textId="3C87E001" w:rsidR="00B06776" w:rsidRDefault="00B06776" w:rsidP="00B06776">
      <w:pPr>
        <w:widowControl w:val="0"/>
        <w:adjustRightInd w:val="0"/>
        <w:ind w:left="0" w:right="20"/>
        <w:jc w:val="both"/>
        <w:rPr>
          <w:rFonts w:ascii="Bookman Old Style" w:hAnsi="Bookman Old Style" w:cs="Arial"/>
        </w:rPr>
      </w:pPr>
      <w:r>
        <w:rPr>
          <w:rFonts w:ascii="Bookman Old Style" w:hAnsi="Bookman Old Style" w:cs="Arial"/>
        </w:rPr>
        <w:t xml:space="preserve">Mediante oficio con radicado </w:t>
      </w:r>
      <w:r w:rsidRPr="000769DB">
        <w:rPr>
          <w:rFonts w:ascii="Bookman Old Style" w:hAnsi="Bookman Old Style" w:cs="Arial"/>
        </w:rPr>
        <w:t>CREG S-2018-000238 del 26 de enero de 2018</w:t>
      </w:r>
      <w:r w:rsidRPr="00B06776">
        <w:rPr>
          <w:rFonts w:ascii="Bookman Old Style" w:hAnsi="Bookman Old Style" w:cs="Arial"/>
        </w:rPr>
        <w:t xml:space="preserve">, la Comisión solicitó a la empresa </w:t>
      </w:r>
      <w:r w:rsidRPr="000769DB">
        <w:rPr>
          <w:rFonts w:ascii="Bookman Old Style" w:hAnsi="Bookman Old Style" w:cs="Arial"/>
        </w:rPr>
        <w:t>INGENIERIA Y SERVICIOS S.A. E.S.P.</w:t>
      </w:r>
      <w:r w:rsidRPr="00B06776">
        <w:rPr>
          <w:rFonts w:ascii="Bookman Old Style" w:hAnsi="Bookman Old Style" w:cs="Arial"/>
        </w:rPr>
        <w:t xml:space="preserve"> aclarar</w:t>
      </w:r>
      <w:r>
        <w:rPr>
          <w:rFonts w:ascii="Bookman Old Style" w:hAnsi="Bookman Old Style" w:cs="Arial"/>
        </w:rPr>
        <w:t xml:space="preserve"> el objeto de la solicitud tarifaria</w:t>
      </w:r>
      <w:r w:rsidR="00C410CF">
        <w:rPr>
          <w:rFonts w:ascii="Bookman Old Style" w:hAnsi="Bookman Old Style" w:cs="Arial"/>
        </w:rPr>
        <w:t>,</w:t>
      </w:r>
      <w:r>
        <w:rPr>
          <w:rFonts w:ascii="Bookman Old Style" w:hAnsi="Bookman Old Style" w:cs="Arial"/>
        </w:rPr>
        <w:t xml:space="preserve"> toda vez que definió su Mercado Relevante de Distribución para el Siguiente Periodo Tarifario como el conformado por los sectores rurales de los municipios de Córdoba, </w:t>
      </w:r>
      <w:proofErr w:type="spellStart"/>
      <w:r>
        <w:rPr>
          <w:rFonts w:ascii="Bookman Old Style" w:hAnsi="Bookman Old Style" w:cs="Arial"/>
        </w:rPr>
        <w:t>Guaitarilla</w:t>
      </w:r>
      <w:proofErr w:type="spellEnd"/>
      <w:r>
        <w:rPr>
          <w:rFonts w:ascii="Bookman Old Style" w:hAnsi="Bookman Old Style" w:cs="Arial"/>
        </w:rPr>
        <w:t xml:space="preserve"> y </w:t>
      </w:r>
      <w:proofErr w:type="spellStart"/>
      <w:r>
        <w:rPr>
          <w:rFonts w:ascii="Bookman Old Style" w:hAnsi="Bookman Old Style" w:cs="Arial"/>
        </w:rPr>
        <w:t>Pupiales</w:t>
      </w:r>
      <w:proofErr w:type="spellEnd"/>
      <w:r>
        <w:rPr>
          <w:rFonts w:ascii="Bookman Old Style" w:hAnsi="Bookman Old Style" w:cs="Arial"/>
        </w:rPr>
        <w:t>, en el departamento de Nariño.</w:t>
      </w:r>
    </w:p>
    <w:p w14:paraId="70A12FA7" w14:textId="233283C1" w:rsidR="00E15834" w:rsidRDefault="00E15834" w:rsidP="00B06776">
      <w:pPr>
        <w:widowControl w:val="0"/>
        <w:adjustRightInd w:val="0"/>
        <w:ind w:left="0" w:right="20"/>
        <w:jc w:val="both"/>
        <w:rPr>
          <w:rFonts w:ascii="Bookman Old Style" w:hAnsi="Bookman Old Style" w:cs="Arial"/>
        </w:rPr>
      </w:pPr>
    </w:p>
    <w:p w14:paraId="63F55635" w14:textId="6E7D0FEC" w:rsidR="00E15834" w:rsidRDefault="00E15834" w:rsidP="00B06776">
      <w:pPr>
        <w:widowControl w:val="0"/>
        <w:adjustRightInd w:val="0"/>
        <w:ind w:left="0" w:right="20"/>
        <w:jc w:val="both"/>
        <w:rPr>
          <w:rFonts w:ascii="Bookman Old Style" w:hAnsi="Bookman Old Style" w:cs="Arial"/>
        </w:rPr>
      </w:pPr>
      <w:r>
        <w:rPr>
          <w:rFonts w:ascii="Bookman Old Style" w:hAnsi="Bookman Old Style" w:cs="Arial"/>
        </w:rPr>
        <w:t xml:space="preserve">La </w:t>
      </w:r>
      <w:r w:rsidRPr="00E15834">
        <w:rPr>
          <w:rFonts w:ascii="Bookman Old Style" w:hAnsi="Bookman Old Style" w:cs="Arial"/>
        </w:rPr>
        <w:t xml:space="preserve">empresa </w:t>
      </w:r>
      <w:r w:rsidRPr="000769DB">
        <w:rPr>
          <w:rFonts w:ascii="Bookman Old Style" w:hAnsi="Bookman Old Style" w:cs="Arial"/>
        </w:rPr>
        <w:t>INGENIERIA Y SERVICIOS S.A. E.S.P.</w:t>
      </w:r>
      <w:r w:rsidRPr="00E15834">
        <w:rPr>
          <w:rFonts w:ascii="Bookman Old Style" w:hAnsi="Bookman Old Style" w:cs="Arial"/>
        </w:rPr>
        <w:t xml:space="preserve"> remitió a la Comisión mediante el oficio con radicado </w:t>
      </w:r>
      <w:r w:rsidRPr="000769DB">
        <w:rPr>
          <w:rFonts w:ascii="Bookman Old Style" w:hAnsi="Bookman Old Style" w:cs="Arial"/>
        </w:rPr>
        <w:t>CREG E-2018-000826 del 2 de febrero de 2018,</w:t>
      </w:r>
      <w:r w:rsidRPr="00E15834">
        <w:rPr>
          <w:rFonts w:ascii="Bookman Old Style" w:hAnsi="Bookman Old Style" w:cs="Arial"/>
        </w:rPr>
        <w:t xml:space="preserve"> la información solicitada, indicando</w:t>
      </w:r>
      <w:r>
        <w:rPr>
          <w:rFonts w:ascii="Bookman Old Style" w:hAnsi="Bookman Old Style" w:cs="Arial"/>
        </w:rPr>
        <w:t xml:space="preserve"> que el Mercado Relevante de Distribución para el Siguiente Periodo Tarifario estará conformado por las cabeceras urbanas de los municipios de Córdoba, </w:t>
      </w:r>
      <w:proofErr w:type="spellStart"/>
      <w:r>
        <w:rPr>
          <w:rFonts w:ascii="Bookman Old Style" w:hAnsi="Bookman Old Style" w:cs="Arial"/>
        </w:rPr>
        <w:t>Guaitarilla</w:t>
      </w:r>
      <w:proofErr w:type="spellEnd"/>
      <w:r>
        <w:rPr>
          <w:rFonts w:ascii="Bookman Old Style" w:hAnsi="Bookman Old Style" w:cs="Arial"/>
        </w:rPr>
        <w:t xml:space="preserve"> y </w:t>
      </w:r>
      <w:proofErr w:type="spellStart"/>
      <w:r>
        <w:rPr>
          <w:rFonts w:ascii="Bookman Old Style" w:hAnsi="Bookman Old Style" w:cs="Arial"/>
        </w:rPr>
        <w:t>Pupiales</w:t>
      </w:r>
      <w:proofErr w:type="spellEnd"/>
      <w:r>
        <w:rPr>
          <w:rFonts w:ascii="Bookman Old Style" w:hAnsi="Bookman Old Style" w:cs="Arial"/>
        </w:rPr>
        <w:t xml:space="preserve"> pertenecientes al departamento de Nariño.</w:t>
      </w:r>
    </w:p>
    <w:p w14:paraId="0D8913AC" w14:textId="151D176D" w:rsidR="00817D71" w:rsidRDefault="00817D71" w:rsidP="00244D6F">
      <w:pPr>
        <w:adjustRightInd w:val="0"/>
        <w:ind w:left="0" w:right="23"/>
        <w:jc w:val="both"/>
        <w:rPr>
          <w:rFonts w:ascii="Bookman Old Style" w:hAnsi="Bookman Old Style" w:cs="Arial"/>
        </w:rPr>
      </w:pPr>
    </w:p>
    <w:p w14:paraId="3DB68623" w14:textId="2ABAC217" w:rsidR="00E15834" w:rsidRDefault="00C410CF" w:rsidP="00E15834">
      <w:pPr>
        <w:widowControl w:val="0"/>
        <w:adjustRightInd w:val="0"/>
        <w:ind w:left="0" w:right="20"/>
        <w:jc w:val="both"/>
        <w:rPr>
          <w:rFonts w:ascii="Bookman Old Style" w:hAnsi="Bookman Old Style" w:cs="Arial"/>
        </w:rPr>
      </w:pPr>
      <w:r>
        <w:rPr>
          <w:rFonts w:ascii="Bookman Old Style" w:hAnsi="Bookman Old Style" w:cs="Arial"/>
        </w:rPr>
        <w:t xml:space="preserve">A través del </w:t>
      </w:r>
      <w:r w:rsidR="00E15834" w:rsidRPr="00E15834">
        <w:rPr>
          <w:rFonts w:ascii="Bookman Old Style" w:hAnsi="Bookman Old Style" w:cs="Arial"/>
        </w:rPr>
        <w:t xml:space="preserve">oficio con radicado </w:t>
      </w:r>
      <w:r w:rsidR="00E15834" w:rsidRPr="000769DB">
        <w:rPr>
          <w:rFonts w:ascii="Bookman Old Style" w:hAnsi="Bookman Old Style" w:cs="Arial"/>
        </w:rPr>
        <w:t>CREG E-2018-000965 de febrero 07 de 2018</w:t>
      </w:r>
      <w:r w:rsidR="00E15834" w:rsidRPr="00E15834">
        <w:rPr>
          <w:rFonts w:ascii="Bookman Old Style" w:hAnsi="Bookman Old Style" w:cs="Arial"/>
        </w:rPr>
        <w:t xml:space="preserve">, la </w:t>
      </w:r>
      <w:r w:rsidR="00E15834" w:rsidRPr="000769DB">
        <w:rPr>
          <w:rFonts w:ascii="Bookman Old Style" w:hAnsi="Bookman Old Style" w:cs="Arial"/>
        </w:rPr>
        <w:t>UPME,</w:t>
      </w:r>
      <w:r w:rsidR="00E15834" w:rsidRPr="00E15834">
        <w:rPr>
          <w:rFonts w:ascii="Bookman Old Style" w:hAnsi="Bookman Old Style" w:cs="Arial"/>
        </w:rPr>
        <w:t xml:space="preserve"> remite concepto en </w:t>
      </w:r>
      <w:r w:rsidR="00E15834">
        <w:rPr>
          <w:rFonts w:ascii="Bookman Old Style" w:hAnsi="Bookman Old Style" w:cs="Arial"/>
        </w:rPr>
        <w:t>el</w:t>
      </w:r>
      <w:r w:rsidR="00E15834" w:rsidRPr="00E15834">
        <w:rPr>
          <w:rFonts w:ascii="Bookman Old Style" w:hAnsi="Bookman Old Style" w:cs="Arial"/>
        </w:rPr>
        <w:t xml:space="preserve"> que considera que la metodología de proyección de demanda de gas propuesta por la empresa </w:t>
      </w:r>
      <w:r w:rsidR="00E15834" w:rsidRPr="000769DB">
        <w:rPr>
          <w:rFonts w:ascii="Bookman Old Style" w:hAnsi="Bookman Old Style" w:cs="Arial"/>
        </w:rPr>
        <w:t>INGENIERIA Y SERVICIOS S.A. E.S.P.</w:t>
      </w:r>
      <w:r w:rsidR="00E15834" w:rsidRPr="00E15834">
        <w:rPr>
          <w:rFonts w:ascii="Bookman Old Style" w:hAnsi="Bookman Old Style" w:cs="Arial"/>
        </w:rPr>
        <w:t xml:space="preserve"> para los </w:t>
      </w:r>
      <w:r w:rsidR="00E15834" w:rsidRPr="000769DB">
        <w:rPr>
          <w:rFonts w:ascii="Bookman Old Style" w:hAnsi="Bookman Old Style" w:cs="Arial"/>
        </w:rPr>
        <w:t xml:space="preserve">municipios de Córdoba, </w:t>
      </w:r>
      <w:proofErr w:type="spellStart"/>
      <w:r w:rsidR="00E15834" w:rsidRPr="000769DB">
        <w:rPr>
          <w:rFonts w:ascii="Bookman Old Style" w:hAnsi="Bookman Old Style" w:cs="Arial"/>
        </w:rPr>
        <w:t>Guaitarilla</w:t>
      </w:r>
      <w:proofErr w:type="spellEnd"/>
      <w:r w:rsidR="00E15834" w:rsidRPr="000769DB">
        <w:rPr>
          <w:rFonts w:ascii="Bookman Old Style" w:hAnsi="Bookman Old Style" w:cs="Arial"/>
        </w:rPr>
        <w:t xml:space="preserve"> y </w:t>
      </w:r>
      <w:proofErr w:type="spellStart"/>
      <w:r w:rsidR="00E15834" w:rsidRPr="000769DB">
        <w:rPr>
          <w:rFonts w:ascii="Bookman Old Style" w:hAnsi="Bookman Old Style" w:cs="Arial"/>
        </w:rPr>
        <w:t>Pupiales</w:t>
      </w:r>
      <w:proofErr w:type="spellEnd"/>
      <w:r w:rsidR="00E15834" w:rsidRPr="000769DB">
        <w:rPr>
          <w:rFonts w:ascii="Bookman Old Style" w:hAnsi="Bookman Old Style" w:cs="Arial"/>
        </w:rPr>
        <w:t xml:space="preserve"> en el departamento de Nariño</w:t>
      </w:r>
      <w:r w:rsidR="00E15834" w:rsidRPr="00E15834">
        <w:rPr>
          <w:rFonts w:ascii="Bookman Old Style" w:hAnsi="Bookman Old Style" w:cs="Arial"/>
        </w:rPr>
        <w:t>, cumple con los requerimientos contenidos en el Anexo 13 de la Resolución CREG 202 de 2013.</w:t>
      </w:r>
    </w:p>
    <w:p w14:paraId="18187F6D" w14:textId="0FABC12A" w:rsidR="00E15834" w:rsidRDefault="00E15834" w:rsidP="00244D6F">
      <w:pPr>
        <w:adjustRightInd w:val="0"/>
        <w:ind w:left="0" w:right="23"/>
        <w:jc w:val="both"/>
        <w:rPr>
          <w:rFonts w:ascii="Bookman Old Style" w:hAnsi="Bookman Old Style" w:cs="Arial"/>
        </w:rPr>
      </w:pPr>
    </w:p>
    <w:p w14:paraId="4032D9B1" w14:textId="77777777" w:rsidR="00D73007" w:rsidRPr="00D73007" w:rsidRDefault="00D73007" w:rsidP="00244D6F">
      <w:pPr>
        <w:adjustRightInd w:val="0"/>
        <w:ind w:left="0" w:right="23"/>
        <w:jc w:val="both"/>
        <w:rPr>
          <w:rFonts w:ascii="Bookman Old Style" w:hAnsi="Bookman Old Style" w:cs="Arial"/>
          <w:sz w:val="20"/>
        </w:rPr>
      </w:pPr>
    </w:p>
    <w:p w14:paraId="209BA137" w14:textId="64DAFD43" w:rsidR="00E15834" w:rsidRPr="008868F0" w:rsidRDefault="00E15834" w:rsidP="00244D6F">
      <w:pPr>
        <w:adjustRightInd w:val="0"/>
        <w:ind w:left="0" w:right="23"/>
        <w:jc w:val="both"/>
        <w:rPr>
          <w:rFonts w:ascii="Bookman Old Style" w:hAnsi="Bookman Old Style" w:cs="Arial"/>
          <w:szCs w:val="22"/>
        </w:rPr>
      </w:pPr>
      <w:r w:rsidRPr="00BA582B">
        <w:rPr>
          <w:rFonts w:ascii="Bookman Old Style" w:hAnsi="Bookman Old Style" w:cs="Arial"/>
        </w:rPr>
        <w:t xml:space="preserve">Mediante </w:t>
      </w:r>
      <w:r w:rsidRPr="000769DB">
        <w:rPr>
          <w:rFonts w:ascii="Bookman Old Style" w:hAnsi="Bookman Old Style" w:cs="Arial"/>
        </w:rPr>
        <w:t>auto</w:t>
      </w:r>
      <w:r w:rsidRPr="00BA582B">
        <w:rPr>
          <w:rFonts w:ascii="Bookman Old Style" w:hAnsi="Bookman Old Style" w:cs="Arial"/>
        </w:rPr>
        <w:t xml:space="preserve"> proferido el día </w:t>
      </w:r>
      <w:r w:rsidRPr="000769DB">
        <w:rPr>
          <w:rFonts w:ascii="Bookman Old Style" w:hAnsi="Bookman Old Style" w:cs="Arial"/>
        </w:rPr>
        <w:t>09 de abril de 2018</w:t>
      </w:r>
      <w:r w:rsidRPr="00BA582B">
        <w:rPr>
          <w:rFonts w:ascii="Bookman Old Style" w:hAnsi="Bookman Old Style" w:cs="Arial"/>
        </w:rPr>
        <w:t xml:space="preserve">, la Comisión de Regulación de Energía y Gas –CREG- dispuso iniciar la respectiva actuación administrativa </w:t>
      </w:r>
      <w:r w:rsidR="00BA582B">
        <w:rPr>
          <w:rFonts w:ascii="Bookman Old Style" w:hAnsi="Bookman Old Style" w:cs="Arial"/>
          <w:szCs w:val="22"/>
        </w:rPr>
        <w:t>donde</w:t>
      </w:r>
      <w:r w:rsidRPr="00BA582B">
        <w:rPr>
          <w:rFonts w:ascii="Bookman Old Style" w:hAnsi="Bookman Old Style" w:cs="Arial"/>
          <w:szCs w:val="22"/>
        </w:rPr>
        <w:t xml:space="preserve"> para cumplir con lo dispuesto en el artículo 37 del Código de Procedimiento Administrativo y de lo Contencioso Administrativo, </w:t>
      </w:r>
      <w:r w:rsidR="00BA582B" w:rsidRPr="00915CEB">
        <w:rPr>
          <w:rFonts w:ascii="Bookman Old Style" w:hAnsi="Bookman Old Style" w:cs="Arial"/>
          <w:szCs w:val="22"/>
        </w:rPr>
        <w:t xml:space="preserve">se publicó un extracto con el resumen de la actuación </w:t>
      </w:r>
      <w:r w:rsidRPr="00BA582B">
        <w:rPr>
          <w:rFonts w:ascii="Bookman Old Style" w:hAnsi="Bookman Old Style" w:cs="Arial"/>
          <w:szCs w:val="22"/>
        </w:rPr>
        <w:t xml:space="preserve">en el </w:t>
      </w:r>
      <w:r w:rsidRPr="000769DB">
        <w:rPr>
          <w:rFonts w:ascii="Bookman Old Style" w:hAnsi="Bookman Old Style" w:cs="Arial"/>
          <w:szCs w:val="22"/>
        </w:rPr>
        <w:t>Diario Oficial No. 50.560 del 10 de abril de 2018</w:t>
      </w:r>
      <w:r w:rsidRPr="00BA582B">
        <w:rPr>
          <w:rFonts w:ascii="Bookman Old Style" w:hAnsi="Bookman Old Style" w:cs="Arial"/>
          <w:szCs w:val="22"/>
        </w:rPr>
        <w:t xml:space="preserve"> y el </w:t>
      </w:r>
      <w:r w:rsidRPr="000769DB">
        <w:rPr>
          <w:rFonts w:ascii="Bookman Old Style" w:hAnsi="Bookman Old Style" w:cs="Arial"/>
          <w:szCs w:val="22"/>
        </w:rPr>
        <w:t>Aviso No. 035 de 2018</w:t>
      </w:r>
      <w:r w:rsidRPr="00BA582B">
        <w:rPr>
          <w:rFonts w:ascii="Bookman Old Style" w:hAnsi="Bookman Old Style" w:cs="Arial"/>
          <w:szCs w:val="22"/>
        </w:rPr>
        <w:t>.</w:t>
      </w:r>
    </w:p>
    <w:p w14:paraId="23157C1A" w14:textId="4831663E" w:rsidR="00E15834" w:rsidRPr="00D73007" w:rsidRDefault="00E15834" w:rsidP="00244D6F">
      <w:pPr>
        <w:adjustRightInd w:val="0"/>
        <w:ind w:left="0" w:right="23"/>
        <w:jc w:val="both"/>
        <w:rPr>
          <w:rFonts w:ascii="Bookman Old Style" w:hAnsi="Bookman Old Style" w:cs="Arial"/>
          <w:sz w:val="20"/>
        </w:rPr>
      </w:pPr>
    </w:p>
    <w:p w14:paraId="060E1ECF" w14:textId="158C494B" w:rsidR="00A706E1" w:rsidRPr="00341E8F" w:rsidRDefault="00BA582B" w:rsidP="00BA582B">
      <w:pPr>
        <w:widowControl w:val="0"/>
        <w:adjustRightInd w:val="0"/>
        <w:ind w:left="0" w:right="20"/>
        <w:jc w:val="both"/>
        <w:rPr>
          <w:rFonts w:ascii="Bookman Old Style" w:hAnsi="Bookman Old Style" w:cs="Arial"/>
          <w:szCs w:val="22"/>
        </w:rPr>
      </w:pPr>
      <w:r w:rsidRPr="00A706E1">
        <w:rPr>
          <w:rFonts w:ascii="Bookman Old Style" w:hAnsi="Bookman Old Style" w:cs="Arial"/>
          <w:szCs w:val="22"/>
        </w:rPr>
        <w:t xml:space="preserve">Mediante oficio con radicado </w:t>
      </w:r>
      <w:r w:rsidRPr="000769DB">
        <w:rPr>
          <w:rFonts w:ascii="Bookman Old Style" w:hAnsi="Bookman Old Style" w:cs="Arial"/>
          <w:szCs w:val="22"/>
        </w:rPr>
        <w:t>CREG E-2018-003607</w:t>
      </w:r>
      <w:r w:rsidRPr="00A706E1">
        <w:rPr>
          <w:rFonts w:ascii="Bookman Old Style" w:hAnsi="Bookman Old Style" w:cs="Arial"/>
          <w:szCs w:val="22"/>
        </w:rPr>
        <w:t xml:space="preserve"> la empresa </w:t>
      </w:r>
      <w:r w:rsidRPr="000769DB">
        <w:rPr>
          <w:rFonts w:ascii="Bookman Old Style" w:hAnsi="Bookman Old Style" w:cs="Arial"/>
          <w:szCs w:val="22"/>
        </w:rPr>
        <w:t>INGENIERÍA Y SERVICIOS S.A. E.S.P.</w:t>
      </w:r>
      <w:r w:rsidRPr="00A706E1">
        <w:rPr>
          <w:rFonts w:ascii="Bookman Old Style" w:hAnsi="Bookman Old Style" w:cs="Arial"/>
          <w:szCs w:val="22"/>
        </w:rPr>
        <w:t xml:space="preserve"> informa que el auto del 09 de abril de 2018, así como el Aviso No. 035 de 2018, presentan inconsistencias relacionadas con la definición del tipo de Mercado Relevante de Distribución para el Siguiente</w:t>
      </w:r>
      <w:r>
        <w:rPr>
          <w:rFonts w:ascii="Bookman Old Style" w:hAnsi="Bookman Old Style" w:cs="Arial"/>
          <w:szCs w:val="22"/>
        </w:rPr>
        <w:t xml:space="preserve"> Periodo Tarifario, así como la pro</w:t>
      </w:r>
      <w:r w:rsidR="00A706E1">
        <w:rPr>
          <w:rFonts w:ascii="Bookman Old Style" w:hAnsi="Bookman Old Style" w:cs="Arial"/>
          <w:szCs w:val="22"/>
        </w:rPr>
        <w:t>cedencia</w:t>
      </w:r>
      <w:r>
        <w:rPr>
          <w:rFonts w:ascii="Bookman Old Style" w:hAnsi="Bookman Old Style" w:cs="Arial"/>
          <w:szCs w:val="22"/>
        </w:rPr>
        <w:t xml:space="preserve"> de los recursos públicos destinados para el desarrollo del proyecto.</w:t>
      </w:r>
      <w:r w:rsidR="00A706E1">
        <w:rPr>
          <w:rFonts w:ascii="Bookman Old Style" w:hAnsi="Bookman Old Style" w:cs="Arial"/>
          <w:szCs w:val="22"/>
        </w:rPr>
        <w:t xml:space="preserve"> T</w:t>
      </w:r>
      <w:r>
        <w:rPr>
          <w:rFonts w:ascii="Bookman Old Style" w:hAnsi="Bookman Old Style" w:cs="Arial"/>
          <w:szCs w:val="22"/>
        </w:rPr>
        <w:t xml:space="preserve">ambién </w:t>
      </w:r>
      <w:r w:rsidR="00A706E1">
        <w:rPr>
          <w:rFonts w:ascii="Bookman Old Style" w:hAnsi="Bookman Old Style" w:cs="Arial"/>
          <w:szCs w:val="22"/>
        </w:rPr>
        <w:t>solicitó</w:t>
      </w:r>
      <w:r>
        <w:rPr>
          <w:rFonts w:ascii="Bookman Old Style" w:hAnsi="Bookman Old Style" w:cs="Arial"/>
          <w:szCs w:val="22"/>
        </w:rPr>
        <w:t xml:space="preserve"> habilitar en el aplicativo </w:t>
      </w:r>
      <w:proofErr w:type="spellStart"/>
      <w:r>
        <w:rPr>
          <w:rFonts w:ascii="Bookman Old Style" w:hAnsi="Bookman Old Style" w:cs="Arial"/>
          <w:szCs w:val="22"/>
        </w:rPr>
        <w:t>ApliGas</w:t>
      </w:r>
      <w:proofErr w:type="spellEnd"/>
      <w:r>
        <w:rPr>
          <w:rFonts w:ascii="Bookman Old Style" w:hAnsi="Bookman Old Style" w:cs="Arial"/>
          <w:szCs w:val="22"/>
        </w:rPr>
        <w:t xml:space="preserve">, la solicitud tarifaria No. 1323 para realizar un ajuste de las unidades constructivas del Mercado Relevante de Distribución para el Siguiente Periodo Tarifario objeto de análisis, de tal manera que su solicitud tarifaria coincida con los valores incluidos en el convenio de cofinanciación GGC 645 de 2017 celebrado entre el Ministerio de Minas y Energía - MME y la empresa INGENIERÍA Y SERVICIOS S.A. E.S.P. </w:t>
      </w:r>
    </w:p>
    <w:p w14:paraId="28B80F1C" w14:textId="77777777" w:rsidR="00BA582B" w:rsidRPr="00D73007" w:rsidRDefault="00BA582B" w:rsidP="00BA582B">
      <w:pPr>
        <w:widowControl w:val="0"/>
        <w:adjustRightInd w:val="0"/>
        <w:ind w:left="0" w:right="20"/>
        <w:jc w:val="both"/>
        <w:rPr>
          <w:rFonts w:ascii="Bookman Old Style" w:hAnsi="Bookman Old Style" w:cs="Arial"/>
          <w:sz w:val="20"/>
        </w:rPr>
      </w:pPr>
    </w:p>
    <w:p w14:paraId="38287FE9" w14:textId="77777777" w:rsidR="00BA582B" w:rsidRDefault="00BA582B" w:rsidP="00BA582B">
      <w:pPr>
        <w:widowControl w:val="0"/>
        <w:tabs>
          <w:tab w:val="center" w:pos="4512"/>
          <w:tab w:val="left" w:pos="7088"/>
        </w:tabs>
        <w:suppressAutoHyphens/>
        <w:adjustRightInd w:val="0"/>
        <w:ind w:left="0" w:right="51"/>
        <w:jc w:val="both"/>
        <w:textAlignment w:val="baseline"/>
        <w:rPr>
          <w:rFonts w:ascii="Bookman Old Style" w:hAnsi="Bookman Old Style" w:cs="Arial"/>
        </w:rPr>
      </w:pPr>
      <w:r w:rsidRPr="00A706E1">
        <w:rPr>
          <w:rFonts w:ascii="Bookman Old Style" w:hAnsi="Bookman Old Style" w:cs="Arial"/>
        </w:rPr>
        <w:t xml:space="preserve">Mediante </w:t>
      </w:r>
      <w:r w:rsidRPr="000769DB">
        <w:rPr>
          <w:rFonts w:ascii="Bookman Old Style" w:hAnsi="Bookman Old Style" w:cs="Arial"/>
        </w:rPr>
        <w:t>auto de pruebas del día 25 de abril de 2018</w:t>
      </w:r>
      <w:r w:rsidRPr="00A706E1">
        <w:rPr>
          <w:rFonts w:ascii="Bookman Old Style" w:hAnsi="Bookman Old Style" w:cs="Arial"/>
        </w:rPr>
        <w:t>, la Comisión solicitó a la empresa INGENIERIA Y SERVICIOS S.A. E.S.P. que aclarara la información referente al reporte de los activos contables de distribución correspondiente al Nuevo</w:t>
      </w:r>
      <w:r w:rsidRPr="00A706E1">
        <w:rPr>
          <w:rFonts w:ascii="Bookman Old Style" w:hAnsi="Bookman Old Style" w:cs="Arial"/>
          <w:szCs w:val="22"/>
        </w:rPr>
        <w:t xml:space="preserve"> Mercado Relevante de Distribución para el Siguiente Periodo Tarifario</w:t>
      </w:r>
      <w:r w:rsidRPr="00A706E1">
        <w:rPr>
          <w:rFonts w:ascii="Bookman Old Style" w:hAnsi="Bookman Old Style" w:cs="Arial"/>
        </w:rPr>
        <w:t xml:space="preserve">, conformado por los municipios de Córdoba, </w:t>
      </w:r>
      <w:proofErr w:type="spellStart"/>
      <w:r w:rsidRPr="00A706E1">
        <w:rPr>
          <w:rFonts w:ascii="Bookman Old Style" w:hAnsi="Bookman Old Style" w:cs="Arial"/>
        </w:rPr>
        <w:t>Guaitarilla</w:t>
      </w:r>
      <w:proofErr w:type="spellEnd"/>
      <w:r w:rsidRPr="00A706E1">
        <w:rPr>
          <w:rFonts w:ascii="Bookman Old Style" w:hAnsi="Bookman Old Style" w:cs="Arial"/>
        </w:rPr>
        <w:t xml:space="preserve"> y </w:t>
      </w:r>
      <w:proofErr w:type="spellStart"/>
      <w:r w:rsidRPr="00A706E1">
        <w:rPr>
          <w:rFonts w:ascii="Bookman Old Style" w:hAnsi="Bookman Old Style" w:cs="Arial"/>
        </w:rPr>
        <w:t>Pupiales</w:t>
      </w:r>
      <w:proofErr w:type="spellEnd"/>
      <w:r w:rsidRPr="00A706E1">
        <w:rPr>
          <w:rFonts w:ascii="Bookman Old Style" w:hAnsi="Bookman Old Style" w:cs="Arial"/>
        </w:rPr>
        <w:t>, departamento de Nariño. Por lo tanto, también se solicitó que propusiera los Cargos de Distribución para el Nuevo</w:t>
      </w:r>
      <w:r w:rsidRPr="00A706E1">
        <w:rPr>
          <w:rFonts w:ascii="Bookman Old Style" w:hAnsi="Bookman Old Style" w:cs="Arial"/>
          <w:szCs w:val="22"/>
        </w:rPr>
        <w:t xml:space="preserve"> Mercado Relevante de Distribución para el Siguiente Periodo Tarifario</w:t>
      </w:r>
      <w:r w:rsidRPr="00A706E1">
        <w:rPr>
          <w:rFonts w:ascii="Bookman Old Style" w:hAnsi="Bookman Old Style" w:cs="Arial"/>
        </w:rPr>
        <w:t xml:space="preserve"> considerando el reporte de activos anterior.</w:t>
      </w:r>
      <w:r>
        <w:rPr>
          <w:rFonts w:ascii="Bookman Old Style" w:hAnsi="Bookman Old Style" w:cs="Arial"/>
        </w:rPr>
        <w:t xml:space="preserve"> </w:t>
      </w:r>
    </w:p>
    <w:p w14:paraId="04BFE637" w14:textId="77777777" w:rsidR="00BA582B" w:rsidRPr="00D73007" w:rsidRDefault="00BA582B" w:rsidP="00BA582B">
      <w:pPr>
        <w:widowControl w:val="0"/>
        <w:tabs>
          <w:tab w:val="center" w:pos="4512"/>
          <w:tab w:val="left" w:pos="7088"/>
        </w:tabs>
        <w:suppressAutoHyphens/>
        <w:adjustRightInd w:val="0"/>
        <w:ind w:left="0" w:right="51"/>
        <w:jc w:val="both"/>
        <w:textAlignment w:val="baseline"/>
        <w:rPr>
          <w:rFonts w:ascii="Bookman Old Style" w:hAnsi="Bookman Old Style" w:cs="Arial"/>
          <w:sz w:val="20"/>
        </w:rPr>
      </w:pPr>
    </w:p>
    <w:p w14:paraId="50EF73EB" w14:textId="59B4AEF7" w:rsidR="00BA582B" w:rsidRDefault="00BA582B" w:rsidP="00BA582B">
      <w:pPr>
        <w:widowControl w:val="0"/>
        <w:tabs>
          <w:tab w:val="center" w:pos="4512"/>
          <w:tab w:val="left" w:pos="7088"/>
        </w:tabs>
        <w:suppressAutoHyphens/>
        <w:adjustRightInd w:val="0"/>
        <w:ind w:left="0" w:right="51"/>
        <w:jc w:val="both"/>
        <w:textAlignment w:val="baseline"/>
        <w:rPr>
          <w:rFonts w:ascii="Bookman Old Style" w:hAnsi="Bookman Old Style" w:cs="Arial"/>
        </w:rPr>
      </w:pPr>
      <w:r w:rsidRPr="00A706E1">
        <w:rPr>
          <w:rFonts w:ascii="Bookman Old Style" w:hAnsi="Bookman Old Style" w:cs="Arial"/>
        </w:rPr>
        <w:t xml:space="preserve">La Comisión mediante oficio radicado </w:t>
      </w:r>
      <w:r w:rsidRPr="000769DB">
        <w:rPr>
          <w:rFonts w:ascii="Bookman Old Style" w:hAnsi="Bookman Old Style" w:cs="Arial"/>
        </w:rPr>
        <w:t>S-20</w:t>
      </w:r>
      <w:r w:rsidR="00C410CF">
        <w:rPr>
          <w:rFonts w:ascii="Bookman Old Style" w:hAnsi="Bookman Old Style" w:cs="Arial"/>
        </w:rPr>
        <w:t>1</w:t>
      </w:r>
      <w:r w:rsidRPr="000769DB">
        <w:rPr>
          <w:rFonts w:ascii="Bookman Old Style" w:hAnsi="Bookman Old Style" w:cs="Arial"/>
        </w:rPr>
        <w:t xml:space="preserve">8-002148 del día </w:t>
      </w:r>
      <w:r w:rsidR="00C410CF">
        <w:rPr>
          <w:rFonts w:ascii="Bookman Old Style" w:hAnsi="Bookman Old Style" w:cs="Arial"/>
        </w:rPr>
        <w:t>8</w:t>
      </w:r>
      <w:r w:rsidRPr="000769DB">
        <w:rPr>
          <w:rFonts w:ascii="Bookman Old Style" w:hAnsi="Bookman Old Style" w:cs="Arial"/>
        </w:rPr>
        <w:t xml:space="preserve"> de mayo de 2018</w:t>
      </w:r>
      <w:r w:rsidRPr="00A706E1">
        <w:rPr>
          <w:rFonts w:ascii="Bookman Old Style" w:hAnsi="Bookman Old Style" w:cs="Arial"/>
        </w:rPr>
        <w:t xml:space="preserve">, da respuesta a las solicitudes presentadas por la empresa INGENIERIA Y SERVICIOS S.A. E.S.P. en el radicado </w:t>
      </w:r>
      <w:r w:rsidRPr="000769DB">
        <w:rPr>
          <w:rFonts w:ascii="Bookman Old Style" w:hAnsi="Bookman Old Style" w:cs="Arial"/>
        </w:rPr>
        <w:t>CREG E-2018-003607</w:t>
      </w:r>
      <w:r w:rsidRPr="00A706E1">
        <w:rPr>
          <w:rFonts w:ascii="Bookman Old Style" w:hAnsi="Bookman Old Style" w:cs="Arial"/>
        </w:rPr>
        <w:t>, informando de una parte que se realizarán los ajustes requeridos en la apertura de la actuación administrativa y por el otro que a la solicitud 1323 ya no se le pueden realizar ajustes, por consiguiente debe reportar mediante oficio a esta Comisión el cambio que debe realizarse en las unidades constructivas.</w:t>
      </w:r>
    </w:p>
    <w:p w14:paraId="0D3ED118" w14:textId="77777777" w:rsidR="00BA582B" w:rsidRPr="00D73007" w:rsidRDefault="00BA582B" w:rsidP="00BA582B">
      <w:pPr>
        <w:widowControl w:val="0"/>
        <w:tabs>
          <w:tab w:val="center" w:pos="4512"/>
          <w:tab w:val="left" w:pos="7088"/>
        </w:tabs>
        <w:suppressAutoHyphens/>
        <w:adjustRightInd w:val="0"/>
        <w:ind w:left="0" w:right="51"/>
        <w:jc w:val="both"/>
        <w:textAlignment w:val="baseline"/>
        <w:rPr>
          <w:rFonts w:ascii="Bookman Old Style" w:hAnsi="Bookman Old Style" w:cs="Arial"/>
          <w:sz w:val="20"/>
        </w:rPr>
      </w:pPr>
    </w:p>
    <w:p w14:paraId="3DE84D93" w14:textId="77777777" w:rsidR="00BA582B" w:rsidRDefault="00BA582B" w:rsidP="00BA582B">
      <w:pPr>
        <w:widowControl w:val="0"/>
        <w:tabs>
          <w:tab w:val="center" w:pos="4512"/>
          <w:tab w:val="left" w:pos="7088"/>
        </w:tabs>
        <w:suppressAutoHyphens/>
        <w:adjustRightInd w:val="0"/>
        <w:ind w:left="0" w:right="51"/>
        <w:jc w:val="both"/>
        <w:textAlignment w:val="baseline"/>
        <w:rPr>
          <w:rFonts w:ascii="Bookman Old Style" w:hAnsi="Bookman Old Style" w:cs="Arial"/>
        </w:rPr>
      </w:pPr>
      <w:r w:rsidRPr="00A706E1">
        <w:rPr>
          <w:rFonts w:ascii="Bookman Old Style" w:hAnsi="Bookman Old Style" w:cs="Arial"/>
        </w:rPr>
        <w:t xml:space="preserve">La empresa INGENIERIA Y SERVICIOS S.A. E.S.P. remitió a la Comisión, mediante oficio con radicado </w:t>
      </w:r>
      <w:r w:rsidRPr="000769DB">
        <w:rPr>
          <w:rFonts w:ascii="Bookman Old Style" w:hAnsi="Bookman Old Style" w:cs="Arial"/>
        </w:rPr>
        <w:t>CREG E-2018-004506 del 08 de mayo de 2018</w:t>
      </w:r>
      <w:r w:rsidRPr="00A706E1">
        <w:rPr>
          <w:rFonts w:ascii="Bookman Old Style" w:hAnsi="Bookman Old Style" w:cs="Arial"/>
        </w:rPr>
        <w:t>, la información solicitada en el auto de pruebas del día 25 de abril de 2018, referente a los activos contables de distribución, sin embargo, no realiza una propuesta de Cargos de Distribución para el Nuevo Mercado Relevante objeto de análisis.</w:t>
      </w:r>
    </w:p>
    <w:p w14:paraId="13F4E1AA" w14:textId="77777777" w:rsidR="00BA582B" w:rsidRPr="00D73007" w:rsidRDefault="00BA582B" w:rsidP="00BA582B">
      <w:pPr>
        <w:widowControl w:val="0"/>
        <w:tabs>
          <w:tab w:val="center" w:pos="4512"/>
          <w:tab w:val="left" w:pos="7088"/>
        </w:tabs>
        <w:suppressAutoHyphens/>
        <w:adjustRightInd w:val="0"/>
        <w:ind w:left="0" w:right="51"/>
        <w:jc w:val="both"/>
        <w:textAlignment w:val="baseline"/>
        <w:rPr>
          <w:rFonts w:ascii="Bookman Old Style" w:hAnsi="Bookman Old Style" w:cs="Arial"/>
          <w:sz w:val="20"/>
        </w:rPr>
      </w:pPr>
    </w:p>
    <w:p w14:paraId="3481E165" w14:textId="77777777" w:rsidR="00BA582B" w:rsidRDefault="00BA582B" w:rsidP="00BA582B">
      <w:pPr>
        <w:widowControl w:val="0"/>
        <w:tabs>
          <w:tab w:val="center" w:pos="4512"/>
          <w:tab w:val="left" w:pos="7088"/>
        </w:tabs>
        <w:suppressAutoHyphens/>
        <w:adjustRightInd w:val="0"/>
        <w:ind w:left="0" w:right="51"/>
        <w:jc w:val="both"/>
        <w:textAlignment w:val="baseline"/>
        <w:rPr>
          <w:rFonts w:ascii="Bookman Old Style" w:hAnsi="Bookman Old Style" w:cs="Arial"/>
        </w:rPr>
      </w:pPr>
      <w:r w:rsidRPr="00A706E1">
        <w:rPr>
          <w:rFonts w:ascii="Bookman Old Style" w:hAnsi="Bookman Old Style" w:cs="Arial"/>
        </w:rPr>
        <w:t xml:space="preserve">Así mismo, mediante radicado </w:t>
      </w:r>
      <w:r w:rsidRPr="000769DB">
        <w:rPr>
          <w:rFonts w:ascii="Bookman Old Style" w:hAnsi="Bookman Old Style" w:cs="Arial"/>
        </w:rPr>
        <w:t>CREG E-2018-004752</w:t>
      </w:r>
      <w:r w:rsidRPr="00A706E1">
        <w:rPr>
          <w:rFonts w:ascii="Bookman Old Style" w:hAnsi="Bookman Old Style" w:cs="Arial"/>
        </w:rPr>
        <w:t xml:space="preserve"> del día 16 de mayo de 2018 la empresa INGENIERIA Y SERVICOS S.A. E.S.P. informa el valor de las unidades constructivas </w:t>
      </w:r>
      <w:r w:rsidRPr="00A706E1">
        <w:rPr>
          <w:rFonts w:ascii="Bookman Old Style" w:hAnsi="Bookman Old Style" w:cs="Arial"/>
          <w:szCs w:val="22"/>
        </w:rPr>
        <w:t>del Nuevo Mercado Relevante de Distribución para el Siguiente Periodo Tarifario objeto de análisis.</w:t>
      </w:r>
    </w:p>
    <w:p w14:paraId="75B0A0BA" w14:textId="77777777" w:rsidR="00BA582B" w:rsidRPr="00D73007" w:rsidRDefault="00BA582B" w:rsidP="00BA582B">
      <w:pPr>
        <w:widowControl w:val="0"/>
        <w:tabs>
          <w:tab w:val="center" w:pos="4512"/>
          <w:tab w:val="left" w:pos="7088"/>
        </w:tabs>
        <w:suppressAutoHyphens/>
        <w:adjustRightInd w:val="0"/>
        <w:ind w:left="0" w:right="51"/>
        <w:jc w:val="both"/>
        <w:textAlignment w:val="baseline"/>
        <w:rPr>
          <w:rFonts w:ascii="Bookman Old Style" w:hAnsi="Bookman Old Style" w:cs="Arial"/>
          <w:sz w:val="20"/>
        </w:rPr>
      </w:pPr>
    </w:p>
    <w:p w14:paraId="1412F2E3" w14:textId="51487A08" w:rsidR="00BA582B" w:rsidRDefault="00BA582B" w:rsidP="00BA582B">
      <w:pPr>
        <w:widowControl w:val="0"/>
        <w:tabs>
          <w:tab w:val="center" w:pos="4512"/>
          <w:tab w:val="left" w:pos="7088"/>
        </w:tabs>
        <w:suppressAutoHyphens/>
        <w:adjustRightInd w:val="0"/>
        <w:ind w:left="0" w:right="51"/>
        <w:jc w:val="both"/>
        <w:textAlignment w:val="baseline"/>
        <w:rPr>
          <w:rFonts w:ascii="Bookman Old Style" w:hAnsi="Bookman Old Style" w:cs="Arial"/>
        </w:rPr>
      </w:pPr>
      <w:r w:rsidRPr="00A706E1">
        <w:rPr>
          <w:rFonts w:ascii="Bookman Old Style" w:hAnsi="Bookman Old Style" w:cs="Arial"/>
        </w:rPr>
        <w:t xml:space="preserve">Mediante </w:t>
      </w:r>
      <w:r w:rsidRPr="000769DB">
        <w:rPr>
          <w:rFonts w:ascii="Bookman Old Style" w:hAnsi="Bookman Old Style" w:cs="Arial"/>
        </w:rPr>
        <w:t>auto de pruebas del 08 de junio de 2018</w:t>
      </w:r>
      <w:r w:rsidRPr="00A706E1">
        <w:rPr>
          <w:rFonts w:ascii="Bookman Old Style" w:hAnsi="Bookman Old Style" w:cs="Arial"/>
        </w:rPr>
        <w:t>, la Comisión solicitó a la empresa INGENIERIA Y SERVICIOS S.A. E.S.P. la propuesta de Cargos de Distribución para el Nuevo</w:t>
      </w:r>
      <w:r w:rsidRPr="00A706E1">
        <w:rPr>
          <w:rFonts w:ascii="Bookman Old Style" w:hAnsi="Bookman Old Style" w:cs="Arial"/>
          <w:szCs w:val="22"/>
        </w:rPr>
        <w:t xml:space="preserve"> Mercado Relevante de Distribución para el Siguiente Periodo Tarifario</w:t>
      </w:r>
      <w:r w:rsidRPr="00A706E1">
        <w:rPr>
          <w:rFonts w:ascii="Bookman Old Style" w:hAnsi="Bookman Old Style" w:cs="Arial"/>
        </w:rPr>
        <w:t xml:space="preserve"> considerando el reporte de activos realizado a través del oficio </w:t>
      </w:r>
      <w:r w:rsidRPr="000769DB">
        <w:rPr>
          <w:rFonts w:ascii="Bookman Old Style" w:hAnsi="Bookman Old Style" w:cs="Arial"/>
        </w:rPr>
        <w:t>E-2018-004752.</w:t>
      </w:r>
      <w:r w:rsidRPr="00A706E1">
        <w:rPr>
          <w:rFonts w:ascii="Bookman Old Style" w:hAnsi="Bookman Old Style" w:cs="Arial"/>
        </w:rPr>
        <w:t xml:space="preserve"> La empresa INGENIERIA Y SERVICIOS S.A. E.S.P. reporta a la Comisión, mediante oficio con radicado CREG </w:t>
      </w:r>
      <w:r w:rsidRPr="000769DB">
        <w:rPr>
          <w:rFonts w:ascii="Bookman Old Style" w:hAnsi="Bookman Old Style" w:cs="Arial"/>
        </w:rPr>
        <w:t>E-2018-006180 del 22 de junio de 2018</w:t>
      </w:r>
      <w:r w:rsidRPr="00A706E1">
        <w:rPr>
          <w:rFonts w:ascii="Bookman Old Style" w:hAnsi="Bookman Old Style" w:cs="Arial"/>
        </w:rPr>
        <w:t>, la información solicitada.</w:t>
      </w:r>
    </w:p>
    <w:p w14:paraId="647E620A" w14:textId="2B9092CC" w:rsidR="00A706E1" w:rsidRPr="00D73007" w:rsidRDefault="00A706E1" w:rsidP="00BA582B">
      <w:pPr>
        <w:widowControl w:val="0"/>
        <w:tabs>
          <w:tab w:val="center" w:pos="4512"/>
          <w:tab w:val="left" w:pos="7088"/>
        </w:tabs>
        <w:suppressAutoHyphens/>
        <w:adjustRightInd w:val="0"/>
        <w:ind w:left="0" w:right="51"/>
        <w:jc w:val="both"/>
        <w:textAlignment w:val="baseline"/>
        <w:rPr>
          <w:rFonts w:ascii="Bookman Old Style" w:hAnsi="Bookman Old Style" w:cs="Arial"/>
          <w:sz w:val="20"/>
        </w:rPr>
      </w:pPr>
    </w:p>
    <w:p w14:paraId="7EEE2D46" w14:textId="0B20DA08" w:rsidR="00E2250B" w:rsidRPr="00341E8F" w:rsidRDefault="004F4E02" w:rsidP="00E2250B">
      <w:pPr>
        <w:widowControl w:val="0"/>
        <w:adjustRightInd w:val="0"/>
        <w:ind w:left="0" w:right="20"/>
        <w:jc w:val="both"/>
        <w:rPr>
          <w:rFonts w:ascii="Bookman Old Style" w:hAnsi="Bookman Old Style" w:cs="Arial"/>
          <w:lang w:val="es-ES_tradnl"/>
        </w:rPr>
      </w:pPr>
      <w:r>
        <w:rPr>
          <w:rFonts w:ascii="Bookman Old Style" w:hAnsi="Bookman Old Style" w:cs="Arial"/>
        </w:rPr>
        <w:t>Finalmente,</w:t>
      </w:r>
      <w:r w:rsidR="00E2250B">
        <w:rPr>
          <w:rFonts w:ascii="Bookman Old Style" w:hAnsi="Bookman Old Style" w:cs="Arial"/>
        </w:rPr>
        <w:t xml:space="preserve"> el 31 de julio de 2018 l</w:t>
      </w:r>
      <w:r w:rsidR="00E2250B" w:rsidRPr="001954E9">
        <w:rPr>
          <w:rFonts w:ascii="Bookman Old Style" w:hAnsi="Bookman Old Style" w:cs="Arial"/>
          <w:color w:val="000000"/>
          <w:spacing w:val="-3"/>
        </w:rPr>
        <w:t xml:space="preserve">a Comisión de Regulación de Energía y Gas, en su sesión </w:t>
      </w:r>
      <w:r w:rsidR="00E2250B">
        <w:rPr>
          <w:rFonts w:ascii="Bookman Old Style" w:hAnsi="Bookman Old Style" w:cs="Arial"/>
          <w:color w:val="000000"/>
          <w:spacing w:val="-3"/>
        </w:rPr>
        <w:t>870</w:t>
      </w:r>
      <w:r w:rsidR="00E2250B" w:rsidRPr="001954E9">
        <w:rPr>
          <w:rFonts w:ascii="Bookman Old Style" w:hAnsi="Bookman Old Style" w:cs="Arial"/>
          <w:color w:val="000000"/>
          <w:spacing w:val="-3"/>
        </w:rPr>
        <w:t xml:space="preserve">, </w:t>
      </w:r>
      <w:r w:rsidR="00E2250B">
        <w:rPr>
          <w:rFonts w:ascii="Bookman Old Style" w:hAnsi="Bookman Old Style"/>
          <w:color w:val="000000"/>
          <w:lang w:val="es-ES_tradnl"/>
        </w:rPr>
        <w:t xml:space="preserve">acordó expedir la resolución </w:t>
      </w:r>
      <w:r w:rsidR="00E2250B" w:rsidRPr="000769DB">
        <w:rPr>
          <w:rFonts w:ascii="Bookman Old Style" w:hAnsi="Bookman Old Style"/>
          <w:i/>
          <w:color w:val="000000"/>
          <w:lang w:val="es-ES_tradnl"/>
        </w:rPr>
        <w:t>“</w:t>
      </w:r>
      <w:r w:rsidR="00E2250B" w:rsidRPr="000769DB">
        <w:rPr>
          <w:rFonts w:ascii="Bookman Old Style" w:hAnsi="Bookman Old Style" w:cs="Arial"/>
          <w:i/>
          <w:lang w:val="es-ES_tradnl"/>
        </w:rPr>
        <w:t xml:space="preserve">Por la cual se aprueba cargo de distribución transitorio por uso del sistema de distribución de gas combustible por redes de tubería para el mercado relevante conformado por los municipios de Córdoba, </w:t>
      </w:r>
      <w:proofErr w:type="spellStart"/>
      <w:r w:rsidR="00E2250B" w:rsidRPr="000769DB">
        <w:rPr>
          <w:rFonts w:ascii="Bookman Old Style" w:hAnsi="Bookman Old Style" w:cs="Arial"/>
          <w:i/>
          <w:lang w:val="es-ES_tradnl"/>
        </w:rPr>
        <w:t>Guaitarilla</w:t>
      </w:r>
      <w:proofErr w:type="spellEnd"/>
      <w:r w:rsidR="00E2250B" w:rsidRPr="000769DB">
        <w:rPr>
          <w:rFonts w:ascii="Bookman Old Style" w:hAnsi="Bookman Old Style" w:cs="Arial"/>
          <w:i/>
          <w:lang w:val="es-ES_tradnl"/>
        </w:rPr>
        <w:t xml:space="preserve"> y </w:t>
      </w:r>
      <w:proofErr w:type="spellStart"/>
      <w:r w:rsidR="00E2250B" w:rsidRPr="000769DB">
        <w:rPr>
          <w:rFonts w:ascii="Bookman Old Style" w:hAnsi="Bookman Old Style" w:cs="Arial"/>
          <w:i/>
          <w:lang w:val="es-ES_tradnl"/>
        </w:rPr>
        <w:t>Pupiales</w:t>
      </w:r>
      <w:proofErr w:type="spellEnd"/>
      <w:r w:rsidR="00E2250B" w:rsidRPr="000769DB">
        <w:rPr>
          <w:rFonts w:ascii="Bookman Old Style" w:hAnsi="Bookman Old Style" w:cs="Arial"/>
          <w:i/>
          <w:lang w:val="es-ES_tradnl"/>
        </w:rPr>
        <w:t xml:space="preserve"> </w:t>
      </w:r>
      <w:r w:rsidR="00E2250B" w:rsidRPr="000769DB">
        <w:rPr>
          <w:rFonts w:ascii="Bookman Old Style" w:hAnsi="Bookman Old Style" w:cs="Arial"/>
          <w:i/>
        </w:rPr>
        <w:t>en el departamento de Nariño,</w:t>
      </w:r>
      <w:r w:rsidR="00E2250B" w:rsidRPr="000769DB">
        <w:rPr>
          <w:rFonts w:ascii="Bookman Old Style" w:hAnsi="Bookman Old Style" w:cs="Arial"/>
          <w:i/>
          <w:lang w:val="es-ES_tradnl"/>
        </w:rPr>
        <w:t xml:space="preserve"> según solicitud tarifaria presentada por la empresa INGENIERIA Y SERVICIOS S.A. E.S.P.”</w:t>
      </w:r>
    </w:p>
    <w:p w14:paraId="645C5368" w14:textId="4D70CEF3" w:rsidR="00A706E1" w:rsidRPr="00D73007" w:rsidRDefault="00A706E1" w:rsidP="00BA582B">
      <w:pPr>
        <w:widowControl w:val="0"/>
        <w:tabs>
          <w:tab w:val="center" w:pos="4512"/>
          <w:tab w:val="left" w:pos="7088"/>
        </w:tabs>
        <w:suppressAutoHyphens/>
        <w:adjustRightInd w:val="0"/>
        <w:ind w:left="0" w:right="51"/>
        <w:jc w:val="both"/>
        <w:textAlignment w:val="baseline"/>
        <w:rPr>
          <w:rFonts w:ascii="Bookman Old Style" w:hAnsi="Bookman Old Style" w:cs="Arial"/>
          <w:sz w:val="20"/>
        </w:rPr>
      </w:pPr>
    </w:p>
    <w:p w14:paraId="4018413B" w14:textId="336C4371" w:rsidR="000C340A" w:rsidRDefault="004F4E02" w:rsidP="00244D6F">
      <w:pPr>
        <w:adjustRightInd w:val="0"/>
        <w:ind w:left="0" w:right="23"/>
        <w:jc w:val="both"/>
        <w:rPr>
          <w:rFonts w:ascii="Bookman Old Style" w:hAnsi="Bookman Old Style" w:cs="Arial"/>
        </w:rPr>
      </w:pPr>
      <w:r w:rsidRPr="000769DB">
        <w:rPr>
          <w:rFonts w:ascii="Bookman Old Style" w:hAnsi="Bookman Old Style" w:cs="Arial"/>
        </w:rPr>
        <w:t xml:space="preserve">De manera que, esta Comisión tramitó la actuación administrativa dentro del término dispuesto para el efecto en el </w:t>
      </w:r>
      <w:r w:rsidR="00007257" w:rsidRPr="000769DB">
        <w:rPr>
          <w:rFonts w:ascii="Bookman Old Style" w:hAnsi="Bookman Old Style" w:cs="Arial"/>
        </w:rPr>
        <w:t>a</w:t>
      </w:r>
      <w:r w:rsidR="00A7031B" w:rsidRPr="004F4E02">
        <w:rPr>
          <w:rFonts w:ascii="Bookman Old Style" w:hAnsi="Bookman Old Style" w:cs="Arial"/>
        </w:rPr>
        <w:t xml:space="preserve">rtículo </w:t>
      </w:r>
      <w:r w:rsidR="00007257" w:rsidRPr="000769DB">
        <w:rPr>
          <w:rFonts w:ascii="Bookman Old Style" w:hAnsi="Bookman Old Style" w:cs="Arial"/>
        </w:rPr>
        <w:t xml:space="preserve">111 </w:t>
      </w:r>
      <w:r w:rsidR="00A7031B" w:rsidRPr="004F4E02">
        <w:rPr>
          <w:rFonts w:ascii="Bookman Old Style" w:hAnsi="Bookman Old Style" w:cs="Arial"/>
        </w:rPr>
        <w:t xml:space="preserve">de la Ley </w:t>
      </w:r>
      <w:r w:rsidR="00007257" w:rsidRPr="000769DB">
        <w:rPr>
          <w:rFonts w:ascii="Bookman Old Style" w:hAnsi="Bookman Old Style" w:cs="Arial"/>
        </w:rPr>
        <w:t>142 de 1994</w:t>
      </w:r>
      <w:r w:rsidRPr="000769DB">
        <w:rPr>
          <w:rFonts w:ascii="Bookman Old Style" w:hAnsi="Bookman Old Style" w:cs="Arial"/>
        </w:rPr>
        <w:t>.</w:t>
      </w:r>
      <w:r w:rsidRPr="000769DB" w:rsidDel="004F4E02">
        <w:rPr>
          <w:rFonts w:ascii="Bookman Old Style" w:hAnsi="Bookman Old Style" w:cs="Arial"/>
        </w:rPr>
        <w:t xml:space="preserve"> </w:t>
      </w:r>
    </w:p>
    <w:p w14:paraId="613C0090" w14:textId="58D68B00" w:rsidR="00626EED" w:rsidRPr="00626EED" w:rsidRDefault="00DE7CAE" w:rsidP="00D73007">
      <w:pPr>
        <w:ind w:left="0"/>
        <w:jc w:val="both"/>
        <w:rPr>
          <w:rFonts w:ascii="Bookman Old Style" w:hAnsi="Bookman Old Style"/>
          <w:lang w:val="es-ES_tradnl"/>
        </w:rPr>
      </w:pPr>
      <w:r>
        <w:rPr>
          <w:rFonts w:ascii="Bookman Old Style" w:hAnsi="Bookman Old Style"/>
          <w:lang w:val="es-ES_tradnl"/>
        </w:rPr>
        <w:t>Así, l</w:t>
      </w:r>
      <w:r w:rsidR="00626EED" w:rsidRPr="00626EED">
        <w:rPr>
          <w:rFonts w:ascii="Bookman Old Style" w:hAnsi="Bookman Old Style"/>
          <w:lang w:val="es-ES_tradnl"/>
        </w:rPr>
        <w:t xml:space="preserve">a Comisión de Regulación de Energía y Gas en su sesión </w:t>
      </w:r>
      <w:r w:rsidR="00D73007">
        <w:rPr>
          <w:rFonts w:ascii="Bookman Old Style" w:hAnsi="Bookman Old Style"/>
          <w:lang w:val="es-ES_tradnl"/>
        </w:rPr>
        <w:t>916</w:t>
      </w:r>
      <w:r w:rsidR="00626EED" w:rsidRPr="00626EED">
        <w:rPr>
          <w:rFonts w:ascii="Bookman Old Style" w:hAnsi="Bookman Old Style"/>
          <w:lang w:val="es-ES_tradnl"/>
        </w:rPr>
        <w:t xml:space="preserve"> del </w:t>
      </w:r>
      <w:r w:rsidR="00D73007">
        <w:rPr>
          <w:rFonts w:ascii="Bookman Old Style" w:hAnsi="Bookman Old Style"/>
          <w:lang w:val="es-ES_tradnl"/>
        </w:rPr>
        <w:t>3</w:t>
      </w:r>
      <w:r w:rsidR="00D1599A">
        <w:rPr>
          <w:rFonts w:ascii="Bookman Old Style" w:hAnsi="Bookman Old Style"/>
          <w:lang w:val="es-ES_tradnl"/>
        </w:rPr>
        <w:t xml:space="preserve"> de </w:t>
      </w:r>
      <w:r w:rsidR="00D73007">
        <w:rPr>
          <w:rFonts w:ascii="Bookman Old Style" w:hAnsi="Bookman Old Style"/>
          <w:lang w:val="es-ES_tradnl"/>
        </w:rPr>
        <w:t>mayo de 2019</w:t>
      </w:r>
      <w:r w:rsidR="00626EED" w:rsidRPr="00626EED">
        <w:rPr>
          <w:rFonts w:ascii="Bookman Old Style" w:hAnsi="Bookman Old Style"/>
          <w:lang w:val="es-ES_tradnl"/>
        </w:rPr>
        <w:t>, acordó expedir la presente resolución.</w:t>
      </w:r>
    </w:p>
    <w:p w14:paraId="55EE8288" w14:textId="77777777" w:rsidR="00045D3D" w:rsidRDefault="00045D3D" w:rsidP="00045D3D">
      <w:pPr>
        <w:suppressAutoHyphens/>
        <w:jc w:val="center"/>
        <w:rPr>
          <w:rFonts w:ascii="Bookman Old Style" w:hAnsi="Bookman Old Style"/>
          <w:b/>
          <w:spacing w:val="-3"/>
        </w:rPr>
      </w:pPr>
    </w:p>
    <w:p w14:paraId="3A127CAA" w14:textId="77777777" w:rsidR="00045D3D" w:rsidRPr="00C435C3" w:rsidRDefault="00045D3D" w:rsidP="00045D3D">
      <w:pPr>
        <w:suppressAutoHyphens/>
        <w:jc w:val="center"/>
        <w:rPr>
          <w:rFonts w:ascii="Bookman Old Style" w:hAnsi="Bookman Old Style"/>
          <w:spacing w:val="-3"/>
        </w:rPr>
      </w:pPr>
      <w:r w:rsidRPr="00C435C3">
        <w:rPr>
          <w:rFonts w:ascii="Bookman Old Style" w:hAnsi="Bookman Old Style"/>
          <w:b/>
          <w:spacing w:val="-3"/>
        </w:rPr>
        <w:t>R E S U E L V E:</w:t>
      </w:r>
    </w:p>
    <w:p w14:paraId="724556C1" w14:textId="77777777" w:rsidR="00045D3D" w:rsidRDefault="00045D3D" w:rsidP="00045D3D">
      <w:pPr>
        <w:jc w:val="center"/>
        <w:rPr>
          <w:rFonts w:ascii="Bookman Old Style" w:hAnsi="Bookman Old Style"/>
        </w:rPr>
      </w:pPr>
    </w:p>
    <w:p w14:paraId="698480F3" w14:textId="5C67BF96" w:rsidR="00D1599A" w:rsidRPr="004B4DBD" w:rsidRDefault="00045D3D" w:rsidP="0053787E">
      <w:pPr>
        <w:ind w:left="0"/>
        <w:jc w:val="both"/>
        <w:rPr>
          <w:rFonts w:ascii="Bookman Old Style" w:hAnsi="Bookman Old Style" w:cs="Arial"/>
        </w:rPr>
      </w:pPr>
      <w:r w:rsidRPr="00D1599A">
        <w:rPr>
          <w:rFonts w:ascii="Bookman Old Style" w:hAnsi="Bookman Old Style"/>
          <w:b/>
        </w:rPr>
        <w:t xml:space="preserve">ARTÍCULO 1. </w:t>
      </w:r>
      <w:r w:rsidR="004B4DBD" w:rsidRPr="004B4DBD">
        <w:rPr>
          <w:rFonts w:ascii="Bookman Old Style" w:eastAsia="Calibri" w:hAnsi="Bookman Old Style" w:cs="Century Gothic"/>
          <w:lang w:eastAsia="es-CO"/>
        </w:rPr>
        <w:t>No modificar</w:t>
      </w:r>
      <w:r w:rsidR="004B4DBD">
        <w:rPr>
          <w:rFonts w:ascii="Bookman Old Style" w:hAnsi="Bookman Old Style"/>
          <w:b/>
        </w:rPr>
        <w:t xml:space="preserve"> </w:t>
      </w:r>
      <w:r w:rsidR="004B4DBD" w:rsidRPr="004B4DBD">
        <w:rPr>
          <w:rFonts w:ascii="Bookman Old Style" w:hAnsi="Bookman Old Style"/>
        </w:rPr>
        <w:t>y confirmar en su integridad</w:t>
      </w:r>
      <w:r w:rsidR="004B4DBD">
        <w:rPr>
          <w:rFonts w:ascii="Bookman Old Style" w:hAnsi="Bookman Old Style" w:cs="Arial"/>
        </w:rPr>
        <w:t xml:space="preserve"> la Resolución CREG 111 de 2018, por medio de la cual </w:t>
      </w:r>
      <w:r w:rsidR="00EC29D1">
        <w:rPr>
          <w:rFonts w:ascii="Bookman Old Style" w:hAnsi="Bookman Old Style" w:cs="Arial"/>
        </w:rPr>
        <w:t xml:space="preserve">se aprueba el cargo de distribución transitorio por uso del sistema de distribución de gas combustible por redes de tubería para el mercado relevante conformado por los municipios de Córdoba, </w:t>
      </w:r>
      <w:proofErr w:type="spellStart"/>
      <w:r w:rsidR="00EC29D1">
        <w:rPr>
          <w:rFonts w:ascii="Bookman Old Style" w:hAnsi="Bookman Old Style" w:cs="Arial"/>
        </w:rPr>
        <w:t>Guaitarilla</w:t>
      </w:r>
      <w:proofErr w:type="spellEnd"/>
      <w:r w:rsidR="00EC29D1">
        <w:rPr>
          <w:rFonts w:ascii="Bookman Old Style" w:hAnsi="Bookman Old Style" w:cs="Arial"/>
        </w:rPr>
        <w:t xml:space="preserve"> y </w:t>
      </w:r>
      <w:proofErr w:type="spellStart"/>
      <w:r w:rsidR="00EC29D1">
        <w:rPr>
          <w:rFonts w:ascii="Bookman Old Style" w:hAnsi="Bookman Old Style" w:cs="Arial"/>
        </w:rPr>
        <w:t>Pupiales</w:t>
      </w:r>
      <w:proofErr w:type="spellEnd"/>
      <w:r w:rsidR="00EC29D1">
        <w:rPr>
          <w:rFonts w:ascii="Bookman Old Style" w:hAnsi="Bookman Old Style" w:cs="Arial"/>
        </w:rPr>
        <w:t xml:space="preserve"> en el departamento de Nariño, según solicitud tarifaria presentada por la empresa INGENIERÍA Y SERVICIOS S.A. E.S.P.</w:t>
      </w:r>
    </w:p>
    <w:p w14:paraId="2EFE123E" w14:textId="77777777" w:rsidR="0053787E" w:rsidRDefault="0053787E" w:rsidP="0053787E">
      <w:pPr>
        <w:ind w:left="0"/>
        <w:jc w:val="both"/>
        <w:rPr>
          <w:rFonts w:ascii="Bookman Old Style" w:hAnsi="Bookman Old Style" w:cs="Arial"/>
        </w:rPr>
      </w:pPr>
    </w:p>
    <w:p w14:paraId="48E86A7F" w14:textId="621AE3E6" w:rsidR="008730C1" w:rsidRDefault="00045D3D" w:rsidP="0052303E">
      <w:pPr>
        <w:ind w:left="0"/>
        <w:jc w:val="both"/>
        <w:rPr>
          <w:rFonts w:ascii="Bookman Old Style" w:hAnsi="Bookman Old Style"/>
          <w:b/>
        </w:rPr>
      </w:pPr>
      <w:r w:rsidRPr="002A782A">
        <w:rPr>
          <w:rFonts w:ascii="Bookman Old Style" w:hAnsi="Bookman Old Style"/>
          <w:b/>
        </w:rPr>
        <w:t xml:space="preserve">ARTÍCULO </w:t>
      </w:r>
      <w:r>
        <w:rPr>
          <w:rFonts w:ascii="Bookman Old Style" w:hAnsi="Bookman Old Style"/>
          <w:b/>
        </w:rPr>
        <w:t>2</w:t>
      </w:r>
      <w:r w:rsidRPr="002A782A">
        <w:rPr>
          <w:rFonts w:ascii="Bookman Old Style" w:hAnsi="Bookman Old Style"/>
          <w:b/>
        </w:rPr>
        <w:t>.</w:t>
      </w:r>
      <w:r w:rsidR="008730C1" w:rsidRPr="008730C1">
        <w:rPr>
          <w:rFonts w:ascii="Bookman Old Style" w:hAnsi="Bookman Old Style"/>
        </w:rPr>
        <w:t xml:space="preserve"> </w:t>
      </w:r>
      <w:r w:rsidR="008730C1" w:rsidRPr="007F2DB5">
        <w:rPr>
          <w:rFonts w:ascii="Bookman Old Style" w:hAnsi="Bookman Old Style"/>
        </w:rPr>
        <w:t>La presente resolución deberá notificarse al</w:t>
      </w:r>
      <w:r w:rsidR="004F4E02">
        <w:rPr>
          <w:rFonts w:ascii="Bookman Old Style" w:hAnsi="Bookman Old Style"/>
        </w:rPr>
        <w:t xml:space="preserve"> señor Fabio Santos en su calidad de representante legal de la </w:t>
      </w:r>
      <w:r w:rsidR="008730C1" w:rsidRPr="007F2DB5">
        <w:rPr>
          <w:rFonts w:ascii="Bookman Old Style" w:hAnsi="Bookman Old Style"/>
        </w:rPr>
        <w:t xml:space="preserve">empresa </w:t>
      </w:r>
      <w:r w:rsidR="008730C1">
        <w:rPr>
          <w:rFonts w:ascii="Bookman Old Style" w:hAnsi="Bookman Old Style"/>
        </w:rPr>
        <w:t xml:space="preserve">INGENIERIA Y SERVICIOS S.A. E.S.P. </w:t>
      </w:r>
      <w:r w:rsidR="004F4E02">
        <w:rPr>
          <w:rFonts w:ascii="Bookman Old Style" w:hAnsi="Bookman Old Style"/>
        </w:rPr>
        <w:t xml:space="preserve">o quien haga sus veces </w:t>
      </w:r>
      <w:r w:rsidR="008730C1" w:rsidRPr="007F2DB5">
        <w:rPr>
          <w:rFonts w:ascii="Bookman Old Style" w:hAnsi="Bookman Old Style"/>
        </w:rPr>
        <w:t xml:space="preserve">y publicarse en el </w:t>
      </w:r>
      <w:r w:rsidR="008730C1" w:rsidRPr="007F2DB5">
        <w:rPr>
          <w:rFonts w:ascii="Bookman Old Style" w:hAnsi="Bookman Old Style"/>
          <w:i/>
        </w:rPr>
        <w:t>Diario Oficial</w:t>
      </w:r>
      <w:r w:rsidR="008730C1" w:rsidRPr="007F2DB5">
        <w:rPr>
          <w:rFonts w:ascii="Bookman Old Style" w:hAnsi="Bookman Old Style"/>
        </w:rPr>
        <w:t xml:space="preserve">. </w:t>
      </w:r>
      <w:r w:rsidR="007931CC" w:rsidRPr="007931CC">
        <w:rPr>
          <w:rFonts w:ascii="Bookman Old Style" w:hAnsi="Bookman Old Style"/>
        </w:rPr>
        <w:t>Contra lo aquí dispuesto no procede recurso alguno por haber finalizado la actuación administrativa correspondiente a la presentación de recursos previsto en la Ley.</w:t>
      </w:r>
    </w:p>
    <w:p w14:paraId="72F11FF1" w14:textId="116DECE7" w:rsidR="007931CC" w:rsidRDefault="007931CC" w:rsidP="0052303E">
      <w:pPr>
        <w:ind w:left="0"/>
        <w:jc w:val="both"/>
        <w:rPr>
          <w:rFonts w:ascii="Bookman Old Style" w:hAnsi="Bookman Old Style"/>
          <w:b/>
        </w:rPr>
      </w:pPr>
    </w:p>
    <w:p w14:paraId="1C343A7A" w14:textId="77777777" w:rsidR="00045D3D" w:rsidRPr="00C435C3" w:rsidRDefault="002903C0" w:rsidP="00045D3D">
      <w:pPr>
        <w:jc w:val="center"/>
        <w:rPr>
          <w:rFonts w:ascii="Bookman Old Style" w:hAnsi="Bookman Old Style"/>
          <w:b/>
        </w:rPr>
      </w:pPr>
      <w:r>
        <w:rPr>
          <w:rFonts w:ascii="Bookman Old Style" w:hAnsi="Bookman Old Style"/>
          <w:b/>
        </w:rPr>
        <w:t xml:space="preserve">NOTIFÍQUESE, </w:t>
      </w:r>
      <w:r w:rsidR="00045D3D" w:rsidRPr="00C435C3">
        <w:rPr>
          <w:rFonts w:ascii="Bookman Old Style" w:hAnsi="Bookman Old Style"/>
          <w:b/>
        </w:rPr>
        <w:t>PU</w:t>
      </w:r>
      <w:r w:rsidR="00CA03C8">
        <w:rPr>
          <w:rFonts w:ascii="Bookman Old Style" w:hAnsi="Bookman Old Style"/>
          <w:b/>
        </w:rPr>
        <w:t>B</w:t>
      </w:r>
      <w:r w:rsidR="00045D3D" w:rsidRPr="00C435C3">
        <w:rPr>
          <w:rFonts w:ascii="Bookman Old Style" w:hAnsi="Bookman Old Style"/>
          <w:b/>
        </w:rPr>
        <w:t>LÍQUESE Y CÚMPLASE</w:t>
      </w:r>
    </w:p>
    <w:p w14:paraId="1AB4148B" w14:textId="77777777" w:rsidR="00045D3D" w:rsidRPr="00C435C3" w:rsidRDefault="00045D3D" w:rsidP="00045D3D">
      <w:pPr>
        <w:rPr>
          <w:rFonts w:ascii="Bookman Old Style" w:hAnsi="Bookman Old Style"/>
        </w:rPr>
      </w:pPr>
    </w:p>
    <w:p w14:paraId="0984D125" w14:textId="24514358" w:rsidR="00045D3D" w:rsidRDefault="00045D3D" w:rsidP="00045D3D">
      <w:pPr>
        <w:ind w:left="0"/>
        <w:rPr>
          <w:rFonts w:ascii="Bookman Old Style" w:hAnsi="Bookman Old Style"/>
        </w:rPr>
      </w:pPr>
      <w:r>
        <w:rPr>
          <w:rFonts w:ascii="Bookman Old Style" w:hAnsi="Bookman Old Style"/>
        </w:rPr>
        <w:t>Dada en Bogotá, D.C.</w:t>
      </w:r>
      <w:r w:rsidR="00CA3AA6">
        <w:rPr>
          <w:rFonts w:ascii="Bookman Old Style" w:hAnsi="Bookman Old Style"/>
        </w:rPr>
        <w:t xml:space="preserve"> a</w:t>
      </w:r>
    </w:p>
    <w:p w14:paraId="5C915D5C" w14:textId="4C55A415" w:rsidR="00D73007" w:rsidRDefault="00D73007" w:rsidP="00045D3D">
      <w:pPr>
        <w:ind w:left="0"/>
        <w:rPr>
          <w:rFonts w:ascii="Bookman Old Style" w:hAnsi="Bookman Old Style"/>
        </w:rPr>
      </w:pPr>
    </w:p>
    <w:p w14:paraId="0C849DF6" w14:textId="0749297E" w:rsidR="00D73007" w:rsidRDefault="00D73007" w:rsidP="00045D3D">
      <w:pPr>
        <w:ind w:left="0"/>
        <w:rPr>
          <w:rFonts w:ascii="Bookman Old Style" w:hAnsi="Bookman Old Style"/>
        </w:rPr>
      </w:pPr>
    </w:p>
    <w:p w14:paraId="1CC97DC6" w14:textId="77777777" w:rsidR="00D73007" w:rsidRDefault="00D73007" w:rsidP="00045D3D">
      <w:pPr>
        <w:ind w:left="0"/>
        <w:rPr>
          <w:rFonts w:ascii="Bookman Old Style" w:hAnsi="Bookman Old Style"/>
        </w:rPr>
      </w:pPr>
    </w:p>
    <w:p w14:paraId="47583835" w14:textId="77777777" w:rsidR="00045D3D" w:rsidRDefault="00045D3D" w:rsidP="00045D3D">
      <w:pPr>
        <w:ind w:left="0"/>
        <w:rPr>
          <w:rFonts w:ascii="Bookman Old Style" w:hAnsi="Bookman Old Style"/>
        </w:rPr>
      </w:pPr>
    </w:p>
    <w:tbl>
      <w:tblPr>
        <w:tblW w:w="9640" w:type="dxa"/>
        <w:tblCellSpacing w:w="0" w:type="dxa"/>
        <w:tblInd w:w="-142" w:type="dxa"/>
        <w:shd w:val="clear" w:color="auto" w:fill="FFFFFF"/>
        <w:tblCellMar>
          <w:left w:w="0" w:type="dxa"/>
          <w:right w:w="0" w:type="dxa"/>
        </w:tblCellMar>
        <w:tblLook w:val="04A0" w:firstRow="1" w:lastRow="0" w:firstColumn="1" w:lastColumn="0" w:noHBand="0" w:noVBand="1"/>
      </w:tblPr>
      <w:tblGrid>
        <w:gridCol w:w="5104"/>
        <w:gridCol w:w="4536"/>
      </w:tblGrid>
      <w:tr w:rsidR="00D73007" w:rsidRPr="00B64D62" w14:paraId="02EB14F4" w14:textId="77777777" w:rsidTr="008D5CBF">
        <w:trPr>
          <w:tblCellSpacing w:w="0" w:type="dxa"/>
        </w:trPr>
        <w:tc>
          <w:tcPr>
            <w:tcW w:w="5104" w:type="dxa"/>
            <w:shd w:val="clear" w:color="auto" w:fill="FFFFFF"/>
            <w:hideMark/>
          </w:tcPr>
          <w:p w14:paraId="0D697022" w14:textId="77777777" w:rsidR="00D73007" w:rsidRPr="00B64D62" w:rsidRDefault="00D73007" w:rsidP="008D5CBF">
            <w:pPr>
              <w:ind w:left="0"/>
              <w:jc w:val="center"/>
              <w:rPr>
                <w:rFonts w:ascii="Bookman Old Style" w:hAnsi="Bookman Old Style" w:cs="Arial"/>
                <w:b/>
                <w:sz w:val="23"/>
                <w:szCs w:val="23"/>
                <w:lang w:val="es-CO" w:eastAsia="es-CO"/>
              </w:rPr>
            </w:pPr>
            <w:r w:rsidRPr="00B64D62">
              <w:rPr>
                <w:rFonts w:ascii="Bookman Old Style" w:hAnsi="Bookman Old Style"/>
                <w:b/>
              </w:rPr>
              <w:t>DIEGO MESA PUYO</w:t>
            </w:r>
          </w:p>
        </w:tc>
        <w:tc>
          <w:tcPr>
            <w:tcW w:w="4536" w:type="dxa"/>
            <w:shd w:val="clear" w:color="auto" w:fill="FFFFFF"/>
            <w:hideMark/>
          </w:tcPr>
          <w:p w14:paraId="20FF72FD" w14:textId="77777777" w:rsidR="00D73007" w:rsidRPr="00B64D62" w:rsidRDefault="00D73007" w:rsidP="008D5CBF">
            <w:pPr>
              <w:ind w:left="142"/>
              <w:jc w:val="center"/>
              <w:rPr>
                <w:rFonts w:ascii="Bookman Old Style" w:hAnsi="Bookman Old Style" w:cs="Arial"/>
                <w:sz w:val="23"/>
                <w:szCs w:val="23"/>
                <w:lang w:val="es-CO" w:eastAsia="es-CO"/>
              </w:rPr>
            </w:pPr>
            <w:r w:rsidRPr="00B64D62">
              <w:rPr>
                <w:rFonts w:ascii="Bookman Old Style" w:hAnsi="Bookman Old Style" w:cs="Arial"/>
                <w:b/>
                <w:bCs/>
                <w:szCs w:val="23"/>
                <w:lang w:val="es-CO" w:eastAsia="es-CO"/>
              </w:rPr>
              <w:t>CHRISTIAN JARAMILLO HERRERA</w:t>
            </w:r>
          </w:p>
        </w:tc>
      </w:tr>
      <w:tr w:rsidR="00D73007" w:rsidRPr="00B64D62" w14:paraId="1217843E" w14:textId="77777777" w:rsidTr="008D5CBF">
        <w:trPr>
          <w:tblCellSpacing w:w="0" w:type="dxa"/>
        </w:trPr>
        <w:tc>
          <w:tcPr>
            <w:tcW w:w="5104" w:type="dxa"/>
            <w:shd w:val="clear" w:color="auto" w:fill="FFFFFF"/>
            <w:hideMark/>
          </w:tcPr>
          <w:p w14:paraId="0F8F7B3B" w14:textId="77777777" w:rsidR="00D73007" w:rsidRPr="00B64D62" w:rsidRDefault="00D73007" w:rsidP="008D5CBF">
            <w:pPr>
              <w:ind w:left="0"/>
              <w:jc w:val="center"/>
              <w:rPr>
                <w:rFonts w:ascii="Bookman Old Style" w:hAnsi="Bookman Old Style" w:cs="Arial"/>
                <w:lang w:val="es-CO" w:eastAsia="es-CO"/>
              </w:rPr>
            </w:pPr>
            <w:r w:rsidRPr="00B64D62">
              <w:rPr>
                <w:rFonts w:ascii="Bookman Old Style" w:hAnsi="Bookman Old Style"/>
              </w:rPr>
              <w:t>Viceministro de Energía, delegado de la Ministra de Minas y Energía</w:t>
            </w:r>
          </w:p>
        </w:tc>
        <w:tc>
          <w:tcPr>
            <w:tcW w:w="4536" w:type="dxa"/>
            <w:shd w:val="clear" w:color="auto" w:fill="FFFFFF"/>
            <w:hideMark/>
          </w:tcPr>
          <w:p w14:paraId="0E774ED2" w14:textId="77777777" w:rsidR="00D73007" w:rsidRPr="00B64D62" w:rsidRDefault="00D73007" w:rsidP="008D5CBF">
            <w:pPr>
              <w:ind w:left="142"/>
              <w:jc w:val="center"/>
              <w:rPr>
                <w:rFonts w:ascii="Bookman Old Style" w:hAnsi="Bookman Old Style" w:cs="Arial"/>
                <w:lang w:val="es-CO" w:eastAsia="es-CO"/>
              </w:rPr>
            </w:pPr>
            <w:r w:rsidRPr="00B64D62">
              <w:rPr>
                <w:rFonts w:ascii="Bookman Old Style" w:hAnsi="Bookman Old Style" w:cs="Arial"/>
                <w:lang w:val="es-CO" w:eastAsia="es-CO"/>
              </w:rPr>
              <w:t>Director Ejecutivo</w:t>
            </w:r>
          </w:p>
        </w:tc>
      </w:tr>
      <w:tr w:rsidR="00D73007" w:rsidRPr="00B64D62" w14:paraId="1F663B1F" w14:textId="77777777" w:rsidTr="008D5CBF">
        <w:trPr>
          <w:tblCellSpacing w:w="0" w:type="dxa"/>
        </w:trPr>
        <w:tc>
          <w:tcPr>
            <w:tcW w:w="5104" w:type="dxa"/>
            <w:shd w:val="clear" w:color="auto" w:fill="FFFFFF"/>
            <w:hideMark/>
          </w:tcPr>
          <w:p w14:paraId="2B38E99C" w14:textId="77777777" w:rsidR="00D73007" w:rsidRPr="00B64D62" w:rsidRDefault="00D73007" w:rsidP="008D5CBF">
            <w:pPr>
              <w:ind w:left="0"/>
              <w:jc w:val="center"/>
              <w:rPr>
                <w:rFonts w:ascii="Bookman Old Style" w:hAnsi="Bookman Old Style" w:cs="Arial"/>
                <w:lang w:val="es-CO" w:eastAsia="es-CO"/>
              </w:rPr>
            </w:pPr>
            <w:r w:rsidRPr="00B64D62">
              <w:rPr>
                <w:rFonts w:ascii="Bookman Old Style" w:hAnsi="Bookman Old Style" w:cs="Arial"/>
                <w:lang w:val="es-CO" w:eastAsia="es-CO"/>
              </w:rPr>
              <w:t>Presidente</w:t>
            </w:r>
          </w:p>
        </w:tc>
        <w:tc>
          <w:tcPr>
            <w:tcW w:w="4536" w:type="dxa"/>
            <w:shd w:val="clear" w:color="auto" w:fill="FFFFFF"/>
            <w:hideMark/>
          </w:tcPr>
          <w:p w14:paraId="4166CA28" w14:textId="77777777" w:rsidR="00D73007" w:rsidRPr="00B64D62" w:rsidRDefault="00D73007" w:rsidP="008D5CBF">
            <w:pPr>
              <w:ind w:left="142"/>
              <w:rPr>
                <w:rFonts w:ascii="Bookman Old Style" w:hAnsi="Bookman Old Style" w:cs="Arial"/>
                <w:lang w:val="es-CO" w:eastAsia="es-CO"/>
              </w:rPr>
            </w:pPr>
            <w:r w:rsidRPr="00B64D62">
              <w:rPr>
                <w:rFonts w:ascii="Bookman Old Style" w:hAnsi="Bookman Old Style" w:cs="Arial"/>
                <w:noProof/>
                <w:lang w:val="es-CO" w:eastAsia="es-CO"/>
              </w:rPr>
              <w:drawing>
                <wp:inline distT="0" distB="0" distL="0" distR="0" wp14:anchorId="2FF6DEE4" wp14:editId="2CD1A75F">
                  <wp:extent cx="9525" cy="9525"/>
                  <wp:effectExtent l="0" t="0" r="0" b="0"/>
                  <wp:docPr id="3" name="Imagen 3" descr="http://apolo.creg.gov.co/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polo.creg.gov.co/icons/ecblank.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14:paraId="1E7112D6" w14:textId="77777777" w:rsidR="00045D3D" w:rsidRDefault="00045D3D" w:rsidP="00D73007">
      <w:pPr>
        <w:ind w:left="0"/>
        <w:rPr>
          <w:rFonts w:ascii="Bookman Old Style" w:hAnsi="Bookman Old Style"/>
        </w:rPr>
      </w:pPr>
    </w:p>
    <w:sectPr w:rsidR="00045D3D" w:rsidSect="005A59EF">
      <w:headerReference w:type="default" r:id="rId11"/>
      <w:headerReference w:type="first" r:id="rId12"/>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BFC0FC" w14:textId="77777777" w:rsidR="00B93501" w:rsidRDefault="00B93501">
      <w:r>
        <w:separator/>
      </w:r>
    </w:p>
  </w:endnote>
  <w:endnote w:type="continuationSeparator" w:id="0">
    <w:p w14:paraId="3C292703" w14:textId="77777777" w:rsidR="00B93501" w:rsidRDefault="00B93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ACEBFE" w14:textId="77777777" w:rsidR="00B93501" w:rsidRDefault="00B93501">
      <w:r>
        <w:separator/>
      </w:r>
    </w:p>
  </w:footnote>
  <w:footnote w:type="continuationSeparator" w:id="0">
    <w:p w14:paraId="78E38DFC" w14:textId="77777777" w:rsidR="00B93501" w:rsidRDefault="00B9350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4E67B8" w14:textId="77777777" w:rsidR="00D61749" w:rsidRDefault="00D61749" w:rsidP="00951F79">
    <w:pPr>
      <w:pStyle w:val="Ttulo1"/>
      <w:ind w:right="6"/>
      <w:jc w:val="left"/>
      <w:rPr>
        <w:rFonts w:ascii="Bookman Old Style" w:hAnsi="Bookman Old Style" w:cs="Arial"/>
        <w:b w:val="0"/>
        <w:sz w:val="22"/>
        <w:szCs w:val="22"/>
      </w:rPr>
    </w:pPr>
  </w:p>
  <w:p w14:paraId="1FEDA09D" w14:textId="59D7CB84" w:rsidR="00D61749" w:rsidRPr="00951F79" w:rsidRDefault="00D61749"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7365E7">
      <w:rPr>
        <w:rFonts w:ascii="Bookman Old Style" w:hAnsi="Bookman Old Style" w:cs="Arial"/>
        <w:b w:val="0"/>
        <w:noProof/>
        <w:sz w:val="22"/>
        <w:szCs w:val="22"/>
      </w:rPr>
      <w:t>12</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7365E7" w:rsidRPr="007365E7">
        <w:rPr>
          <w:rFonts w:ascii="Bookman Old Style" w:hAnsi="Bookman Old Style" w:cs="Arial"/>
          <w:b w:val="0"/>
          <w:noProof/>
          <w:sz w:val="22"/>
          <w:szCs w:val="22"/>
        </w:rPr>
        <w:t>12</w:t>
      </w:r>
    </w:fldSimple>
  </w:p>
  <w:p w14:paraId="7A37654C" w14:textId="77777777" w:rsidR="00D61749" w:rsidRDefault="00D61749" w:rsidP="00AD01E4">
    <w:pPr>
      <w:ind w:left="142" w:right="148"/>
      <w:rPr>
        <w:rFonts w:ascii="Bookman Old Style" w:hAnsi="Bookman Old Style" w:cs="Arial"/>
      </w:rPr>
    </w:pPr>
    <w:r w:rsidRPr="0042068C">
      <w:rPr>
        <w:noProof/>
        <w:lang w:val="es-CO" w:eastAsia="es-CO"/>
      </w:rPr>
      <mc:AlternateContent>
        <mc:Choice Requires="wps">
          <w:drawing>
            <wp:anchor distT="0" distB="0" distL="114300" distR="114300" simplePos="0" relativeHeight="251657216" behindDoc="0" locked="0" layoutInCell="1" allowOverlap="1" wp14:anchorId="6B86AD05" wp14:editId="28A87FFF">
              <wp:simplePos x="0" y="0"/>
              <wp:positionH relativeFrom="column">
                <wp:posOffset>-175260</wp:posOffset>
              </wp:positionH>
              <wp:positionV relativeFrom="paragraph">
                <wp:posOffset>139065</wp:posOffset>
              </wp:positionV>
              <wp:extent cx="6267450" cy="9900920"/>
              <wp:effectExtent l="15240" t="15240" r="13335" b="184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44A8E2"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14:paraId="31716AE5" w14:textId="77777777" w:rsidR="000769DB" w:rsidRPr="000769DB" w:rsidRDefault="000769DB" w:rsidP="000769DB">
    <w:pPr>
      <w:widowControl w:val="0"/>
      <w:adjustRightInd w:val="0"/>
      <w:ind w:left="0" w:right="20"/>
      <w:jc w:val="both"/>
      <w:rPr>
        <w:rFonts w:ascii="Bookman Old Style" w:hAnsi="Bookman Old Style" w:cs="Arial"/>
        <w:sz w:val="22"/>
        <w:szCs w:val="22"/>
        <w:lang w:val="es-ES_tradnl"/>
      </w:rPr>
    </w:pPr>
    <w:r w:rsidRPr="000769DB">
      <w:rPr>
        <w:rFonts w:ascii="Bookman Old Style" w:hAnsi="Bookman Old Style" w:cs="Arial"/>
        <w:sz w:val="22"/>
        <w:szCs w:val="22"/>
      </w:rPr>
      <w:t>Por la cual se resuelve el recurso de reposición interpuesto por la empresa INGENIERIA Y SERVICIOS S.A. E.S.P. contra la Resolución CREG 111 de 2018, “</w:t>
    </w:r>
    <w:r w:rsidRPr="000769DB">
      <w:rPr>
        <w:rFonts w:ascii="Bookman Old Style" w:hAnsi="Bookman Old Style" w:cs="Arial"/>
        <w:sz w:val="22"/>
        <w:szCs w:val="22"/>
        <w:lang w:val="es-ES_tradnl"/>
      </w:rPr>
      <w:t xml:space="preserve">Por la cual se aprueba cargo de distribución transitorio por uso del sistema de distribución de gas combustible por redes de tubería para el mercado relevante conformado por los municipios de Córdoba, </w:t>
    </w:r>
    <w:proofErr w:type="spellStart"/>
    <w:r w:rsidRPr="000769DB">
      <w:rPr>
        <w:rFonts w:ascii="Bookman Old Style" w:hAnsi="Bookman Old Style" w:cs="Arial"/>
        <w:sz w:val="22"/>
        <w:szCs w:val="22"/>
        <w:lang w:val="es-ES_tradnl"/>
      </w:rPr>
      <w:t>Guaitarilla</w:t>
    </w:r>
    <w:proofErr w:type="spellEnd"/>
    <w:r w:rsidRPr="000769DB">
      <w:rPr>
        <w:rFonts w:ascii="Bookman Old Style" w:hAnsi="Bookman Old Style" w:cs="Arial"/>
        <w:sz w:val="22"/>
        <w:szCs w:val="22"/>
        <w:lang w:val="es-ES_tradnl"/>
      </w:rPr>
      <w:t xml:space="preserve"> y </w:t>
    </w:r>
    <w:proofErr w:type="spellStart"/>
    <w:r w:rsidRPr="000769DB">
      <w:rPr>
        <w:rFonts w:ascii="Bookman Old Style" w:hAnsi="Bookman Old Style" w:cs="Arial"/>
        <w:sz w:val="22"/>
        <w:szCs w:val="22"/>
        <w:lang w:val="es-ES_tradnl"/>
      </w:rPr>
      <w:t>Pupiales</w:t>
    </w:r>
    <w:proofErr w:type="spellEnd"/>
    <w:r w:rsidRPr="000769DB">
      <w:rPr>
        <w:rFonts w:ascii="Bookman Old Style" w:hAnsi="Bookman Old Style" w:cs="Arial"/>
        <w:sz w:val="22"/>
        <w:szCs w:val="22"/>
        <w:lang w:val="es-ES_tradnl"/>
      </w:rPr>
      <w:t xml:space="preserve"> </w:t>
    </w:r>
    <w:r w:rsidRPr="000769DB">
      <w:rPr>
        <w:rFonts w:ascii="Bookman Old Style" w:hAnsi="Bookman Old Style" w:cs="Arial"/>
        <w:sz w:val="22"/>
        <w:szCs w:val="22"/>
      </w:rPr>
      <w:t>en el departamento de Nariño,</w:t>
    </w:r>
    <w:r w:rsidRPr="000769DB">
      <w:rPr>
        <w:rFonts w:ascii="Bookman Old Style" w:hAnsi="Bookman Old Style" w:cs="Arial"/>
        <w:sz w:val="22"/>
        <w:szCs w:val="22"/>
        <w:lang w:val="es-ES_tradnl"/>
      </w:rPr>
      <w:t xml:space="preserve"> según solicitud tarifaria presentada por la empresa INGENIERIA Y SERVICIOS S.A. E.S.P”.</w:t>
    </w:r>
  </w:p>
  <w:p w14:paraId="44C9FB9A" w14:textId="4457D02A" w:rsidR="00D61749" w:rsidRPr="00D15E40" w:rsidRDefault="00D61749" w:rsidP="00D15E40">
    <w:pPr>
      <w:widowControl w:val="0"/>
      <w:pBdr>
        <w:bottom w:val="single" w:sz="4" w:space="1" w:color="auto"/>
      </w:pBdr>
      <w:adjustRightInd w:val="0"/>
      <w:ind w:left="0" w:right="20"/>
      <w:jc w:val="both"/>
      <w:rPr>
        <w:rFonts w:ascii="Bookman Old Style" w:hAnsi="Bookman Old Style" w:cs="Arial"/>
        <w:sz w:val="12"/>
        <w:szCs w:val="12"/>
        <w:lang w:val="es-ES_tradnl"/>
      </w:rPr>
    </w:pPr>
  </w:p>
  <w:p w14:paraId="7D32F116" w14:textId="77777777" w:rsidR="00D61749" w:rsidRPr="008C7E52" w:rsidRDefault="00D61749" w:rsidP="00A36E15">
    <w:pPr>
      <w:widowControl w:val="0"/>
      <w:adjustRightInd w:val="0"/>
      <w:ind w:left="0" w:right="20"/>
      <w:jc w:val="both"/>
      <w:rPr>
        <w:b/>
        <w:sz w:val="4"/>
        <w:szCs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D5E191" w14:textId="77777777" w:rsidR="00D61749" w:rsidRDefault="00D61749" w:rsidP="008A165F">
    <w:pPr>
      <w:pStyle w:val="Encabezado"/>
      <w:ind w:hanging="567"/>
      <w:jc w:val="center"/>
      <w:rPr>
        <w:rFonts w:ascii="Arial" w:hAnsi="Arial" w:cs="Arial"/>
        <w:spacing w:val="20"/>
        <w:sz w:val="20"/>
      </w:rPr>
    </w:pPr>
    <w:r>
      <w:rPr>
        <w:rFonts w:ascii="Arial" w:hAnsi="Arial" w:cs="Arial"/>
        <w:spacing w:val="20"/>
        <w:sz w:val="20"/>
      </w:rPr>
      <w:t>República de Colombia</w:t>
    </w:r>
  </w:p>
  <w:p w14:paraId="313B3737" w14:textId="77777777" w:rsidR="00D61749" w:rsidRDefault="00D61749">
    <w:pPr>
      <w:pStyle w:val="Encabezado"/>
      <w:jc w:val="center"/>
      <w:rPr>
        <w:rFonts w:ascii="Arial" w:hAnsi="Arial" w:cs="Arial"/>
        <w:spacing w:val="20"/>
        <w:sz w:val="20"/>
      </w:rPr>
    </w:pPr>
  </w:p>
  <w:p w14:paraId="47C21405" w14:textId="77777777" w:rsidR="00D61749" w:rsidRDefault="00D61749"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634311C2" wp14:editId="1F0D1B31">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2AE25B"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09C11CC"/>
    <w:multiLevelType w:val="hybridMultilevel"/>
    <w:tmpl w:val="6BB8D352"/>
    <w:lvl w:ilvl="0" w:tplc="987EA3B2">
      <w:start w:val="1"/>
      <w:numFmt w:val="lowerRoman"/>
      <w:lvlText w:val="%1."/>
      <w:lvlJc w:val="righ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3" w15:restartNumberingAfterBreak="0">
    <w:nsid w:val="04141FF5"/>
    <w:multiLevelType w:val="hybridMultilevel"/>
    <w:tmpl w:val="25104474"/>
    <w:lvl w:ilvl="0" w:tplc="240A000F">
      <w:start w:val="1"/>
      <w:numFmt w:val="decimal"/>
      <w:lvlText w:val="%1."/>
      <w:lvlJc w:val="left"/>
      <w:pPr>
        <w:tabs>
          <w:tab w:val="num" w:pos="1080"/>
        </w:tabs>
        <w:ind w:left="1080" w:hanging="720"/>
      </w:pPr>
      <w:rPr>
        <w:rFonts w:hint="default"/>
      </w:rPr>
    </w:lvl>
    <w:lvl w:ilvl="1" w:tplc="36249162">
      <w:start w:val="1"/>
      <w:numFmt w:val="decimal"/>
      <w:lvlText w:val="%2."/>
      <w:lvlJc w:val="left"/>
      <w:pPr>
        <w:ind w:left="1485" w:hanging="405"/>
      </w:pPr>
      <w:rPr>
        <w:rFonts w:hint="default"/>
        <w:b/>
      </w:rPr>
    </w:lvl>
    <w:lvl w:ilvl="2" w:tplc="0C0A0005" w:tentative="1">
      <w:start w:val="1"/>
      <w:numFmt w:val="lowerRoman"/>
      <w:lvlText w:val="%3."/>
      <w:lvlJc w:val="right"/>
      <w:pPr>
        <w:tabs>
          <w:tab w:val="num" w:pos="2160"/>
        </w:tabs>
        <w:ind w:left="2160" w:hanging="180"/>
      </w:pPr>
    </w:lvl>
    <w:lvl w:ilvl="3" w:tplc="0C0A0001" w:tentative="1">
      <w:start w:val="1"/>
      <w:numFmt w:val="decimal"/>
      <w:lvlText w:val="%4."/>
      <w:lvlJc w:val="left"/>
      <w:pPr>
        <w:tabs>
          <w:tab w:val="num" w:pos="2880"/>
        </w:tabs>
        <w:ind w:left="2880" w:hanging="360"/>
      </w:p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4" w15:restartNumberingAfterBreak="0">
    <w:nsid w:val="0CBB0465"/>
    <w:multiLevelType w:val="hybridMultilevel"/>
    <w:tmpl w:val="423458F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8C7110C"/>
    <w:multiLevelType w:val="hybridMultilevel"/>
    <w:tmpl w:val="075CC2D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D4D304F"/>
    <w:multiLevelType w:val="hybridMultilevel"/>
    <w:tmpl w:val="101A3A54"/>
    <w:lvl w:ilvl="0" w:tplc="03BCC496">
      <w:start w:val="1"/>
      <w:numFmt w:val="upperRoman"/>
      <w:lvlText w:val="%1."/>
      <w:lvlJc w:val="left"/>
      <w:pPr>
        <w:ind w:left="1080" w:hanging="72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F0C2313"/>
    <w:multiLevelType w:val="hybridMultilevel"/>
    <w:tmpl w:val="78E42628"/>
    <w:lvl w:ilvl="0" w:tplc="240A001B">
      <w:start w:val="1"/>
      <w:numFmt w:val="lowerRoman"/>
      <w:lvlText w:val="%1."/>
      <w:lvlJc w:val="righ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8" w15:restartNumberingAfterBreak="0">
    <w:nsid w:val="3761348B"/>
    <w:multiLevelType w:val="hybridMultilevel"/>
    <w:tmpl w:val="25268878"/>
    <w:lvl w:ilvl="0" w:tplc="44C0DFD0">
      <w:start w:val="1"/>
      <w:numFmt w:val="lowerLetter"/>
      <w:lvlText w:val="%1)"/>
      <w:lvlJc w:val="left"/>
      <w:pPr>
        <w:tabs>
          <w:tab w:val="num" w:pos="738"/>
        </w:tabs>
        <w:ind w:left="738" w:hanging="454"/>
      </w:pPr>
      <w:rPr>
        <w:rFonts w:ascii="Bookman Old Style" w:hAnsi="Bookman Old Style" w:hint="default"/>
        <w:b w:val="0"/>
        <w:i w:val="0"/>
        <w:caps w:val="0"/>
        <w:strike w:val="0"/>
        <w:dstrike w:val="0"/>
        <w:vanish w:val="0"/>
        <w:color w:val="auto"/>
        <w:sz w:val="24"/>
        <w:effect w:val="none"/>
        <w:vertAlign w:val="baseline"/>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3AC610E7"/>
    <w:multiLevelType w:val="hybridMultilevel"/>
    <w:tmpl w:val="A6AA46D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05C39A3"/>
    <w:multiLevelType w:val="hybridMultilevel"/>
    <w:tmpl w:val="AD52A7BA"/>
    <w:lvl w:ilvl="0" w:tplc="240A0017">
      <w:start w:val="1"/>
      <w:numFmt w:val="lowerLetter"/>
      <w:lvlText w:val="%1)"/>
      <w:lvlJc w:val="lef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11" w15:restartNumberingAfterBreak="0">
    <w:nsid w:val="474260BE"/>
    <w:multiLevelType w:val="hybridMultilevel"/>
    <w:tmpl w:val="07800A12"/>
    <w:lvl w:ilvl="0" w:tplc="240A0001">
      <w:start w:val="128"/>
      <w:numFmt w:val="bullet"/>
      <w:lvlText w:val=""/>
      <w:lvlJc w:val="left"/>
      <w:pPr>
        <w:ind w:left="720" w:hanging="360"/>
      </w:pPr>
      <w:rPr>
        <w:rFonts w:ascii="Symbol" w:eastAsia="Times New Roman" w:hAnsi="Symbol"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B0F3E27"/>
    <w:multiLevelType w:val="hybridMultilevel"/>
    <w:tmpl w:val="3946AC0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53856273"/>
    <w:multiLevelType w:val="hybridMultilevel"/>
    <w:tmpl w:val="070A6690"/>
    <w:name w:val="WW8Num6423"/>
    <w:lvl w:ilvl="0" w:tplc="BC34A7B4">
      <w:start w:val="1"/>
      <w:numFmt w:val="upperRoman"/>
      <w:lvlText w:val="%1."/>
      <w:lvlJc w:val="left"/>
      <w:pPr>
        <w:tabs>
          <w:tab w:val="num" w:pos="1080"/>
        </w:tabs>
        <w:ind w:left="1080" w:hanging="720"/>
      </w:pPr>
      <w:rPr>
        <w:rFonts w:hint="default"/>
      </w:rPr>
    </w:lvl>
    <w:lvl w:ilvl="1" w:tplc="36249162">
      <w:start w:val="1"/>
      <w:numFmt w:val="decimal"/>
      <w:lvlText w:val="%2."/>
      <w:lvlJc w:val="left"/>
      <w:pPr>
        <w:ind w:left="1485" w:hanging="405"/>
      </w:pPr>
      <w:rPr>
        <w:rFonts w:hint="default"/>
        <w:b/>
      </w:rPr>
    </w:lvl>
    <w:lvl w:ilvl="2" w:tplc="0C0A0005" w:tentative="1">
      <w:start w:val="1"/>
      <w:numFmt w:val="lowerRoman"/>
      <w:lvlText w:val="%3."/>
      <w:lvlJc w:val="right"/>
      <w:pPr>
        <w:tabs>
          <w:tab w:val="num" w:pos="2160"/>
        </w:tabs>
        <w:ind w:left="2160" w:hanging="180"/>
      </w:pPr>
    </w:lvl>
    <w:lvl w:ilvl="3" w:tplc="0C0A0001" w:tentative="1">
      <w:start w:val="1"/>
      <w:numFmt w:val="decimal"/>
      <w:lvlText w:val="%4."/>
      <w:lvlJc w:val="left"/>
      <w:pPr>
        <w:tabs>
          <w:tab w:val="num" w:pos="2880"/>
        </w:tabs>
        <w:ind w:left="2880" w:hanging="360"/>
      </w:p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14" w15:restartNumberingAfterBreak="0">
    <w:nsid w:val="5418656F"/>
    <w:multiLevelType w:val="hybridMultilevel"/>
    <w:tmpl w:val="4548616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733339DD"/>
    <w:multiLevelType w:val="multilevel"/>
    <w:tmpl w:val="498851FC"/>
    <w:lvl w:ilvl="0">
      <w:start w:val="9"/>
      <w:numFmt w:val="decimal"/>
      <w:lvlText w:val="%1."/>
      <w:lvlJc w:val="left"/>
      <w:pPr>
        <w:ind w:left="720" w:hanging="720"/>
      </w:pPr>
      <w:rPr>
        <w:rFonts w:hint="default"/>
      </w:rPr>
    </w:lvl>
    <w:lvl w:ilvl="1">
      <w:start w:val="1"/>
      <w:numFmt w:val="decimal"/>
      <w:lvlText w:val="%1.%2."/>
      <w:lvlJc w:val="left"/>
      <w:pPr>
        <w:ind w:left="1003"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4141" w:hanging="2160"/>
      </w:pPr>
      <w:rPr>
        <w:rFonts w:hint="default"/>
      </w:rPr>
    </w:lvl>
    <w:lvl w:ilvl="8">
      <w:start w:val="1"/>
      <w:numFmt w:val="decimal"/>
      <w:lvlText w:val="%1.%2.%3.%4.%5.%6.%7.%8.%9."/>
      <w:lvlJc w:val="left"/>
      <w:pPr>
        <w:ind w:left="4424" w:hanging="2160"/>
      </w:pPr>
      <w:rPr>
        <w:rFonts w:hint="default"/>
      </w:rPr>
    </w:lvl>
  </w:abstractNum>
  <w:abstractNum w:abstractNumId="16" w15:restartNumberingAfterBreak="0">
    <w:nsid w:val="79336E3E"/>
    <w:multiLevelType w:val="hybridMultilevel"/>
    <w:tmpl w:val="2C38CD04"/>
    <w:lvl w:ilvl="0" w:tplc="ADCAB276">
      <w:start w:val="1"/>
      <w:numFmt w:val="lowerLetter"/>
      <w:lvlText w:val="%1."/>
      <w:lvlJc w:val="left"/>
      <w:pPr>
        <w:ind w:left="144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7C825354"/>
    <w:multiLevelType w:val="hybridMultilevel"/>
    <w:tmpl w:val="BB3C7E4E"/>
    <w:lvl w:ilvl="0" w:tplc="240A0013">
      <w:start w:val="1"/>
      <w:numFmt w:val="upperRoman"/>
      <w:lvlText w:val="%1."/>
      <w:lvlJc w:val="righ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18" w15:restartNumberingAfterBreak="0">
    <w:nsid w:val="7F1A6DAE"/>
    <w:multiLevelType w:val="hybridMultilevel"/>
    <w:tmpl w:val="F662D56E"/>
    <w:lvl w:ilvl="0" w:tplc="A7747FFA">
      <w:start w:val="4"/>
      <w:numFmt w:val="lowerRoman"/>
      <w:lvlText w:val="%1."/>
      <w:lvlJc w:val="right"/>
      <w:pPr>
        <w:ind w:left="1287"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7FFD71D2"/>
    <w:multiLevelType w:val="hybridMultilevel"/>
    <w:tmpl w:val="5240E964"/>
    <w:lvl w:ilvl="0" w:tplc="778472C4">
      <w:start w:val="1"/>
      <w:numFmt w:val="lowerRoman"/>
      <w:lvlText w:val="%1)"/>
      <w:lvlJc w:val="left"/>
      <w:pPr>
        <w:ind w:left="1080" w:hanging="72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13"/>
  </w:num>
  <w:num w:numId="3">
    <w:abstractNumId w:val="3"/>
  </w:num>
  <w:num w:numId="4">
    <w:abstractNumId w:val="9"/>
  </w:num>
  <w:num w:numId="5">
    <w:abstractNumId w:val="8"/>
  </w:num>
  <w:num w:numId="6">
    <w:abstractNumId w:val="15"/>
  </w:num>
  <w:num w:numId="7">
    <w:abstractNumId w:val="14"/>
  </w:num>
  <w:num w:numId="8">
    <w:abstractNumId w:val="11"/>
  </w:num>
  <w:num w:numId="9">
    <w:abstractNumId w:val="5"/>
  </w:num>
  <w:num w:numId="10">
    <w:abstractNumId w:val="19"/>
  </w:num>
  <w:num w:numId="11">
    <w:abstractNumId w:val="4"/>
  </w:num>
  <w:num w:numId="12">
    <w:abstractNumId w:val="12"/>
  </w:num>
  <w:num w:numId="13">
    <w:abstractNumId w:val="10"/>
  </w:num>
  <w:num w:numId="14">
    <w:abstractNumId w:val="17"/>
  </w:num>
  <w:num w:numId="15">
    <w:abstractNumId w:val="6"/>
  </w:num>
  <w:num w:numId="16">
    <w:abstractNumId w:val="16"/>
  </w:num>
  <w:num w:numId="17">
    <w:abstractNumId w:val="2"/>
  </w:num>
  <w:num w:numId="18">
    <w:abstractNumId w:val="7"/>
  </w:num>
  <w:num w:numId="19">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40"/>
    <w:rsid w:val="00002B3D"/>
    <w:rsid w:val="000064DC"/>
    <w:rsid w:val="00006AE2"/>
    <w:rsid w:val="00007257"/>
    <w:rsid w:val="000076A1"/>
    <w:rsid w:val="00012259"/>
    <w:rsid w:val="000226CC"/>
    <w:rsid w:val="00025383"/>
    <w:rsid w:val="00031B62"/>
    <w:rsid w:val="000430C4"/>
    <w:rsid w:val="00043601"/>
    <w:rsid w:val="00045D3D"/>
    <w:rsid w:val="00052C82"/>
    <w:rsid w:val="00056911"/>
    <w:rsid w:val="00063657"/>
    <w:rsid w:val="00065EFE"/>
    <w:rsid w:val="0006621E"/>
    <w:rsid w:val="00073AF2"/>
    <w:rsid w:val="00075624"/>
    <w:rsid w:val="00076680"/>
    <w:rsid w:val="000769DB"/>
    <w:rsid w:val="00076A1D"/>
    <w:rsid w:val="0008073E"/>
    <w:rsid w:val="000862BD"/>
    <w:rsid w:val="00091CDB"/>
    <w:rsid w:val="000A19AC"/>
    <w:rsid w:val="000A5FC2"/>
    <w:rsid w:val="000B2EC9"/>
    <w:rsid w:val="000C1CC2"/>
    <w:rsid w:val="000C340A"/>
    <w:rsid w:val="000C4BE4"/>
    <w:rsid w:val="000C5DA8"/>
    <w:rsid w:val="000D00BC"/>
    <w:rsid w:val="000D26F8"/>
    <w:rsid w:val="000D588F"/>
    <w:rsid w:val="000D661E"/>
    <w:rsid w:val="00101F4F"/>
    <w:rsid w:val="00102423"/>
    <w:rsid w:val="00103A23"/>
    <w:rsid w:val="00104E6C"/>
    <w:rsid w:val="00104FA1"/>
    <w:rsid w:val="00106654"/>
    <w:rsid w:val="001103A5"/>
    <w:rsid w:val="00113EE0"/>
    <w:rsid w:val="00123461"/>
    <w:rsid w:val="00130B0E"/>
    <w:rsid w:val="0013526C"/>
    <w:rsid w:val="00136597"/>
    <w:rsid w:val="001405C6"/>
    <w:rsid w:val="00141013"/>
    <w:rsid w:val="00144D54"/>
    <w:rsid w:val="00156581"/>
    <w:rsid w:val="001570F3"/>
    <w:rsid w:val="0016298E"/>
    <w:rsid w:val="00173B98"/>
    <w:rsid w:val="0017547B"/>
    <w:rsid w:val="00176990"/>
    <w:rsid w:val="00183DEF"/>
    <w:rsid w:val="00192CBF"/>
    <w:rsid w:val="00192FF1"/>
    <w:rsid w:val="00193EE8"/>
    <w:rsid w:val="00197207"/>
    <w:rsid w:val="001A4851"/>
    <w:rsid w:val="001A5F1B"/>
    <w:rsid w:val="001B1C22"/>
    <w:rsid w:val="001B34C6"/>
    <w:rsid w:val="001B3F64"/>
    <w:rsid w:val="001C3024"/>
    <w:rsid w:val="001D1712"/>
    <w:rsid w:val="001D34FF"/>
    <w:rsid w:val="001D3D65"/>
    <w:rsid w:val="001D5385"/>
    <w:rsid w:val="001D7832"/>
    <w:rsid w:val="001E543D"/>
    <w:rsid w:val="00200F03"/>
    <w:rsid w:val="00205C2B"/>
    <w:rsid w:val="00210DC1"/>
    <w:rsid w:val="00211D34"/>
    <w:rsid w:val="00214F04"/>
    <w:rsid w:val="0021525A"/>
    <w:rsid w:val="00222A6B"/>
    <w:rsid w:val="00230A8B"/>
    <w:rsid w:val="00231D1F"/>
    <w:rsid w:val="002352B9"/>
    <w:rsid w:val="002405D6"/>
    <w:rsid w:val="00244D6F"/>
    <w:rsid w:val="00245A33"/>
    <w:rsid w:val="00250534"/>
    <w:rsid w:val="002603E6"/>
    <w:rsid w:val="0026133D"/>
    <w:rsid w:val="00266CD6"/>
    <w:rsid w:val="002673AC"/>
    <w:rsid w:val="00272DC3"/>
    <w:rsid w:val="00275DAB"/>
    <w:rsid w:val="0028692A"/>
    <w:rsid w:val="002903C0"/>
    <w:rsid w:val="0029694E"/>
    <w:rsid w:val="002A689A"/>
    <w:rsid w:val="002A782A"/>
    <w:rsid w:val="002A7FD7"/>
    <w:rsid w:val="002B06FD"/>
    <w:rsid w:val="002B11E2"/>
    <w:rsid w:val="002B1BF3"/>
    <w:rsid w:val="002B24B8"/>
    <w:rsid w:val="002B30E9"/>
    <w:rsid w:val="002B3E5E"/>
    <w:rsid w:val="002B5482"/>
    <w:rsid w:val="002C32DB"/>
    <w:rsid w:val="002C518D"/>
    <w:rsid w:val="002D3AE9"/>
    <w:rsid w:val="002D434C"/>
    <w:rsid w:val="002D44B4"/>
    <w:rsid w:val="002D4510"/>
    <w:rsid w:val="002E6FF1"/>
    <w:rsid w:val="002E7F46"/>
    <w:rsid w:val="002F0734"/>
    <w:rsid w:val="002F29F7"/>
    <w:rsid w:val="002F46E7"/>
    <w:rsid w:val="002F5267"/>
    <w:rsid w:val="00306092"/>
    <w:rsid w:val="003101DA"/>
    <w:rsid w:val="00310201"/>
    <w:rsid w:val="003111C3"/>
    <w:rsid w:val="00314757"/>
    <w:rsid w:val="003163BC"/>
    <w:rsid w:val="0031712B"/>
    <w:rsid w:val="003211CE"/>
    <w:rsid w:val="00323CA3"/>
    <w:rsid w:val="003260B3"/>
    <w:rsid w:val="003322DF"/>
    <w:rsid w:val="00332C65"/>
    <w:rsid w:val="00334335"/>
    <w:rsid w:val="00342F89"/>
    <w:rsid w:val="0035403A"/>
    <w:rsid w:val="003562C9"/>
    <w:rsid w:val="0036394B"/>
    <w:rsid w:val="00364EEE"/>
    <w:rsid w:val="00366DB6"/>
    <w:rsid w:val="00366E5B"/>
    <w:rsid w:val="003709B5"/>
    <w:rsid w:val="0037220F"/>
    <w:rsid w:val="003724AC"/>
    <w:rsid w:val="003759C2"/>
    <w:rsid w:val="00377184"/>
    <w:rsid w:val="00382002"/>
    <w:rsid w:val="00382A13"/>
    <w:rsid w:val="00397365"/>
    <w:rsid w:val="003A31F6"/>
    <w:rsid w:val="003A3EF0"/>
    <w:rsid w:val="003A63CC"/>
    <w:rsid w:val="003B7FC2"/>
    <w:rsid w:val="003C2BB5"/>
    <w:rsid w:val="003C3447"/>
    <w:rsid w:val="003D076C"/>
    <w:rsid w:val="003E4D0A"/>
    <w:rsid w:val="003E5B84"/>
    <w:rsid w:val="003E6625"/>
    <w:rsid w:val="003E707B"/>
    <w:rsid w:val="003E78B5"/>
    <w:rsid w:val="003F1C37"/>
    <w:rsid w:val="0040053E"/>
    <w:rsid w:val="0041553C"/>
    <w:rsid w:val="00415BAB"/>
    <w:rsid w:val="00415ED2"/>
    <w:rsid w:val="004163FE"/>
    <w:rsid w:val="0042068C"/>
    <w:rsid w:val="00425111"/>
    <w:rsid w:val="00426AD0"/>
    <w:rsid w:val="00427CDD"/>
    <w:rsid w:val="00442FE3"/>
    <w:rsid w:val="0044318E"/>
    <w:rsid w:val="00443B35"/>
    <w:rsid w:val="00455A68"/>
    <w:rsid w:val="0047122B"/>
    <w:rsid w:val="00473B7A"/>
    <w:rsid w:val="00474A7C"/>
    <w:rsid w:val="00475E85"/>
    <w:rsid w:val="004763A0"/>
    <w:rsid w:val="004900AD"/>
    <w:rsid w:val="004960E9"/>
    <w:rsid w:val="004A2E88"/>
    <w:rsid w:val="004A3E09"/>
    <w:rsid w:val="004A5305"/>
    <w:rsid w:val="004B2EB5"/>
    <w:rsid w:val="004B437F"/>
    <w:rsid w:val="004B4D48"/>
    <w:rsid w:val="004B4DBD"/>
    <w:rsid w:val="004C23DB"/>
    <w:rsid w:val="004D113D"/>
    <w:rsid w:val="004D267B"/>
    <w:rsid w:val="004D626E"/>
    <w:rsid w:val="004D73BE"/>
    <w:rsid w:val="004D7634"/>
    <w:rsid w:val="004E44E3"/>
    <w:rsid w:val="004E4A0B"/>
    <w:rsid w:val="004E611A"/>
    <w:rsid w:val="004F0183"/>
    <w:rsid w:val="004F4A00"/>
    <w:rsid w:val="004F4E02"/>
    <w:rsid w:val="004F6460"/>
    <w:rsid w:val="00504F2A"/>
    <w:rsid w:val="00507F3C"/>
    <w:rsid w:val="005129F5"/>
    <w:rsid w:val="00513DF4"/>
    <w:rsid w:val="00522684"/>
    <w:rsid w:val="0052303E"/>
    <w:rsid w:val="00523267"/>
    <w:rsid w:val="005300D3"/>
    <w:rsid w:val="00535716"/>
    <w:rsid w:val="00537303"/>
    <w:rsid w:val="0053787E"/>
    <w:rsid w:val="005402BF"/>
    <w:rsid w:val="00542A10"/>
    <w:rsid w:val="00544F82"/>
    <w:rsid w:val="005509D2"/>
    <w:rsid w:val="0055126A"/>
    <w:rsid w:val="005516C2"/>
    <w:rsid w:val="005622E2"/>
    <w:rsid w:val="00571785"/>
    <w:rsid w:val="00581C8A"/>
    <w:rsid w:val="00585B50"/>
    <w:rsid w:val="00587A28"/>
    <w:rsid w:val="00593C4F"/>
    <w:rsid w:val="005946A8"/>
    <w:rsid w:val="005A0D14"/>
    <w:rsid w:val="005A4407"/>
    <w:rsid w:val="005A59EF"/>
    <w:rsid w:val="005B1C7E"/>
    <w:rsid w:val="005C2A66"/>
    <w:rsid w:val="005C6976"/>
    <w:rsid w:val="005C6B10"/>
    <w:rsid w:val="005D3695"/>
    <w:rsid w:val="005D506E"/>
    <w:rsid w:val="005E384A"/>
    <w:rsid w:val="005F3F26"/>
    <w:rsid w:val="005F5D91"/>
    <w:rsid w:val="005F6F41"/>
    <w:rsid w:val="00613AC4"/>
    <w:rsid w:val="006174B1"/>
    <w:rsid w:val="006224F1"/>
    <w:rsid w:val="00622687"/>
    <w:rsid w:val="006250AE"/>
    <w:rsid w:val="00625DC6"/>
    <w:rsid w:val="00626EED"/>
    <w:rsid w:val="00630DE7"/>
    <w:rsid w:val="00634D3D"/>
    <w:rsid w:val="0064391D"/>
    <w:rsid w:val="00646E83"/>
    <w:rsid w:val="00651821"/>
    <w:rsid w:val="00654384"/>
    <w:rsid w:val="00657782"/>
    <w:rsid w:val="0066365E"/>
    <w:rsid w:val="00666288"/>
    <w:rsid w:val="006675CD"/>
    <w:rsid w:val="00670CE4"/>
    <w:rsid w:val="006723D4"/>
    <w:rsid w:val="00675EBB"/>
    <w:rsid w:val="00677507"/>
    <w:rsid w:val="00680D87"/>
    <w:rsid w:val="00681C5A"/>
    <w:rsid w:val="00684A8B"/>
    <w:rsid w:val="00684D9B"/>
    <w:rsid w:val="0068510A"/>
    <w:rsid w:val="00697556"/>
    <w:rsid w:val="006A032F"/>
    <w:rsid w:val="006B09C3"/>
    <w:rsid w:val="006B4647"/>
    <w:rsid w:val="006B4C2B"/>
    <w:rsid w:val="006B6194"/>
    <w:rsid w:val="006B6D47"/>
    <w:rsid w:val="006C35B0"/>
    <w:rsid w:val="006C3F07"/>
    <w:rsid w:val="006C444F"/>
    <w:rsid w:val="006C494F"/>
    <w:rsid w:val="006C56C5"/>
    <w:rsid w:val="006C5AFE"/>
    <w:rsid w:val="006D1FE9"/>
    <w:rsid w:val="006D4823"/>
    <w:rsid w:val="006D66F1"/>
    <w:rsid w:val="006D7B5D"/>
    <w:rsid w:val="006E0241"/>
    <w:rsid w:val="006E702F"/>
    <w:rsid w:val="006F2EC8"/>
    <w:rsid w:val="006F4944"/>
    <w:rsid w:val="006F6D95"/>
    <w:rsid w:val="00706F13"/>
    <w:rsid w:val="007072E8"/>
    <w:rsid w:val="007139FF"/>
    <w:rsid w:val="0071618D"/>
    <w:rsid w:val="00722030"/>
    <w:rsid w:val="00725FA4"/>
    <w:rsid w:val="00726EB6"/>
    <w:rsid w:val="007327FD"/>
    <w:rsid w:val="00732E22"/>
    <w:rsid w:val="007365E7"/>
    <w:rsid w:val="0074028D"/>
    <w:rsid w:val="007403EC"/>
    <w:rsid w:val="00740446"/>
    <w:rsid w:val="007438A9"/>
    <w:rsid w:val="00743F6E"/>
    <w:rsid w:val="0074491E"/>
    <w:rsid w:val="0076247A"/>
    <w:rsid w:val="00765A53"/>
    <w:rsid w:val="00775964"/>
    <w:rsid w:val="007765FE"/>
    <w:rsid w:val="00780394"/>
    <w:rsid w:val="00783CB8"/>
    <w:rsid w:val="00786D8B"/>
    <w:rsid w:val="007931CC"/>
    <w:rsid w:val="00793844"/>
    <w:rsid w:val="00794E2E"/>
    <w:rsid w:val="00795BFB"/>
    <w:rsid w:val="007A0300"/>
    <w:rsid w:val="007A1B8F"/>
    <w:rsid w:val="007A3A79"/>
    <w:rsid w:val="007A6FEF"/>
    <w:rsid w:val="007A770B"/>
    <w:rsid w:val="007B0383"/>
    <w:rsid w:val="007B2760"/>
    <w:rsid w:val="007B4944"/>
    <w:rsid w:val="007C02CD"/>
    <w:rsid w:val="007C2D69"/>
    <w:rsid w:val="007C3F68"/>
    <w:rsid w:val="007E3A5A"/>
    <w:rsid w:val="007F2DB5"/>
    <w:rsid w:val="008049CA"/>
    <w:rsid w:val="00806C01"/>
    <w:rsid w:val="00813184"/>
    <w:rsid w:val="008148CC"/>
    <w:rsid w:val="00817D71"/>
    <w:rsid w:val="008211A4"/>
    <w:rsid w:val="00837ABC"/>
    <w:rsid w:val="00843ACF"/>
    <w:rsid w:val="0084693A"/>
    <w:rsid w:val="00854D89"/>
    <w:rsid w:val="008730C1"/>
    <w:rsid w:val="00873150"/>
    <w:rsid w:val="0087657D"/>
    <w:rsid w:val="008807D5"/>
    <w:rsid w:val="00880832"/>
    <w:rsid w:val="008810F3"/>
    <w:rsid w:val="0088380D"/>
    <w:rsid w:val="008868F0"/>
    <w:rsid w:val="00886EE1"/>
    <w:rsid w:val="0088727D"/>
    <w:rsid w:val="008962EE"/>
    <w:rsid w:val="00897C75"/>
    <w:rsid w:val="008A165F"/>
    <w:rsid w:val="008A20A8"/>
    <w:rsid w:val="008A42A6"/>
    <w:rsid w:val="008A5BDC"/>
    <w:rsid w:val="008A7A9C"/>
    <w:rsid w:val="008C1130"/>
    <w:rsid w:val="008C7E52"/>
    <w:rsid w:val="008D18E6"/>
    <w:rsid w:val="008D73D1"/>
    <w:rsid w:val="008D7A9B"/>
    <w:rsid w:val="008E0060"/>
    <w:rsid w:val="008E7091"/>
    <w:rsid w:val="008E76AC"/>
    <w:rsid w:val="008F21F6"/>
    <w:rsid w:val="008F4BEA"/>
    <w:rsid w:val="0090058D"/>
    <w:rsid w:val="00902269"/>
    <w:rsid w:val="009040B0"/>
    <w:rsid w:val="0090717B"/>
    <w:rsid w:val="00912D41"/>
    <w:rsid w:val="009211EF"/>
    <w:rsid w:val="0092637D"/>
    <w:rsid w:val="009352C7"/>
    <w:rsid w:val="00940085"/>
    <w:rsid w:val="00941A7B"/>
    <w:rsid w:val="00945830"/>
    <w:rsid w:val="00951F79"/>
    <w:rsid w:val="009637E2"/>
    <w:rsid w:val="00970D32"/>
    <w:rsid w:val="00974AB5"/>
    <w:rsid w:val="00976C50"/>
    <w:rsid w:val="00977864"/>
    <w:rsid w:val="0098706D"/>
    <w:rsid w:val="009874DB"/>
    <w:rsid w:val="00990F5B"/>
    <w:rsid w:val="00991FDF"/>
    <w:rsid w:val="009935FB"/>
    <w:rsid w:val="009A0CFC"/>
    <w:rsid w:val="009A5536"/>
    <w:rsid w:val="009A5A3F"/>
    <w:rsid w:val="009B1707"/>
    <w:rsid w:val="009B212E"/>
    <w:rsid w:val="009C4662"/>
    <w:rsid w:val="009E3E66"/>
    <w:rsid w:val="009E7E57"/>
    <w:rsid w:val="009E7EFC"/>
    <w:rsid w:val="009F4A54"/>
    <w:rsid w:val="009F4BEC"/>
    <w:rsid w:val="009F5874"/>
    <w:rsid w:val="00A00D79"/>
    <w:rsid w:val="00A010CB"/>
    <w:rsid w:val="00A10671"/>
    <w:rsid w:val="00A12210"/>
    <w:rsid w:val="00A207E7"/>
    <w:rsid w:val="00A2302C"/>
    <w:rsid w:val="00A25FD7"/>
    <w:rsid w:val="00A36E15"/>
    <w:rsid w:val="00A43AFF"/>
    <w:rsid w:val="00A43BCA"/>
    <w:rsid w:val="00A52D07"/>
    <w:rsid w:val="00A64305"/>
    <w:rsid w:val="00A7031B"/>
    <w:rsid w:val="00A706E1"/>
    <w:rsid w:val="00A70C93"/>
    <w:rsid w:val="00A7464E"/>
    <w:rsid w:val="00A7793A"/>
    <w:rsid w:val="00A81E0B"/>
    <w:rsid w:val="00AA0D9F"/>
    <w:rsid w:val="00AA2326"/>
    <w:rsid w:val="00AA2940"/>
    <w:rsid w:val="00AA31F3"/>
    <w:rsid w:val="00AA3298"/>
    <w:rsid w:val="00AA4CC7"/>
    <w:rsid w:val="00AA5E8E"/>
    <w:rsid w:val="00AA7CA4"/>
    <w:rsid w:val="00AB280C"/>
    <w:rsid w:val="00AB2BAD"/>
    <w:rsid w:val="00AB429E"/>
    <w:rsid w:val="00AB6CA7"/>
    <w:rsid w:val="00AB6DFC"/>
    <w:rsid w:val="00AC1439"/>
    <w:rsid w:val="00AC5029"/>
    <w:rsid w:val="00AD01E4"/>
    <w:rsid w:val="00AD0858"/>
    <w:rsid w:val="00AD15B6"/>
    <w:rsid w:val="00AE02E3"/>
    <w:rsid w:val="00AE0893"/>
    <w:rsid w:val="00AE1E9B"/>
    <w:rsid w:val="00AE31AA"/>
    <w:rsid w:val="00AE3286"/>
    <w:rsid w:val="00AE48F4"/>
    <w:rsid w:val="00AE7340"/>
    <w:rsid w:val="00AF14CC"/>
    <w:rsid w:val="00AF1B75"/>
    <w:rsid w:val="00AF1BBD"/>
    <w:rsid w:val="00AF2987"/>
    <w:rsid w:val="00AF2C41"/>
    <w:rsid w:val="00AF63A0"/>
    <w:rsid w:val="00B06776"/>
    <w:rsid w:val="00B10207"/>
    <w:rsid w:val="00B141E7"/>
    <w:rsid w:val="00B315C5"/>
    <w:rsid w:val="00B351B4"/>
    <w:rsid w:val="00B44ACF"/>
    <w:rsid w:val="00B46BCA"/>
    <w:rsid w:val="00B478AA"/>
    <w:rsid w:val="00B54287"/>
    <w:rsid w:val="00B57301"/>
    <w:rsid w:val="00B57F46"/>
    <w:rsid w:val="00B62CF7"/>
    <w:rsid w:val="00B74686"/>
    <w:rsid w:val="00B74F0F"/>
    <w:rsid w:val="00B765B4"/>
    <w:rsid w:val="00B85BA6"/>
    <w:rsid w:val="00B87806"/>
    <w:rsid w:val="00B87EC9"/>
    <w:rsid w:val="00B90B6F"/>
    <w:rsid w:val="00B92BF7"/>
    <w:rsid w:val="00B93501"/>
    <w:rsid w:val="00B95CCA"/>
    <w:rsid w:val="00BA582B"/>
    <w:rsid w:val="00BB3060"/>
    <w:rsid w:val="00BB5045"/>
    <w:rsid w:val="00BC22FD"/>
    <w:rsid w:val="00BC38FD"/>
    <w:rsid w:val="00BC4761"/>
    <w:rsid w:val="00BC4F1B"/>
    <w:rsid w:val="00BD5716"/>
    <w:rsid w:val="00BE07B8"/>
    <w:rsid w:val="00BE0A4F"/>
    <w:rsid w:val="00BE35C1"/>
    <w:rsid w:val="00BE3DE4"/>
    <w:rsid w:val="00BE7619"/>
    <w:rsid w:val="00BE77FA"/>
    <w:rsid w:val="00BF4A2B"/>
    <w:rsid w:val="00C005CB"/>
    <w:rsid w:val="00C034CB"/>
    <w:rsid w:val="00C041A1"/>
    <w:rsid w:val="00C051A8"/>
    <w:rsid w:val="00C054BC"/>
    <w:rsid w:val="00C0612E"/>
    <w:rsid w:val="00C06F77"/>
    <w:rsid w:val="00C123BE"/>
    <w:rsid w:val="00C17897"/>
    <w:rsid w:val="00C3150E"/>
    <w:rsid w:val="00C35E8E"/>
    <w:rsid w:val="00C409D5"/>
    <w:rsid w:val="00C410CF"/>
    <w:rsid w:val="00C435C3"/>
    <w:rsid w:val="00C4426C"/>
    <w:rsid w:val="00C44E5F"/>
    <w:rsid w:val="00C51B7C"/>
    <w:rsid w:val="00C576A1"/>
    <w:rsid w:val="00C606B0"/>
    <w:rsid w:val="00C6234B"/>
    <w:rsid w:val="00C63EAE"/>
    <w:rsid w:val="00C64CBD"/>
    <w:rsid w:val="00C73260"/>
    <w:rsid w:val="00C7629F"/>
    <w:rsid w:val="00C80084"/>
    <w:rsid w:val="00C84A67"/>
    <w:rsid w:val="00C8661B"/>
    <w:rsid w:val="00CA03C8"/>
    <w:rsid w:val="00CA139A"/>
    <w:rsid w:val="00CA22FA"/>
    <w:rsid w:val="00CA2899"/>
    <w:rsid w:val="00CA3A3D"/>
    <w:rsid w:val="00CA3AA6"/>
    <w:rsid w:val="00CA77FB"/>
    <w:rsid w:val="00CB379B"/>
    <w:rsid w:val="00CB57C9"/>
    <w:rsid w:val="00CB5DD0"/>
    <w:rsid w:val="00CC51D4"/>
    <w:rsid w:val="00CC5D45"/>
    <w:rsid w:val="00CC65DA"/>
    <w:rsid w:val="00CD3DDB"/>
    <w:rsid w:val="00CD7769"/>
    <w:rsid w:val="00CE33CC"/>
    <w:rsid w:val="00CE4880"/>
    <w:rsid w:val="00CE52F1"/>
    <w:rsid w:val="00CF057C"/>
    <w:rsid w:val="00CF21B9"/>
    <w:rsid w:val="00CF3859"/>
    <w:rsid w:val="00CF397E"/>
    <w:rsid w:val="00CF6BF9"/>
    <w:rsid w:val="00CF7D05"/>
    <w:rsid w:val="00D03800"/>
    <w:rsid w:val="00D065D3"/>
    <w:rsid w:val="00D1494F"/>
    <w:rsid w:val="00D14C94"/>
    <w:rsid w:val="00D1599A"/>
    <w:rsid w:val="00D15E40"/>
    <w:rsid w:val="00D16510"/>
    <w:rsid w:val="00D1695A"/>
    <w:rsid w:val="00D2375A"/>
    <w:rsid w:val="00D275E2"/>
    <w:rsid w:val="00D342A6"/>
    <w:rsid w:val="00D36275"/>
    <w:rsid w:val="00D4229D"/>
    <w:rsid w:val="00D4539C"/>
    <w:rsid w:val="00D45CA6"/>
    <w:rsid w:val="00D464BF"/>
    <w:rsid w:val="00D53E26"/>
    <w:rsid w:val="00D56D35"/>
    <w:rsid w:val="00D57292"/>
    <w:rsid w:val="00D605D9"/>
    <w:rsid w:val="00D61749"/>
    <w:rsid w:val="00D66C02"/>
    <w:rsid w:val="00D701CB"/>
    <w:rsid w:val="00D73007"/>
    <w:rsid w:val="00D755C5"/>
    <w:rsid w:val="00DB182C"/>
    <w:rsid w:val="00DB24AD"/>
    <w:rsid w:val="00DC6150"/>
    <w:rsid w:val="00DD067D"/>
    <w:rsid w:val="00DD0AF6"/>
    <w:rsid w:val="00DD3BDF"/>
    <w:rsid w:val="00DD4F0E"/>
    <w:rsid w:val="00DE031E"/>
    <w:rsid w:val="00DE0495"/>
    <w:rsid w:val="00DE7CAE"/>
    <w:rsid w:val="00DF0BF0"/>
    <w:rsid w:val="00DF3CA2"/>
    <w:rsid w:val="00DF6302"/>
    <w:rsid w:val="00E01463"/>
    <w:rsid w:val="00E03109"/>
    <w:rsid w:val="00E05E0A"/>
    <w:rsid w:val="00E060BE"/>
    <w:rsid w:val="00E15834"/>
    <w:rsid w:val="00E16DC8"/>
    <w:rsid w:val="00E2233B"/>
    <w:rsid w:val="00E2250B"/>
    <w:rsid w:val="00E232C1"/>
    <w:rsid w:val="00E234E5"/>
    <w:rsid w:val="00E241B4"/>
    <w:rsid w:val="00E24851"/>
    <w:rsid w:val="00E26704"/>
    <w:rsid w:val="00E301B2"/>
    <w:rsid w:val="00E3333E"/>
    <w:rsid w:val="00E35ABE"/>
    <w:rsid w:val="00E36A09"/>
    <w:rsid w:val="00E41433"/>
    <w:rsid w:val="00E51704"/>
    <w:rsid w:val="00E534CF"/>
    <w:rsid w:val="00E57E2E"/>
    <w:rsid w:val="00E62975"/>
    <w:rsid w:val="00E633CA"/>
    <w:rsid w:val="00E65441"/>
    <w:rsid w:val="00E767B8"/>
    <w:rsid w:val="00E80977"/>
    <w:rsid w:val="00E81CB4"/>
    <w:rsid w:val="00E8585B"/>
    <w:rsid w:val="00E87F41"/>
    <w:rsid w:val="00E934CC"/>
    <w:rsid w:val="00E9554A"/>
    <w:rsid w:val="00E95C8C"/>
    <w:rsid w:val="00E96974"/>
    <w:rsid w:val="00EA2A18"/>
    <w:rsid w:val="00EA2AA8"/>
    <w:rsid w:val="00EA3F15"/>
    <w:rsid w:val="00EA7847"/>
    <w:rsid w:val="00EB1039"/>
    <w:rsid w:val="00EB3C85"/>
    <w:rsid w:val="00EB4C2F"/>
    <w:rsid w:val="00EC29D1"/>
    <w:rsid w:val="00EC42FA"/>
    <w:rsid w:val="00EC5C62"/>
    <w:rsid w:val="00ED4C2F"/>
    <w:rsid w:val="00ED6DF5"/>
    <w:rsid w:val="00EE2E6E"/>
    <w:rsid w:val="00EE40B5"/>
    <w:rsid w:val="00EE7794"/>
    <w:rsid w:val="00EF07F2"/>
    <w:rsid w:val="00EF2D18"/>
    <w:rsid w:val="00EF7474"/>
    <w:rsid w:val="00F00A5C"/>
    <w:rsid w:val="00F024E3"/>
    <w:rsid w:val="00F0759E"/>
    <w:rsid w:val="00F142BF"/>
    <w:rsid w:val="00F148D2"/>
    <w:rsid w:val="00F16A43"/>
    <w:rsid w:val="00F1760A"/>
    <w:rsid w:val="00F26710"/>
    <w:rsid w:val="00F26854"/>
    <w:rsid w:val="00F37A10"/>
    <w:rsid w:val="00F41D98"/>
    <w:rsid w:val="00F44A04"/>
    <w:rsid w:val="00F46780"/>
    <w:rsid w:val="00F52070"/>
    <w:rsid w:val="00F52971"/>
    <w:rsid w:val="00F6559D"/>
    <w:rsid w:val="00F67E7F"/>
    <w:rsid w:val="00F77D2D"/>
    <w:rsid w:val="00F81738"/>
    <w:rsid w:val="00F821A3"/>
    <w:rsid w:val="00F9314A"/>
    <w:rsid w:val="00F932F0"/>
    <w:rsid w:val="00F940B2"/>
    <w:rsid w:val="00FB06CC"/>
    <w:rsid w:val="00FB1B88"/>
    <w:rsid w:val="00FB3027"/>
    <w:rsid w:val="00FB4BE4"/>
    <w:rsid w:val="00FC58EF"/>
    <w:rsid w:val="00FD0121"/>
    <w:rsid w:val="00FD33DF"/>
    <w:rsid w:val="00FD5118"/>
    <w:rsid w:val="00FD6C71"/>
    <w:rsid w:val="00FE39D7"/>
    <w:rsid w:val="00FE3F8E"/>
    <w:rsid w:val="00FE6A6E"/>
    <w:rsid w:val="00FF1BBE"/>
    <w:rsid w:val="00FF201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B26414A"/>
  <w15:chartTrackingRefBased/>
  <w15:docId w15:val="{E01BE117-BFB7-4DBD-A567-F9A735E30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link w:val="Ttulo1Car"/>
    <w:qFormat/>
    <w:rsid w:val="003101DA"/>
    <w:pPr>
      <w:keepNext/>
      <w:jc w:val="center"/>
      <w:outlineLvl w:val="0"/>
    </w:pPr>
    <w:rPr>
      <w:rFonts w:ascii="CG Times" w:hAnsi="CG Times"/>
      <w:b/>
      <w:szCs w:val="20"/>
      <w:lang w:val="es-CO"/>
    </w:rPr>
  </w:style>
  <w:style w:type="paragraph" w:styleId="Ttulo2">
    <w:name w:val="heading 2"/>
    <w:basedOn w:val="Normal"/>
    <w:next w:val="Normal"/>
    <w:link w:val="Ttulo2Car"/>
    <w:uiPriority w:val="9"/>
    <w:semiHidden/>
    <w:unhideWhenUsed/>
    <w:qFormat/>
    <w:rsid w:val="00626EED"/>
    <w:pPr>
      <w:keepNext/>
      <w:keepLines/>
      <w:spacing w:before="40"/>
      <w:ind w:left="0"/>
      <w:jc w:val="both"/>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101DA"/>
    <w:pPr>
      <w:tabs>
        <w:tab w:val="center" w:pos="4252"/>
        <w:tab w:val="right" w:pos="8504"/>
      </w:tabs>
    </w:pPr>
    <w:rPr>
      <w:rFonts w:ascii="CG Times" w:hAnsi="CG Times"/>
      <w:szCs w:val="20"/>
      <w:lang w:val="es-CO"/>
    </w:rPr>
  </w:style>
  <w:style w:type="paragraph" w:styleId="Piedepgina">
    <w:name w:val="footer"/>
    <w:basedOn w:val="Normal"/>
    <w:link w:val="PiedepginaCar"/>
    <w:uiPriority w:val="99"/>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uiPriority w:val="99"/>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uiPriority w:val="99"/>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uiPriority w:val="99"/>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unhideWhenUsed/>
    <w:rsid w:val="00006AE2"/>
    <w:pPr>
      <w:spacing w:after="120" w:line="480" w:lineRule="auto"/>
    </w:pPr>
  </w:style>
  <w:style w:type="character" w:customStyle="1" w:styleId="Textoindependiente2Car">
    <w:name w:val="Texto independiente 2 Car"/>
    <w:link w:val="Textoindependiente2"/>
    <w:uiPriority w:val="99"/>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uiPriority w:val="11"/>
    <w:qFormat/>
    <w:rsid w:val="003A31F6"/>
    <w:pPr>
      <w:ind w:left="0"/>
    </w:pPr>
    <w:rPr>
      <w:rFonts w:ascii="Century Gothic" w:hAnsi="Century Gothic"/>
      <w:b/>
      <w:bCs/>
    </w:rPr>
  </w:style>
  <w:style w:type="character" w:customStyle="1" w:styleId="SubttuloCar">
    <w:name w:val="Subtítulo Car"/>
    <w:link w:val="Subttulo"/>
    <w:uiPriority w:val="11"/>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iPriority w:val="99"/>
    <w:semiHidden/>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iPriority w:val="99"/>
    <w:semiHidden/>
    <w:unhideWhenUsed/>
    <w:rsid w:val="00E060BE"/>
    <w:pPr>
      <w:spacing w:after="120" w:line="480" w:lineRule="auto"/>
      <w:ind w:left="283"/>
    </w:p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character" w:customStyle="1" w:styleId="Ttulo2Car">
    <w:name w:val="Título 2 Car"/>
    <w:basedOn w:val="Fuentedeprrafopredeter"/>
    <w:link w:val="Ttulo2"/>
    <w:uiPriority w:val="9"/>
    <w:semiHidden/>
    <w:rsid w:val="00626EED"/>
    <w:rPr>
      <w:rFonts w:asciiTheme="majorHAnsi" w:eastAsiaTheme="majorEastAsia" w:hAnsiTheme="majorHAnsi" w:cstheme="majorBidi"/>
      <w:color w:val="2E74B5" w:themeColor="accent1" w:themeShade="BF"/>
      <w:sz w:val="26"/>
      <w:szCs w:val="26"/>
      <w:lang w:val="es-ES" w:eastAsia="es-ES"/>
    </w:rPr>
  </w:style>
  <w:style w:type="character" w:customStyle="1" w:styleId="Ttulo1Car">
    <w:name w:val="Título 1 Car"/>
    <w:link w:val="Ttulo1"/>
    <w:rsid w:val="00626EED"/>
    <w:rPr>
      <w:rFonts w:ascii="CG Times" w:hAnsi="CG Times"/>
      <w:b/>
      <w:sz w:val="24"/>
      <w:lang w:eastAsia="es-ES"/>
    </w:rPr>
  </w:style>
  <w:style w:type="paragraph" w:styleId="Textocomentario">
    <w:name w:val="annotation text"/>
    <w:basedOn w:val="Normal"/>
    <w:link w:val="TextocomentarioCar"/>
    <w:uiPriority w:val="99"/>
    <w:semiHidden/>
    <w:rsid w:val="00626EED"/>
    <w:pPr>
      <w:ind w:left="0"/>
      <w:jc w:val="both"/>
    </w:pPr>
    <w:rPr>
      <w:rFonts w:ascii="CG Times" w:hAnsi="CG Times"/>
      <w:sz w:val="20"/>
      <w:szCs w:val="20"/>
      <w:lang w:val="es-CO"/>
    </w:rPr>
  </w:style>
  <w:style w:type="character" w:customStyle="1" w:styleId="TextocomentarioCar">
    <w:name w:val="Texto comentario Car"/>
    <w:basedOn w:val="Fuentedeprrafopredeter"/>
    <w:link w:val="Textocomentario"/>
    <w:uiPriority w:val="99"/>
    <w:semiHidden/>
    <w:rsid w:val="00626EED"/>
    <w:rPr>
      <w:rFonts w:ascii="CG Times" w:hAnsi="CG Times"/>
      <w:lang w:eastAsia="es-ES"/>
    </w:rPr>
  </w:style>
  <w:style w:type="paragraph" w:styleId="Textonotapie">
    <w:name w:val="footnote text"/>
    <w:aliases w:val="Footnote Text Char Char Char Char Char,Footnote Text Char Char Char Char,Footnote reference,FA Fu,texto de nota al pie,Footnote Text Char Char Char,Footnote Text Char,Footnote Text Char Char Char Char Char Char Char Char,texto de nota al "/>
    <w:basedOn w:val="Normal"/>
    <w:link w:val="TextonotapieCar"/>
    <w:uiPriority w:val="99"/>
    <w:semiHidden/>
    <w:rsid w:val="00626EED"/>
    <w:pPr>
      <w:ind w:left="0"/>
      <w:jc w:val="both"/>
    </w:pPr>
    <w:rPr>
      <w:rFonts w:ascii="Bookman Old Style" w:eastAsia="SimSun" w:hAnsi="Bookman Old Style"/>
      <w:sz w:val="20"/>
      <w:szCs w:val="20"/>
      <w:lang w:val="es-CO" w:eastAsia="zh-CN"/>
    </w:rPr>
  </w:style>
  <w:style w:type="character" w:customStyle="1" w:styleId="TextonotapieCar">
    <w:name w:val="Texto nota pie Car"/>
    <w:aliases w:val="Footnote Text Char Char Char Char Char Car1,Footnote Text Char Char Char Char Car1,Footnote reference Car1,FA Fu Car1,texto de nota al pie Car1,Footnote Text Char Char Char Car1,Footnote Text Char Car1,texto de nota al  Car1"/>
    <w:basedOn w:val="Fuentedeprrafopredeter"/>
    <w:link w:val="Textonotapie"/>
    <w:uiPriority w:val="99"/>
    <w:semiHidden/>
    <w:rsid w:val="00626EED"/>
    <w:rPr>
      <w:rFonts w:ascii="Bookman Old Style" w:eastAsia="SimSun" w:hAnsi="Bookman Old Style"/>
      <w:lang w:eastAsia="zh-CN"/>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fr,Ref"/>
    <w:rsid w:val="00626EED"/>
    <w:rPr>
      <w:vertAlign w:val="superscript"/>
    </w:rPr>
  </w:style>
  <w:style w:type="paragraph" w:styleId="NormalWeb">
    <w:name w:val="Normal (Web)"/>
    <w:basedOn w:val="Normal"/>
    <w:uiPriority w:val="99"/>
    <w:unhideWhenUsed/>
    <w:rsid w:val="00626EED"/>
    <w:pPr>
      <w:spacing w:before="100" w:beforeAutospacing="1" w:after="100" w:afterAutospacing="1"/>
      <w:ind w:left="0"/>
      <w:jc w:val="both"/>
    </w:pPr>
    <w:rPr>
      <w:rFonts w:ascii="Bookman Old Style" w:hAnsi="Bookman Old Style"/>
      <w:color w:val="000000"/>
      <w:lang w:val="es-CO" w:eastAsia="es-CO"/>
    </w:rPr>
  </w:style>
  <w:style w:type="character" w:customStyle="1" w:styleId="PiedepginaCar">
    <w:name w:val="Pie de página Car"/>
    <w:link w:val="Piedepgina"/>
    <w:uiPriority w:val="99"/>
    <w:rsid w:val="00626EED"/>
    <w:rPr>
      <w:sz w:val="24"/>
      <w:szCs w:val="24"/>
      <w:lang w:val="es-ES" w:eastAsia="es-ES"/>
    </w:rPr>
  </w:style>
  <w:style w:type="character" w:customStyle="1" w:styleId="CharStyle9">
    <w:name w:val="Char Style 9"/>
    <w:link w:val="Style2"/>
    <w:uiPriority w:val="99"/>
    <w:locked/>
    <w:rsid w:val="00626EED"/>
    <w:rPr>
      <w:rFonts w:ascii="Arial" w:hAnsi="Arial" w:cs="Arial"/>
      <w:sz w:val="14"/>
      <w:szCs w:val="14"/>
      <w:shd w:val="clear" w:color="auto" w:fill="FFFFFF"/>
    </w:rPr>
  </w:style>
  <w:style w:type="paragraph" w:customStyle="1" w:styleId="Style2">
    <w:name w:val="Style 2"/>
    <w:basedOn w:val="Normal"/>
    <w:link w:val="CharStyle9"/>
    <w:uiPriority w:val="99"/>
    <w:rsid w:val="00626EED"/>
    <w:pPr>
      <w:widowControl w:val="0"/>
      <w:shd w:val="clear" w:color="auto" w:fill="FFFFFF"/>
      <w:spacing w:before="120" w:line="240" w:lineRule="atLeast"/>
      <w:ind w:left="0" w:hanging="1420"/>
      <w:jc w:val="both"/>
    </w:pPr>
    <w:rPr>
      <w:rFonts w:ascii="Arial" w:hAnsi="Arial" w:cs="Arial"/>
      <w:sz w:val="14"/>
      <w:szCs w:val="14"/>
      <w:lang w:val="es-CO" w:eastAsia="es-CO"/>
    </w:rPr>
  </w:style>
  <w:style w:type="character" w:styleId="Refdecomentario">
    <w:name w:val="annotation reference"/>
    <w:uiPriority w:val="99"/>
    <w:semiHidden/>
    <w:unhideWhenUsed/>
    <w:rsid w:val="00626EED"/>
    <w:rPr>
      <w:sz w:val="16"/>
      <w:szCs w:val="16"/>
    </w:rPr>
  </w:style>
  <w:style w:type="paragraph" w:customStyle="1" w:styleId="Estilo2">
    <w:name w:val="Estilo2"/>
    <w:basedOn w:val="Normal"/>
    <w:link w:val="Estilo2Car"/>
    <w:rsid w:val="00626EED"/>
    <w:pPr>
      <w:keepNext/>
      <w:widowControl w:val="0"/>
      <w:tabs>
        <w:tab w:val="num" w:pos="2357"/>
      </w:tabs>
      <w:adjustRightInd w:val="0"/>
      <w:spacing w:before="240" w:after="240"/>
      <w:ind w:left="917"/>
      <w:jc w:val="both"/>
      <w:textAlignment w:val="baseline"/>
      <w:outlineLvl w:val="0"/>
    </w:pPr>
    <w:rPr>
      <w:rFonts w:ascii="Bookman Old Style" w:hAnsi="Bookman Old Style"/>
      <w:b/>
      <w:bCs/>
      <w:lang w:eastAsia="ar-SA"/>
    </w:rPr>
  </w:style>
  <w:style w:type="character" w:customStyle="1" w:styleId="Estilo2Car">
    <w:name w:val="Estilo2 Car"/>
    <w:link w:val="Estilo2"/>
    <w:rsid w:val="00626EED"/>
    <w:rPr>
      <w:rFonts w:ascii="Bookman Old Style" w:hAnsi="Bookman Old Style"/>
      <w:b/>
      <w:bCs/>
      <w:sz w:val="24"/>
      <w:szCs w:val="24"/>
      <w:lang w:val="es-ES" w:eastAsia="ar-SA"/>
    </w:rPr>
  </w:style>
  <w:style w:type="paragraph" w:styleId="Revisin">
    <w:name w:val="Revision"/>
    <w:hidden/>
    <w:uiPriority w:val="99"/>
    <w:semiHidden/>
    <w:rsid w:val="00626EED"/>
    <w:rPr>
      <w:sz w:val="24"/>
      <w:szCs w:val="24"/>
      <w:lang w:val="es-ES" w:eastAsia="es-ES"/>
    </w:rPr>
  </w:style>
  <w:style w:type="paragraph" w:styleId="Cita">
    <w:name w:val="Quote"/>
    <w:basedOn w:val="Normal"/>
    <w:next w:val="Normal"/>
    <w:link w:val="CitaCar"/>
    <w:uiPriority w:val="29"/>
    <w:qFormat/>
    <w:rsid w:val="00626EED"/>
    <w:pPr>
      <w:spacing w:before="120" w:after="120"/>
      <w:ind w:right="567"/>
      <w:jc w:val="both"/>
    </w:pPr>
    <w:rPr>
      <w:rFonts w:ascii="Bookman Old Style" w:hAnsi="Bookman Old Style"/>
      <w:i/>
      <w:iCs/>
      <w:color w:val="000000" w:themeColor="text1"/>
      <w:sz w:val="20"/>
    </w:rPr>
  </w:style>
  <w:style w:type="character" w:customStyle="1" w:styleId="CitaCar">
    <w:name w:val="Cita Car"/>
    <w:basedOn w:val="Fuentedeprrafopredeter"/>
    <w:link w:val="Cita"/>
    <w:uiPriority w:val="29"/>
    <w:rsid w:val="00626EED"/>
    <w:rPr>
      <w:rFonts w:ascii="Bookman Old Style" w:hAnsi="Bookman Old Style"/>
      <w:i/>
      <w:iCs/>
      <w:color w:val="000000" w:themeColor="text1"/>
      <w:szCs w:val="24"/>
      <w:lang w:val="es-ES" w:eastAsia="es-ES"/>
    </w:rPr>
  </w:style>
  <w:style w:type="character" w:customStyle="1" w:styleId="CharStyle3">
    <w:name w:val="Char Style 3"/>
    <w:basedOn w:val="Fuentedeprrafopredeter"/>
    <w:uiPriority w:val="99"/>
    <w:locked/>
    <w:rsid w:val="00626EED"/>
    <w:rPr>
      <w:rFonts w:ascii="Arial" w:hAnsi="Arial" w:cs="Arial"/>
      <w:i/>
      <w:iCs/>
      <w:sz w:val="23"/>
      <w:szCs w:val="23"/>
      <w:u w:val="none"/>
    </w:rPr>
  </w:style>
  <w:style w:type="character" w:customStyle="1" w:styleId="CharStyle5">
    <w:name w:val="Char Style 5"/>
    <w:basedOn w:val="CharStyle3"/>
    <w:uiPriority w:val="99"/>
    <w:rsid w:val="00626EED"/>
    <w:rPr>
      <w:rFonts w:ascii="Arial" w:hAnsi="Arial" w:cs="Arial"/>
      <w:b/>
      <w:bCs/>
      <w:i/>
      <w:iCs/>
      <w:sz w:val="23"/>
      <w:szCs w:val="23"/>
      <w:u w:val="none"/>
    </w:rPr>
  </w:style>
  <w:style w:type="character" w:customStyle="1" w:styleId="CharStyle24">
    <w:name w:val="Char Style 24"/>
    <w:basedOn w:val="Fuentedeprrafopredeter"/>
    <w:uiPriority w:val="99"/>
    <w:rsid w:val="00626EED"/>
    <w:rPr>
      <w:rFonts w:ascii="Arial" w:hAnsi="Arial" w:cs="Arial"/>
      <w:b/>
      <w:bCs/>
      <w:i/>
      <w:iCs/>
      <w:sz w:val="13"/>
      <w:szCs w:val="13"/>
      <w:u w:val="none"/>
    </w:rPr>
  </w:style>
  <w:style w:type="character" w:customStyle="1" w:styleId="CharStyle20">
    <w:name w:val="Char Style 20"/>
    <w:basedOn w:val="Fuentedeprrafopredeter"/>
    <w:link w:val="Style19"/>
    <w:uiPriority w:val="99"/>
    <w:locked/>
    <w:rsid w:val="00626EED"/>
    <w:rPr>
      <w:rFonts w:ascii="Arial" w:hAnsi="Arial" w:cs="Arial"/>
      <w:sz w:val="30"/>
      <w:szCs w:val="30"/>
      <w:shd w:val="clear" w:color="auto" w:fill="FFFFFF"/>
    </w:rPr>
  </w:style>
  <w:style w:type="character" w:customStyle="1" w:styleId="CharStyle86Exact">
    <w:name w:val="Char Style 86 Exact"/>
    <w:basedOn w:val="Fuentedeprrafopredeter"/>
    <w:link w:val="Style85"/>
    <w:uiPriority w:val="99"/>
    <w:locked/>
    <w:rsid w:val="00626EED"/>
    <w:rPr>
      <w:rFonts w:ascii="Arial" w:hAnsi="Arial" w:cs="Arial"/>
      <w:b/>
      <w:bCs/>
      <w:spacing w:val="-3"/>
      <w:shd w:val="clear" w:color="auto" w:fill="FFFFFF"/>
    </w:rPr>
  </w:style>
  <w:style w:type="character" w:customStyle="1" w:styleId="CharStyle97Exact">
    <w:name w:val="Char Style 97 Exact"/>
    <w:basedOn w:val="Fuentedeprrafopredeter"/>
    <w:link w:val="Style96"/>
    <w:uiPriority w:val="99"/>
    <w:locked/>
    <w:rsid w:val="00626EED"/>
    <w:rPr>
      <w:rFonts w:ascii="Arial" w:hAnsi="Arial" w:cs="Arial"/>
      <w:spacing w:val="-5"/>
      <w:sz w:val="22"/>
      <w:szCs w:val="22"/>
      <w:shd w:val="clear" w:color="auto" w:fill="FFFFFF"/>
    </w:rPr>
  </w:style>
  <w:style w:type="character" w:customStyle="1" w:styleId="CharStyle100Exact">
    <w:name w:val="Char Style 100 Exact"/>
    <w:basedOn w:val="Fuentedeprrafopredeter"/>
    <w:uiPriority w:val="99"/>
    <w:rsid w:val="00626EED"/>
    <w:rPr>
      <w:rFonts w:ascii="Arial" w:hAnsi="Arial" w:cs="Arial"/>
      <w:spacing w:val="-5"/>
      <w:sz w:val="22"/>
      <w:szCs w:val="22"/>
      <w:u w:val="none"/>
    </w:rPr>
  </w:style>
  <w:style w:type="paragraph" w:customStyle="1" w:styleId="Style19">
    <w:name w:val="Style 19"/>
    <w:basedOn w:val="Normal"/>
    <w:link w:val="CharStyle20"/>
    <w:uiPriority w:val="99"/>
    <w:rsid w:val="00626EED"/>
    <w:pPr>
      <w:widowControl w:val="0"/>
      <w:shd w:val="clear" w:color="auto" w:fill="FFFFFF"/>
      <w:spacing w:line="240" w:lineRule="atLeast"/>
      <w:ind w:left="0" w:hanging="380"/>
    </w:pPr>
    <w:rPr>
      <w:rFonts w:ascii="Arial" w:hAnsi="Arial" w:cs="Arial"/>
      <w:sz w:val="30"/>
      <w:szCs w:val="30"/>
      <w:lang w:val="es-CO" w:eastAsia="es-CO"/>
    </w:rPr>
  </w:style>
  <w:style w:type="paragraph" w:customStyle="1" w:styleId="Style85">
    <w:name w:val="Style 85"/>
    <w:basedOn w:val="Normal"/>
    <w:link w:val="CharStyle86Exact"/>
    <w:uiPriority w:val="99"/>
    <w:rsid w:val="00626EED"/>
    <w:pPr>
      <w:widowControl w:val="0"/>
      <w:shd w:val="clear" w:color="auto" w:fill="FFFFFF"/>
      <w:spacing w:after="60" w:line="240" w:lineRule="atLeast"/>
      <w:ind w:left="0"/>
      <w:jc w:val="right"/>
    </w:pPr>
    <w:rPr>
      <w:rFonts w:ascii="Arial" w:hAnsi="Arial" w:cs="Arial"/>
      <w:b/>
      <w:bCs/>
      <w:spacing w:val="-3"/>
      <w:sz w:val="20"/>
      <w:szCs w:val="20"/>
      <w:lang w:val="es-CO" w:eastAsia="es-CO"/>
    </w:rPr>
  </w:style>
  <w:style w:type="paragraph" w:customStyle="1" w:styleId="Style96">
    <w:name w:val="Style 96"/>
    <w:basedOn w:val="Normal"/>
    <w:link w:val="CharStyle97Exact"/>
    <w:uiPriority w:val="99"/>
    <w:rsid w:val="00626EED"/>
    <w:pPr>
      <w:widowControl w:val="0"/>
      <w:shd w:val="clear" w:color="auto" w:fill="FFFFFF"/>
      <w:spacing w:line="360" w:lineRule="exact"/>
      <w:ind w:left="0"/>
      <w:jc w:val="both"/>
    </w:pPr>
    <w:rPr>
      <w:rFonts w:ascii="Arial" w:hAnsi="Arial" w:cs="Arial"/>
      <w:spacing w:val="-5"/>
      <w:sz w:val="22"/>
      <w:szCs w:val="22"/>
      <w:lang w:val="es-CO" w:eastAsia="es-CO"/>
    </w:rPr>
  </w:style>
  <w:style w:type="character" w:customStyle="1" w:styleId="CharStyle4">
    <w:name w:val="Char Style 4"/>
    <w:basedOn w:val="CharStyle3"/>
    <w:uiPriority w:val="99"/>
    <w:rsid w:val="00626EED"/>
    <w:rPr>
      <w:rFonts w:ascii="Arial" w:hAnsi="Arial" w:cs="Arial"/>
      <w:i/>
      <w:iCs/>
      <w:sz w:val="23"/>
      <w:szCs w:val="23"/>
      <w:u w:val="none"/>
    </w:rPr>
  </w:style>
  <w:style w:type="character" w:customStyle="1" w:styleId="CharStyle7">
    <w:name w:val="Char Style 7"/>
    <w:basedOn w:val="Fuentedeprrafopredeter"/>
    <w:link w:val="Style6"/>
    <w:uiPriority w:val="99"/>
    <w:rsid w:val="00626EED"/>
    <w:rPr>
      <w:i/>
      <w:iCs/>
      <w:sz w:val="23"/>
      <w:szCs w:val="23"/>
      <w:shd w:val="clear" w:color="auto" w:fill="FFFFFF"/>
    </w:rPr>
  </w:style>
  <w:style w:type="character" w:customStyle="1" w:styleId="CharStyle8">
    <w:name w:val="Char Style 8"/>
    <w:basedOn w:val="CharStyle7"/>
    <w:uiPriority w:val="99"/>
    <w:rsid w:val="00626EED"/>
    <w:rPr>
      <w:i w:val="0"/>
      <w:iCs w:val="0"/>
      <w:sz w:val="23"/>
      <w:szCs w:val="23"/>
      <w:shd w:val="clear" w:color="auto" w:fill="FFFFFF"/>
    </w:rPr>
  </w:style>
  <w:style w:type="paragraph" w:customStyle="1" w:styleId="Style6">
    <w:name w:val="Style 6"/>
    <w:basedOn w:val="Normal"/>
    <w:link w:val="CharStyle7"/>
    <w:uiPriority w:val="99"/>
    <w:rsid w:val="00626EED"/>
    <w:pPr>
      <w:widowControl w:val="0"/>
      <w:shd w:val="clear" w:color="auto" w:fill="FFFFFF"/>
      <w:spacing w:before="300" w:after="480" w:line="273" w:lineRule="exact"/>
      <w:ind w:left="0" w:hanging="360"/>
      <w:jc w:val="both"/>
    </w:pPr>
    <w:rPr>
      <w:i/>
      <w:iCs/>
      <w:sz w:val="23"/>
      <w:szCs w:val="23"/>
      <w:lang w:val="es-CO" w:eastAsia="es-CO"/>
    </w:rPr>
  </w:style>
  <w:style w:type="character" w:customStyle="1" w:styleId="CharStyle10">
    <w:name w:val="Char Style 10"/>
    <w:basedOn w:val="CharStyle3"/>
    <w:uiPriority w:val="99"/>
    <w:rsid w:val="00626EED"/>
    <w:rPr>
      <w:rFonts w:ascii="Arial" w:hAnsi="Arial" w:cs="Arial"/>
      <w:b/>
      <w:bCs/>
      <w:i w:val="0"/>
      <w:iCs w:val="0"/>
      <w:sz w:val="24"/>
      <w:szCs w:val="24"/>
      <w:u w:val="none"/>
    </w:rPr>
  </w:style>
  <w:style w:type="character" w:customStyle="1" w:styleId="CharStyle11">
    <w:name w:val="Char Style 11"/>
    <w:basedOn w:val="CharStyle3"/>
    <w:uiPriority w:val="99"/>
    <w:rsid w:val="00626EED"/>
    <w:rPr>
      <w:rFonts w:ascii="Arial" w:hAnsi="Arial" w:cs="Arial"/>
      <w:b/>
      <w:bCs/>
      <w:i w:val="0"/>
      <w:iCs w:val="0"/>
      <w:sz w:val="16"/>
      <w:szCs w:val="16"/>
      <w:u w:val="none"/>
    </w:rPr>
  </w:style>
  <w:style w:type="character" w:customStyle="1" w:styleId="CharStyle12">
    <w:name w:val="Char Style 12"/>
    <w:basedOn w:val="CharStyle3"/>
    <w:uiPriority w:val="99"/>
    <w:rsid w:val="00626EED"/>
    <w:rPr>
      <w:rFonts w:ascii="Arial" w:hAnsi="Arial" w:cs="Arial"/>
      <w:b/>
      <w:bCs/>
      <w:i w:val="0"/>
      <w:iCs w:val="0"/>
      <w:sz w:val="17"/>
      <w:szCs w:val="17"/>
      <w:u w:val="none"/>
    </w:rPr>
  </w:style>
  <w:style w:type="character" w:customStyle="1" w:styleId="CharStyle13">
    <w:name w:val="Char Style 13"/>
    <w:basedOn w:val="CharStyle3"/>
    <w:uiPriority w:val="99"/>
    <w:rsid w:val="00626EED"/>
    <w:rPr>
      <w:rFonts w:ascii="Arial" w:hAnsi="Arial" w:cs="Arial"/>
      <w:i w:val="0"/>
      <w:iCs w:val="0"/>
      <w:sz w:val="17"/>
      <w:szCs w:val="17"/>
      <w:u w:val="none"/>
    </w:rPr>
  </w:style>
  <w:style w:type="paragraph" w:styleId="Asuntodelcomentario">
    <w:name w:val="annotation subject"/>
    <w:basedOn w:val="Textocomentario"/>
    <w:next w:val="Textocomentario"/>
    <w:link w:val="AsuntodelcomentarioCar"/>
    <w:uiPriority w:val="99"/>
    <w:semiHidden/>
    <w:unhideWhenUsed/>
    <w:rsid w:val="00626EED"/>
    <w:rPr>
      <w:rFonts w:ascii="Bookman Old Style" w:hAnsi="Bookman Old Style"/>
      <w:b/>
      <w:bCs/>
      <w:lang w:val="es-ES"/>
    </w:rPr>
  </w:style>
  <w:style w:type="character" w:customStyle="1" w:styleId="AsuntodelcomentarioCar">
    <w:name w:val="Asunto del comentario Car"/>
    <w:basedOn w:val="TextocomentarioCar"/>
    <w:link w:val="Asuntodelcomentario"/>
    <w:uiPriority w:val="99"/>
    <w:semiHidden/>
    <w:rsid w:val="00626EED"/>
    <w:rPr>
      <w:rFonts w:ascii="Bookman Old Style" w:hAnsi="Bookman Old Style"/>
      <w:b/>
      <w:bCs/>
      <w:lang w:val="es-ES" w:eastAsia="es-ES"/>
    </w:rPr>
  </w:style>
  <w:style w:type="character" w:customStyle="1" w:styleId="CharStyle15">
    <w:name w:val="Char Style 15"/>
    <w:basedOn w:val="Fuentedeprrafopredeter"/>
    <w:link w:val="Style14"/>
    <w:uiPriority w:val="99"/>
    <w:rsid w:val="00626EED"/>
    <w:rPr>
      <w:rFonts w:ascii="Arial" w:hAnsi="Arial" w:cs="Arial"/>
      <w:b/>
      <w:bCs/>
      <w:sz w:val="22"/>
      <w:szCs w:val="22"/>
      <w:shd w:val="clear" w:color="auto" w:fill="FFFFFF"/>
    </w:rPr>
  </w:style>
  <w:style w:type="character" w:customStyle="1" w:styleId="CharStyle17">
    <w:name w:val="Char Style 17"/>
    <w:basedOn w:val="Fuentedeprrafopredeter"/>
    <w:link w:val="Style16"/>
    <w:uiPriority w:val="99"/>
    <w:rsid w:val="00626EED"/>
    <w:rPr>
      <w:rFonts w:ascii="Arial" w:hAnsi="Arial" w:cs="Arial"/>
      <w:b/>
      <w:bCs/>
      <w:sz w:val="22"/>
      <w:szCs w:val="22"/>
      <w:shd w:val="clear" w:color="auto" w:fill="FFFFFF"/>
    </w:rPr>
  </w:style>
  <w:style w:type="paragraph" w:customStyle="1" w:styleId="Style14">
    <w:name w:val="Style 14"/>
    <w:basedOn w:val="Normal"/>
    <w:link w:val="CharStyle15"/>
    <w:uiPriority w:val="99"/>
    <w:rsid w:val="00626EED"/>
    <w:pPr>
      <w:widowControl w:val="0"/>
      <w:shd w:val="clear" w:color="auto" w:fill="FFFFFF"/>
      <w:spacing w:line="340" w:lineRule="exact"/>
      <w:ind w:left="0"/>
      <w:jc w:val="both"/>
      <w:outlineLvl w:val="2"/>
    </w:pPr>
    <w:rPr>
      <w:rFonts w:ascii="Arial" w:hAnsi="Arial" w:cs="Arial"/>
      <w:b/>
      <w:bCs/>
      <w:sz w:val="22"/>
      <w:szCs w:val="22"/>
      <w:lang w:val="es-CO" w:eastAsia="es-CO"/>
    </w:rPr>
  </w:style>
  <w:style w:type="paragraph" w:customStyle="1" w:styleId="Style16">
    <w:name w:val="Style 16"/>
    <w:basedOn w:val="Normal"/>
    <w:link w:val="CharStyle17"/>
    <w:uiPriority w:val="99"/>
    <w:rsid w:val="00626EED"/>
    <w:pPr>
      <w:widowControl w:val="0"/>
      <w:shd w:val="clear" w:color="auto" w:fill="FFFFFF"/>
      <w:spacing w:after="240" w:line="340" w:lineRule="exact"/>
      <w:ind w:left="0"/>
      <w:jc w:val="both"/>
      <w:outlineLvl w:val="2"/>
    </w:pPr>
    <w:rPr>
      <w:rFonts w:ascii="Arial" w:hAnsi="Arial" w:cs="Arial"/>
      <w:b/>
      <w:bCs/>
      <w:sz w:val="22"/>
      <w:szCs w:val="22"/>
      <w:lang w:val="es-CO" w:eastAsia="es-CO"/>
    </w:rPr>
  </w:style>
  <w:style w:type="character" w:styleId="Hipervnculo">
    <w:name w:val="Hyperlink"/>
    <w:basedOn w:val="Fuentedeprrafopredeter"/>
    <w:uiPriority w:val="99"/>
    <w:unhideWhenUsed/>
    <w:rsid w:val="00626EED"/>
    <w:rPr>
      <w:color w:val="0563C1" w:themeColor="hyperlink"/>
      <w:u w:val="single"/>
    </w:rPr>
  </w:style>
  <w:style w:type="character" w:customStyle="1" w:styleId="CharacterStyle1">
    <w:name w:val="Character Style 1"/>
    <w:uiPriority w:val="99"/>
    <w:rsid w:val="00626EED"/>
    <w:rPr>
      <w:sz w:val="20"/>
    </w:rPr>
  </w:style>
  <w:style w:type="table" w:customStyle="1" w:styleId="Tablaconcuadrcula11">
    <w:name w:val="Tabla con cuadrícula11"/>
    <w:basedOn w:val="Tablanormal"/>
    <w:uiPriority w:val="59"/>
    <w:rsid w:val="00626EED"/>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1">
    <w:name w:val="Style 1"/>
    <w:uiPriority w:val="99"/>
    <w:rsid w:val="00626EED"/>
    <w:pPr>
      <w:widowControl w:val="0"/>
      <w:autoSpaceDE w:val="0"/>
      <w:autoSpaceDN w:val="0"/>
      <w:adjustRightInd w:val="0"/>
    </w:pPr>
    <w:rPr>
      <w:lang w:val="en-US"/>
    </w:rPr>
  </w:style>
  <w:style w:type="character" w:customStyle="1" w:styleId="TextonotapieCar1">
    <w:name w:val="Texto nota pie Car1"/>
    <w:aliases w:val="Footnote Text Char Char Char Char Char Car,Footnote Text Char Char Char Char Car,Footnote reference Car,FA Fu Car,texto de nota al pie Car,Footnote Text Char Char Char Car,Footnote Text Char Car,texto de nota al  Car"/>
    <w:uiPriority w:val="99"/>
    <w:semiHidden/>
    <w:locked/>
    <w:rsid w:val="00626EED"/>
    <w:rPr>
      <w:rFonts w:ascii="Arial" w:hAnsi="Arial"/>
      <w:lang w:val="es-ES_tradnl"/>
    </w:rPr>
  </w:style>
  <w:style w:type="paragraph" w:customStyle="1" w:styleId="NormalDocSoporte">
    <w:name w:val="Normal DocSoporte"/>
    <w:basedOn w:val="Normal"/>
    <w:link w:val="NormalDocSoporteCar"/>
    <w:qFormat/>
    <w:rsid w:val="00626EED"/>
    <w:pPr>
      <w:widowControl w:val="0"/>
      <w:adjustRightInd w:val="0"/>
      <w:spacing w:before="200" w:after="200"/>
      <w:ind w:left="0" w:right="23"/>
      <w:jc w:val="both"/>
    </w:pPr>
    <w:rPr>
      <w:rFonts w:ascii="Arial" w:hAnsi="Arial" w:cs="Arial"/>
      <w:sz w:val="22"/>
      <w:szCs w:val="22"/>
      <w:lang w:val="es-CO"/>
    </w:rPr>
  </w:style>
  <w:style w:type="character" w:customStyle="1" w:styleId="NormalDocSoporteCar">
    <w:name w:val="Normal DocSoporte Car"/>
    <w:link w:val="NormalDocSoporte"/>
    <w:rsid w:val="00626EED"/>
    <w:rPr>
      <w:rFonts w:ascii="Arial" w:hAnsi="Arial" w:cs="Arial"/>
      <w:sz w:val="22"/>
      <w:szCs w:val="22"/>
      <w:lang w:eastAsia="es-ES"/>
    </w:rPr>
  </w:style>
  <w:style w:type="paragraph" w:styleId="Descripcin">
    <w:name w:val="caption"/>
    <w:basedOn w:val="Normal"/>
    <w:next w:val="Normal"/>
    <w:uiPriority w:val="35"/>
    <w:qFormat/>
    <w:rsid w:val="004900AD"/>
    <w:pPr>
      <w:spacing w:after="200"/>
      <w:ind w:left="0"/>
    </w:pPr>
    <w:rPr>
      <w:rFonts w:ascii="Arial" w:hAnsi="Arial"/>
      <w:i/>
      <w:iCs/>
      <w:color w:val="44546A" w:themeColor="text2"/>
      <w:sz w:val="18"/>
      <w:szCs w:val="18"/>
      <w:lang w:val="es-CO"/>
    </w:rPr>
  </w:style>
  <w:style w:type="character" w:customStyle="1" w:styleId="CharStyle21">
    <w:name w:val="Char Style 21"/>
    <w:basedOn w:val="Fuentedeprrafopredeter"/>
    <w:link w:val="Style20"/>
    <w:uiPriority w:val="99"/>
    <w:rsid w:val="00173B98"/>
    <w:rPr>
      <w:rFonts w:ascii="Arial" w:hAnsi="Arial" w:cs="Arial"/>
      <w:shd w:val="clear" w:color="auto" w:fill="FFFFFF"/>
    </w:rPr>
  </w:style>
  <w:style w:type="character" w:customStyle="1" w:styleId="CharStyle22">
    <w:name w:val="Char Style 22"/>
    <w:basedOn w:val="CharStyle21"/>
    <w:uiPriority w:val="99"/>
    <w:rsid w:val="00173B98"/>
    <w:rPr>
      <w:rFonts w:ascii="Arial" w:hAnsi="Arial" w:cs="Arial"/>
      <w:color w:val="424851"/>
      <w:shd w:val="clear" w:color="auto" w:fill="FFFFFF"/>
    </w:rPr>
  </w:style>
  <w:style w:type="paragraph" w:customStyle="1" w:styleId="Style20">
    <w:name w:val="Style 20"/>
    <w:basedOn w:val="Normal"/>
    <w:link w:val="CharStyle21"/>
    <w:uiPriority w:val="99"/>
    <w:rsid w:val="00173B98"/>
    <w:pPr>
      <w:widowControl w:val="0"/>
      <w:shd w:val="clear" w:color="auto" w:fill="FFFFFF"/>
      <w:spacing w:before="540" w:after="540" w:line="240" w:lineRule="atLeast"/>
      <w:ind w:left="0" w:hanging="1360"/>
      <w:jc w:val="both"/>
    </w:pPr>
    <w:rPr>
      <w:rFonts w:ascii="Arial" w:hAnsi="Arial" w:cs="Arial"/>
      <w:sz w:val="20"/>
      <w:szCs w:val="20"/>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1925">
      <w:bodyDiv w:val="1"/>
      <w:marLeft w:val="0"/>
      <w:marRight w:val="0"/>
      <w:marTop w:val="0"/>
      <w:marBottom w:val="0"/>
      <w:divBdr>
        <w:top w:val="none" w:sz="0" w:space="0" w:color="auto"/>
        <w:left w:val="none" w:sz="0" w:space="0" w:color="auto"/>
        <w:bottom w:val="none" w:sz="0" w:space="0" w:color="auto"/>
        <w:right w:val="none" w:sz="0" w:space="0" w:color="auto"/>
      </w:divBdr>
    </w:div>
    <w:div w:id="717167024">
      <w:bodyDiv w:val="1"/>
      <w:marLeft w:val="0"/>
      <w:marRight w:val="0"/>
      <w:marTop w:val="0"/>
      <w:marBottom w:val="0"/>
      <w:divBdr>
        <w:top w:val="none" w:sz="0" w:space="0" w:color="auto"/>
        <w:left w:val="none" w:sz="0" w:space="0" w:color="auto"/>
        <w:bottom w:val="none" w:sz="0" w:space="0" w:color="auto"/>
        <w:right w:val="none" w:sz="0" w:space="0" w:color="auto"/>
      </w:divBdr>
    </w:div>
    <w:div w:id="1053693669">
      <w:bodyDiv w:val="1"/>
      <w:marLeft w:val="0"/>
      <w:marRight w:val="0"/>
      <w:marTop w:val="0"/>
      <w:marBottom w:val="0"/>
      <w:divBdr>
        <w:top w:val="none" w:sz="0" w:space="0" w:color="auto"/>
        <w:left w:val="none" w:sz="0" w:space="0" w:color="auto"/>
        <w:bottom w:val="none" w:sz="0" w:space="0" w:color="auto"/>
        <w:right w:val="none" w:sz="0" w:space="0" w:color="auto"/>
      </w:divBdr>
    </w:div>
    <w:div w:id="1482230845">
      <w:bodyDiv w:val="1"/>
      <w:marLeft w:val="0"/>
      <w:marRight w:val="0"/>
      <w:marTop w:val="0"/>
      <w:marBottom w:val="0"/>
      <w:divBdr>
        <w:top w:val="none" w:sz="0" w:space="0" w:color="auto"/>
        <w:left w:val="none" w:sz="0" w:space="0" w:color="auto"/>
        <w:bottom w:val="none" w:sz="0" w:space="0" w:color="auto"/>
        <w:right w:val="none" w:sz="0" w:space="0" w:color="auto"/>
      </w:divBdr>
    </w:div>
    <w:div w:id="1698315035">
      <w:bodyDiv w:val="1"/>
      <w:marLeft w:val="0"/>
      <w:marRight w:val="0"/>
      <w:marTop w:val="0"/>
      <w:marBottom w:val="0"/>
      <w:divBdr>
        <w:top w:val="none" w:sz="0" w:space="0" w:color="auto"/>
        <w:left w:val="none" w:sz="0" w:space="0" w:color="auto"/>
        <w:bottom w:val="none" w:sz="0" w:space="0" w:color="auto"/>
        <w:right w:val="none" w:sz="0" w:space="0" w:color="auto"/>
      </w:divBdr>
    </w:div>
    <w:div w:id="1698509383">
      <w:bodyDiv w:val="1"/>
      <w:marLeft w:val="0"/>
      <w:marRight w:val="0"/>
      <w:marTop w:val="0"/>
      <w:marBottom w:val="0"/>
      <w:divBdr>
        <w:top w:val="none" w:sz="0" w:space="0" w:color="auto"/>
        <w:left w:val="none" w:sz="0" w:space="0" w:color="auto"/>
        <w:bottom w:val="none" w:sz="0" w:space="0" w:color="auto"/>
        <w:right w:val="none" w:sz="0" w:space="0" w:color="auto"/>
      </w:divBdr>
    </w:div>
    <w:div w:id="1711417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gi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66CC0-3EB5-4B9A-8BC0-4C06DB7D7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0</TotalTime>
  <Pages>12</Pages>
  <Words>5042</Words>
  <Characters>26186</Characters>
  <Application>Microsoft Office Word</Application>
  <DocSecurity>0</DocSecurity>
  <Lines>218</Lines>
  <Paragraphs>62</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31166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dc:description/>
  <cp:lastModifiedBy>Luz Stella Rojas Macias</cp:lastModifiedBy>
  <cp:revision>2</cp:revision>
  <cp:lastPrinted>2019-02-26T22:25:00Z</cp:lastPrinted>
  <dcterms:created xsi:type="dcterms:W3CDTF">2019-06-10T21:57:00Z</dcterms:created>
  <dcterms:modified xsi:type="dcterms:W3CDTF">2019-06-10T21:57:00Z</dcterms:modified>
</cp:coreProperties>
</file>