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4B7A2" w14:textId="77777777" w:rsidR="00CA77FB" w:rsidRPr="00FD5CA5" w:rsidRDefault="00585077" w:rsidP="00DD3BAD">
      <w:pPr>
        <w:pStyle w:val="Encabezado"/>
        <w:tabs>
          <w:tab w:val="clear" w:pos="8504"/>
          <w:tab w:val="left" w:pos="0"/>
          <w:tab w:val="right" w:pos="9356"/>
        </w:tabs>
        <w:ind w:left="0"/>
        <w:jc w:val="both"/>
        <w:rPr>
          <w:noProof/>
        </w:rPr>
      </w:pPr>
      <w:r>
        <w:rPr>
          <w:rFonts w:ascii="Bookman Old Style" w:hAnsi="Bookman Old Style"/>
          <w:noProof/>
          <w:szCs w:val="24"/>
        </w:rPr>
        <w:object w:dxaOrig="1440" w:dyaOrig="1440" w14:anchorId="1728B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9pt;margin-top:-66.85pt;width:52.5pt;height:48.75pt;z-index:251658240" fillcolor="#0c9">
            <v:imagedata r:id="rId11" o:title=""/>
          </v:shape>
          <o:OLEObject Type="Embed" ProgID="PBrush" ShapeID="_x0000_s1026" DrawAspect="Content" ObjectID="_1679844356" r:id="rId12"/>
        </w:object>
      </w:r>
      <w:r w:rsidR="00DD3BAD">
        <w:t xml:space="preserve">                                                          </w:t>
      </w:r>
      <w:r w:rsidR="00CA77FB" w:rsidRPr="00FD5CA5">
        <w:t>Ministerio de Minas y Energía</w:t>
      </w:r>
    </w:p>
    <w:p w14:paraId="22B56A8A" w14:textId="77777777" w:rsidR="00CA77FB" w:rsidRPr="00FD5CA5" w:rsidRDefault="00CA77FB" w:rsidP="00E912C1">
      <w:pPr>
        <w:rPr>
          <w:rFonts w:cs="Arial"/>
        </w:rPr>
      </w:pPr>
    </w:p>
    <w:p w14:paraId="24C4FBD0" w14:textId="77777777" w:rsidR="00CA77FB" w:rsidRPr="00FD5CA5" w:rsidRDefault="00CA77FB" w:rsidP="00E912C1">
      <w:pPr>
        <w:jc w:val="center"/>
        <w:rPr>
          <w:b/>
          <w:spacing w:val="20"/>
        </w:rPr>
      </w:pPr>
      <w:r w:rsidRPr="00FD5CA5">
        <w:rPr>
          <w:b/>
          <w:spacing w:val="20"/>
        </w:rPr>
        <w:t>COMISIÓN DE REGULACIÓN DE ENERGÍA Y GAS</w:t>
      </w:r>
    </w:p>
    <w:p w14:paraId="33FD1F93" w14:textId="77777777" w:rsidR="00CA77FB" w:rsidRPr="00FD5CA5" w:rsidRDefault="00CA77FB" w:rsidP="00E912C1"/>
    <w:p w14:paraId="10B1090C" w14:textId="77777777" w:rsidR="00CA77FB" w:rsidRPr="00FD5CA5" w:rsidRDefault="00CA77FB" w:rsidP="00E912C1"/>
    <w:p w14:paraId="72B4BF23" w14:textId="0CFD6E3C" w:rsidR="00CA77FB" w:rsidRPr="00FD5CA5" w:rsidRDefault="00CA77FB" w:rsidP="00E912C1">
      <w:pPr>
        <w:jc w:val="center"/>
        <w:rPr>
          <w:b/>
          <w:spacing w:val="20"/>
        </w:rPr>
      </w:pPr>
      <w:r w:rsidRPr="00FD5CA5">
        <w:rPr>
          <w:b/>
          <w:spacing w:val="20"/>
        </w:rPr>
        <w:t xml:space="preserve">RESOLUCIÓN No. </w:t>
      </w:r>
      <w:r w:rsidR="00795BFB" w:rsidRPr="00FD5CA5">
        <w:rPr>
          <w:b/>
          <w:spacing w:val="20"/>
        </w:rPr>
        <w:t xml:space="preserve">  </w:t>
      </w:r>
      <w:r w:rsidR="00905C86" w:rsidRPr="00905C86">
        <w:rPr>
          <w:b/>
          <w:spacing w:val="20"/>
          <w:sz w:val="32"/>
          <w:szCs w:val="32"/>
        </w:rPr>
        <w:t>026</w:t>
      </w:r>
      <w:r w:rsidR="00795BFB" w:rsidRPr="00FD5CA5">
        <w:rPr>
          <w:b/>
          <w:spacing w:val="20"/>
        </w:rPr>
        <w:t xml:space="preserve"> </w:t>
      </w:r>
      <w:r w:rsidR="00795BFB" w:rsidRPr="007B4F87">
        <w:rPr>
          <w:b/>
          <w:spacing w:val="20"/>
          <w:sz w:val="32"/>
          <w:szCs w:val="32"/>
        </w:rPr>
        <w:t xml:space="preserve"> </w:t>
      </w:r>
      <w:r w:rsidR="00795BFB" w:rsidRPr="00FD5CA5">
        <w:rPr>
          <w:b/>
          <w:spacing w:val="20"/>
        </w:rPr>
        <w:t xml:space="preserve">    </w:t>
      </w:r>
      <w:r w:rsidRPr="00FD5CA5">
        <w:rPr>
          <w:b/>
          <w:spacing w:val="20"/>
        </w:rPr>
        <w:t xml:space="preserve">DE </w:t>
      </w:r>
      <w:r w:rsidR="00C67E4C" w:rsidRPr="00FD5CA5">
        <w:rPr>
          <w:b/>
          <w:spacing w:val="20"/>
        </w:rPr>
        <w:t>20</w:t>
      </w:r>
      <w:r w:rsidR="00C67E4C">
        <w:rPr>
          <w:b/>
          <w:spacing w:val="20"/>
        </w:rPr>
        <w:t>21</w:t>
      </w:r>
    </w:p>
    <w:p w14:paraId="1B15A13F" w14:textId="77777777" w:rsidR="00CA77FB" w:rsidRPr="00FD5CA5" w:rsidRDefault="00CA77FB" w:rsidP="00E912C1">
      <w:pPr>
        <w:tabs>
          <w:tab w:val="left" w:pos="0"/>
          <w:tab w:val="right" w:pos="9356"/>
        </w:tabs>
        <w:ind w:left="0"/>
        <w:jc w:val="center"/>
        <w:rPr>
          <w:rFonts w:cs="Arial"/>
          <w:b/>
          <w:snapToGrid w:val="0"/>
          <w:color w:val="000000"/>
          <w:lang w:val="es-ES_tradnl"/>
        </w:rPr>
      </w:pPr>
    </w:p>
    <w:p w14:paraId="27D7A75C" w14:textId="7E55612D" w:rsidR="00CA77FB" w:rsidRPr="00FD5CA5" w:rsidRDefault="00CA77FB" w:rsidP="00E912C1">
      <w:pPr>
        <w:jc w:val="center"/>
      </w:pPr>
      <w:r w:rsidRPr="00FD5CA5">
        <w:t xml:space="preserve">(   </w:t>
      </w:r>
      <w:r w:rsidR="00AF7953" w:rsidRPr="00905C86">
        <w:rPr>
          <w:b/>
          <w:bCs/>
        </w:rPr>
        <w:t xml:space="preserve"> </w:t>
      </w:r>
      <w:r w:rsidR="00905C86" w:rsidRPr="00905C86">
        <w:rPr>
          <w:b/>
          <w:bCs/>
          <w:sz w:val="32"/>
          <w:szCs w:val="32"/>
        </w:rPr>
        <w:t>09</w:t>
      </w:r>
      <w:r w:rsidR="00AF7953" w:rsidRPr="00905C86">
        <w:rPr>
          <w:sz w:val="32"/>
          <w:szCs w:val="32"/>
        </w:rPr>
        <w:t xml:space="preserve"> </w:t>
      </w:r>
      <w:r w:rsidR="006011BC">
        <w:rPr>
          <w:b/>
          <w:bCs/>
          <w:sz w:val="32"/>
          <w:szCs w:val="32"/>
        </w:rPr>
        <w:t>ABR</w:t>
      </w:r>
      <w:r w:rsidR="007B4F87" w:rsidRPr="007B4F87">
        <w:rPr>
          <w:b/>
          <w:bCs/>
          <w:sz w:val="32"/>
          <w:szCs w:val="32"/>
        </w:rPr>
        <w:t>. 2021</w:t>
      </w:r>
      <w:r w:rsidRPr="00FD5CA5">
        <w:t xml:space="preserve">     )</w:t>
      </w:r>
    </w:p>
    <w:p w14:paraId="173C341D" w14:textId="375157C0" w:rsidR="00CA77FB" w:rsidRPr="00FD5CA5" w:rsidRDefault="00CA77FB" w:rsidP="00E912C1">
      <w:pPr>
        <w:tabs>
          <w:tab w:val="left" w:pos="0"/>
          <w:tab w:val="right" w:pos="9356"/>
        </w:tabs>
        <w:ind w:left="0"/>
        <w:jc w:val="center"/>
        <w:rPr>
          <w:lang w:val="es-ES_tradnl"/>
        </w:rPr>
      </w:pPr>
    </w:p>
    <w:p w14:paraId="7BA7FF25" w14:textId="77777777" w:rsidR="00B351B4" w:rsidRPr="00FD5CA5" w:rsidRDefault="00B351B4" w:rsidP="00E912C1">
      <w:pPr>
        <w:ind w:left="0"/>
        <w:rPr>
          <w:bCs/>
          <w:color w:val="FF0000"/>
          <w:lang w:val="es-CO"/>
        </w:rPr>
      </w:pPr>
    </w:p>
    <w:p w14:paraId="76F41AA3" w14:textId="4A6011A4" w:rsidR="00771D1E" w:rsidRDefault="0013046D" w:rsidP="00E912C1">
      <w:pPr>
        <w:ind w:left="0"/>
        <w:jc w:val="center"/>
      </w:pPr>
      <w:r>
        <w:t>P</w:t>
      </w:r>
      <w:r w:rsidR="00771D1E">
        <w:t xml:space="preserve">or la cual se </w:t>
      </w:r>
      <w:r>
        <w:t xml:space="preserve">establece </w:t>
      </w:r>
      <w:r w:rsidR="007674F7">
        <w:t xml:space="preserve">una </w:t>
      </w:r>
      <w:r w:rsidR="006A1934">
        <w:t>disposición transitoria</w:t>
      </w:r>
      <w:r w:rsidR="007674F7">
        <w:t xml:space="preserve"> </w:t>
      </w:r>
      <w:r w:rsidR="4E17BCBE">
        <w:t>para la comercialización de capacidad de transporte de gas natural</w:t>
      </w:r>
    </w:p>
    <w:p w14:paraId="15FD5418" w14:textId="2B18A4F4" w:rsidR="00771D1E" w:rsidRDefault="00771D1E" w:rsidP="00E912C1">
      <w:pPr>
        <w:ind w:right="51"/>
        <w:jc w:val="center"/>
        <w:rPr>
          <w:b/>
        </w:rPr>
      </w:pPr>
    </w:p>
    <w:p w14:paraId="6B7CE287" w14:textId="77777777" w:rsidR="00880B11" w:rsidRDefault="00880B11" w:rsidP="00E912C1">
      <w:pPr>
        <w:ind w:right="51"/>
        <w:jc w:val="center"/>
        <w:rPr>
          <w:b/>
        </w:rPr>
      </w:pPr>
    </w:p>
    <w:p w14:paraId="328FE9E5" w14:textId="77777777" w:rsidR="00771D1E" w:rsidRPr="00C435C3" w:rsidRDefault="00771D1E" w:rsidP="00E912C1">
      <w:pPr>
        <w:ind w:right="51"/>
        <w:jc w:val="center"/>
        <w:rPr>
          <w:b/>
        </w:rPr>
      </w:pPr>
      <w:r w:rsidRPr="00C435C3">
        <w:rPr>
          <w:b/>
        </w:rPr>
        <w:t>LA COMISIÓN DE REGULACIÓN DE ENERGÍA Y GAS</w:t>
      </w:r>
    </w:p>
    <w:p w14:paraId="560CD37A" w14:textId="77777777" w:rsidR="00771D1E" w:rsidRPr="00C435C3" w:rsidRDefault="00771D1E" w:rsidP="00E912C1">
      <w:pPr>
        <w:ind w:left="0" w:right="51"/>
      </w:pPr>
    </w:p>
    <w:p w14:paraId="4519CEA1" w14:textId="77777777" w:rsidR="00771D1E" w:rsidRPr="00E31B35" w:rsidRDefault="00771D1E" w:rsidP="00E912C1">
      <w:pPr>
        <w:jc w:val="center"/>
      </w:pPr>
      <w:r w:rsidRPr="00E31B35">
        <w:t xml:space="preserve">En ejercicio de sus atribuciones constitucionales y legales, en especial las conferidas por la </w:t>
      </w:r>
      <w:r w:rsidR="00B50E3F">
        <w:t>L</w:t>
      </w:r>
      <w:r w:rsidRPr="00E31B35">
        <w:t xml:space="preserve">ey 142 </w:t>
      </w:r>
      <w:r w:rsidR="00B50E3F">
        <w:t>de 1994</w:t>
      </w:r>
      <w:r w:rsidRPr="00E31B35">
        <w:t xml:space="preserve"> y </w:t>
      </w:r>
      <w:r w:rsidR="00B50E3F">
        <w:t xml:space="preserve">los decretos </w:t>
      </w:r>
      <w:r w:rsidRPr="00E31B35">
        <w:t>2253 de 1994</w:t>
      </w:r>
      <w:r w:rsidR="00162E3E">
        <w:t xml:space="preserve">, </w:t>
      </w:r>
      <w:r w:rsidR="00B50E3F">
        <w:t>1260 de 2013</w:t>
      </w:r>
      <w:r w:rsidR="00162E3E">
        <w:t xml:space="preserve"> y 1073 de 2015</w:t>
      </w:r>
      <w:r w:rsidR="00B50E3F">
        <w:t>, y</w:t>
      </w:r>
    </w:p>
    <w:p w14:paraId="0A18D221" w14:textId="77777777" w:rsidR="00771D1E" w:rsidRDefault="00771D1E" w:rsidP="00E912C1">
      <w:pPr>
        <w:ind w:right="51"/>
      </w:pPr>
    </w:p>
    <w:p w14:paraId="7541F515" w14:textId="77777777" w:rsidR="00771D1E" w:rsidRDefault="00771D1E" w:rsidP="00E912C1">
      <w:pPr>
        <w:ind w:right="51"/>
        <w:jc w:val="center"/>
        <w:rPr>
          <w:b/>
        </w:rPr>
      </w:pPr>
    </w:p>
    <w:p w14:paraId="7E641033" w14:textId="77777777" w:rsidR="00045D3D" w:rsidRPr="00C435C3" w:rsidRDefault="00045D3D" w:rsidP="00E912C1">
      <w:pPr>
        <w:ind w:right="51"/>
        <w:jc w:val="center"/>
        <w:rPr>
          <w:b/>
        </w:rPr>
      </w:pPr>
      <w:r w:rsidRPr="00C435C3">
        <w:rPr>
          <w:b/>
        </w:rPr>
        <w:t>C O N S I D E R A N D O</w:t>
      </w:r>
      <w:r>
        <w:rPr>
          <w:b/>
        </w:rPr>
        <w:t xml:space="preserve">  Q U E</w:t>
      </w:r>
      <w:r w:rsidRPr="00C435C3">
        <w:rPr>
          <w:b/>
        </w:rPr>
        <w:t>:</w:t>
      </w:r>
    </w:p>
    <w:p w14:paraId="5FCE722E" w14:textId="77777777" w:rsidR="00045D3D" w:rsidRPr="00147CBF" w:rsidRDefault="00045D3D" w:rsidP="00E912C1">
      <w:pPr>
        <w:ind w:right="51"/>
        <w:jc w:val="center"/>
        <w:rPr>
          <w:b/>
          <w:sz w:val="16"/>
        </w:rPr>
      </w:pPr>
    </w:p>
    <w:p w14:paraId="502D6782" w14:textId="77777777" w:rsidR="009A60C3" w:rsidRPr="00C435C3" w:rsidRDefault="009A60C3" w:rsidP="00E912C1">
      <w:pPr>
        <w:rPr>
          <w:b/>
        </w:rPr>
      </w:pPr>
    </w:p>
    <w:p w14:paraId="708618A0" w14:textId="77777777" w:rsidR="009A60C3" w:rsidRDefault="009A60C3" w:rsidP="009A60C3">
      <w:pPr>
        <w:ind w:left="0"/>
        <w:jc w:val="both"/>
      </w:pPr>
      <w:r w:rsidRPr="001C235C">
        <w:t>El artículo 365 de la Constitución Política establece</w:t>
      </w:r>
      <w:r>
        <w:t xml:space="preserve"> </w:t>
      </w:r>
      <w:r w:rsidRPr="001C235C">
        <w:t xml:space="preserve">que </w:t>
      </w:r>
      <w:r w:rsidRPr="00332C46">
        <w:rPr>
          <w:i/>
          <w:iCs/>
        </w:rPr>
        <w:t>“(l)os servicios públicos son inherentes a la finalidad social del Estado. Es deber del Estado asegurar su prestación eficiente a todos los habitantes del territorio nacional</w:t>
      </w:r>
      <w:r w:rsidRPr="001C235C">
        <w:t>”, que los mismos estarán sometidos al régimen jurídico que fije la ley, y que “</w:t>
      </w:r>
      <w:r w:rsidRPr="00332C46">
        <w:rPr>
          <w:i/>
          <w:iCs/>
        </w:rPr>
        <w:t>(e)n todo caso, el Estado mantendrá la regulación, el control y la vigilancia de dichos servicios</w:t>
      </w:r>
      <w:r w:rsidRPr="001C235C">
        <w:t>”.</w:t>
      </w:r>
    </w:p>
    <w:p w14:paraId="636B96D4" w14:textId="77777777" w:rsidR="009A60C3" w:rsidRPr="001C235C" w:rsidRDefault="009A60C3" w:rsidP="009A60C3">
      <w:pPr>
        <w:ind w:left="0"/>
        <w:jc w:val="both"/>
      </w:pPr>
    </w:p>
    <w:p w14:paraId="318621A7" w14:textId="77777777" w:rsidR="009A60C3" w:rsidRPr="001C235C" w:rsidRDefault="009A60C3" w:rsidP="009A60C3">
      <w:pPr>
        <w:ind w:left="0"/>
        <w:jc w:val="both"/>
      </w:pPr>
      <w:r w:rsidRPr="001C235C">
        <w:t>El inciso tercero del artículo 333 de la Constitución Política establece que “</w:t>
      </w:r>
      <w:r w:rsidRPr="00332C46">
        <w:rPr>
          <w:i/>
          <w:iCs/>
        </w:rPr>
        <w:t>(e)l Estado, por mandato de la ley, impedirá que se obstruya o se restrinja la libertad económica y evitará o controlará cualquier abuso que personas o empresas hagan de su posición dominante en el mercado nacional</w:t>
      </w:r>
      <w:r w:rsidRPr="001C235C">
        <w:t>”.</w:t>
      </w:r>
    </w:p>
    <w:p w14:paraId="01C5C6F5" w14:textId="77777777" w:rsidR="009A60C3" w:rsidRPr="001C235C" w:rsidRDefault="009A60C3" w:rsidP="009A60C3">
      <w:pPr>
        <w:ind w:left="0"/>
        <w:jc w:val="both"/>
      </w:pPr>
    </w:p>
    <w:p w14:paraId="1B6E5CD4" w14:textId="77777777" w:rsidR="009A60C3" w:rsidRPr="001C235C" w:rsidRDefault="009A60C3" w:rsidP="009A60C3">
      <w:pPr>
        <w:ind w:left="0"/>
        <w:jc w:val="both"/>
      </w:pPr>
      <w:r w:rsidRPr="001C235C">
        <w:t>Los artículos 1, 2, 3 y 4 de la Ley 142 de 1994 establecen que los servicios públicos domiciliarios son esenciales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73EBF0DB" w14:textId="77777777" w:rsidR="009A60C3" w:rsidRPr="001C235C" w:rsidRDefault="009A60C3" w:rsidP="009A60C3">
      <w:pPr>
        <w:ind w:left="0"/>
        <w:jc w:val="both"/>
      </w:pPr>
    </w:p>
    <w:p w14:paraId="3D83E91C" w14:textId="49628FD8" w:rsidR="009A60C3" w:rsidRDefault="009A60C3" w:rsidP="009A60C3">
      <w:pPr>
        <w:ind w:left="0"/>
        <w:jc w:val="both"/>
      </w:pPr>
      <w:r w:rsidRPr="001C235C">
        <w:t xml:space="preserve">El numeral 14.18 del artículo 14 y el artículo 69 ambos de la Ley 142 de 1994 prevén a cargo de las comisiones de regulación la atribución de regular el servicio público respectivo con sujeción a la ley y a los decretos reglamentarios como una </w:t>
      </w:r>
      <w:r w:rsidRPr="001C235C">
        <w:lastRenderedPageBreak/>
        <w:t>función de intervención sobre la base de lo que las normas superiores dispongan</w:t>
      </w:r>
      <w:r w:rsidR="00E034A3">
        <w:t>,</w:t>
      </w:r>
      <w:r w:rsidRPr="001C235C">
        <w:t xml:space="preserve">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7C7134B9" w14:textId="77777777" w:rsidR="007B4F87" w:rsidRPr="001C235C" w:rsidRDefault="007B4F87" w:rsidP="009A60C3">
      <w:pPr>
        <w:ind w:left="0"/>
        <w:jc w:val="both"/>
      </w:pPr>
    </w:p>
    <w:p w14:paraId="7ECB8FB0" w14:textId="77777777" w:rsidR="009A60C3" w:rsidRPr="001C235C" w:rsidRDefault="009A60C3" w:rsidP="009A60C3">
      <w:pPr>
        <w:ind w:left="0"/>
        <w:jc w:val="both"/>
      </w:pPr>
      <w:r w:rsidRPr="001C235C">
        <w:t>El artículo 34 de la Ley 142 de 1994 dispone que “</w:t>
      </w:r>
      <w:r w:rsidRPr="00332C46">
        <w:rPr>
          <w:i/>
          <w:iCs/>
        </w:rPr>
        <w:t>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w:t>
      </w:r>
      <w:r w:rsidRPr="001C235C">
        <w:t>”, estableciendo para el efecto, entre otras, qué prácticas son consideradas como restricción indebida a la competencia, dentro de las que se destaca la establecida en su numeral 34.6, que estipula como una de ellas, “</w:t>
      </w:r>
      <w:r w:rsidRPr="00332C46">
        <w:rPr>
          <w:i/>
          <w:iCs/>
        </w:rPr>
        <w:t>el abuso de la posición dominante al que se refiere el artículo 133 de esta Ley, cualquiera que sea la otra parte contratante y en cualquier clase de contratos</w:t>
      </w:r>
      <w:r w:rsidRPr="001C235C">
        <w:t>”.</w:t>
      </w:r>
    </w:p>
    <w:p w14:paraId="62545D7A" w14:textId="77777777" w:rsidR="009A60C3" w:rsidRPr="001C235C" w:rsidRDefault="009A60C3" w:rsidP="009A60C3">
      <w:pPr>
        <w:ind w:left="0"/>
        <w:jc w:val="both"/>
      </w:pPr>
    </w:p>
    <w:p w14:paraId="59930BFA" w14:textId="77777777" w:rsidR="009A60C3" w:rsidRPr="001C235C" w:rsidRDefault="009A60C3" w:rsidP="009A60C3">
      <w:pPr>
        <w:ind w:left="0"/>
        <w:jc w:val="both"/>
      </w:pPr>
      <w:r w:rsidRPr="001C235C">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793F5CEB" w14:textId="77777777" w:rsidR="009A60C3" w:rsidRPr="001C235C" w:rsidRDefault="009A60C3" w:rsidP="009A60C3">
      <w:pPr>
        <w:ind w:left="0"/>
        <w:jc w:val="both"/>
      </w:pPr>
    </w:p>
    <w:p w14:paraId="0EDCA12E" w14:textId="77777777" w:rsidR="009A60C3" w:rsidRPr="001C235C" w:rsidRDefault="009A60C3" w:rsidP="009A60C3">
      <w:pPr>
        <w:ind w:left="0"/>
        <w:jc w:val="both"/>
      </w:pPr>
      <w:r w:rsidRPr="001C235C">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4120144A" w14:textId="77777777" w:rsidR="009A60C3" w:rsidRPr="001C235C" w:rsidRDefault="009A60C3" w:rsidP="009A60C3">
      <w:pPr>
        <w:ind w:left="0"/>
        <w:jc w:val="both"/>
      </w:pPr>
    </w:p>
    <w:p w14:paraId="06B725AA" w14:textId="77777777" w:rsidR="009A60C3" w:rsidRPr="001C235C" w:rsidRDefault="009A60C3" w:rsidP="009A60C3">
      <w:pPr>
        <w:ind w:left="0"/>
        <w:jc w:val="both"/>
      </w:pPr>
      <w:r w:rsidRPr="001C235C">
        <w:t>El literal b) del numeral 74.1 del artículo 74 de la Ley 142 de 1994 determina que corresponde a la CREG expedir regulaciones específicas para el uso eficiente del gas combustible por parte de los consumidores.</w:t>
      </w:r>
    </w:p>
    <w:p w14:paraId="3B2CA8E0" w14:textId="77777777" w:rsidR="009A60C3" w:rsidRPr="001C235C" w:rsidRDefault="009A60C3" w:rsidP="009A60C3">
      <w:pPr>
        <w:ind w:left="0"/>
        <w:jc w:val="both"/>
      </w:pPr>
    </w:p>
    <w:p w14:paraId="3B57631B" w14:textId="77777777" w:rsidR="009A60C3" w:rsidRPr="001C235C" w:rsidRDefault="009A60C3" w:rsidP="009A60C3">
      <w:pPr>
        <w:ind w:left="0"/>
        <w:jc w:val="both"/>
      </w:pPr>
      <w:r w:rsidRPr="001C235C">
        <w:t>De acuerdo con lo establecido en el literal c) del numeral 74.1 del artículo 74 de la Ley 142 de 1994, es función de la CREG establecer el reglamento de operación para regular el funcionamiento del mercado mayorista de gas combustible.</w:t>
      </w:r>
    </w:p>
    <w:p w14:paraId="2281D276" w14:textId="77777777" w:rsidR="009A60C3" w:rsidRPr="001C235C" w:rsidRDefault="009A60C3" w:rsidP="009A60C3">
      <w:pPr>
        <w:ind w:left="0"/>
        <w:jc w:val="both"/>
      </w:pPr>
    </w:p>
    <w:p w14:paraId="6973AF90" w14:textId="77777777" w:rsidR="009A60C3" w:rsidRPr="001C235C" w:rsidRDefault="009A60C3" w:rsidP="009A60C3">
      <w:pPr>
        <w:ind w:left="0"/>
        <w:jc w:val="both"/>
      </w:pPr>
      <w:r w:rsidRPr="001C235C">
        <w:t>La potestad normativa atribuida a las comisiones de regulación es una manifestación de la intervención del Estado en la economía expresada en la regulación con la finalidad de corregir las fallas del mercado, delimitar la libertad de empresa, preservar la competencia económica, mejorar la prestación de los servicios públicos y proteger los derechos de los usuarios.</w:t>
      </w:r>
    </w:p>
    <w:p w14:paraId="16231815" w14:textId="77777777" w:rsidR="009A60C3" w:rsidRPr="001C235C" w:rsidRDefault="009A60C3" w:rsidP="009A60C3">
      <w:pPr>
        <w:ind w:left="0"/>
        <w:jc w:val="both"/>
      </w:pPr>
    </w:p>
    <w:p w14:paraId="5B5F9F44" w14:textId="77777777" w:rsidR="009A60C3" w:rsidRDefault="009A60C3" w:rsidP="009A60C3">
      <w:pPr>
        <w:ind w:left="0"/>
        <w:jc w:val="both"/>
      </w:pPr>
      <w:r w:rsidRPr="001C235C">
        <w:t>La Ley 401 de 1997 dispuso en el parágrafo 2 de su artículo 11 que “</w:t>
      </w:r>
      <w:r w:rsidRPr="00332C46">
        <w:rPr>
          <w:i/>
          <w:iCs/>
        </w:rPr>
        <w:t xml:space="preserve">las competencias previstas en la Ley 142 de 1994 en lo relacionado con el servicio </w:t>
      </w:r>
      <w:r w:rsidRPr="00332C46">
        <w:rPr>
          <w:i/>
          <w:iCs/>
        </w:rPr>
        <w:lastRenderedPageBreak/>
        <w:t>público domiciliario, comercial e industrial de gas combustible, sólo se predicarán en los casos en que el gas se utilice efectivamente como combustible y no como materia prima de procesos industriales petroquímicos</w:t>
      </w:r>
      <w:r w:rsidRPr="001C235C">
        <w:t>”.</w:t>
      </w:r>
    </w:p>
    <w:p w14:paraId="7E6DD209" w14:textId="77777777" w:rsidR="009A60C3" w:rsidRDefault="009A60C3" w:rsidP="009A60C3">
      <w:pPr>
        <w:ind w:left="0"/>
        <w:jc w:val="both"/>
      </w:pPr>
    </w:p>
    <w:p w14:paraId="561F9768" w14:textId="77777777" w:rsidR="009A60C3" w:rsidRDefault="009A60C3" w:rsidP="009A60C3">
      <w:pPr>
        <w:ind w:left="0"/>
        <w:jc w:val="both"/>
        <w:rPr>
          <w:rFonts w:eastAsia="Bookman Old Style" w:cs="Bookman Old Style"/>
          <w:lang w:val="es"/>
        </w:rPr>
      </w:pPr>
      <w:r>
        <w:rPr>
          <w:rFonts w:eastAsia="Bookman Old Style" w:cs="Bookman Old Style"/>
          <w:lang w:val="es"/>
        </w:rPr>
        <w:t>Mediante</w:t>
      </w:r>
      <w:r w:rsidRPr="0164A6BB">
        <w:rPr>
          <w:rFonts w:eastAsia="Bookman Old Style" w:cs="Bookman Old Style"/>
          <w:lang w:val="es"/>
        </w:rPr>
        <w:t xml:space="preserve"> la Resolución CREG 080 de 2019 se define un marco regulatorio general</w:t>
      </w:r>
      <w:r>
        <w:rPr>
          <w:rFonts w:eastAsia="Bookman Old Style" w:cs="Bookman Old Style"/>
          <w:lang w:val="es"/>
        </w:rPr>
        <w:t>,</w:t>
      </w:r>
      <w:r w:rsidRPr="0164A6BB">
        <w:rPr>
          <w:rFonts w:eastAsia="Bookman Old Style" w:cs="Bookman Old Style"/>
          <w:lang w:val="es"/>
        </w:rPr>
        <w:t xml:space="preserve"> en el que se establecen los lineamientos sobre los comportamientos esperados de los agentes que participan en la prestación del servicio. En este sentido, se dictan normas generales de comportamiento</w:t>
      </w:r>
      <w:r>
        <w:rPr>
          <w:rFonts w:eastAsia="Bookman Old Style" w:cs="Bookman Old Style"/>
          <w:lang w:val="es"/>
        </w:rPr>
        <w:t>,</w:t>
      </w:r>
      <w:r w:rsidRPr="0164A6BB">
        <w:rPr>
          <w:rFonts w:eastAsia="Bookman Old Style" w:cs="Bookman Old Style"/>
          <w:lang w:val="es"/>
        </w:rPr>
        <w:t xml:space="preserve"> concordantes con un buen funcionamiento del mercado, el libre acceso a los bienes esenciales, la transparencia, la neutralidad, la eficiencia, la libre competencia, la gestión de los intereses de los usuarios y la no utilización abusiva de la posición dominante.</w:t>
      </w:r>
    </w:p>
    <w:p w14:paraId="15005F9A" w14:textId="77777777" w:rsidR="009A60C3" w:rsidRDefault="009A60C3" w:rsidP="009A60C3">
      <w:pPr>
        <w:ind w:left="0"/>
        <w:jc w:val="both"/>
      </w:pPr>
    </w:p>
    <w:p w14:paraId="4A606339" w14:textId="77777777" w:rsidR="009A60C3" w:rsidRDefault="009A60C3" w:rsidP="009A60C3">
      <w:pPr>
        <w:ind w:left="0"/>
        <w:jc w:val="both"/>
      </w:pPr>
      <w:r>
        <w:t xml:space="preserve">Mediante la Resolución CREG 185 de 2020, la cual se hizo pública en el Diario Oficial No. </w:t>
      </w:r>
      <w:r w:rsidRPr="00076106">
        <w:t>51.492</w:t>
      </w:r>
      <w:r>
        <w:t xml:space="preserve"> el 8 de noviembre de 2020, la Comisión expidió las </w:t>
      </w:r>
      <w:r w:rsidRPr="00597E22">
        <w:t>disposiciones sobre la comercialización de capacidad de transporte en el mercado mayorista de gas natural</w:t>
      </w:r>
      <w:r>
        <w:t>, señalando en su artículo 39 que su implementación debería darse a más tardar el 5 de enero de 2021, una vez el gestor del mercado de gas desarrollara lo necesario para ello.</w:t>
      </w:r>
    </w:p>
    <w:p w14:paraId="6ECB5819" w14:textId="77777777" w:rsidR="009A60C3" w:rsidRDefault="009A60C3" w:rsidP="009A60C3">
      <w:pPr>
        <w:ind w:left="0"/>
        <w:jc w:val="both"/>
      </w:pPr>
    </w:p>
    <w:p w14:paraId="09FFA17C" w14:textId="77777777" w:rsidR="009A60C3" w:rsidRDefault="009A60C3" w:rsidP="009A60C3">
      <w:pPr>
        <w:ind w:left="0"/>
        <w:jc w:val="both"/>
      </w:pPr>
      <w:r>
        <w:t>Entre la fecha en la que se hizo pública la resolución en el Diario Oficial y el 5 de enero de 2021 los vendedores y compradores de capacidad de transporte tuvieron un espacio de tiempo para contratar sus necesidades, previendo que el primer trimestre estándar en la que se daría aplicación a las disposiciones de los artículos 15 y 22 de la resolución sería en el trimestre marzo – mayo de 2021 para iniciar la ejecución de los contratos a partir del siguiente o siguientes trimestres estándar.</w:t>
      </w:r>
    </w:p>
    <w:p w14:paraId="2EE2C2D4" w14:textId="77777777" w:rsidR="009A60C3" w:rsidRDefault="009A60C3" w:rsidP="009A60C3">
      <w:pPr>
        <w:ind w:left="0"/>
        <w:jc w:val="both"/>
      </w:pPr>
    </w:p>
    <w:p w14:paraId="4C58FC02" w14:textId="77777777" w:rsidR="009A60C3" w:rsidRDefault="009A60C3" w:rsidP="009A60C3">
      <w:pPr>
        <w:ind w:left="0"/>
        <w:jc w:val="both"/>
      </w:pPr>
      <w:r>
        <w:t>El gestor del mercado publicó mediante el Boletín No. 113 del 7 de diciembre de 2020 el cronograma de implementación de las disposiciones establecidas en la Resolución CREG 185 de 2020.</w:t>
      </w:r>
    </w:p>
    <w:p w14:paraId="0CC8AD06" w14:textId="77777777" w:rsidR="009A60C3" w:rsidRDefault="009A60C3" w:rsidP="009A60C3">
      <w:pPr>
        <w:ind w:left="0"/>
        <w:jc w:val="both"/>
      </w:pPr>
    </w:p>
    <w:p w14:paraId="09A27FEC" w14:textId="77777777" w:rsidR="009A60C3" w:rsidRDefault="009A60C3" w:rsidP="009A60C3">
      <w:pPr>
        <w:ind w:left="0"/>
        <w:jc w:val="both"/>
      </w:pPr>
      <w:r>
        <w:t xml:space="preserve">Tal como quedó previsto en el artículo 39 de la resolución, el 5 de enero de 2021 empezaron a regir las condiciones de la Resolución CREG 185 de 2021, derogando lo relacionado con la actividad de transporte de la Resolución CREG 114 de 2017. </w:t>
      </w:r>
    </w:p>
    <w:p w14:paraId="3A1231D0" w14:textId="77777777" w:rsidR="009A60C3" w:rsidRDefault="009A60C3" w:rsidP="009A60C3">
      <w:pPr>
        <w:ind w:left="0"/>
        <w:jc w:val="both"/>
      </w:pPr>
    </w:p>
    <w:p w14:paraId="670DD16D" w14:textId="77777777" w:rsidR="009A60C3" w:rsidRDefault="009A60C3" w:rsidP="009A60C3">
      <w:pPr>
        <w:ind w:left="0"/>
        <w:jc w:val="both"/>
      </w:pPr>
      <w:r>
        <w:t>Las negociaciones de contratos de capacidad de transporte de gas natural en el mercado primario, conforme al nuevo marco de comercialización de capacidad de transporte, Resolución CREG 185 de 2020, son por trimestres estándar. El primer trimestre estándar de negociación, una vez se desarrollaron las condiciones para su aplicación, es el trimestre comprendido entre marzo a mayo de 2021. Los contratos resultantes de dichas negociaciones aplican a partir del trimestre estándar siguiente, es decir, a partir de junio de 2021.</w:t>
      </w:r>
    </w:p>
    <w:p w14:paraId="18282CC6" w14:textId="77777777" w:rsidR="009A60C3" w:rsidRDefault="009A60C3" w:rsidP="009A60C3">
      <w:pPr>
        <w:ind w:left="0"/>
        <w:jc w:val="both"/>
      </w:pPr>
    </w:p>
    <w:p w14:paraId="584A6A2A" w14:textId="77777777" w:rsidR="009A60C3" w:rsidRDefault="009A60C3" w:rsidP="009A60C3">
      <w:pPr>
        <w:ind w:left="0"/>
        <w:jc w:val="both"/>
      </w:pPr>
      <w:r>
        <w:t>Con base en lo anterior, entre la fecha en que entraron a aplicar las disposiciones de la Resolución CREG 185 de 2020 (5 de enero de 2021) y la fecha de inicio de los contratos negociados conforme a sus reglas (junio de 2021), el mercado sólo cuenta con dos posibilidades para negociar y ejecutar capacidades de transporte de gas natural: i) mediante contratos de diarios (i.e. mecanismo de corto plazo). y ii) mediante contratos de contingencia</w:t>
      </w:r>
    </w:p>
    <w:p w14:paraId="39D7BCFA" w14:textId="77777777" w:rsidR="009A60C3" w:rsidRDefault="009A60C3" w:rsidP="009A60C3">
      <w:pPr>
        <w:ind w:left="0"/>
        <w:jc w:val="both"/>
      </w:pPr>
    </w:p>
    <w:p w14:paraId="1A95824C" w14:textId="3281E9AE" w:rsidR="009A60C3" w:rsidRDefault="009A60C3" w:rsidP="009A60C3">
      <w:pPr>
        <w:ind w:left="0"/>
        <w:jc w:val="both"/>
      </w:pPr>
      <w:r>
        <w:lastRenderedPageBreak/>
        <w:t>De acuerdo con lo anterior, la Comisión</w:t>
      </w:r>
      <w:r w:rsidR="00332C46">
        <w:t>,</w:t>
      </w:r>
      <w:r>
        <w:t xml:space="preserve"> a través del seguimiento y retroalimentación con los agentes de las disposiciones de la Resolución CREG 185 de 2020, evidencia lo siguiente: (i) que las condiciones de contratación posibles no satisfacen completamente las necesidades inmediatas para atender sus mercados en el trimestre de transición y (ii) que mediante el mecanismo de contratación de corto plazo</w:t>
      </w:r>
      <w:r w:rsidRPr="001F66E6">
        <w:t xml:space="preserve"> </w:t>
      </w:r>
      <w:r>
        <w:t xml:space="preserve">se restringe el acceso a la capacidad diaria disponible del transportador a los remitentes primarios que tienen contratos con el transportador en los tramos de interés, dejando sin posibilidad a aquellos agentes que no tienen este tipo de contratos. </w:t>
      </w:r>
    </w:p>
    <w:p w14:paraId="74B470DA" w14:textId="77777777" w:rsidR="009A60C3" w:rsidDel="00A13DE3" w:rsidRDefault="009A60C3" w:rsidP="009A60C3">
      <w:pPr>
        <w:ind w:left="0"/>
        <w:jc w:val="both"/>
      </w:pPr>
    </w:p>
    <w:p w14:paraId="495A53D4" w14:textId="77777777" w:rsidR="009A60C3" w:rsidRDefault="009A60C3" w:rsidP="009A60C3">
      <w:pPr>
        <w:ind w:left="0"/>
        <w:jc w:val="both"/>
      </w:pPr>
      <w:r>
        <w:t>Adicionalmente, en el tiempo transcurrido entre el 5 de enero de 2021 y la fecha, la Comisión ha tenido conocimiento de que se ha liberado capacidad de transporte, por terminación anticipada de contratos, la cual, por lo ya mencionado, sólo podría ser asignada mediante los contratos diarios o a través de los contratos de contingencia, en este último caso, si a ello hubiere lugar.</w:t>
      </w:r>
    </w:p>
    <w:p w14:paraId="294ED6F1" w14:textId="77777777" w:rsidR="009A60C3" w:rsidRDefault="009A60C3" w:rsidP="009A60C3">
      <w:pPr>
        <w:ind w:left="0"/>
        <w:jc w:val="both"/>
      </w:pPr>
    </w:p>
    <w:p w14:paraId="509896BE" w14:textId="77777777" w:rsidR="009A60C3" w:rsidRDefault="009A60C3" w:rsidP="009A60C3">
      <w:pPr>
        <w:ind w:left="0"/>
        <w:jc w:val="both"/>
      </w:pPr>
      <w:r>
        <w:t xml:space="preserve">Por lo anterior y atendiendo las necesidades del mercado, se hace necesario establecer una regla transitoria que propenda por: (i) definir condiciones para negociaciones y ejecuciones de capacidad de transporte de gas natural hasta tanto, en el mercado primario, se puedan ejecutar los contratos producto de las negociaciones conforme al artículo 15 de la Resolución CREG 185 de 2020; y (ii) establecer condiciones que permitan la participación de la mayoría de los agentes del mercado.   </w:t>
      </w:r>
    </w:p>
    <w:p w14:paraId="08DBE3E6" w14:textId="77777777" w:rsidR="009A60C3" w:rsidRDefault="009A60C3" w:rsidP="009A60C3">
      <w:pPr>
        <w:ind w:left="0"/>
        <w:jc w:val="both"/>
      </w:pPr>
    </w:p>
    <w:p w14:paraId="76C29F1B" w14:textId="723287B8" w:rsidR="009A60C3" w:rsidRDefault="009A60C3" w:rsidP="009A60C3">
      <w:pPr>
        <w:ind w:left="0"/>
        <w:jc w:val="both"/>
      </w:pPr>
      <w:r>
        <w:t xml:space="preserve">En este sentido, mediante la </w:t>
      </w:r>
      <w:r w:rsidR="00E86722">
        <w:t xml:space="preserve">Resolución CREG </w:t>
      </w:r>
      <w:r w:rsidR="00630C58">
        <w:t>022 de 2021</w:t>
      </w:r>
      <w:r w:rsidR="00DF038D">
        <w:t>,</w:t>
      </w:r>
      <w:r>
        <w:t xml:space="preserve"> se p</w:t>
      </w:r>
      <w:r w:rsidR="00630C58">
        <w:t>uso</w:t>
      </w:r>
      <w:r>
        <w:t xml:space="preserve"> en consulta del mercado la posibilidad de transar y ejecutar transitoriamente contratos de transporte con interrupciones, hasta tanto inicie el período de ejecución de los contratos transados en el trimestre estándar de marzo a mayo de 2021. </w:t>
      </w:r>
    </w:p>
    <w:p w14:paraId="3DE34762" w14:textId="533642E8" w:rsidR="00787FD2" w:rsidRDefault="00787FD2" w:rsidP="009A60C3">
      <w:pPr>
        <w:ind w:left="0"/>
        <w:jc w:val="both"/>
      </w:pPr>
    </w:p>
    <w:p w14:paraId="63B1A2FC" w14:textId="4FA92711" w:rsidR="00787FD2" w:rsidRDefault="00787FD2" w:rsidP="009A60C3">
      <w:pPr>
        <w:ind w:left="0"/>
        <w:jc w:val="both"/>
      </w:pPr>
      <w:r>
        <w:t xml:space="preserve">En el proceso de consulta </w:t>
      </w:r>
      <w:r w:rsidR="00E933B7">
        <w:t xml:space="preserve">las siguientes empresas </w:t>
      </w:r>
      <w:r w:rsidR="00DF038D">
        <w:t>enviaron</w:t>
      </w:r>
      <w:r w:rsidR="00E933B7">
        <w:t xml:space="preserve"> comentarios:</w:t>
      </w:r>
    </w:p>
    <w:p w14:paraId="20ABEEF7" w14:textId="7EFB3FB6" w:rsidR="00E933B7" w:rsidRDefault="00E933B7" w:rsidP="009A60C3">
      <w:pPr>
        <w:ind w:left="0"/>
        <w:jc w:val="both"/>
      </w:pPr>
    </w:p>
    <w:tbl>
      <w:tblPr>
        <w:tblW w:w="3942" w:type="pct"/>
        <w:jc w:val="center"/>
        <w:tblCellMar>
          <w:left w:w="0" w:type="dxa"/>
          <w:right w:w="0" w:type="dxa"/>
        </w:tblCellMar>
        <w:tblLook w:val="0600" w:firstRow="0" w:lastRow="0" w:firstColumn="0" w:lastColumn="0" w:noHBand="1" w:noVBand="1"/>
      </w:tblPr>
      <w:tblGrid>
        <w:gridCol w:w="409"/>
        <w:gridCol w:w="2727"/>
        <w:gridCol w:w="4225"/>
      </w:tblGrid>
      <w:tr w:rsidR="003A4A4D" w:rsidRPr="003A4A4D" w14:paraId="26EAB3D3" w14:textId="77777777" w:rsidTr="003B37A0">
        <w:trPr>
          <w:trHeight w:val="385"/>
          <w:tblHeader/>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bottom"/>
            <w:hideMark/>
          </w:tcPr>
          <w:p w14:paraId="26874DFF" w14:textId="77777777" w:rsidR="003A4A4D" w:rsidRPr="003A4A4D" w:rsidRDefault="003A4A4D" w:rsidP="003A4A4D">
            <w:pPr>
              <w:ind w:left="0"/>
              <w:jc w:val="both"/>
            </w:pP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bottom"/>
            <w:hideMark/>
          </w:tcPr>
          <w:p w14:paraId="2FC7EF54" w14:textId="77777777" w:rsidR="003A4A4D" w:rsidRPr="003A4A4D" w:rsidRDefault="003A4A4D" w:rsidP="003A4A4D">
            <w:pPr>
              <w:ind w:left="0"/>
              <w:jc w:val="both"/>
            </w:pPr>
            <w:r w:rsidRPr="003A4A4D">
              <w:rPr>
                <w:b/>
                <w:bCs/>
                <w:lang w:val="es-MX"/>
              </w:rPr>
              <w:t>RADICADO CREG</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bottom"/>
            <w:hideMark/>
          </w:tcPr>
          <w:p w14:paraId="24352C21" w14:textId="77777777" w:rsidR="003A4A4D" w:rsidRPr="003A4A4D" w:rsidRDefault="003A4A4D" w:rsidP="003A4A4D">
            <w:pPr>
              <w:ind w:left="0"/>
              <w:jc w:val="both"/>
            </w:pPr>
            <w:r w:rsidRPr="003A4A4D">
              <w:rPr>
                <w:b/>
                <w:bCs/>
                <w:lang w:val="es-MX"/>
              </w:rPr>
              <w:t>REMITENTE</w:t>
            </w:r>
          </w:p>
        </w:tc>
      </w:tr>
      <w:tr w:rsidR="003A4A4D" w:rsidRPr="003A4A4D" w14:paraId="37271F54" w14:textId="77777777" w:rsidTr="003B37A0">
        <w:trPr>
          <w:trHeight w:val="487"/>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15016438" w14:textId="77777777" w:rsidR="003A4A4D" w:rsidRPr="003A4A4D" w:rsidRDefault="003A4A4D" w:rsidP="003A4A4D">
            <w:pPr>
              <w:ind w:left="0"/>
              <w:jc w:val="both"/>
            </w:pPr>
            <w:r w:rsidRPr="003A4A4D">
              <w:rPr>
                <w:lang w:val="es-MX"/>
              </w:rPr>
              <w:t>1</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716E8584" w14:textId="77777777" w:rsidR="003A4A4D" w:rsidRPr="003A4A4D" w:rsidRDefault="003A4A4D" w:rsidP="003A4A4D">
            <w:pPr>
              <w:ind w:left="0"/>
              <w:jc w:val="both"/>
            </w:pPr>
            <w:r w:rsidRPr="003A4A4D">
              <w:rPr>
                <w:lang w:val="es-MX"/>
              </w:rPr>
              <w:t>E-2021-003532</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38051C9A" w14:textId="7D22D958" w:rsidR="003A4A4D" w:rsidRPr="003A4A4D" w:rsidRDefault="003A4A4D" w:rsidP="003A4A4D">
            <w:pPr>
              <w:ind w:left="0"/>
              <w:jc w:val="both"/>
            </w:pPr>
            <w:r w:rsidRPr="003A4A4D">
              <w:rPr>
                <w:lang w:val="es-MX"/>
              </w:rPr>
              <w:t>HEMBERTH SUAREZ</w:t>
            </w:r>
            <w:r w:rsidR="006A0B70">
              <w:rPr>
                <w:lang w:val="es-MX"/>
              </w:rPr>
              <w:t xml:space="preserve"> LOZANO</w:t>
            </w:r>
          </w:p>
        </w:tc>
      </w:tr>
      <w:tr w:rsidR="003A4A4D" w:rsidRPr="003A4A4D" w14:paraId="42C15BF9" w14:textId="77777777" w:rsidTr="003B37A0">
        <w:trPr>
          <w:trHeight w:val="487"/>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72E9BC1E" w14:textId="50CE896D" w:rsidR="003A4A4D" w:rsidRPr="003A4A4D" w:rsidRDefault="0082444B" w:rsidP="003A4A4D">
            <w:pPr>
              <w:ind w:left="0"/>
              <w:jc w:val="both"/>
            </w:pPr>
            <w:r>
              <w:rPr>
                <w:lang w:val="es-MX"/>
              </w:rPr>
              <w:t xml:space="preserve"> </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0BE2CC9A" w14:textId="77777777" w:rsidR="003A4A4D" w:rsidRPr="003A4A4D" w:rsidRDefault="003A4A4D" w:rsidP="003A4A4D">
            <w:pPr>
              <w:ind w:left="0"/>
              <w:jc w:val="both"/>
            </w:pPr>
            <w:r w:rsidRPr="003A4A4D">
              <w:rPr>
                <w:lang w:val="es-MX"/>
              </w:rPr>
              <w:t>E-2021-003592</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16CFF39C" w14:textId="77777777" w:rsidR="003A4A4D" w:rsidRPr="003A4A4D" w:rsidRDefault="003A4A4D" w:rsidP="003A4A4D">
            <w:pPr>
              <w:ind w:left="0"/>
              <w:jc w:val="both"/>
            </w:pPr>
            <w:r w:rsidRPr="003A4A4D">
              <w:rPr>
                <w:lang w:val="es-MX"/>
              </w:rPr>
              <w:t>GESTOR DEL MERCADO DE GAS</w:t>
            </w:r>
          </w:p>
        </w:tc>
      </w:tr>
      <w:tr w:rsidR="003A4A4D" w:rsidRPr="003A4A4D" w14:paraId="6B61DE77" w14:textId="77777777" w:rsidTr="003B37A0">
        <w:trPr>
          <w:trHeight w:val="487"/>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5F88FF06" w14:textId="0AB3B907" w:rsidR="003A4A4D" w:rsidRPr="003A4A4D" w:rsidRDefault="003B37A0" w:rsidP="003A4A4D">
            <w:pPr>
              <w:ind w:left="0"/>
              <w:jc w:val="both"/>
            </w:pPr>
            <w:r>
              <w:t>3</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25AC7A8C" w14:textId="77777777" w:rsidR="003A4A4D" w:rsidRPr="003A4A4D" w:rsidRDefault="003A4A4D" w:rsidP="003A4A4D">
            <w:pPr>
              <w:ind w:left="0"/>
              <w:jc w:val="both"/>
            </w:pPr>
            <w:r w:rsidRPr="003A4A4D">
              <w:rPr>
                <w:lang w:val="es-MX"/>
              </w:rPr>
              <w:t>E-2021-003603</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64E61FE1" w14:textId="30AED38F" w:rsidR="003A4A4D" w:rsidRPr="003A4A4D" w:rsidRDefault="003A4A4D" w:rsidP="003A4A4D">
            <w:pPr>
              <w:ind w:left="0"/>
              <w:jc w:val="both"/>
            </w:pPr>
            <w:r w:rsidRPr="003A4A4D">
              <w:rPr>
                <w:lang w:val="es-MX"/>
              </w:rPr>
              <w:t>CANACOL</w:t>
            </w:r>
            <w:r w:rsidR="003B37A0">
              <w:rPr>
                <w:lang w:val="es-MX"/>
              </w:rPr>
              <w:t xml:space="preserve"> S.A.</w:t>
            </w:r>
          </w:p>
        </w:tc>
      </w:tr>
      <w:tr w:rsidR="003A4A4D" w:rsidRPr="003A4A4D" w14:paraId="2BB64804" w14:textId="77777777" w:rsidTr="003B37A0">
        <w:trPr>
          <w:trHeight w:val="487"/>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24A0725E" w14:textId="1620FF4B" w:rsidR="003A4A4D" w:rsidRPr="003A4A4D" w:rsidRDefault="003B37A0" w:rsidP="003A4A4D">
            <w:pPr>
              <w:ind w:left="0"/>
              <w:jc w:val="both"/>
            </w:pPr>
            <w:r>
              <w:t>4</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3A5052CC" w14:textId="77777777" w:rsidR="003A4A4D" w:rsidRPr="003A4A4D" w:rsidRDefault="003A4A4D" w:rsidP="003A4A4D">
            <w:pPr>
              <w:ind w:left="0"/>
              <w:jc w:val="both"/>
            </w:pPr>
            <w:r w:rsidRPr="003A4A4D">
              <w:rPr>
                <w:lang w:val="es-MX"/>
              </w:rPr>
              <w:t>E-2021-003613</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36851D00" w14:textId="219F1FE3" w:rsidR="003A4A4D" w:rsidRPr="003A4A4D" w:rsidRDefault="003A4A4D" w:rsidP="003A4A4D">
            <w:pPr>
              <w:ind w:left="0"/>
              <w:jc w:val="both"/>
            </w:pPr>
            <w:r w:rsidRPr="003A4A4D">
              <w:rPr>
                <w:lang w:val="es-MX"/>
              </w:rPr>
              <w:t>GECELCA</w:t>
            </w:r>
            <w:r w:rsidR="004755E8">
              <w:rPr>
                <w:lang w:val="es-MX"/>
              </w:rPr>
              <w:t xml:space="preserve"> S.A. E.S.P.</w:t>
            </w:r>
          </w:p>
        </w:tc>
      </w:tr>
      <w:tr w:rsidR="003A4A4D" w:rsidRPr="003A4A4D" w14:paraId="5B725320" w14:textId="77777777" w:rsidTr="003B37A0">
        <w:trPr>
          <w:trHeight w:val="580"/>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0AF59214" w14:textId="013AE8A1" w:rsidR="003A4A4D" w:rsidRPr="003A4A4D" w:rsidRDefault="003B37A0" w:rsidP="003A4A4D">
            <w:pPr>
              <w:ind w:left="0"/>
              <w:jc w:val="both"/>
            </w:pPr>
            <w:r>
              <w:t>5</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09F1CDD4" w14:textId="77777777" w:rsidR="003A4A4D" w:rsidRPr="003A4A4D" w:rsidRDefault="003A4A4D" w:rsidP="003A4A4D">
            <w:pPr>
              <w:ind w:left="0"/>
              <w:jc w:val="both"/>
            </w:pPr>
            <w:r w:rsidRPr="003A4A4D">
              <w:rPr>
                <w:lang w:val="es-MX"/>
              </w:rPr>
              <w:t>E-2021-003623</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1C71F936" w14:textId="2044C6C7" w:rsidR="00B76D88" w:rsidRPr="003A4A4D" w:rsidRDefault="003A4A4D" w:rsidP="003A4A4D">
            <w:pPr>
              <w:ind w:left="0"/>
              <w:jc w:val="both"/>
              <w:rPr>
                <w:lang w:val="es-MX"/>
              </w:rPr>
            </w:pPr>
            <w:r w:rsidRPr="003A4A4D">
              <w:rPr>
                <w:lang w:val="es-MX"/>
              </w:rPr>
              <w:t>PROMIGAS</w:t>
            </w:r>
            <w:r w:rsidR="00B76D88">
              <w:rPr>
                <w:lang w:val="es-MX"/>
              </w:rPr>
              <w:t xml:space="preserve"> S.A. E.S.P.</w:t>
            </w:r>
          </w:p>
        </w:tc>
      </w:tr>
      <w:tr w:rsidR="003A4A4D" w:rsidRPr="003A4A4D" w14:paraId="22F9FA05" w14:textId="77777777" w:rsidTr="003B37A0">
        <w:trPr>
          <w:trHeight w:val="654"/>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4BEBC98B" w14:textId="79D196E5" w:rsidR="003A4A4D" w:rsidRPr="003A4A4D" w:rsidRDefault="003B37A0" w:rsidP="003A4A4D">
            <w:pPr>
              <w:ind w:left="0"/>
              <w:jc w:val="both"/>
            </w:pPr>
            <w:r>
              <w:t>6</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2F9FA7F3" w14:textId="77777777" w:rsidR="003A4A4D" w:rsidRPr="003A4A4D" w:rsidRDefault="003A4A4D" w:rsidP="003A4A4D">
            <w:pPr>
              <w:ind w:left="0"/>
              <w:jc w:val="both"/>
            </w:pPr>
            <w:r w:rsidRPr="003A4A4D">
              <w:rPr>
                <w:lang w:val="es-MX"/>
              </w:rPr>
              <w:t>E-2021-003625-003628</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1AFACF93" w14:textId="1BE22375" w:rsidR="003A4A4D" w:rsidRPr="003A4A4D" w:rsidRDefault="003A4A4D" w:rsidP="003A4A4D">
            <w:pPr>
              <w:ind w:left="0"/>
              <w:jc w:val="both"/>
            </w:pPr>
            <w:r w:rsidRPr="003A4A4D">
              <w:rPr>
                <w:lang w:val="es-MX"/>
              </w:rPr>
              <w:t>LLANOGAS</w:t>
            </w:r>
            <w:r w:rsidR="00B76D88">
              <w:rPr>
                <w:lang w:val="es-MX"/>
              </w:rPr>
              <w:t xml:space="preserve"> S.A. E.S.P.</w:t>
            </w:r>
          </w:p>
        </w:tc>
      </w:tr>
      <w:tr w:rsidR="003A4A4D" w:rsidRPr="003A4A4D" w14:paraId="3380341D" w14:textId="77777777" w:rsidTr="003B37A0">
        <w:trPr>
          <w:trHeight w:val="487"/>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6AF94D75" w14:textId="4A99BEB7" w:rsidR="003A4A4D" w:rsidRPr="003A4A4D" w:rsidRDefault="003B37A0" w:rsidP="003A4A4D">
            <w:pPr>
              <w:ind w:left="0"/>
              <w:jc w:val="both"/>
            </w:pPr>
            <w:r>
              <w:t>7</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791D71D1" w14:textId="77777777" w:rsidR="003A4A4D" w:rsidRPr="003A4A4D" w:rsidRDefault="003A4A4D" w:rsidP="003A4A4D">
            <w:pPr>
              <w:ind w:left="0"/>
              <w:jc w:val="both"/>
            </w:pPr>
            <w:r w:rsidRPr="003A4A4D">
              <w:rPr>
                <w:lang w:val="es-MX"/>
              </w:rPr>
              <w:t>E-2021-003633</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79A469EA" w14:textId="2BF42CA5" w:rsidR="003A4A4D" w:rsidRPr="003A4A4D" w:rsidRDefault="003A4A4D" w:rsidP="003A4A4D">
            <w:pPr>
              <w:ind w:left="0"/>
              <w:jc w:val="both"/>
            </w:pPr>
            <w:r w:rsidRPr="003A4A4D">
              <w:rPr>
                <w:lang w:val="es-MX"/>
              </w:rPr>
              <w:t>TGI</w:t>
            </w:r>
            <w:r w:rsidR="00B76D88">
              <w:rPr>
                <w:lang w:val="es-MX"/>
              </w:rPr>
              <w:t xml:space="preserve"> </w:t>
            </w:r>
            <w:r w:rsidR="00AF04A0">
              <w:rPr>
                <w:lang w:val="es-MX"/>
              </w:rPr>
              <w:t>S.A. E.S.P.</w:t>
            </w:r>
          </w:p>
        </w:tc>
      </w:tr>
      <w:tr w:rsidR="003A4A4D" w:rsidRPr="003A4A4D" w14:paraId="7D450CA7" w14:textId="77777777" w:rsidTr="003B37A0">
        <w:trPr>
          <w:trHeight w:val="593"/>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585C0AFC" w14:textId="4C0615D6" w:rsidR="003A4A4D" w:rsidRPr="003A4A4D" w:rsidRDefault="003B37A0" w:rsidP="003A4A4D">
            <w:pPr>
              <w:ind w:left="0"/>
              <w:jc w:val="both"/>
            </w:pPr>
            <w:r>
              <w:t>8</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5E1E4634" w14:textId="77777777" w:rsidR="003A4A4D" w:rsidRPr="003A4A4D" w:rsidRDefault="003A4A4D" w:rsidP="003A4A4D">
            <w:pPr>
              <w:ind w:left="0"/>
              <w:jc w:val="both"/>
            </w:pPr>
            <w:r w:rsidRPr="003A4A4D">
              <w:rPr>
                <w:lang w:val="es-MX"/>
              </w:rPr>
              <w:t>E-2021-003634</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4A781EDE" w14:textId="77777777" w:rsidR="003A4A4D" w:rsidRPr="003A4A4D" w:rsidRDefault="003A4A4D" w:rsidP="003A4A4D">
            <w:pPr>
              <w:ind w:left="0"/>
              <w:jc w:val="both"/>
            </w:pPr>
            <w:r w:rsidRPr="003A4A4D">
              <w:rPr>
                <w:lang w:val="es-MX"/>
              </w:rPr>
              <w:t>NATURGAS</w:t>
            </w:r>
          </w:p>
        </w:tc>
      </w:tr>
      <w:tr w:rsidR="003A4A4D" w:rsidRPr="003A4A4D" w14:paraId="715D60DB" w14:textId="77777777" w:rsidTr="003B37A0">
        <w:trPr>
          <w:trHeight w:val="595"/>
          <w:jc w:val="center"/>
        </w:trPr>
        <w:tc>
          <w:tcPr>
            <w:tcW w:w="278"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5D0352FC" w14:textId="7AF85794" w:rsidR="003A4A4D" w:rsidRPr="003A4A4D" w:rsidRDefault="003B37A0" w:rsidP="003A4A4D">
            <w:pPr>
              <w:ind w:left="0"/>
              <w:jc w:val="both"/>
            </w:pPr>
            <w:r>
              <w:t>9</w:t>
            </w:r>
          </w:p>
        </w:tc>
        <w:tc>
          <w:tcPr>
            <w:tcW w:w="1852"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6393722C" w14:textId="77777777" w:rsidR="003A4A4D" w:rsidRPr="003A4A4D" w:rsidRDefault="003A4A4D" w:rsidP="003A4A4D">
            <w:pPr>
              <w:ind w:left="0"/>
              <w:jc w:val="both"/>
            </w:pPr>
            <w:r w:rsidRPr="003A4A4D">
              <w:rPr>
                <w:lang w:val="es-MX"/>
              </w:rPr>
              <w:t>E-2021-003638</w:t>
            </w:r>
          </w:p>
        </w:tc>
        <w:tc>
          <w:tcPr>
            <w:tcW w:w="2870" w:type="pct"/>
            <w:tcBorders>
              <w:top w:val="single" w:sz="8" w:space="0" w:color="4472C4"/>
              <w:left w:val="single" w:sz="8" w:space="0" w:color="4472C4"/>
              <w:bottom w:val="single" w:sz="8" w:space="0" w:color="4472C4"/>
              <w:right w:val="single" w:sz="8" w:space="0" w:color="4472C4"/>
            </w:tcBorders>
            <w:shd w:val="clear" w:color="auto" w:fill="auto"/>
            <w:tcMar>
              <w:top w:w="3" w:type="dxa"/>
              <w:left w:w="3" w:type="dxa"/>
              <w:bottom w:w="0" w:type="dxa"/>
              <w:right w:w="3" w:type="dxa"/>
            </w:tcMar>
            <w:vAlign w:val="center"/>
            <w:hideMark/>
          </w:tcPr>
          <w:p w14:paraId="2A900004" w14:textId="763E6D5C" w:rsidR="003A4A4D" w:rsidRPr="003A4A4D" w:rsidRDefault="003A4A4D" w:rsidP="003A4A4D">
            <w:pPr>
              <w:ind w:left="0"/>
              <w:jc w:val="both"/>
            </w:pPr>
            <w:r w:rsidRPr="003A4A4D">
              <w:rPr>
                <w:lang w:val="es-MX"/>
              </w:rPr>
              <w:t>ALCANOS</w:t>
            </w:r>
            <w:r w:rsidR="00B76D88">
              <w:rPr>
                <w:lang w:val="es-MX"/>
              </w:rPr>
              <w:t xml:space="preserve"> S.A. E.S.P.</w:t>
            </w:r>
          </w:p>
        </w:tc>
      </w:tr>
    </w:tbl>
    <w:p w14:paraId="07C81BFC" w14:textId="0F860812" w:rsidR="00E933B7" w:rsidRDefault="00E933B7" w:rsidP="009A60C3">
      <w:pPr>
        <w:ind w:left="0"/>
        <w:jc w:val="both"/>
      </w:pPr>
    </w:p>
    <w:p w14:paraId="23F0579C" w14:textId="41AE7DBE" w:rsidR="002C15C1" w:rsidRDefault="002C15C1" w:rsidP="009A60C3">
      <w:pPr>
        <w:ind w:left="0"/>
        <w:jc w:val="both"/>
      </w:pPr>
      <w:r>
        <w:t>Del análisis de los comentarios</w:t>
      </w:r>
      <w:r w:rsidR="00EE2A8F">
        <w:t xml:space="preserve"> se resalta que</w:t>
      </w:r>
      <w:r w:rsidR="00DF038D">
        <w:t>,</w:t>
      </w:r>
      <w:r w:rsidR="00EE2A8F">
        <w:t xml:space="preserve"> en general</w:t>
      </w:r>
      <w:r w:rsidR="00DF038D">
        <w:t>,</w:t>
      </w:r>
      <w:r w:rsidR="00EE2A8F">
        <w:t xml:space="preserve"> l</w:t>
      </w:r>
      <w:r w:rsidR="008C045F">
        <w:t>a</w:t>
      </w:r>
      <w:r w:rsidR="00EE2A8F">
        <w:t xml:space="preserve">s </w:t>
      </w:r>
      <w:r w:rsidR="008C045F">
        <w:t>empresas</w:t>
      </w:r>
      <w:r w:rsidR="00EE2A8F">
        <w:t xml:space="preserve"> </w:t>
      </w:r>
      <w:r w:rsidR="006778E7">
        <w:t xml:space="preserve">consideran oportuna la flexibilidad. Sin embargo, </w:t>
      </w:r>
      <w:r w:rsidR="001C67EC">
        <w:t>varias solicit</w:t>
      </w:r>
      <w:r w:rsidR="002912B7">
        <w:t>an</w:t>
      </w:r>
      <w:r w:rsidR="001C67EC">
        <w:t xml:space="preserve"> ampliar la disposición para que sea </w:t>
      </w:r>
      <w:r w:rsidR="002912B7">
        <w:t>posible que en la transición se incorporen contratos firmes o que garantizan firmeza.</w:t>
      </w:r>
    </w:p>
    <w:p w14:paraId="3966E940" w14:textId="3C0F0575" w:rsidR="00A81D07" w:rsidRDefault="00A81D07" w:rsidP="009A60C3">
      <w:pPr>
        <w:ind w:left="0"/>
        <w:jc w:val="both"/>
      </w:pPr>
    </w:p>
    <w:p w14:paraId="27511EBD" w14:textId="43131A0B" w:rsidR="00A81D07" w:rsidRDefault="00A81D07" w:rsidP="009A60C3">
      <w:pPr>
        <w:ind w:left="0"/>
        <w:jc w:val="both"/>
      </w:pPr>
      <w:r>
        <w:t xml:space="preserve">En el análisis de la anterior solicitud la CREG </w:t>
      </w:r>
      <w:r w:rsidR="00AB04FD">
        <w:t xml:space="preserve">encuentra oportuno que en la transición se permita también la suscripción de contratos firmes o que garantizan firmeza </w:t>
      </w:r>
      <w:r w:rsidR="00425C2C">
        <w:t>de cualquier duración</w:t>
      </w:r>
      <w:r w:rsidR="00DF038D">
        <w:t>,</w:t>
      </w:r>
      <w:r w:rsidR="00425C2C">
        <w:t xml:space="preserve"> siempre y cuando estos finalicen </w:t>
      </w:r>
      <w:r w:rsidR="00355599">
        <w:t>el 31 de mayo de 2021.</w:t>
      </w:r>
      <w:r w:rsidR="00950F56">
        <w:t xml:space="preserve"> </w:t>
      </w:r>
      <w:r w:rsidR="006741B4">
        <w:t>Este ajuste no pone en riesgo la eficacia de las disposiciones contenidas en la Resolución CREG 185 de 2020</w:t>
      </w:r>
      <w:r w:rsidR="00DF038D">
        <w:t>,</w:t>
      </w:r>
      <w:r w:rsidR="006741B4">
        <w:t xml:space="preserve"> y </w:t>
      </w:r>
      <w:r w:rsidR="0064520B">
        <w:t xml:space="preserve">permite a </w:t>
      </w:r>
      <w:r w:rsidR="000614C1">
        <w:t>los vendedores</w:t>
      </w:r>
      <w:r w:rsidR="00E13B5B">
        <w:t xml:space="preserve"> y compradores mayor flexibilidad en </w:t>
      </w:r>
      <w:r w:rsidR="00D131C1">
        <w:t>el presente trimestre.</w:t>
      </w:r>
    </w:p>
    <w:p w14:paraId="74239FAD" w14:textId="15B19E25" w:rsidR="009042F6" w:rsidRDefault="009042F6" w:rsidP="009A60C3">
      <w:pPr>
        <w:ind w:left="0"/>
        <w:jc w:val="both"/>
      </w:pPr>
    </w:p>
    <w:p w14:paraId="5A0CB34D" w14:textId="4EDAEE3D" w:rsidR="009042F6" w:rsidRDefault="009042F6" w:rsidP="009A60C3">
      <w:pPr>
        <w:ind w:left="0"/>
        <w:jc w:val="both"/>
      </w:pPr>
      <w:r>
        <w:t>Algun</w:t>
      </w:r>
      <w:r w:rsidR="00E657FE">
        <w:t xml:space="preserve">as empresas solicitaron que se permita en esta transición </w:t>
      </w:r>
      <w:r w:rsidR="0058210A">
        <w:t xml:space="preserve">que en los compradores del mercado primario se </w:t>
      </w:r>
      <w:r w:rsidR="003B227A">
        <w:t xml:space="preserve">permita la participación de los productores – comercializadores </w:t>
      </w:r>
      <w:r w:rsidR="0010743C">
        <w:t xml:space="preserve">para </w:t>
      </w:r>
      <w:r w:rsidR="003B227A">
        <w:t xml:space="preserve">comprar capacidad de transporte de gas </w:t>
      </w:r>
      <w:r w:rsidR="00A55705">
        <w:t>para la atención del servicio.</w:t>
      </w:r>
      <w:r w:rsidR="0010743C">
        <w:t xml:space="preserve"> Al respecto la Comisión considera que </w:t>
      </w:r>
      <w:r w:rsidR="005B23CF">
        <w:t>las disposiciones que rigen esta materia están en la Resolución CREG 185 de 2020</w:t>
      </w:r>
      <w:r w:rsidR="00DF038D">
        <w:t>,</w:t>
      </w:r>
      <w:r w:rsidR="005B23CF">
        <w:t xml:space="preserve"> y </w:t>
      </w:r>
      <w:r w:rsidR="00E7722A">
        <w:t xml:space="preserve">regulatoriamente no se encuentra necesario </w:t>
      </w:r>
      <w:r w:rsidR="00201A06">
        <w:t>modificar esa disposición.</w:t>
      </w:r>
    </w:p>
    <w:p w14:paraId="1399F6F8" w14:textId="14433E88" w:rsidR="00B154E2" w:rsidRDefault="00B154E2" w:rsidP="009A60C3">
      <w:pPr>
        <w:ind w:left="0"/>
        <w:jc w:val="both"/>
      </w:pPr>
    </w:p>
    <w:p w14:paraId="72C2A84B" w14:textId="49EE749D" w:rsidR="00F013D9" w:rsidRDefault="00F013D9" w:rsidP="009A60C3">
      <w:pPr>
        <w:ind w:left="0"/>
        <w:jc w:val="both"/>
      </w:pPr>
      <w:r>
        <w:t>Con respecto al precio de los contratos con interrupciones se recibieron comentarios</w:t>
      </w:r>
      <w:r w:rsidR="00DF038D">
        <w:t>,</w:t>
      </w:r>
      <w:r>
        <w:t xml:space="preserve"> </w:t>
      </w:r>
      <w:r w:rsidR="00885F76">
        <w:t>por un lado</w:t>
      </w:r>
      <w:r w:rsidR="00DF038D">
        <w:t>,</w:t>
      </w:r>
      <w:r w:rsidR="00885F76">
        <w:t xml:space="preserve"> solicitando que </w:t>
      </w:r>
      <w:r w:rsidR="0064074A">
        <w:t>se defina el precio de esos contratos</w:t>
      </w:r>
      <w:r w:rsidR="00DF038D">
        <w:t>,</w:t>
      </w:r>
      <w:r w:rsidR="0064074A">
        <w:t xml:space="preserve"> y por otro lado</w:t>
      </w:r>
      <w:r w:rsidR="00DF038D">
        <w:t>,</w:t>
      </w:r>
      <w:r w:rsidR="0064074A">
        <w:t xml:space="preserve"> solicitando que ese precio no sea el que se estableció en la Resolución CREG 185 de 2020. Sobre esta mater</w:t>
      </w:r>
      <w:r w:rsidR="007C478A">
        <w:t>ia la Comisión indica que el cargo que ri</w:t>
      </w:r>
      <w:r w:rsidR="000E2856">
        <w:t>ge los contratos con interrupciones se estableció en la mencionada resolución</w:t>
      </w:r>
      <w:r w:rsidR="00864545">
        <w:t xml:space="preserve">. Las </w:t>
      </w:r>
      <w:r w:rsidR="00126BE6">
        <w:t xml:space="preserve">justificaciones regulatorias están en los documentos </w:t>
      </w:r>
      <w:r w:rsidR="001C744A">
        <w:t xml:space="preserve">CREG </w:t>
      </w:r>
      <w:r w:rsidR="00EF6D18">
        <w:t>050 de 2019</w:t>
      </w:r>
      <w:r w:rsidR="006C32CE">
        <w:t xml:space="preserve"> y CREG 149</w:t>
      </w:r>
      <w:r w:rsidR="00390A46">
        <w:t xml:space="preserve"> de 2020. En este aspecto</w:t>
      </w:r>
      <w:r w:rsidR="00DF038D">
        <w:t>,</w:t>
      </w:r>
      <w:r w:rsidR="00390A46">
        <w:t xml:space="preserve"> </w:t>
      </w:r>
      <w:r w:rsidR="00126BE6">
        <w:t xml:space="preserve">la Comisión no encuentra </w:t>
      </w:r>
      <w:r w:rsidR="00390A46">
        <w:t>necesarios ajustes</w:t>
      </w:r>
      <w:r w:rsidR="00885592">
        <w:t xml:space="preserve"> </w:t>
      </w:r>
      <w:r w:rsidR="00390A46">
        <w:t>en el precio que tienen los contratos con interrupciones.</w:t>
      </w:r>
    </w:p>
    <w:p w14:paraId="235EC3A0" w14:textId="77777777" w:rsidR="009A60C3" w:rsidRDefault="009A60C3" w:rsidP="009A60C3">
      <w:pPr>
        <w:ind w:left="0"/>
        <w:jc w:val="both"/>
      </w:pPr>
    </w:p>
    <w:p w14:paraId="05838B7F" w14:textId="5BFC7EBB" w:rsidR="009A60C3" w:rsidRDefault="009A60C3" w:rsidP="009A60C3">
      <w:pPr>
        <w:ind w:left="0"/>
        <w:jc w:val="both"/>
      </w:pPr>
      <w:r>
        <w:t>La anterior disposición transitoria no afectará la eficacia de la Resolución CREG 185 de 2020, toda vez que, conforme al artículo 15 de dicha resolución, los contratos que se negocian en el trimestre estándar de marzo a mayo de 2021 iniciarán ejecución en el siguiente trimestre estándar</w:t>
      </w:r>
      <w:r w:rsidR="00DF038D">
        <w:t>.</w:t>
      </w:r>
      <w:r>
        <w:t xml:space="preserve"> </w:t>
      </w:r>
    </w:p>
    <w:p w14:paraId="173C39E6" w14:textId="2E51DCE7" w:rsidR="009A60C3" w:rsidRDefault="009A60C3" w:rsidP="00E912C1">
      <w:pPr>
        <w:ind w:left="0"/>
        <w:jc w:val="both"/>
      </w:pPr>
    </w:p>
    <w:p w14:paraId="75993F9E" w14:textId="3AC28E69" w:rsidR="00902A23" w:rsidRDefault="00902A23" w:rsidP="00902A23">
      <w:pPr>
        <w:ind w:left="0"/>
        <w:contextualSpacing/>
        <w:jc w:val="both"/>
        <w:rPr>
          <w:lang w:val="es-CO"/>
        </w:rPr>
      </w:pPr>
      <w:r w:rsidRPr="006F3DAD">
        <w:rPr>
          <w:lang w:val="es-CO"/>
        </w:rPr>
        <w:t>Con base en lo establecido en el artículo 4 del Decreto 2897 de 2010</w:t>
      </w:r>
      <w:r>
        <w:rPr>
          <w:lang w:val="es-CO"/>
        </w:rPr>
        <w:t>,</w:t>
      </w:r>
      <w:r w:rsidRPr="6455B2CE">
        <w:rPr>
          <w:lang w:val="es-CO"/>
        </w:rPr>
        <w:t xml:space="preserve"> compilado en el Decreto 1074 de 2015</w:t>
      </w:r>
      <w:r w:rsidRPr="006F3DAD">
        <w:rPr>
          <w:lang w:val="es-CO"/>
        </w:rPr>
        <w:t>, reglamentario de la Ley 1340 de 2009, se respondió el cuestionario establecido por la Superintendencia de Industria y Comercio para efectos de evaluar la incidencia sobre la libre competencia de los mercados, donde</w:t>
      </w:r>
      <w:r>
        <w:rPr>
          <w:lang w:val="es-CO"/>
        </w:rPr>
        <w:t>,</w:t>
      </w:r>
      <w:r w:rsidRPr="006F3DAD">
        <w:rPr>
          <w:lang w:val="es-CO"/>
        </w:rPr>
        <w:t xml:space="preserve"> aplicando las reglas allí previstas, la respuesta al conjunto de preguntas fue negativa, en la medida en que no plantea ninguna restricción indebida a la libre competencia.</w:t>
      </w:r>
    </w:p>
    <w:p w14:paraId="54DE2B15" w14:textId="6A27B5C5" w:rsidR="00F03362" w:rsidRDefault="00F03362" w:rsidP="00902A23">
      <w:pPr>
        <w:ind w:left="0"/>
        <w:contextualSpacing/>
        <w:jc w:val="both"/>
        <w:rPr>
          <w:lang w:val="es-CO"/>
        </w:rPr>
      </w:pPr>
    </w:p>
    <w:p w14:paraId="7A013516" w14:textId="172FE4FE" w:rsidR="00F03362" w:rsidRPr="00F03362" w:rsidRDefault="00F03362" w:rsidP="00F03362">
      <w:pPr>
        <w:ind w:left="0"/>
        <w:contextualSpacing/>
        <w:jc w:val="both"/>
        <w:rPr>
          <w:lang w:val="es-CO"/>
        </w:rPr>
      </w:pPr>
      <w:r w:rsidRPr="00F03362">
        <w:rPr>
          <w:lang w:val="es-CO"/>
        </w:rPr>
        <w:t xml:space="preserve">Que la Comisión de Regulación de Energía y Gas, en sesión </w:t>
      </w:r>
      <w:r w:rsidR="00012120">
        <w:rPr>
          <w:lang w:val="es-CO"/>
        </w:rPr>
        <w:t>1087</w:t>
      </w:r>
      <w:r w:rsidRPr="00F03362">
        <w:rPr>
          <w:lang w:val="es-CO"/>
        </w:rPr>
        <w:t xml:space="preserve"> del </w:t>
      </w:r>
      <w:r w:rsidR="00572D4F" w:rsidRPr="00DF038D">
        <w:rPr>
          <w:lang w:val="es-CO"/>
        </w:rPr>
        <w:t>09</w:t>
      </w:r>
      <w:r w:rsidRPr="00DF038D">
        <w:rPr>
          <w:lang w:val="es-CO"/>
        </w:rPr>
        <w:t xml:space="preserve"> de </w:t>
      </w:r>
      <w:r w:rsidR="00DF038D" w:rsidRPr="00DF038D">
        <w:rPr>
          <w:lang w:val="es-CO"/>
        </w:rPr>
        <w:t>abril</w:t>
      </w:r>
      <w:r w:rsidRPr="00DF038D">
        <w:rPr>
          <w:lang w:val="es-CO"/>
        </w:rPr>
        <w:t xml:space="preserve"> de 2021, decidió aprobar la presente resolución. En consec</w:t>
      </w:r>
      <w:r w:rsidRPr="00F03362">
        <w:rPr>
          <w:lang w:val="es-CO"/>
        </w:rPr>
        <w:t xml:space="preserve">uencia, </w:t>
      </w:r>
    </w:p>
    <w:p w14:paraId="15944EA1" w14:textId="77777777" w:rsidR="00902A23" w:rsidRPr="00902A23" w:rsidRDefault="00902A23" w:rsidP="00E912C1">
      <w:pPr>
        <w:ind w:left="0"/>
        <w:jc w:val="both"/>
        <w:rPr>
          <w:lang w:val="es-CO"/>
        </w:rPr>
      </w:pPr>
    </w:p>
    <w:p w14:paraId="562B393F" w14:textId="108B63A1" w:rsidR="00045D3D" w:rsidRPr="00AC0260" w:rsidRDefault="00045D3D" w:rsidP="00AC0260">
      <w:pPr>
        <w:ind w:left="0"/>
        <w:jc w:val="center"/>
        <w:rPr>
          <w:b/>
        </w:rPr>
      </w:pPr>
      <w:r w:rsidRPr="00AC0260">
        <w:rPr>
          <w:b/>
        </w:rPr>
        <w:t>R E S U E L V E:</w:t>
      </w:r>
    </w:p>
    <w:p w14:paraId="76111413" w14:textId="77777777" w:rsidR="009A60C3" w:rsidRPr="00F766A9" w:rsidRDefault="009A60C3" w:rsidP="004754F4">
      <w:pPr>
        <w:ind w:left="0"/>
        <w:rPr>
          <w:rFonts w:cs="Arial"/>
          <w:color w:val="000000" w:themeColor="text1"/>
        </w:rPr>
      </w:pPr>
      <w:bookmarkStart w:id="0" w:name="_Ref330309365"/>
    </w:p>
    <w:bookmarkEnd w:id="0"/>
    <w:p w14:paraId="190B4E70" w14:textId="3AE77E3A" w:rsidR="00DA6ECF" w:rsidRPr="001319B3" w:rsidRDefault="00DA6ECF" w:rsidP="00DA6ECF">
      <w:pPr>
        <w:pStyle w:val="ARTICULOS"/>
        <w:tabs>
          <w:tab w:val="clear" w:pos="1559"/>
          <w:tab w:val="left" w:pos="1560"/>
        </w:tabs>
        <w:ind w:left="0" w:firstLine="0"/>
        <w:outlineLvl w:val="0"/>
        <w:rPr>
          <w:rFonts w:cs="Arial"/>
          <w:bCs w:val="0"/>
          <w:color w:val="000000" w:themeColor="text1"/>
          <w:lang w:val="es-ES"/>
        </w:rPr>
      </w:pPr>
      <w:r w:rsidRPr="001319B3">
        <w:rPr>
          <w:rFonts w:cs="Arial"/>
          <w:b/>
          <w:color w:val="000000" w:themeColor="text1"/>
          <w:lang w:val="es-ES"/>
        </w:rPr>
        <w:t xml:space="preserve">Artículo 1 Objeto. </w:t>
      </w:r>
      <w:r w:rsidRPr="001319B3">
        <w:rPr>
          <w:rFonts w:cs="Arial"/>
          <w:bCs w:val="0"/>
          <w:color w:val="000000" w:themeColor="text1"/>
          <w:lang w:val="es-ES"/>
        </w:rPr>
        <w:t>Mediante la presente resolución se establece una disposición transitoria para la comercialización de capacidad de transporte de gas natural.</w:t>
      </w:r>
    </w:p>
    <w:p w14:paraId="4409FDC0" w14:textId="77777777" w:rsidR="001319B3" w:rsidRPr="00DA6ECF" w:rsidRDefault="001319B3" w:rsidP="001319B3">
      <w:pPr>
        <w:pStyle w:val="ARTICULOS"/>
        <w:numPr>
          <w:ilvl w:val="0"/>
          <w:numId w:val="0"/>
        </w:numPr>
        <w:tabs>
          <w:tab w:val="clear" w:pos="1559"/>
          <w:tab w:val="left" w:pos="1560"/>
        </w:tabs>
        <w:outlineLvl w:val="0"/>
        <w:rPr>
          <w:rFonts w:cs="Arial"/>
          <w:bCs w:val="0"/>
          <w:color w:val="000000" w:themeColor="text1"/>
          <w:lang w:val="es-ES"/>
        </w:rPr>
      </w:pPr>
    </w:p>
    <w:p w14:paraId="61CCD023" w14:textId="1A8E72A0" w:rsidR="00DA6ECF" w:rsidRPr="00DA6ECF" w:rsidRDefault="00DA6ECF" w:rsidP="001319B3">
      <w:pPr>
        <w:pStyle w:val="ARTICULOS"/>
        <w:tabs>
          <w:tab w:val="clear" w:pos="1559"/>
          <w:tab w:val="left" w:pos="1560"/>
        </w:tabs>
        <w:ind w:left="0" w:firstLine="0"/>
        <w:outlineLvl w:val="0"/>
        <w:rPr>
          <w:rFonts w:cs="Arial"/>
          <w:bCs w:val="0"/>
          <w:color w:val="000000" w:themeColor="text1"/>
          <w:lang w:val="es-ES"/>
        </w:rPr>
      </w:pPr>
      <w:r w:rsidRPr="001319B3">
        <w:rPr>
          <w:rFonts w:cs="Arial"/>
          <w:b/>
          <w:color w:val="000000" w:themeColor="text1"/>
          <w:lang w:val="es-ES"/>
        </w:rPr>
        <w:lastRenderedPageBreak/>
        <w:t xml:space="preserve">Disposición transitoria para la negociación de contratos de transporte </w:t>
      </w:r>
      <w:r w:rsidR="00C27377">
        <w:rPr>
          <w:rFonts w:cs="Arial"/>
          <w:b/>
          <w:color w:val="000000" w:themeColor="text1"/>
          <w:lang w:val="es-ES"/>
        </w:rPr>
        <w:t xml:space="preserve">firmes y </w:t>
      </w:r>
      <w:r w:rsidRPr="001319B3">
        <w:rPr>
          <w:rFonts w:cs="Arial"/>
          <w:b/>
          <w:color w:val="000000" w:themeColor="text1"/>
          <w:lang w:val="es-ES"/>
        </w:rPr>
        <w:t xml:space="preserve">con interrupciones. </w:t>
      </w:r>
      <w:r w:rsidRPr="001319B3">
        <w:rPr>
          <w:rFonts w:cs="Arial"/>
          <w:bCs w:val="0"/>
          <w:color w:val="000000" w:themeColor="text1"/>
          <w:lang w:val="es-ES"/>
        </w:rPr>
        <w:t>En el mercado primario, los vendedores y los compradores podrán negociar contratos</w:t>
      </w:r>
      <w:r w:rsidR="0038203F">
        <w:rPr>
          <w:rFonts w:cs="Arial"/>
          <w:bCs w:val="0"/>
          <w:color w:val="000000" w:themeColor="text1"/>
          <w:lang w:val="es-ES"/>
        </w:rPr>
        <w:t xml:space="preserve"> firmes</w:t>
      </w:r>
      <w:r w:rsidR="00BD2717">
        <w:rPr>
          <w:rFonts w:cs="Arial"/>
          <w:bCs w:val="0"/>
          <w:color w:val="000000" w:themeColor="text1"/>
          <w:lang w:val="es-ES"/>
        </w:rPr>
        <w:t xml:space="preserve"> o que garantizan firmeza</w:t>
      </w:r>
      <w:r w:rsidR="00DF038D">
        <w:rPr>
          <w:rFonts w:cs="Arial"/>
          <w:bCs w:val="0"/>
          <w:color w:val="000000" w:themeColor="text1"/>
          <w:lang w:val="es-ES"/>
        </w:rPr>
        <w:t>,</w:t>
      </w:r>
      <w:r w:rsidR="0038203F">
        <w:rPr>
          <w:rFonts w:cs="Arial"/>
          <w:bCs w:val="0"/>
          <w:color w:val="000000" w:themeColor="text1"/>
          <w:lang w:val="es-ES"/>
        </w:rPr>
        <w:t xml:space="preserve"> </w:t>
      </w:r>
      <w:r w:rsidR="006B7FD7">
        <w:rPr>
          <w:rFonts w:cs="Arial"/>
          <w:bCs w:val="0"/>
          <w:color w:val="000000" w:themeColor="text1"/>
          <w:lang w:val="es-ES"/>
        </w:rPr>
        <w:t>y</w:t>
      </w:r>
      <w:r w:rsidR="00B62EDD">
        <w:rPr>
          <w:rFonts w:cs="Arial"/>
          <w:bCs w:val="0"/>
          <w:color w:val="000000" w:themeColor="text1"/>
          <w:lang w:val="es-ES"/>
        </w:rPr>
        <w:t xml:space="preserve"> contratos</w:t>
      </w:r>
      <w:r w:rsidRPr="001319B3">
        <w:rPr>
          <w:rFonts w:cs="Arial"/>
          <w:bCs w:val="0"/>
          <w:color w:val="000000" w:themeColor="text1"/>
          <w:lang w:val="es-ES"/>
        </w:rPr>
        <w:t xml:space="preserve"> con interrupciones</w:t>
      </w:r>
      <w:r w:rsidR="00DF038D">
        <w:rPr>
          <w:rFonts w:cs="Arial"/>
          <w:bCs w:val="0"/>
          <w:color w:val="000000" w:themeColor="text1"/>
          <w:lang w:val="es-ES"/>
        </w:rPr>
        <w:t>,</w:t>
      </w:r>
      <w:r w:rsidR="00EF6CEE">
        <w:rPr>
          <w:rFonts w:cs="Arial"/>
          <w:bCs w:val="0"/>
          <w:color w:val="000000" w:themeColor="text1"/>
          <w:lang w:val="es-ES"/>
        </w:rPr>
        <w:t xml:space="preserve"> </w:t>
      </w:r>
      <w:r w:rsidR="00B62EDD">
        <w:rPr>
          <w:rFonts w:cs="Arial"/>
          <w:bCs w:val="0"/>
          <w:color w:val="000000" w:themeColor="text1"/>
          <w:lang w:val="es-ES"/>
        </w:rPr>
        <w:t>conforme a las definiciones del artículo 3 de la Resolución CREG 185 de 2020,</w:t>
      </w:r>
      <w:r w:rsidRPr="001319B3">
        <w:rPr>
          <w:rFonts w:cs="Arial"/>
          <w:bCs w:val="0"/>
          <w:color w:val="000000" w:themeColor="text1"/>
          <w:lang w:val="es-ES"/>
        </w:rPr>
        <w:t xml:space="preserve"> a partir de la entrada en vigencia de la presente resolución</w:t>
      </w:r>
      <w:r w:rsidR="0065400C">
        <w:rPr>
          <w:rFonts w:cs="Arial"/>
          <w:bCs w:val="0"/>
          <w:color w:val="000000" w:themeColor="text1"/>
          <w:lang w:val="es-ES"/>
        </w:rPr>
        <w:t>, de cualquier duración</w:t>
      </w:r>
      <w:r w:rsidRPr="001319B3">
        <w:rPr>
          <w:rFonts w:cs="Arial"/>
          <w:bCs w:val="0"/>
          <w:color w:val="000000" w:themeColor="text1"/>
          <w:lang w:val="es-ES"/>
        </w:rPr>
        <w:t xml:space="preserve"> y con una fecha máxima de </w:t>
      </w:r>
      <w:r w:rsidR="00D94FC0">
        <w:rPr>
          <w:rFonts w:cs="Arial"/>
          <w:bCs w:val="0"/>
          <w:color w:val="000000" w:themeColor="text1"/>
          <w:lang w:val="es-ES"/>
        </w:rPr>
        <w:t>finalización</w:t>
      </w:r>
      <w:r w:rsidRPr="001319B3">
        <w:rPr>
          <w:rFonts w:cs="Arial"/>
          <w:bCs w:val="0"/>
          <w:color w:val="000000" w:themeColor="text1"/>
          <w:lang w:val="es-ES"/>
        </w:rPr>
        <w:t xml:space="preserve"> al 31 de mayo de 2021.</w:t>
      </w:r>
      <w:r w:rsidR="00FC4A13">
        <w:rPr>
          <w:rFonts w:cs="Arial"/>
          <w:bCs w:val="0"/>
          <w:color w:val="000000" w:themeColor="text1"/>
          <w:lang w:val="es-ES"/>
        </w:rPr>
        <w:t xml:space="preserve"> </w:t>
      </w:r>
    </w:p>
    <w:p w14:paraId="7F3ACA62" w14:textId="77777777" w:rsidR="008F7D63" w:rsidRDefault="008F7D63" w:rsidP="00EC06BE">
      <w:pPr>
        <w:pStyle w:val="ARTICULOS"/>
        <w:numPr>
          <w:ilvl w:val="0"/>
          <w:numId w:val="0"/>
        </w:numPr>
        <w:tabs>
          <w:tab w:val="clear" w:pos="1559"/>
          <w:tab w:val="left" w:pos="1560"/>
        </w:tabs>
        <w:ind w:left="284" w:hanging="360"/>
        <w:outlineLvl w:val="0"/>
        <w:rPr>
          <w:rFonts w:cs="Arial"/>
          <w:b/>
          <w:color w:val="000000" w:themeColor="text1"/>
        </w:rPr>
      </w:pPr>
    </w:p>
    <w:p w14:paraId="653CBB5E" w14:textId="2049E840" w:rsidR="00452CDE" w:rsidRPr="00452CDE" w:rsidRDefault="00452CDE" w:rsidP="001319B3">
      <w:pPr>
        <w:pStyle w:val="ARTICULOS"/>
        <w:numPr>
          <w:ilvl w:val="0"/>
          <w:numId w:val="0"/>
        </w:numPr>
        <w:tabs>
          <w:tab w:val="clear" w:pos="1559"/>
          <w:tab w:val="left" w:pos="1560"/>
        </w:tabs>
        <w:outlineLvl w:val="0"/>
        <w:rPr>
          <w:rFonts w:cs="Arial"/>
          <w:bCs w:val="0"/>
          <w:color w:val="000000" w:themeColor="text1"/>
          <w:lang w:val="es-MX"/>
        </w:rPr>
      </w:pPr>
      <w:r>
        <w:rPr>
          <w:rFonts w:cs="Arial"/>
          <w:b/>
          <w:color w:val="000000" w:themeColor="text1"/>
          <w:lang w:val="es-MX"/>
        </w:rPr>
        <w:t xml:space="preserve">Parágrafo </w:t>
      </w:r>
      <w:r w:rsidR="001B3CB2">
        <w:rPr>
          <w:rFonts w:cs="Arial"/>
          <w:b/>
          <w:color w:val="000000" w:themeColor="text1"/>
          <w:lang w:val="es-MX"/>
        </w:rPr>
        <w:t>1</w:t>
      </w:r>
      <w:r>
        <w:rPr>
          <w:rFonts w:cs="Arial"/>
          <w:b/>
          <w:color w:val="000000" w:themeColor="text1"/>
          <w:lang w:val="es-MX"/>
        </w:rPr>
        <w:t xml:space="preserve">. </w:t>
      </w:r>
      <w:r w:rsidR="00531D78" w:rsidRPr="00531D78">
        <w:rPr>
          <w:rFonts w:cs="Arial"/>
          <w:bCs w:val="0"/>
          <w:color w:val="000000" w:themeColor="text1"/>
          <w:lang w:val="es-MX"/>
        </w:rPr>
        <w:t>E</w:t>
      </w:r>
      <w:r>
        <w:rPr>
          <w:rFonts w:cs="Arial"/>
          <w:bCs w:val="0"/>
          <w:color w:val="000000" w:themeColor="text1"/>
          <w:lang w:val="es-MX"/>
        </w:rPr>
        <w:t xml:space="preserve">l proceso de registro de los contratos que se </w:t>
      </w:r>
      <w:r w:rsidR="00CB5B2C">
        <w:rPr>
          <w:rFonts w:cs="Arial"/>
          <w:bCs w:val="0"/>
          <w:color w:val="000000" w:themeColor="text1"/>
          <w:lang w:val="es-MX"/>
        </w:rPr>
        <w:t xml:space="preserve">negocien con las disposiciones de la presente resolución </w:t>
      </w:r>
      <w:r w:rsidR="00B412D2">
        <w:rPr>
          <w:rFonts w:cs="Arial"/>
          <w:bCs w:val="0"/>
          <w:color w:val="000000" w:themeColor="text1"/>
          <w:lang w:val="es-MX"/>
        </w:rPr>
        <w:t xml:space="preserve">se </w:t>
      </w:r>
      <w:r w:rsidR="006D4C18">
        <w:rPr>
          <w:rFonts w:cs="Arial"/>
          <w:bCs w:val="0"/>
          <w:color w:val="000000" w:themeColor="text1"/>
          <w:lang w:val="es-MX"/>
        </w:rPr>
        <w:t>hará a través de los medios y formatos que para estos efectos requiera el gestor del mercado de gas natural.</w:t>
      </w:r>
    </w:p>
    <w:p w14:paraId="4CBBBFE4" w14:textId="77777777" w:rsidR="00452CDE" w:rsidRDefault="00452CDE" w:rsidP="001319B3">
      <w:pPr>
        <w:pStyle w:val="ARTICULOS"/>
        <w:numPr>
          <w:ilvl w:val="0"/>
          <w:numId w:val="0"/>
        </w:numPr>
        <w:tabs>
          <w:tab w:val="clear" w:pos="1559"/>
          <w:tab w:val="left" w:pos="1560"/>
        </w:tabs>
        <w:outlineLvl w:val="0"/>
        <w:rPr>
          <w:rFonts w:cs="Arial"/>
          <w:b/>
          <w:color w:val="000000" w:themeColor="text1"/>
        </w:rPr>
      </w:pPr>
    </w:p>
    <w:p w14:paraId="6EC4801A" w14:textId="43983ABA" w:rsidR="00CC05D0" w:rsidRPr="00200F42" w:rsidRDefault="00DA6ECF" w:rsidP="001319B3">
      <w:pPr>
        <w:pStyle w:val="ARTICULOS"/>
        <w:numPr>
          <w:ilvl w:val="0"/>
          <w:numId w:val="0"/>
        </w:numPr>
        <w:tabs>
          <w:tab w:val="clear" w:pos="1559"/>
          <w:tab w:val="left" w:pos="1560"/>
        </w:tabs>
        <w:outlineLvl w:val="0"/>
        <w:rPr>
          <w:rFonts w:cs="Arial"/>
          <w:color w:val="000000" w:themeColor="text1"/>
          <w:lang w:val="es-MX"/>
        </w:rPr>
      </w:pPr>
      <w:r w:rsidRPr="00200F42">
        <w:rPr>
          <w:rFonts w:cs="Arial"/>
          <w:b/>
          <w:color w:val="000000" w:themeColor="text1"/>
        </w:rPr>
        <w:t>Parágrafo</w:t>
      </w:r>
      <w:r w:rsidR="00452CDE">
        <w:rPr>
          <w:rFonts w:cs="Arial"/>
          <w:b/>
          <w:color w:val="000000" w:themeColor="text1"/>
          <w:lang w:val="es-MX"/>
        </w:rPr>
        <w:t xml:space="preserve"> </w:t>
      </w:r>
      <w:r w:rsidR="001B3CB2">
        <w:rPr>
          <w:rFonts w:cs="Arial"/>
          <w:b/>
          <w:color w:val="000000" w:themeColor="text1"/>
          <w:lang w:val="es-MX"/>
        </w:rPr>
        <w:t>2</w:t>
      </w:r>
      <w:r w:rsidRPr="00200F42">
        <w:rPr>
          <w:rFonts w:cs="Arial"/>
          <w:b/>
          <w:color w:val="000000" w:themeColor="text1"/>
        </w:rPr>
        <w:t xml:space="preserve">. </w:t>
      </w:r>
      <w:r w:rsidRPr="00200F42">
        <w:rPr>
          <w:rFonts w:cs="Arial"/>
          <w:color w:val="000000" w:themeColor="text1"/>
        </w:rPr>
        <w:t>En caso de presentarse solicitudes de capacidad de transporte de gas natural superiores a la capacidad disponible primaria</w:t>
      </w:r>
      <w:r w:rsidR="00F21944">
        <w:rPr>
          <w:rFonts w:cs="Arial"/>
          <w:color w:val="000000" w:themeColor="text1"/>
          <w:lang w:val="es-MX"/>
        </w:rPr>
        <w:t>,</w:t>
      </w:r>
      <w:r w:rsidRPr="00200F42">
        <w:rPr>
          <w:rFonts w:cs="Arial"/>
          <w:color w:val="000000" w:themeColor="text1"/>
        </w:rPr>
        <w:t xml:space="preserve"> los transportadores deberán asignar bajo el mecanismo de prorrata</w:t>
      </w:r>
      <w:r w:rsidR="00CE7B5E" w:rsidRPr="00200F42">
        <w:rPr>
          <w:rFonts w:cs="Arial"/>
          <w:color w:val="000000" w:themeColor="text1"/>
          <w:lang w:val="es-MX"/>
        </w:rPr>
        <w:t xml:space="preserve"> </w:t>
      </w:r>
      <w:r w:rsidR="00CC05D0" w:rsidRPr="00200F42">
        <w:rPr>
          <w:rFonts w:cs="Arial"/>
          <w:color w:val="000000" w:themeColor="text1"/>
          <w:lang w:val="es-MX"/>
        </w:rPr>
        <w:t>la capacidad solicitada</w:t>
      </w:r>
      <w:r w:rsidR="006A5054">
        <w:rPr>
          <w:rFonts w:cs="Arial"/>
          <w:color w:val="000000" w:themeColor="text1"/>
          <w:lang w:val="es-MX"/>
        </w:rPr>
        <w:t>, dando prioridad a los contratos firmes.</w:t>
      </w:r>
    </w:p>
    <w:p w14:paraId="7AE77BE1" w14:textId="77777777" w:rsidR="00CC05D0" w:rsidRPr="00200F42" w:rsidRDefault="00CC05D0" w:rsidP="001319B3">
      <w:pPr>
        <w:pStyle w:val="ARTICULOS"/>
        <w:numPr>
          <w:ilvl w:val="0"/>
          <w:numId w:val="0"/>
        </w:numPr>
        <w:tabs>
          <w:tab w:val="clear" w:pos="1559"/>
          <w:tab w:val="left" w:pos="1560"/>
        </w:tabs>
        <w:outlineLvl w:val="0"/>
        <w:rPr>
          <w:rFonts w:cs="Arial"/>
          <w:color w:val="000000" w:themeColor="text1"/>
          <w:lang w:val="es-MX"/>
        </w:rPr>
      </w:pPr>
    </w:p>
    <w:p w14:paraId="0959CA6D" w14:textId="0BC6C6BD" w:rsidR="00DA6ECF" w:rsidRPr="00200F42" w:rsidRDefault="00CC05D0" w:rsidP="001319B3">
      <w:pPr>
        <w:pStyle w:val="ARTICULOS"/>
        <w:numPr>
          <w:ilvl w:val="0"/>
          <w:numId w:val="0"/>
        </w:numPr>
        <w:tabs>
          <w:tab w:val="clear" w:pos="1559"/>
          <w:tab w:val="left" w:pos="1560"/>
        </w:tabs>
        <w:outlineLvl w:val="0"/>
        <w:rPr>
          <w:rFonts w:cs="Arial"/>
          <w:color w:val="000000" w:themeColor="text1"/>
        </w:rPr>
      </w:pPr>
      <w:r w:rsidRPr="00200F42">
        <w:rPr>
          <w:rFonts w:cs="Arial"/>
          <w:color w:val="000000" w:themeColor="text1"/>
          <w:lang w:val="es-MX"/>
        </w:rPr>
        <w:t xml:space="preserve">El valor máximo de capacidad que los compradores podrán solicitar será </w:t>
      </w:r>
      <w:r w:rsidR="009F35B5" w:rsidRPr="00200F42">
        <w:rPr>
          <w:rFonts w:cs="Arial"/>
          <w:color w:val="000000" w:themeColor="text1"/>
          <w:lang w:val="es-MX"/>
        </w:rPr>
        <w:t xml:space="preserve">hasta </w:t>
      </w:r>
      <w:r w:rsidRPr="00200F42">
        <w:rPr>
          <w:rFonts w:cs="Arial"/>
          <w:color w:val="000000" w:themeColor="text1"/>
          <w:lang w:val="es-MX"/>
        </w:rPr>
        <w:t xml:space="preserve">el valor </w:t>
      </w:r>
      <w:r w:rsidR="00DD6DC3" w:rsidRPr="00200F42">
        <w:rPr>
          <w:rFonts w:cs="Arial"/>
          <w:color w:val="000000" w:themeColor="text1"/>
          <w:lang w:val="es-MX"/>
        </w:rPr>
        <w:t>de la capacidad disponible primaria</w:t>
      </w:r>
      <w:r w:rsidR="00EB2219" w:rsidRPr="00200F42">
        <w:rPr>
          <w:rFonts w:cs="Arial"/>
          <w:color w:val="000000" w:themeColor="text1"/>
          <w:lang w:val="es-MX"/>
        </w:rPr>
        <w:t xml:space="preserve"> </w:t>
      </w:r>
      <w:r w:rsidR="009A60C3">
        <w:rPr>
          <w:rFonts w:cs="Arial"/>
          <w:color w:val="000000" w:themeColor="text1"/>
          <w:lang w:val="es-MX"/>
        </w:rPr>
        <w:t xml:space="preserve">y </w:t>
      </w:r>
      <w:r w:rsidR="00EB2219" w:rsidRPr="00200F42">
        <w:rPr>
          <w:rFonts w:cs="Arial"/>
          <w:color w:val="000000" w:themeColor="text1"/>
          <w:lang w:val="es-MX"/>
        </w:rPr>
        <w:t>teniendo en cuenta su</w:t>
      </w:r>
      <w:r w:rsidR="00200F42" w:rsidRPr="00200F42">
        <w:rPr>
          <w:rFonts w:cs="Arial"/>
          <w:color w:val="000000" w:themeColor="text1"/>
          <w:lang w:val="es-MX"/>
        </w:rPr>
        <w:t>s</w:t>
      </w:r>
      <w:r w:rsidR="00EB2219" w:rsidRPr="00200F42">
        <w:rPr>
          <w:rFonts w:cs="Arial"/>
          <w:color w:val="000000" w:themeColor="text1"/>
          <w:lang w:val="es-MX"/>
        </w:rPr>
        <w:t xml:space="preserve"> necesidades</w:t>
      </w:r>
      <w:r w:rsidR="00DA6ECF" w:rsidRPr="00200F42">
        <w:rPr>
          <w:rFonts w:cs="Arial"/>
          <w:color w:val="000000" w:themeColor="text1"/>
        </w:rPr>
        <w:t>.</w:t>
      </w:r>
    </w:p>
    <w:p w14:paraId="005E07C4" w14:textId="08446988" w:rsidR="00DA6ECF" w:rsidRDefault="00DA6ECF" w:rsidP="00AE365A">
      <w:pPr>
        <w:pStyle w:val="ARTICULOS"/>
        <w:numPr>
          <w:ilvl w:val="0"/>
          <w:numId w:val="0"/>
        </w:numPr>
        <w:tabs>
          <w:tab w:val="clear" w:pos="1559"/>
          <w:tab w:val="left" w:pos="1560"/>
        </w:tabs>
        <w:outlineLvl w:val="0"/>
        <w:rPr>
          <w:rFonts w:cs="Arial"/>
          <w:color w:val="000000" w:themeColor="text1"/>
        </w:rPr>
      </w:pPr>
    </w:p>
    <w:p w14:paraId="1074FA56" w14:textId="42018334" w:rsidR="003C6DD6" w:rsidRDefault="00856263" w:rsidP="009605AC">
      <w:pPr>
        <w:pStyle w:val="ARTICULOS"/>
        <w:keepNext/>
        <w:widowControl/>
        <w:tabs>
          <w:tab w:val="clear" w:pos="1559"/>
          <w:tab w:val="left" w:pos="1560"/>
          <w:tab w:val="left" w:pos="1701"/>
        </w:tabs>
        <w:ind w:left="0" w:firstLine="0"/>
        <w:outlineLvl w:val="0"/>
        <w:rPr>
          <w:rFonts w:cs="Arial"/>
          <w:bCs w:val="0"/>
          <w:color w:val="000000" w:themeColor="text1"/>
          <w:lang w:val="es-ES"/>
        </w:rPr>
      </w:pPr>
      <w:r>
        <w:rPr>
          <w:rFonts w:cs="Arial"/>
          <w:b/>
          <w:color w:val="000000" w:themeColor="text1"/>
          <w:lang w:val="es-ES"/>
        </w:rPr>
        <w:t xml:space="preserve">Negociación de contratos. </w:t>
      </w:r>
      <w:r w:rsidR="009605AC" w:rsidRPr="009605AC">
        <w:rPr>
          <w:rFonts w:cs="Arial"/>
          <w:bCs w:val="0"/>
          <w:color w:val="000000" w:themeColor="text1"/>
          <w:lang w:val="es-ES"/>
        </w:rPr>
        <w:t xml:space="preserve">En el proceso de negociación </w:t>
      </w:r>
      <w:r>
        <w:rPr>
          <w:rFonts w:cs="Arial"/>
          <w:bCs w:val="0"/>
          <w:color w:val="000000" w:themeColor="text1"/>
          <w:lang w:val="es-ES"/>
        </w:rPr>
        <w:t xml:space="preserve">de los contratos </w:t>
      </w:r>
      <w:r w:rsidR="00C60A0D">
        <w:rPr>
          <w:rFonts w:cs="Arial"/>
          <w:bCs w:val="0"/>
          <w:color w:val="000000" w:themeColor="text1"/>
          <w:lang w:val="es-ES"/>
        </w:rPr>
        <w:t>de que trata esta resolución</w:t>
      </w:r>
      <w:r w:rsidR="0099041B">
        <w:rPr>
          <w:rFonts w:cs="Arial"/>
          <w:bCs w:val="0"/>
          <w:color w:val="000000" w:themeColor="text1"/>
          <w:lang w:val="es-ES"/>
        </w:rPr>
        <w:t>,</w:t>
      </w:r>
      <w:r w:rsidR="00C60A0D">
        <w:rPr>
          <w:rFonts w:cs="Arial"/>
          <w:bCs w:val="0"/>
          <w:color w:val="000000" w:themeColor="text1"/>
          <w:lang w:val="es-ES"/>
        </w:rPr>
        <w:t xml:space="preserve"> </w:t>
      </w:r>
      <w:r w:rsidR="009605AC" w:rsidRPr="009605AC">
        <w:rPr>
          <w:rFonts w:cs="Arial"/>
          <w:bCs w:val="0"/>
          <w:color w:val="000000" w:themeColor="text1"/>
          <w:lang w:val="es-ES"/>
        </w:rPr>
        <w:t>los vendedores</w:t>
      </w:r>
      <w:r w:rsidR="0099041B">
        <w:rPr>
          <w:rFonts w:cs="Arial"/>
          <w:bCs w:val="0"/>
          <w:color w:val="000000" w:themeColor="text1"/>
          <w:lang w:val="es-ES"/>
        </w:rPr>
        <w:t xml:space="preserve"> del mercado primario</w:t>
      </w:r>
      <w:r w:rsidR="009605AC" w:rsidRPr="009605AC">
        <w:rPr>
          <w:rFonts w:cs="Arial"/>
          <w:bCs w:val="0"/>
          <w:color w:val="000000" w:themeColor="text1"/>
          <w:lang w:val="es-ES"/>
        </w:rPr>
        <w:t xml:space="preserve"> </w:t>
      </w:r>
      <w:r w:rsidR="0099041B">
        <w:rPr>
          <w:rFonts w:cs="Arial"/>
          <w:bCs w:val="0"/>
          <w:color w:val="000000" w:themeColor="text1"/>
          <w:lang w:val="es-ES"/>
        </w:rPr>
        <w:t xml:space="preserve">deberán </w:t>
      </w:r>
      <w:r w:rsidR="008030BC">
        <w:rPr>
          <w:rFonts w:cs="Arial"/>
          <w:bCs w:val="0"/>
          <w:color w:val="000000" w:themeColor="text1"/>
          <w:lang w:val="es-ES"/>
        </w:rPr>
        <w:t xml:space="preserve">propender por asignar </w:t>
      </w:r>
      <w:r w:rsidR="00AB0BB1">
        <w:rPr>
          <w:rFonts w:cs="Arial"/>
          <w:bCs w:val="0"/>
          <w:color w:val="000000" w:themeColor="text1"/>
          <w:lang w:val="es-ES"/>
        </w:rPr>
        <w:t>contratos firmes o que garanticen firmeza</w:t>
      </w:r>
      <w:r w:rsidR="00727B66">
        <w:rPr>
          <w:rFonts w:cs="Arial"/>
          <w:bCs w:val="0"/>
          <w:color w:val="000000" w:themeColor="text1"/>
          <w:lang w:val="es-ES"/>
        </w:rPr>
        <w:t xml:space="preserve"> primero</w:t>
      </w:r>
      <w:r w:rsidR="00DF038D">
        <w:rPr>
          <w:rFonts w:cs="Arial"/>
          <w:bCs w:val="0"/>
          <w:color w:val="000000" w:themeColor="text1"/>
          <w:lang w:val="es-ES"/>
        </w:rPr>
        <w:t>,</w:t>
      </w:r>
      <w:r w:rsidR="00AB0BB1">
        <w:rPr>
          <w:rFonts w:cs="Arial"/>
          <w:bCs w:val="0"/>
          <w:color w:val="000000" w:themeColor="text1"/>
          <w:lang w:val="es-ES"/>
        </w:rPr>
        <w:t xml:space="preserve"> y luego contratos con interrupciones</w:t>
      </w:r>
      <w:r w:rsidR="00D757E9">
        <w:rPr>
          <w:rFonts w:cs="Arial"/>
          <w:bCs w:val="0"/>
          <w:color w:val="000000" w:themeColor="text1"/>
          <w:lang w:val="es-ES"/>
        </w:rPr>
        <w:t xml:space="preserve">. </w:t>
      </w:r>
      <w:r w:rsidR="0056760B">
        <w:rPr>
          <w:rFonts w:cs="Arial"/>
          <w:bCs w:val="0"/>
          <w:color w:val="000000" w:themeColor="text1"/>
          <w:lang w:val="es-ES"/>
        </w:rPr>
        <w:t>La public</w:t>
      </w:r>
      <w:r w:rsidR="00DF038D">
        <w:rPr>
          <w:rFonts w:cs="Arial"/>
          <w:bCs w:val="0"/>
          <w:color w:val="000000" w:themeColor="text1"/>
          <w:lang w:val="es-ES"/>
        </w:rPr>
        <w:t>id</w:t>
      </w:r>
      <w:r w:rsidR="0056760B">
        <w:rPr>
          <w:rFonts w:cs="Arial"/>
          <w:bCs w:val="0"/>
          <w:color w:val="000000" w:themeColor="text1"/>
          <w:lang w:val="es-ES"/>
        </w:rPr>
        <w:t>ad del proceso</w:t>
      </w:r>
      <w:r w:rsidR="00D757E9">
        <w:rPr>
          <w:rFonts w:cs="Arial"/>
          <w:bCs w:val="0"/>
          <w:color w:val="000000" w:themeColor="text1"/>
          <w:lang w:val="es-ES"/>
        </w:rPr>
        <w:t xml:space="preserve"> deberá estar dispo</w:t>
      </w:r>
      <w:r w:rsidR="0056760B">
        <w:rPr>
          <w:rFonts w:cs="Arial"/>
          <w:bCs w:val="0"/>
          <w:color w:val="000000" w:themeColor="text1"/>
          <w:lang w:val="es-ES"/>
        </w:rPr>
        <w:t>nible en el BEO de cada transportador.</w:t>
      </w:r>
    </w:p>
    <w:p w14:paraId="43912A12" w14:textId="77777777" w:rsidR="009605AC" w:rsidRPr="009605AC" w:rsidRDefault="009605AC" w:rsidP="00AE365A">
      <w:pPr>
        <w:pStyle w:val="ARTICULOS"/>
        <w:numPr>
          <w:ilvl w:val="0"/>
          <w:numId w:val="0"/>
        </w:numPr>
        <w:tabs>
          <w:tab w:val="clear" w:pos="1559"/>
          <w:tab w:val="left" w:pos="1560"/>
        </w:tabs>
        <w:outlineLvl w:val="0"/>
        <w:rPr>
          <w:rFonts w:cs="Arial"/>
          <w:color w:val="000000" w:themeColor="text1"/>
          <w:lang w:val="es-MX"/>
        </w:rPr>
      </w:pPr>
    </w:p>
    <w:p w14:paraId="79E5E632" w14:textId="77777777" w:rsidR="007D3138" w:rsidRPr="001319B3" w:rsidRDefault="007D3138" w:rsidP="000A6823">
      <w:pPr>
        <w:pStyle w:val="ARTICULOS"/>
        <w:keepNext/>
        <w:widowControl/>
        <w:tabs>
          <w:tab w:val="clear" w:pos="1559"/>
          <w:tab w:val="left" w:pos="1560"/>
          <w:tab w:val="left" w:pos="1701"/>
        </w:tabs>
        <w:ind w:left="0" w:firstLine="0"/>
        <w:outlineLvl w:val="0"/>
        <w:rPr>
          <w:rFonts w:cs="Arial"/>
          <w:color w:val="000000" w:themeColor="text1"/>
          <w:lang w:val="es-ES"/>
        </w:rPr>
      </w:pPr>
      <w:r w:rsidRPr="001319B3">
        <w:rPr>
          <w:rFonts w:cs="Arial"/>
          <w:b/>
          <w:color w:val="000000" w:themeColor="text1"/>
          <w:lang w:val="es-ES"/>
        </w:rPr>
        <w:t>Vigencia.</w:t>
      </w:r>
      <w:r w:rsidRPr="001319B3">
        <w:rPr>
          <w:rFonts w:cs="Arial"/>
          <w:color w:val="000000" w:themeColor="text1"/>
          <w:lang w:val="es-ES"/>
        </w:rPr>
        <w:t xml:space="preserve"> La presente Resolución rige a partir de la fecha de su publicación en el </w:t>
      </w:r>
      <w:r w:rsidRPr="001319B3">
        <w:rPr>
          <w:rFonts w:cs="Arial"/>
          <w:i/>
          <w:color w:val="000000" w:themeColor="text1"/>
          <w:lang w:val="es-ES"/>
        </w:rPr>
        <w:t>Diario Oficial</w:t>
      </w:r>
      <w:r w:rsidRPr="001319B3">
        <w:rPr>
          <w:rFonts w:cs="Arial"/>
          <w:color w:val="000000" w:themeColor="text1"/>
          <w:lang w:val="es-ES"/>
        </w:rPr>
        <w:t>.</w:t>
      </w:r>
    </w:p>
    <w:p w14:paraId="16C93D5D" w14:textId="77777777" w:rsidR="0017435F" w:rsidRDefault="0017435F" w:rsidP="00C4788A"/>
    <w:p w14:paraId="051D74A8" w14:textId="77777777" w:rsidR="003A5E28" w:rsidRPr="00FD5CA5" w:rsidRDefault="003A5E28" w:rsidP="003A5E28">
      <w:pPr>
        <w:jc w:val="center"/>
        <w:rPr>
          <w:b/>
        </w:rPr>
      </w:pPr>
      <w:r w:rsidRPr="00FD5CA5">
        <w:rPr>
          <w:b/>
        </w:rPr>
        <w:t>PUBLÍQUESE Y CÚMPLASE</w:t>
      </w:r>
    </w:p>
    <w:p w14:paraId="56110C86" w14:textId="77777777" w:rsidR="00B36F02" w:rsidRDefault="00B36F02" w:rsidP="00E912C1">
      <w:pPr>
        <w:autoSpaceDE w:val="0"/>
        <w:autoSpaceDN w:val="0"/>
        <w:adjustRightInd w:val="0"/>
        <w:ind w:left="0"/>
        <w:jc w:val="both"/>
        <w:rPr>
          <w:color w:val="000000"/>
        </w:rPr>
      </w:pPr>
    </w:p>
    <w:p w14:paraId="048D5626" w14:textId="3A7847FD" w:rsidR="00AE365A" w:rsidRPr="00905C86" w:rsidRDefault="00905C86" w:rsidP="007B4F87">
      <w:pPr>
        <w:ind w:left="-142"/>
        <w:rPr>
          <w:b/>
          <w:bCs/>
        </w:rPr>
      </w:pPr>
      <w:bookmarkStart w:id="1" w:name="_Ref1996323"/>
      <w:r>
        <w:t xml:space="preserve">Dada en Bogotá, D.C.  a </w:t>
      </w:r>
      <w:r w:rsidRPr="00905C86">
        <w:rPr>
          <w:b/>
          <w:bCs/>
        </w:rPr>
        <w:t>09 ABR. 2021</w:t>
      </w:r>
    </w:p>
    <w:p w14:paraId="303D82BA" w14:textId="77777777" w:rsidR="00DF038D" w:rsidRDefault="00DF038D" w:rsidP="007B4F87">
      <w:pPr>
        <w:ind w:left="-142"/>
      </w:pPr>
    </w:p>
    <w:p w14:paraId="3D2EA920" w14:textId="336E7559" w:rsidR="00AE365A" w:rsidRDefault="00AE365A" w:rsidP="00AE365A"/>
    <w:p w14:paraId="2F98B944" w14:textId="110828B1" w:rsidR="00905C86" w:rsidRDefault="00905C86" w:rsidP="00AE365A"/>
    <w:p w14:paraId="010DD09E" w14:textId="77777777" w:rsidR="00905C86" w:rsidRDefault="00905C86" w:rsidP="00AE365A"/>
    <w:p w14:paraId="07220571" w14:textId="77777777" w:rsidR="009A60C3" w:rsidRDefault="009A60C3" w:rsidP="00AE365A"/>
    <w:tbl>
      <w:tblPr>
        <w:tblW w:w="9634" w:type="dxa"/>
        <w:tblCellMar>
          <w:left w:w="0" w:type="dxa"/>
          <w:right w:w="0" w:type="dxa"/>
        </w:tblCellMar>
        <w:tblLook w:val="04A0" w:firstRow="1" w:lastRow="0" w:firstColumn="1" w:lastColumn="0" w:noHBand="0" w:noVBand="1"/>
      </w:tblPr>
      <w:tblGrid>
        <w:gridCol w:w="4962"/>
        <w:gridCol w:w="4672"/>
      </w:tblGrid>
      <w:tr w:rsidR="00AE365A" w14:paraId="6D3F1BD2" w14:textId="77777777" w:rsidTr="007B4F87">
        <w:tc>
          <w:tcPr>
            <w:tcW w:w="4962" w:type="dxa"/>
            <w:hideMark/>
          </w:tcPr>
          <w:p w14:paraId="421B08BE" w14:textId="0C8ED0FF" w:rsidR="00AE365A" w:rsidRPr="00012120" w:rsidRDefault="00D0574B" w:rsidP="007B4F87">
            <w:pPr>
              <w:snapToGrid w:val="0"/>
              <w:ind w:left="0"/>
              <w:jc w:val="center"/>
              <w:rPr>
                <w:rFonts w:cs="Arial"/>
                <w:b/>
                <w:bCs/>
              </w:rPr>
            </w:pPr>
            <w:r w:rsidRPr="00012120">
              <w:rPr>
                <w:rFonts w:cs="Arial"/>
                <w:b/>
                <w:bCs/>
              </w:rPr>
              <w:t>MIGUEL LO</w:t>
            </w:r>
            <w:r w:rsidR="00417ECF" w:rsidRPr="00012120">
              <w:rPr>
                <w:rFonts w:cs="Arial"/>
                <w:b/>
                <w:bCs/>
              </w:rPr>
              <w:t>TERO ROBLEDO</w:t>
            </w:r>
          </w:p>
        </w:tc>
        <w:tc>
          <w:tcPr>
            <w:tcW w:w="4672" w:type="dxa"/>
            <w:hideMark/>
          </w:tcPr>
          <w:p w14:paraId="222B2BE1" w14:textId="77777777" w:rsidR="00AE365A" w:rsidRDefault="00AE365A" w:rsidP="007B4F87">
            <w:pPr>
              <w:snapToGrid w:val="0"/>
              <w:ind w:left="0"/>
              <w:jc w:val="center"/>
              <w:rPr>
                <w:rFonts w:cs="Arial"/>
                <w:b/>
                <w:bCs/>
              </w:rPr>
            </w:pPr>
            <w:r>
              <w:rPr>
                <w:rFonts w:cs="Arial"/>
                <w:b/>
                <w:bCs/>
              </w:rPr>
              <w:t>JORGE ALBERTO VALENCIA MARÍN</w:t>
            </w:r>
          </w:p>
        </w:tc>
      </w:tr>
      <w:tr w:rsidR="00AE365A" w14:paraId="3C33E435" w14:textId="77777777" w:rsidTr="007B4F87">
        <w:tc>
          <w:tcPr>
            <w:tcW w:w="4962" w:type="dxa"/>
            <w:hideMark/>
          </w:tcPr>
          <w:p w14:paraId="291B3343" w14:textId="45C46EC0" w:rsidR="00AE365A" w:rsidRDefault="00417ECF" w:rsidP="007B4F87">
            <w:pPr>
              <w:snapToGrid w:val="0"/>
              <w:ind w:left="0"/>
              <w:jc w:val="center"/>
              <w:rPr>
                <w:rFonts w:cs="Arial"/>
              </w:rPr>
            </w:pPr>
            <w:r>
              <w:rPr>
                <w:rFonts w:cs="Arial"/>
              </w:rPr>
              <w:t>Vi</w:t>
            </w:r>
            <w:r w:rsidR="00E5229F">
              <w:rPr>
                <w:rFonts w:cs="Arial"/>
              </w:rPr>
              <w:t>ce</w:t>
            </w:r>
            <w:r w:rsidR="00012120">
              <w:rPr>
                <w:rFonts w:cs="Arial"/>
              </w:rPr>
              <w:t>mini</w:t>
            </w:r>
            <w:r w:rsidR="00E5229F">
              <w:rPr>
                <w:rFonts w:cs="Arial"/>
              </w:rPr>
              <w:t>stro</w:t>
            </w:r>
            <w:r w:rsidR="00AE365A">
              <w:rPr>
                <w:rFonts w:cs="Arial"/>
              </w:rPr>
              <w:t xml:space="preserve"> de Minas y Energía</w:t>
            </w:r>
            <w:r w:rsidR="00E5229F">
              <w:rPr>
                <w:rFonts w:cs="Arial"/>
              </w:rPr>
              <w:t>,</w:t>
            </w:r>
            <w:r w:rsidR="003D59B6">
              <w:rPr>
                <w:rFonts w:cs="Arial"/>
              </w:rPr>
              <w:t xml:space="preserve"> </w:t>
            </w:r>
            <w:r w:rsidR="00E5229F">
              <w:rPr>
                <w:rFonts w:cs="Arial"/>
              </w:rPr>
              <w:t>delegado del Ministro de Minas y Energía</w:t>
            </w:r>
          </w:p>
          <w:p w14:paraId="138A6171" w14:textId="77777777" w:rsidR="00AE365A" w:rsidRDefault="00AE365A" w:rsidP="007B4F87">
            <w:pPr>
              <w:snapToGrid w:val="0"/>
              <w:ind w:left="0"/>
              <w:jc w:val="center"/>
              <w:rPr>
                <w:rFonts w:cs="Arial"/>
              </w:rPr>
            </w:pPr>
            <w:r>
              <w:rPr>
                <w:rFonts w:cs="Arial"/>
              </w:rPr>
              <w:t>Presidente</w:t>
            </w:r>
          </w:p>
        </w:tc>
        <w:tc>
          <w:tcPr>
            <w:tcW w:w="4672" w:type="dxa"/>
            <w:hideMark/>
          </w:tcPr>
          <w:p w14:paraId="3EC8E632" w14:textId="77777777" w:rsidR="00AE365A" w:rsidRDefault="00AE365A" w:rsidP="002414ED">
            <w:pPr>
              <w:snapToGrid w:val="0"/>
              <w:jc w:val="center"/>
              <w:rPr>
                <w:rFonts w:cs="Arial"/>
              </w:rPr>
            </w:pPr>
            <w:r>
              <w:rPr>
                <w:rFonts w:cs="Arial"/>
              </w:rPr>
              <w:t>Director Ejecutivo</w:t>
            </w:r>
          </w:p>
        </w:tc>
      </w:tr>
      <w:bookmarkEnd w:id="1"/>
    </w:tbl>
    <w:p w14:paraId="4200D88D" w14:textId="35807E3A" w:rsidR="00AE365A" w:rsidRDefault="00AE365A" w:rsidP="00573D9C">
      <w:pPr>
        <w:ind w:left="0"/>
        <w:rPr>
          <w:lang w:val="es-CO"/>
        </w:rPr>
      </w:pPr>
    </w:p>
    <w:sectPr w:rsidR="00AE365A" w:rsidSect="00905C86">
      <w:headerReference w:type="default" r:id="rId13"/>
      <w:headerReference w:type="first" r:id="rId14"/>
      <w:type w:val="continuous"/>
      <w:pgSz w:w="12242" w:h="18722" w:code="123"/>
      <w:pgMar w:top="255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1C825" w14:textId="77777777" w:rsidR="005E3D34" w:rsidRDefault="005E3D34">
      <w:r>
        <w:separator/>
      </w:r>
    </w:p>
  </w:endnote>
  <w:endnote w:type="continuationSeparator" w:id="0">
    <w:p w14:paraId="570751B9" w14:textId="77777777" w:rsidR="005E3D34" w:rsidRDefault="005E3D34">
      <w:r>
        <w:continuationSeparator/>
      </w:r>
    </w:p>
  </w:endnote>
  <w:endnote w:type="continuationNotice" w:id="1">
    <w:p w14:paraId="2B8542E0" w14:textId="77777777" w:rsidR="005E3D34" w:rsidRDefault="005E3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9C5A3" w14:textId="77777777" w:rsidR="005E3D34" w:rsidRDefault="005E3D34">
      <w:r>
        <w:separator/>
      </w:r>
    </w:p>
  </w:footnote>
  <w:footnote w:type="continuationSeparator" w:id="0">
    <w:p w14:paraId="3BEC9AAF" w14:textId="77777777" w:rsidR="005E3D34" w:rsidRDefault="005E3D34">
      <w:r>
        <w:continuationSeparator/>
      </w:r>
    </w:p>
  </w:footnote>
  <w:footnote w:type="continuationNotice" w:id="1">
    <w:p w14:paraId="64CB6E5C" w14:textId="77777777" w:rsidR="005E3D34" w:rsidRDefault="005E3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940EF" w14:textId="77777777" w:rsidR="00DA5E0B" w:rsidRDefault="00DA5E0B" w:rsidP="00951F79">
    <w:pPr>
      <w:pStyle w:val="Ttulo1"/>
      <w:ind w:right="6"/>
      <w:jc w:val="left"/>
      <w:rPr>
        <w:rFonts w:cs="Arial"/>
        <w:b w:val="0"/>
        <w:sz w:val="22"/>
        <w:szCs w:val="22"/>
      </w:rPr>
    </w:pPr>
  </w:p>
  <w:p w14:paraId="4E9D0137" w14:textId="552BA658" w:rsidR="00DA5E0B" w:rsidRPr="00951F79" w:rsidRDefault="00DA5E0B" w:rsidP="009F4BEC">
    <w:pPr>
      <w:pStyle w:val="Ttulo1"/>
      <w:ind w:left="0" w:right="6"/>
      <w:jc w:val="left"/>
      <w:rPr>
        <w:rFonts w:cs="Arial"/>
        <w:b w:val="0"/>
        <w:sz w:val="22"/>
        <w:szCs w:val="22"/>
      </w:rPr>
    </w:pPr>
    <w:r w:rsidRPr="00654384">
      <w:rPr>
        <w:rFonts w:cs="Arial"/>
        <w:b w:val="0"/>
        <w:sz w:val="22"/>
        <w:szCs w:val="22"/>
      </w:rPr>
      <w:t>RESOLUCIÓN No</w:t>
    </w:r>
    <w:r w:rsidRPr="007B4F87">
      <w:rPr>
        <w:rFonts w:cs="Arial"/>
        <w:bCs/>
        <w:szCs w:val="24"/>
        <w:u w:val="single"/>
      </w:rPr>
      <w:t xml:space="preserve">.  </w:t>
    </w:r>
    <w:r w:rsidR="007B4F87" w:rsidRPr="007B4F87">
      <w:rPr>
        <w:rFonts w:cs="Arial"/>
        <w:bCs/>
        <w:szCs w:val="24"/>
        <w:u w:val="single"/>
      </w:rPr>
      <w:t>02</w:t>
    </w:r>
    <w:r w:rsidR="00905C86">
      <w:rPr>
        <w:rFonts w:cs="Arial"/>
        <w:bCs/>
        <w:szCs w:val="24"/>
        <w:u w:val="single"/>
      </w:rPr>
      <w:t>6</w:t>
    </w:r>
    <w:r w:rsidR="007B4F87">
      <w:rPr>
        <w:rFonts w:cs="Arial"/>
        <w:b w:val="0"/>
        <w:sz w:val="22"/>
        <w:szCs w:val="22"/>
      </w:rPr>
      <w:t xml:space="preserve">  </w:t>
    </w:r>
    <w:r w:rsidRPr="00654384">
      <w:rPr>
        <w:rFonts w:cs="Arial"/>
        <w:b w:val="0"/>
        <w:sz w:val="22"/>
        <w:szCs w:val="22"/>
      </w:rPr>
      <w:tab/>
    </w:r>
    <w:r>
      <w:rPr>
        <w:rFonts w:cs="Arial"/>
        <w:b w:val="0"/>
        <w:sz w:val="22"/>
        <w:szCs w:val="22"/>
      </w:rPr>
      <w:t xml:space="preserve">DE </w:t>
    </w:r>
    <w:r w:rsidR="00905C86">
      <w:rPr>
        <w:rFonts w:cs="Arial"/>
        <w:bCs/>
        <w:szCs w:val="24"/>
        <w:u w:val="single"/>
      </w:rPr>
      <w:t>09</w:t>
    </w:r>
    <w:r w:rsidR="007B4F87" w:rsidRPr="007B4F87">
      <w:rPr>
        <w:rFonts w:cs="Arial"/>
        <w:bCs/>
        <w:szCs w:val="24"/>
        <w:u w:val="single"/>
      </w:rPr>
      <w:t xml:space="preserve"> </w:t>
    </w:r>
    <w:r w:rsidR="00880B11">
      <w:rPr>
        <w:rFonts w:cs="Arial"/>
        <w:bCs/>
        <w:szCs w:val="24"/>
        <w:u w:val="single"/>
      </w:rPr>
      <w:t>ABR</w:t>
    </w:r>
    <w:r w:rsidR="007B4F87" w:rsidRPr="007B4F87">
      <w:rPr>
        <w:rFonts w:cs="Arial"/>
        <w:bCs/>
        <w:szCs w:val="24"/>
        <w:u w:val="single"/>
      </w:rPr>
      <w:t>. 2021</w:t>
    </w:r>
    <w:r w:rsidR="007B4F87">
      <w:rPr>
        <w:rFonts w:cs="Arial"/>
        <w:b w:val="0"/>
        <w:sz w:val="22"/>
        <w:szCs w:val="22"/>
      </w:rPr>
      <w:t xml:space="preserve">     </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sidR="001F5D59">
      <w:rPr>
        <w:rFonts w:cs="Arial"/>
        <w:b w:val="0"/>
        <w:noProof/>
        <w:sz w:val="22"/>
        <w:szCs w:val="22"/>
      </w:rPr>
      <w:t>196</w:t>
    </w:r>
    <w:r w:rsidRPr="00654384">
      <w:rPr>
        <w:rFonts w:cs="Arial"/>
        <w:b w:val="0"/>
        <w:sz w:val="22"/>
        <w:szCs w:val="22"/>
      </w:rPr>
      <w:fldChar w:fldCharType="end"/>
    </w:r>
    <w:r w:rsidRPr="00654384">
      <w:rPr>
        <w:rFonts w:cs="Arial"/>
        <w:b w:val="0"/>
        <w:sz w:val="22"/>
        <w:szCs w:val="22"/>
      </w:rPr>
      <w:t>/</w:t>
    </w:r>
    <w:r w:rsidRPr="002662C9">
      <w:rPr>
        <w:b w:val="0"/>
      </w:rPr>
      <w:fldChar w:fldCharType="begin"/>
    </w:r>
    <w:r w:rsidRPr="002662C9">
      <w:rPr>
        <w:b w:val="0"/>
      </w:rPr>
      <w:instrText xml:space="preserve"> NUMPAGES  \* MERGEFORMAT </w:instrText>
    </w:r>
    <w:r w:rsidRPr="002662C9">
      <w:rPr>
        <w:b w:val="0"/>
      </w:rPr>
      <w:fldChar w:fldCharType="separate"/>
    </w:r>
    <w:r w:rsidR="001F5D59" w:rsidRPr="001F5D59">
      <w:rPr>
        <w:rFonts w:cs="Arial"/>
        <w:b w:val="0"/>
        <w:noProof/>
        <w:sz w:val="22"/>
        <w:szCs w:val="22"/>
      </w:rPr>
      <w:t>196</w:t>
    </w:r>
    <w:r w:rsidRPr="002662C9">
      <w:rPr>
        <w:rFonts w:cs="Arial"/>
        <w:b w:val="0"/>
        <w:noProof/>
        <w:sz w:val="22"/>
        <w:szCs w:val="22"/>
      </w:rPr>
      <w:fldChar w:fldCharType="end"/>
    </w:r>
  </w:p>
  <w:p w14:paraId="78448680" w14:textId="77777777" w:rsidR="00DA5E0B" w:rsidRDefault="00DA5E0B"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1142A96A" wp14:editId="456A10F0">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475AB60" id="Rectangle 1" o:spid="_x0000_s1026" style="position:absolute;margin-left:-14.55pt;margin-top:7pt;width:493.5pt;height:7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filled="f" strokeweight="1.5pt"/>
          </w:pict>
        </mc:Fallback>
      </mc:AlternateContent>
    </w:r>
  </w:p>
  <w:p w14:paraId="3D4B71E7" w14:textId="6D564509" w:rsidR="00B63F96" w:rsidRDefault="00B63F96" w:rsidP="007B4F87">
    <w:pPr>
      <w:ind w:left="0"/>
      <w:jc w:val="both"/>
    </w:pPr>
    <w:r>
      <w:t>P</w:t>
    </w:r>
    <w:r w:rsidRPr="00FD5CA5">
      <w:t xml:space="preserve">or la cual se </w:t>
    </w:r>
    <w:r>
      <w:t>establece una disposición transitoria para la comercialización de capacidad de transporte de gas natural</w:t>
    </w:r>
  </w:p>
  <w:p w14:paraId="396AEE1B" w14:textId="77777777" w:rsidR="00DA5E0B" w:rsidRPr="00045D3D" w:rsidRDefault="00DA5E0B" w:rsidP="005B6B6F">
    <w:pPr>
      <w:pBdr>
        <w:bottom w:val="single" w:sz="4" w:space="0"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E6AE2" w14:textId="77777777" w:rsidR="00DA5E0B" w:rsidRDefault="00DA5E0B"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66670BA2" w14:textId="77777777" w:rsidR="00DA5E0B" w:rsidRDefault="00DA5E0B">
    <w:pPr>
      <w:pStyle w:val="Encabezado"/>
      <w:jc w:val="center"/>
      <w:rPr>
        <w:rFonts w:ascii="Arial" w:hAnsi="Arial" w:cs="Arial"/>
        <w:spacing w:val="20"/>
        <w:sz w:val="20"/>
      </w:rPr>
    </w:pPr>
  </w:p>
  <w:p w14:paraId="1A363426" w14:textId="77777777" w:rsidR="00DA5E0B" w:rsidRDefault="00DA5E0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1118A154" wp14:editId="78F1DAB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95115CF"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40D44A35"/>
    <w:multiLevelType w:val="hybridMultilevel"/>
    <w:tmpl w:val="3B8843E6"/>
    <w:lvl w:ilvl="0" w:tplc="9984C6BE">
      <w:start w:val="1"/>
      <w:numFmt w:val="decimal"/>
      <w:pStyle w:val="PliegoTitulo1"/>
      <w:lvlText w:val="%1."/>
      <w:lvlJc w:val="left"/>
      <w:pPr>
        <w:tabs>
          <w:tab w:val="num" w:pos="432"/>
        </w:tabs>
        <w:ind w:left="432" w:hanging="432"/>
      </w:pPr>
      <w:rPr>
        <w:rFonts w:ascii="Garamond" w:hAnsi="Garamond" w:hint="default"/>
        <w:b/>
        <w:i w:val="0"/>
        <w:sz w:val="24"/>
      </w:rPr>
    </w:lvl>
    <w:lvl w:ilvl="1" w:tplc="F392B326">
      <w:start w:val="1"/>
      <w:numFmt w:val="decimal"/>
      <w:lvlText w:val="%1.%2"/>
      <w:lvlJc w:val="left"/>
      <w:pPr>
        <w:tabs>
          <w:tab w:val="num" w:pos="576"/>
        </w:tabs>
        <w:ind w:left="576" w:hanging="576"/>
      </w:pPr>
      <w:rPr>
        <w:rFonts w:hint="default"/>
      </w:rPr>
    </w:lvl>
    <w:lvl w:ilvl="2" w:tplc="5394E47A">
      <w:start w:val="1"/>
      <w:numFmt w:val="decimal"/>
      <w:pStyle w:val="PliegoTitulo2"/>
      <w:lvlText w:val="%1.%2.%3"/>
      <w:lvlJc w:val="left"/>
      <w:pPr>
        <w:tabs>
          <w:tab w:val="num" w:pos="720"/>
        </w:tabs>
        <w:ind w:left="720" w:hanging="720"/>
      </w:pPr>
      <w:rPr>
        <w:rFonts w:hint="default"/>
      </w:rPr>
    </w:lvl>
    <w:lvl w:ilvl="3" w:tplc="991AFBD8">
      <w:start w:val="1"/>
      <w:numFmt w:val="decimal"/>
      <w:pStyle w:val="PliegoTitulo3"/>
      <w:lvlText w:val="%1.%2.%3.%4"/>
      <w:lvlJc w:val="left"/>
      <w:pPr>
        <w:tabs>
          <w:tab w:val="num" w:pos="864"/>
        </w:tabs>
        <w:ind w:left="864" w:hanging="864"/>
      </w:pPr>
      <w:rPr>
        <w:rFonts w:hint="default"/>
      </w:rPr>
    </w:lvl>
    <w:lvl w:ilvl="4" w:tplc="172AF666">
      <w:start w:val="1"/>
      <w:numFmt w:val="decimal"/>
      <w:pStyle w:val="PliegoTitulo4"/>
      <w:lvlText w:val="%1.%2.%3.%4.%5"/>
      <w:lvlJc w:val="left"/>
      <w:pPr>
        <w:tabs>
          <w:tab w:val="num" w:pos="1440"/>
        </w:tabs>
        <w:ind w:left="1008" w:hanging="1008"/>
      </w:pPr>
      <w:rPr>
        <w:rFonts w:hint="default"/>
      </w:rPr>
    </w:lvl>
    <w:lvl w:ilvl="5" w:tplc="3D36D382">
      <w:start w:val="1"/>
      <w:numFmt w:val="decimal"/>
      <w:lvlText w:val="%1.%2.%3.%4.%5.%6"/>
      <w:lvlJc w:val="left"/>
      <w:pPr>
        <w:tabs>
          <w:tab w:val="num" w:pos="1152"/>
        </w:tabs>
        <w:ind w:left="1152" w:hanging="1152"/>
      </w:pPr>
      <w:rPr>
        <w:rFonts w:hint="default"/>
      </w:rPr>
    </w:lvl>
    <w:lvl w:ilvl="6" w:tplc="CE5C3A1E">
      <w:start w:val="1"/>
      <w:numFmt w:val="decimal"/>
      <w:lvlText w:val="%1.%2.%3.%4.%5.%6.%7"/>
      <w:lvlJc w:val="left"/>
      <w:pPr>
        <w:tabs>
          <w:tab w:val="num" w:pos="1296"/>
        </w:tabs>
        <w:ind w:left="1296" w:hanging="1296"/>
      </w:pPr>
      <w:rPr>
        <w:rFonts w:hint="default"/>
      </w:rPr>
    </w:lvl>
    <w:lvl w:ilvl="7" w:tplc="F7EA696C">
      <w:start w:val="1"/>
      <w:numFmt w:val="decimal"/>
      <w:lvlText w:val="%1.%2.%3.%4.%5.%6.%7.%8"/>
      <w:lvlJc w:val="left"/>
      <w:pPr>
        <w:tabs>
          <w:tab w:val="num" w:pos="1440"/>
        </w:tabs>
        <w:ind w:left="1440" w:hanging="1440"/>
      </w:pPr>
      <w:rPr>
        <w:rFonts w:hint="default"/>
      </w:rPr>
    </w:lvl>
    <w:lvl w:ilvl="8" w:tplc="E6EEDF2E">
      <w:start w:val="1"/>
      <w:numFmt w:val="decimal"/>
      <w:lvlText w:val="%1.%2.%3.%4.%5.%6.%7.%8.%9"/>
      <w:lvlJc w:val="left"/>
      <w:pPr>
        <w:tabs>
          <w:tab w:val="num" w:pos="1584"/>
        </w:tabs>
        <w:ind w:left="1584" w:hanging="1584"/>
      </w:pPr>
      <w:rPr>
        <w:rFonts w:hint="default"/>
      </w:rPr>
    </w:lvl>
  </w:abstractNum>
  <w:abstractNum w:abstractNumId="3"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5" w15:restartNumberingAfterBreak="0">
    <w:nsid w:val="73432BD8"/>
    <w:multiLevelType w:val="hybridMultilevel"/>
    <w:tmpl w:val="38F4791E"/>
    <w:lvl w:ilvl="0" w:tplc="3E349DFC">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01">
      <w:start w:val="1"/>
      <w:numFmt w:val="bullet"/>
      <w:lvlText w:val=""/>
      <w:lvlJc w:val="left"/>
      <w:pPr>
        <w:ind w:left="939" w:hanging="360"/>
      </w:pPr>
      <w:rPr>
        <w:rFonts w:ascii="Symbol" w:hAnsi="Symbol" w:hint="default"/>
      </w:rPr>
    </w:lvl>
    <w:lvl w:ilvl="2" w:tplc="C7AC98A2">
      <w:start w:val="1"/>
      <w:numFmt w:val="decimal"/>
      <w:lvlText w:val="%3."/>
      <w:lvlJc w:val="left"/>
      <w:pPr>
        <w:ind w:left="1659" w:hanging="180"/>
      </w:pPr>
      <w:rPr>
        <w:b w:val="0"/>
      </w:rPr>
    </w:lvl>
    <w:lvl w:ilvl="3" w:tplc="94AE6346">
      <w:start w:val="1"/>
      <w:numFmt w:val="upperLetter"/>
      <w:lvlText w:val="%4."/>
      <w:lvlJc w:val="left"/>
      <w:pPr>
        <w:ind w:left="2379" w:hanging="360"/>
      </w:pPr>
      <w:rPr>
        <w:rFonts w:hint="default"/>
      </w:rPr>
    </w:lvl>
    <w:lvl w:ilvl="4" w:tplc="D0C6F998">
      <w:start w:val="1"/>
      <w:numFmt w:val="lowerLetter"/>
      <w:lvlText w:val="%5)"/>
      <w:lvlJc w:val="left"/>
      <w:pPr>
        <w:ind w:left="3099" w:hanging="360"/>
      </w:pPr>
      <w:rPr>
        <w:rFonts w:hint="default"/>
      </w:rPr>
    </w:lvl>
    <w:lvl w:ilvl="5" w:tplc="240A001B">
      <w:start w:val="1"/>
      <w:numFmt w:val="lowerRoman"/>
      <w:lvlText w:val="%6."/>
      <w:lvlJc w:val="right"/>
      <w:pPr>
        <w:ind w:left="3819" w:hanging="180"/>
      </w:pPr>
    </w:lvl>
    <w:lvl w:ilvl="6" w:tplc="240A000F">
      <w:start w:val="1"/>
      <w:numFmt w:val="decimal"/>
      <w:lvlText w:val="%7."/>
      <w:lvlJc w:val="left"/>
      <w:pPr>
        <w:ind w:left="4539" w:hanging="360"/>
      </w:pPr>
    </w:lvl>
    <w:lvl w:ilvl="7" w:tplc="240A0001">
      <w:start w:val="1"/>
      <w:numFmt w:val="bullet"/>
      <w:lvlText w:val=""/>
      <w:lvlJc w:val="left"/>
      <w:pPr>
        <w:ind w:left="2629" w:hanging="360"/>
      </w:pPr>
      <w:rPr>
        <w:rFonts w:ascii="Symbol" w:hAnsi="Symbol" w:hint="default"/>
      </w:rPr>
    </w:lvl>
    <w:lvl w:ilvl="8" w:tplc="240A001B">
      <w:start w:val="1"/>
      <w:numFmt w:val="lowerRoman"/>
      <w:lvlText w:val="%9."/>
      <w:lvlJc w:val="right"/>
      <w:pPr>
        <w:ind w:left="5979" w:hanging="180"/>
      </w:pPr>
    </w:lvl>
  </w:abstractNum>
  <w:num w:numId="1">
    <w:abstractNumId w:val="1"/>
  </w:num>
  <w:num w:numId="2">
    <w:abstractNumId w:val="5"/>
  </w:num>
  <w:num w:numId="3">
    <w:abstractNumId w:val="3"/>
  </w:num>
  <w:num w:numId="4">
    <w:abstractNumId w:val="4"/>
  </w:num>
  <w:num w:numId="5">
    <w:abstractNumId w:val="2"/>
  </w:num>
  <w:num w:numId="6">
    <w:abstractNumId w:val="5"/>
  </w:num>
  <w:num w:numId="7">
    <w:abstractNumId w:val="5"/>
  </w:num>
  <w:num w:numId="8">
    <w:abstractNumId w:val="5"/>
  </w:num>
  <w:num w:numId="9">
    <w:abstractNumId w:val="5"/>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7C"/>
    <w:rsid w:val="00003A36"/>
    <w:rsid w:val="000048CF"/>
    <w:rsid w:val="00006AE2"/>
    <w:rsid w:val="00006B7D"/>
    <w:rsid w:val="00007354"/>
    <w:rsid w:val="000076A1"/>
    <w:rsid w:val="000107CE"/>
    <w:rsid w:val="00012120"/>
    <w:rsid w:val="00012259"/>
    <w:rsid w:val="0001308F"/>
    <w:rsid w:val="00014510"/>
    <w:rsid w:val="00016504"/>
    <w:rsid w:val="000202AA"/>
    <w:rsid w:val="000206BD"/>
    <w:rsid w:val="00024773"/>
    <w:rsid w:val="00025139"/>
    <w:rsid w:val="00025383"/>
    <w:rsid w:val="0003084F"/>
    <w:rsid w:val="0003497B"/>
    <w:rsid w:val="00034A8C"/>
    <w:rsid w:val="00036416"/>
    <w:rsid w:val="000377CF"/>
    <w:rsid w:val="00037BA8"/>
    <w:rsid w:val="0004065E"/>
    <w:rsid w:val="00041DC9"/>
    <w:rsid w:val="00042201"/>
    <w:rsid w:val="00045D3D"/>
    <w:rsid w:val="000570A7"/>
    <w:rsid w:val="0005731D"/>
    <w:rsid w:val="000579AA"/>
    <w:rsid w:val="000614C1"/>
    <w:rsid w:val="00063657"/>
    <w:rsid w:val="0006412B"/>
    <w:rsid w:val="00064EB3"/>
    <w:rsid w:val="00065485"/>
    <w:rsid w:val="00066C21"/>
    <w:rsid w:val="000672A1"/>
    <w:rsid w:val="00070744"/>
    <w:rsid w:val="00073F8D"/>
    <w:rsid w:val="00074ED7"/>
    <w:rsid w:val="00076106"/>
    <w:rsid w:val="0007665F"/>
    <w:rsid w:val="00076680"/>
    <w:rsid w:val="00076897"/>
    <w:rsid w:val="00076A1D"/>
    <w:rsid w:val="00077181"/>
    <w:rsid w:val="00077E0D"/>
    <w:rsid w:val="0008073E"/>
    <w:rsid w:val="00080A98"/>
    <w:rsid w:val="00080BF2"/>
    <w:rsid w:val="00081E0F"/>
    <w:rsid w:val="00086597"/>
    <w:rsid w:val="00086FB3"/>
    <w:rsid w:val="000876BE"/>
    <w:rsid w:val="00091351"/>
    <w:rsid w:val="00091CD2"/>
    <w:rsid w:val="00091CDB"/>
    <w:rsid w:val="0009339D"/>
    <w:rsid w:val="00094B0B"/>
    <w:rsid w:val="00094B0D"/>
    <w:rsid w:val="0009626A"/>
    <w:rsid w:val="00096AC6"/>
    <w:rsid w:val="00096C2C"/>
    <w:rsid w:val="000A19AC"/>
    <w:rsid w:val="000A1CA4"/>
    <w:rsid w:val="000A2D06"/>
    <w:rsid w:val="000A39A5"/>
    <w:rsid w:val="000A3D4B"/>
    <w:rsid w:val="000A42DF"/>
    <w:rsid w:val="000A628C"/>
    <w:rsid w:val="000A65A0"/>
    <w:rsid w:val="000A6823"/>
    <w:rsid w:val="000A6F73"/>
    <w:rsid w:val="000A767B"/>
    <w:rsid w:val="000B0A14"/>
    <w:rsid w:val="000B1345"/>
    <w:rsid w:val="000B1B18"/>
    <w:rsid w:val="000B1B70"/>
    <w:rsid w:val="000B2EC9"/>
    <w:rsid w:val="000B3D30"/>
    <w:rsid w:val="000B4520"/>
    <w:rsid w:val="000B5008"/>
    <w:rsid w:val="000B536C"/>
    <w:rsid w:val="000C0EAC"/>
    <w:rsid w:val="000C6C86"/>
    <w:rsid w:val="000C74A5"/>
    <w:rsid w:val="000C7824"/>
    <w:rsid w:val="000D0161"/>
    <w:rsid w:val="000D0210"/>
    <w:rsid w:val="000D16B5"/>
    <w:rsid w:val="000D20E0"/>
    <w:rsid w:val="000D26F8"/>
    <w:rsid w:val="000D449E"/>
    <w:rsid w:val="000D56DC"/>
    <w:rsid w:val="000E04EE"/>
    <w:rsid w:val="000E16FC"/>
    <w:rsid w:val="000E2856"/>
    <w:rsid w:val="000E3377"/>
    <w:rsid w:val="000E3E96"/>
    <w:rsid w:val="000E4D27"/>
    <w:rsid w:val="000E6A42"/>
    <w:rsid w:val="000F3F7A"/>
    <w:rsid w:val="000F44D8"/>
    <w:rsid w:val="00100F0F"/>
    <w:rsid w:val="001014F1"/>
    <w:rsid w:val="0010257E"/>
    <w:rsid w:val="00102A6C"/>
    <w:rsid w:val="00105053"/>
    <w:rsid w:val="0010551E"/>
    <w:rsid w:val="00105573"/>
    <w:rsid w:val="00105697"/>
    <w:rsid w:val="0010626C"/>
    <w:rsid w:val="00106654"/>
    <w:rsid w:val="00106B5D"/>
    <w:rsid w:val="0010743C"/>
    <w:rsid w:val="00107575"/>
    <w:rsid w:val="001125DB"/>
    <w:rsid w:val="00112ECD"/>
    <w:rsid w:val="00112EE0"/>
    <w:rsid w:val="0011322A"/>
    <w:rsid w:val="001137BF"/>
    <w:rsid w:val="00114177"/>
    <w:rsid w:val="00114CD2"/>
    <w:rsid w:val="001154AC"/>
    <w:rsid w:val="0011624D"/>
    <w:rsid w:val="00121DC6"/>
    <w:rsid w:val="0012667F"/>
    <w:rsid w:val="00126BE6"/>
    <w:rsid w:val="00130459"/>
    <w:rsid w:val="0013046D"/>
    <w:rsid w:val="001319B3"/>
    <w:rsid w:val="00131CED"/>
    <w:rsid w:val="00132CFE"/>
    <w:rsid w:val="00133A39"/>
    <w:rsid w:val="00133A3E"/>
    <w:rsid w:val="00133A7C"/>
    <w:rsid w:val="00134E6F"/>
    <w:rsid w:val="0013526C"/>
    <w:rsid w:val="001405C6"/>
    <w:rsid w:val="00141013"/>
    <w:rsid w:val="00143390"/>
    <w:rsid w:val="00143FCA"/>
    <w:rsid w:val="001448DF"/>
    <w:rsid w:val="00145ED1"/>
    <w:rsid w:val="00146940"/>
    <w:rsid w:val="00147CBF"/>
    <w:rsid w:val="001501EB"/>
    <w:rsid w:val="00150784"/>
    <w:rsid w:val="001512D9"/>
    <w:rsid w:val="0015382D"/>
    <w:rsid w:val="00153B00"/>
    <w:rsid w:val="00154207"/>
    <w:rsid w:val="00155531"/>
    <w:rsid w:val="00155541"/>
    <w:rsid w:val="0015669C"/>
    <w:rsid w:val="001570F9"/>
    <w:rsid w:val="0015795E"/>
    <w:rsid w:val="00160392"/>
    <w:rsid w:val="001609BE"/>
    <w:rsid w:val="00161D4C"/>
    <w:rsid w:val="00162E3E"/>
    <w:rsid w:val="00166C58"/>
    <w:rsid w:val="0016774D"/>
    <w:rsid w:val="00173326"/>
    <w:rsid w:val="0017435F"/>
    <w:rsid w:val="00175468"/>
    <w:rsid w:val="00175B83"/>
    <w:rsid w:val="001760CE"/>
    <w:rsid w:val="00183498"/>
    <w:rsid w:val="00184352"/>
    <w:rsid w:val="00186B10"/>
    <w:rsid w:val="00187037"/>
    <w:rsid w:val="0018704F"/>
    <w:rsid w:val="001912B8"/>
    <w:rsid w:val="00192CBF"/>
    <w:rsid w:val="00192FF1"/>
    <w:rsid w:val="00193C95"/>
    <w:rsid w:val="001945B4"/>
    <w:rsid w:val="00194F30"/>
    <w:rsid w:val="001A0572"/>
    <w:rsid w:val="001A1567"/>
    <w:rsid w:val="001A41B9"/>
    <w:rsid w:val="001A53A3"/>
    <w:rsid w:val="001A581F"/>
    <w:rsid w:val="001A5F1B"/>
    <w:rsid w:val="001A7527"/>
    <w:rsid w:val="001B0793"/>
    <w:rsid w:val="001B1C22"/>
    <w:rsid w:val="001B1C4E"/>
    <w:rsid w:val="001B34C6"/>
    <w:rsid w:val="001B3CB2"/>
    <w:rsid w:val="001B412E"/>
    <w:rsid w:val="001B433C"/>
    <w:rsid w:val="001B5440"/>
    <w:rsid w:val="001B6DEF"/>
    <w:rsid w:val="001B7BE0"/>
    <w:rsid w:val="001C0881"/>
    <w:rsid w:val="001C0B9B"/>
    <w:rsid w:val="001C235C"/>
    <w:rsid w:val="001C3DDB"/>
    <w:rsid w:val="001C44A4"/>
    <w:rsid w:val="001C5853"/>
    <w:rsid w:val="001C5D27"/>
    <w:rsid w:val="001C67EC"/>
    <w:rsid w:val="001C744A"/>
    <w:rsid w:val="001C7DE4"/>
    <w:rsid w:val="001D3AC9"/>
    <w:rsid w:val="001D6BC7"/>
    <w:rsid w:val="001D7832"/>
    <w:rsid w:val="001E3CC3"/>
    <w:rsid w:val="001E4891"/>
    <w:rsid w:val="001E75DE"/>
    <w:rsid w:val="001F03C3"/>
    <w:rsid w:val="001F36C9"/>
    <w:rsid w:val="001F51C4"/>
    <w:rsid w:val="001F5C6A"/>
    <w:rsid w:val="001F5D59"/>
    <w:rsid w:val="001F66E6"/>
    <w:rsid w:val="001F6BA8"/>
    <w:rsid w:val="00200F42"/>
    <w:rsid w:val="00201360"/>
    <w:rsid w:val="00201A06"/>
    <w:rsid w:val="0020233B"/>
    <w:rsid w:val="00203427"/>
    <w:rsid w:val="00203634"/>
    <w:rsid w:val="00203CB7"/>
    <w:rsid w:val="0020467C"/>
    <w:rsid w:val="00205392"/>
    <w:rsid w:val="002065C0"/>
    <w:rsid w:val="00206845"/>
    <w:rsid w:val="00206C66"/>
    <w:rsid w:val="00210DC1"/>
    <w:rsid w:val="00210F44"/>
    <w:rsid w:val="00211127"/>
    <w:rsid w:val="00211D34"/>
    <w:rsid w:val="00212C0C"/>
    <w:rsid w:val="00214F04"/>
    <w:rsid w:val="0021566A"/>
    <w:rsid w:val="0021571B"/>
    <w:rsid w:val="00215C6E"/>
    <w:rsid w:val="00217281"/>
    <w:rsid w:val="002204A4"/>
    <w:rsid w:val="00221574"/>
    <w:rsid w:val="00221C91"/>
    <w:rsid w:val="00221E41"/>
    <w:rsid w:val="00222AC3"/>
    <w:rsid w:val="00223AC5"/>
    <w:rsid w:val="00223D38"/>
    <w:rsid w:val="002246D5"/>
    <w:rsid w:val="00224871"/>
    <w:rsid w:val="002254EE"/>
    <w:rsid w:val="00230FD0"/>
    <w:rsid w:val="0023141B"/>
    <w:rsid w:val="00231D72"/>
    <w:rsid w:val="0023227B"/>
    <w:rsid w:val="002338B8"/>
    <w:rsid w:val="00233AA2"/>
    <w:rsid w:val="002352B9"/>
    <w:rsid w:val="00236CCE"/>
    <w:rsid w:val="002414ED"/>
    <w:rsid w:val="00243015"/>
    <w:rsid w:val="002444A8"/>
    <w:rsid w:val="002446A8"/>
    <w:rsid w:val="002464F4"/>
    <w:rsid w:val="002479FA"/>
    <w:rsid w:val="00247CF5"/>
    <w:rsid w:val="002504A4"/>
    <w:rsid w:val="0025338D"/>
    <w:rsid w:val="00260303"/>
    <w:rsid w:val="00261101"/>
    <w:rsid w:val="00263230"/>
    <w:rsid w:val="0026380F"/>
    <w:rsid w:val="00263E09"/>
    <w:rsid w:val="002651D0"/>
    <w:rsid w:val="00265635"/>
    <w:rsid w:val="002662C9"/>
    <w:rsid w:val="00266CD6"/>
    <w:rsid w:val="002673AC"/>
    <w:rsid w:val="00272BD8"/>
    <w:rsid w:val="002748F4"/>
    <w:rsid w:val="00274F7B"/>
    <w:rsid w:val="00275DAB"/>
    <w:rsid w:val="002763F5"/>
    <w:rsid w:val="002800CC"/>
    <w:rsid w:val="00280A2A"/>
    <w:rsid w:val="00282B01"/>
    <w:rsid w:val="002862C1"/>
    <w:rsid w:val="0028671A"/>
    <w:rsid w:val="002903C0"/>
    <w:rsid w:val="002912B7"/>
    <w:rsid w:val="00293CBD"/>
    <w:rsid w:val="00293CFB"/>
    <w:rsid w:val="0029499B"/>
    <w:rsid w:val="00296B4E"/>
    <w:rsid w:val="002A0675"/>
    <w:rsid w:val="002A1192"/>
    <w:rsid w:val="002A2567"/>
    <w:rsid w:val="002A2813"/>
    <w:rsid w:val="002A3ED5"/>
    <w:rsid w:val="002A40FB"/>
    <w:rsid w:val="002A67AC"/>
    <w:rsid w:val="002A7771"/>
    <w:rsid w:val="002A782A"/>
    <w:rsid w:val="002B11E2"/>
    <w:rsid w:val="002B24B8"/>
    <w:rsid w:val="002B546F"/>
    <w:rsid w:val="002B6422"/>
    <w:rsid w:val="002B7E21"/>
    <w:rsid w:val="002C00BC"/>
    <w:rsid w:val="002C137E"/>
    <w:rsid w:val="002C15C1"/>
    <w:rsid w:val="002C70A7"/>
    <w:rsid w:val="002C7532"/>
    <w:rsid w:val="002C78D9"/>
    <w:rsid w:val="002D1B0D"/>
    <w:rsid w:val="002D2533"/>
    <w:rsid w:val="002D2C3E"/>
    <w:rsid w:val="002D3144"/>
    <w:rsid w:val="002D3AE9"/>
    <w:rsid w:val="002D4510"/>
    <w:rsid w:val="002E2BA7"/>
    <w:rsid w:val="002E5AB5"/>
    <w:rsid w:val="002F0734"/>
    <w:rsid w:val="002F203D"/>
    <w:rsid w:val="002F3177"/>
    <w:rsid w:val="002F3D0A"/>
    <w:rsid w:val="002F46E7"/>
    <w:rsid w:val="002F491F"/>
    <w:rsid w:val="002F5400"/>
    <w:rsid w:val="002F676E"/>
    <w:rsid w:val="002F7EAC"/>
    <w:rsid w:val="002F7FD4"/>
    <w:rsid w:val="00300BB9"/>
    <w:rsid w:val="00302230"/>
    <w:rsid w:val="00304DFA"/>
    <w:rsid w:val="00305AF1"/>
    <w:rsid w:val="00306E54"/>
    <w:rsid w:val="003101DA"/>
    <w:rsid w:val="003111C3"/>
    <w:rsid w:val="00312C06"/>
    <w:rsid w:val="00312D43"/>
    <w:rsid w:val="00314757"/>
    <w:rsid w:val="00315008"/>
    <w:rsid w:val="0031630D"/>
    <w:rsid w:val="003163BC"/>
    <w:rsid w:val="003211CE"/>
    <w:rsid w:val="00321781"/>
    <w:rsid w:val="0032253C"/>
    <w:rsid w:val="00323ED8"/>
    <w:rsid w:val="0032549B"/>
    <w:rsid w:val="0032644A"/>
    <w:rsid w:val="00326B7B"/>
    <w:rsid w:val="00326C2D"/>
    <w:rsid w:val="00327FAB"/>
    <w:rsid w:val="003309DA"/>
    <w:rsid w:val="00331615"/>
    <w:rsid w:val="00332B6A"/>
    <w:rsid w:val="00332C46"/>
    <w:rsid w:val="00344AB6"/>
    <w:rsid w:val="003522EF"/>
    <w:rsid w:val="003525DC"/>
    <w:rsid w:val="0035274A"/>
    <w:rsid w:val="00352BD7"/>
    <w:rsid w:val="0035403A"/>
    <w:rsid w:val="00354FAC"/>
    <w:rsid w:val="00355599"/>
    <w:rsid w:val="00361912"/>
    <w:rsid w:val="00361DB2"/>
    <w:rsid w:val="0036394B"/>
    <w:rsid w:val="00364DED"/>
    <w:rsid w:val="00366DB6"/>
    <w:rsid w:val="003675F0"/>
    <w:rsid w:val="003709B5"/>
    <w:rsid w:val="00372DB2"/>
    <w:rsid w:val="00373087"/>
    <w:rsid w:val="0037486D"/>
    <w:rsid w:val="003759C2"/>
    <w:rsid w:val="00375B7E"/>
    <w:rsid w:val="0037720A"/>
    <w:rsid w:val="00380B25"/>
    <w:rsid w:val="00380D33"/>
    <w:rsid w:val="003814BD"/>
    <w:rsid w:val="0038203F"/>
    <w:rsid w:val="003867F7"/>
    <w:rsid w:val="00387EDC"/>
    <w:rsid w:val="00390A46"/>
    <w:rsid w:val="00395B0E"/>
    <w:rsid w:val="00396F14"/>
    <w:rsid w:val="00397365"/>
    <w:rsid w:val="00397C85"/>
    <w:rsid w:val="003A002E"/>
    <w:rsid w:val="003A1C46"/>
    <w:rsid w:val="003A2005"/>
    <w:rsid w:val="003A31F6"/>
    <w:rsid w:val="003A3345"/>
    <w:rsid w:val="003A4771"/>
    <w:rsid w:val="003A4A4D"/>
    <w:rsid w:val="003A5A17"/>
    <w:rsid w:val="003A5CA0"/>
    <w:rsid w:val="003A5E28"/>
    <w:rsid w:val="003A7297"/>
    <w:rsid w:val="003B0C04"/>
    <w:rsid w:val="003B227A"/>
    <w:rsid w:val="003B37A0"/>
    <w:rsid w:val="003B55DB"/>
    <w:rsid w:val="003B74C9"/>
    <w:rsid w:val="003C0B35"/>
    <w:rsid w:val="003C2B63"/>
    <w:rsid w:val="003C2B67"/>
    <w:rsid w:val="003C31A8"/>
    <w:rsid w:val="003C3447"/>
    <w:rsid w:val="003C43EE"/>
    <w:rsid w:val="003C47A0"/>
    <w:rsid w:val="003C6DD6"/>
    <w:rsid w:val="003D076C"/>
    <w:rsid w:val="003D07B2"/>
    <w:rsid w:val="003D07DC"/>
    <w:rsid w:val="003D0EA4"/>
    <w:rsid w:val="003D1BB9"/>
    <w:rsid w:val="003D591D"/>
    <w:rsid w:val="003D59B6"/>
    <w:rsid w:val="003D79C0"/>
    <w:rsid w:val="003E0191"/>
    <w:rsid w:val="003E12AA"/>
    <w:rsid w:val="003E1E41"/>
    <w:rsid w:val="003E31B5"/>
    <w:rsid w:val="003E5A42"/>
    <w:rsid w:val="003E6F0B"/>
    <w:rsid w:val="003E75CA"/>
    <w:rsid w:val="003E78B5"/>
    <w:rsid w:val="003E7919"/>
    <w:rsid w:val="003F28C7"/>
    <w:rsid w:val="003F32D0"/>
    <w:rsid w:val="003F3FFC"/>
    <w:rsid w:val="003F40F5"/>
    <w:rsid w:val="003F4BC6"/>
    <w:rsid w:val="003F65CC"/>
    <w:rsid w:val="00400366"/>
    <w:rsid w:val="00401A40"/>
    <w:rsid w:val="00401EB6"/>
    <w:rsid w:val="00402622"/>
    <w:rsid w:val="00404D79"/>
    <w:rsid w:val="00405184"/>
    <w:rsid w:val="0040519C"/>
    <w:rsid w:val="004054CF"/>
    <w:rsid w:val="00405F97"/>
    <w:rsid w:val="00407D39"/>
    <w:rsid w:val="00411F3D"/>
    <w:rsid w:val="00413E3F"/>
    <w:rsid w:val="00415BAB"/>
    <w:rsid w:val="00415ED2"/>
    <w:rsid w:val="00416E2F"/>
    <w:rsid w:val="00417ECF"/>
    <w:rsid w:val="0042068C"/>
    <w:rsid w:val="00425C2C"/>
    <w:rsid w:val="00426193"/>
    <w:rsid w:val="004270C5"/>
    <w:rsid w:val="004275B0"/>
    <w:rsid w:val="00427C57"/>
    <w:rsid w:val="00431FAF"/>
    <w:rsid w:val="004345B9"/>
    <w:rsid w:val="00434688"/>
    <w:rsid w:val="0044318E"/>
    <w:rsid w:val="004431FE"/>
    <w:rsid w:val="00443784"/>
    <w:rsid w:val="00443B35"/>
    <w:rsid w:val="00445BAA"/>
    <w:rsid w:val="00445CBA"/>
    <w:rsid w:val="00450B2F"/>
    <w:rsid w:val="004513E1"/>
    <w:rsid w:val="00451F29"/>
    <w:rsid w:val="00452CDE"/>
    <w:rsid w:val="004545B1"/>
    <w:rsid w:val="00454E26"/>
    <w:rsid w:val="00455068"/>
    <w:rsid w:val="00455F2D"/>
    <w:rsid w:val="00461D30"/>
    <w:rsid w:val="00461E9A"/>
    <w:rsid w:val="00462566"/>
    <w:rsid w:val="0046265E"/>
    <w:rsid w:val="00465047"/>
    <w:rsid w:val="00465BB4"/>
    <w:rsid w:val="00466E77"/>
    <w:rsid w:val="00467E98"/>
    <w:rsid w:val="004701AF"/>
    <w:rsid w:val="00470C43"/>
    <w:rsid w:val="0047122B"/>
    <w:rsid w:val="004714C1"/>
    <w:rsid w:val="00472B39"/>
    <w:rsid w:val="004732E8"/>
    <w:rsid w:val="00473B7A"/>
    <w:rsid w:val="00474ADB"/>
    <w:rsid w:val="004750D6"/>
    <w:rsid w:val="004754F4"/>
    <w:rsid w:val="004755E8"/>
    <w:rsid w:val="00475E57"/>
    <w:rsid w:val="00480B54"/>
    <w:rsid w:val="00481B8E"/>
    <w:rsid w:val="00481BBC"/>
    <w:rsid w:val="004821A7"/>
    <w:rsid w:val="0048366D"/>
    <w:rsid w:val="00483BFA"/>
    <w:rsid w:val="00484AA3"/>
    <w:rsid w:val="00486986"/>
    <w:rsid w:val="00490E52"/>
    <w:rsid w:val="004936E9"/>
    <w:rsid w:val="00493EF9"/>
    <w:rsid w:val="004960E9"/>
    <w:rsid w:val="00496F89"/>
    <w:rsid w:val="0049712C"/>
    <w:rsid w:val="004979B6"/>
    <w:rsid w:val="00497C5F"/>
    <w:rsid w:val="004A212A"/>
    <w:rsid w:val="004A2718"/>
    <w:rsid w:val="004A2E88"/>
    <w:rsid w:val="004A5305"/>
    <w:rsid w:val="004A779B"/>
    <w:rsid w:val="004B2DA1"/>
    <w:rsid w:val="004B3A46"/>
    <w:rsid w:val="004B46BF"/>
    <w:rsid w:val="004B511A"/>
    <w:rsid w:val="004B58F7"/>
    <w:rsid w:val="004B63E0"/>
    <w:rsid w:val="004B77FC"/>
    <w:rsid w:val="004C02D3"/>
    <w:rsid w:val="004C188E"/>
    <w:rsid w:val="004C2EA5"/>
    <w:rsid w:val="004C5510"/>
    <w:rsid w:val="004C6CC2"/>
    <w:rsid w:val="004D390D"/>
    <w:rsid w:val="004D3BD8"/>
    <w:rsid w:val="004D5B32"/>
    <w:rsid w:val="004D7634"/>
    <w:rsid w:val="004E1754"/>
    <w:rsid w:val="004E24A9"/>
    <w:rsid w:val="004E49AF"/>
    <w:rsid w:val="004E611A"/>
    <w:rsid w:val="004F11B7"/>
    <w:rsid w:val="004F46D2"/>
    <w:rsid w:val="004F6460"/>
    <w:rsid w:val="004F792F"/>
    <w:rsid w:val="005001A8"/>
    <w:rsid w:val="00500376"/>
    <w:rsid w:val="00500814"/>
    <w:rsid w:val="005018F8"/>
    <w:rsid w:val="0050276E"/>
    <w:rsid w:val="00503428"/>
    <w:rsid w:val="0050460F"/>
    <w:rsid w:val="00506598"/>
    <w:rsid w:val="00506C78"/>
    <w:rsid w:val="00507B5D"/>
    <w:rsid w:val="005102EF"/>
    <w:rsid w:val="00511020"/>
    <w:rsid w:val="005118F1"/>
    <w:rsid w:val="005204AA"/>
    <w:rsid w:val="00521390"/>
    <w:rsid w:val="005218F8"/>
    <w:rsid w:val="00521DC9"/>
    <w:rsid w:val="00522B3E"/>
    <w:rsid w:val="00522E21"/>
    <w:rsid w:val="0052352A"/>
    <w:rsid w:val="00524783"/>
    <w:rsid w:val="00524C0F"/>
    <w:rsid w:val="00524C90"/>
    <w:rsid w:val="00524F6F"/>
    <w:rsid w:val="00525212"/>
    <w:rsid w:val="00527258"/>
    <w:rsid w:val="005274A2"/>
    <w:rsid w:val="005300D3"/>
    <w:rsid w:val="005312F2"/>
    <w:rsid w:val="00531D78"/>
    <w:rsid w:val="00531F82"/>
    <w:rsid w:val="00532F9B"/>
    <w:rsid w:val="005335D6"/>
    <w:rsid w:val="00533D1F"/>
    <w:rsid w:val="00534CE2"/>
    <w:rsid w:val="00535BEE"/>
    <w:rsid w:val="00535C68"/>
    <w:rsid w:val="00535CFE"/>
    <w:rsid w:val="0054237D"/>
    <w:rsid w:val="00542A10"/>
    <w:rsid w:val="00542E84"/>
    <w:rsid w:val="005433C1"/>
    <w:rsid w:val="00544F82"/>
    <w:rsid w:val="00546552"/>
    <w:rsid w:val="00546628"/>
    <w:rsid w:val="005509D2"/>
    <w:rsid w:val="00550CD7"/>
    <w:rsid w:val="005515AD"/>
    <w:rsid w:val="005515E3"/>
    <w:rsid w:val="00551C9F"/>
    <w:rsid w:val="0055324E"/>
    <w:rsid w:val="00553E36"/>
    <w:rsid w:val="00554BDC"/>
    <w:rsid w:val="00555B7B"/>
    <w:rsid w:val="005569A7"/>
    <w:rsid w:val="00556DDD"/>
    <w:rsid w:val="005577CA"/>
    <w:rsid w:val="00563F4D"/>
    <w:rsid w:val="00564E6B"/>
    <w:rsid w:val="005658F8"/>
    <w:rsid w:val="0056604D"/>
    <w:rsid w:val="0056760B"/>
    <w:rsid w:val="00570539"/>
    <w:rsid w:val="00571051"/>
    <w:rsid w:val="005711D8"/>
    <w:rsid w:val="00571230"/>
    <w:rsid w:val="00571CB6"/>
    <w:rsid w:val="00572D0C"/>
    <w:rsid w:val="00572D4F"/>
    <w:rsid w:val="00573D9C"/>
    <w:rsid w:val="005757EC"/>
    <w:rsid w:val="00577375"/>
    <w:rsid w:val="00580784"/>
    <w:rsid w:val="005816D8"/>
    <w:rsid w:val="0058210A"/>
    <w:rsid w:val="00583F2E"/>
    <w:rsid w:val="00585077"/>
    <w:rsid w:val="00592202"/>
    <w:rsid w:val="00593C4F"/>
    <w:rsid w:val="00593C81"/>
    <w:rsid w:val="005946A8"/>
    <w:rsid w:val="00595076"/>
    <w:rsid w:val="00596243"/>
    <w:rsid w:val="00597E22"/>
    <w:rsid w:val="005A4407"/>
    <w:rsid w:val="005A5476"/>
    <w:rsid w:val="005A5879"/>
    <w:rsid w:val="005A59EF"/>
    <w:rsid w:val="005A6EC8"/>
    <w:rsid w:val="005A71EE"/>
    <w:rsid w:val="005A7203"/>
    <w:rsid w:val="005A7E29"/>
    <w:rsid w:val="005B0A71"/>
    <w:rsid w:val="005B1C7E"/>
    <w:rsid w:val="005B23CF"/>
    <w:rsid w:val="005B2AD1"/>
    <w:rsid w:val="005B2B4F"/>
    <w:rsid w:val="005B2F38"/>
    <w:rsid w:val="005B3C1B"/>
    <w:rsid w:val="005B418E"/>
    <w:rsid w:val="005B5626"/>
    <w:rsid w:val="005B6B6F"/>
    <w:rsid w:val="005B7DBB"/>
    <w:rsid w:val="005C31D4"/>
    <w:rsid w:val="005C39A8"/>
    <w:rsid w:val="005C5116"/>
    <w:rsid w:val="005C6976"/>
    <w:rsid w:val="005D09B0"/>
    <w:rsid w:val="005D36A8"/>
    <w:rsid w:val="005D3CA2"/>
    <w:rsid w:val="005D4CCD"/>
    <w:rsid w:val="005D5777"/>
    <w:rsid w:val="005D57D6"/>
    <w:rsid w:val="005D6A30"/>
    <w:rsid w:val="005E3315"/>
    <w:rsid w:val="005E36DD"/>
    <w:rsid w:val="005E3D34"/>
    <w:rsid w:val="005E7694"/>
    <w:rsid w:val="005E7F4D"/>
    <w:rsid w:val="005F02F0"/>
    <w:rsid w:val="005F09EF"/>
    <w:rsid w:val="005F1631"/>
    <w:rsid w:val="005F1881"/>
    <w:rsid w:val="005F3250"/>
    <w:rsid w:val="005F61AC"/>
    <w:rsid w:val="005F6B29"/>
    <w:rsid w:val="005F6F41"/>
    <w:rsid w:val="006011BC"/>
    <w:rsid w:val="006019BA"/>
    <w:rsid w:val="00601B78"/>
    <w:rsid w:val="00606731"/>
    <w:rsid w:val="006067F6"/>
    <w:rsid w:val="00607678"/>
    <w:rsid w:val="006116FE"/>
    <w:rsid w:val="00612A88"/>
    <w:rsid w:val="006136F8"/>
    <w:rsid w:val="00613913"/>
    <w:rsid w:val="00616255"/>
    <w:rsid w:val="00616A66"/>
    <w:rsid w:val="00620AC4"/>
    <w:rsid w:val="00620DC0"/>
    <w:rsid w:val="0062267E"/>
    <w:rsid w:val="006226ED"/>
    <w:rsid w:val="006241DC"/>
    <w:rsid w:val="00625DC6"/>
    <w:rsid w:val="00626945"/>
    <w:rsid w:val="00630A98"/>
    <w:rsid w:val="00630C58"/>
    <w:rsid w:val="00635374"/>
    <w:rsid w:val="00635FFE"/>
    <w:rsid w:val="006365AE"/>
    <w:rsid w:val="00637A2E"/>
    <w:rsid w:val="00637CFC"/>
    <w:rsid w:val="0064074A"/>
    <w:rsid w:val="0064391D"/>
    <w:rsid w:val="00643DDC"/>
    <w:rsid w:val="0064520B"/>
    <w:rsid w:val="0064583C"/>
    <w:rsid w:val="0064783D"/>
    <w:rsid w:val="00650A21"/>
    <w:rsid w:val="00651334"/>
    <w:rsid w:val="00651657"/>
    <w:rsid w:val="00651821"/>
    <w:rsid w:val="00652ADE"/>
    <w:rsid w:val="00652C39"/>
    <w:rsid w:val="0065400C"/>
    <w:rsid w:val="00654384"/>
    <w:rsid w:val="006546C4"/>
    <w:rsid w:val="00654836"/>
    <w:rsid w:val="00655ACE"/>
    <w:rsid w:val="0066047C"/>
    <w:rsid w:val="00660970"/>
    <w:rsid w:val="006629C2"/>
    <w:rsid w:val="00662F8F"/>
    <w:rsid w:val="006675CD"/>
    <w:rsid w:val="006718E7"/>
    <w:rsid w:val="006722C4"/>
    <w:rsid w:val="006741B4"/>
    <w:rsid w:val="006767F4"/>
    <w:rsid w:val="006778E7"/>
    <w:rsid w:val="00677DED"/>
    <w:rsid w:val="00683EDE"/>
    <w:rsid w:val="00684D9B"/>
    <w:rsid w:val="0068510A"/>
    <w:rsid w:val="00691022"/>
    <w:rsid w:val="0069111A"/>
    <w:rsid w:val="006912E5"/>
    <w:rsid w:val="00691B18"/>
    <w:rsid w:val="00692B15"/>
    <w:rsid w:val="00694648"/>
    <w:rsid w:val="00695E17"/>
    <w:rsid w:val="00696278"/>
    <w:rsid w:val="0069740A"/>
    <w:rsid w:val="00697556"/>
    <w:rsid w:val="006A0B70"/>
    <w:rsid w:val="006A0E0F"/>
    <w:rsid w:val="006A16CA"/>
    <w:rsid w:val="006A1934"/>
    <w:rsid w:val="006A3EDA"/>
    <w:rsid w:val="006A5054"/>
    <w:rsid w:val="006B0AA0"/>
    <w:rsid w:val="006B149D"/>
    <w:rsid w:val="006B18B9"/>
    <w:rsid w:val="006B38F0"/>
    <w:rsid w:val="006B4647"/>
    <w:rsid w:val="006B4C2B"/>
    <w:rsid w:val="006B6194"/>
    <w:rsid w:val="006B6D47"/>
    <w:rsid w:val="006B787A"/>
    <w:rsid w:val="006B7B83"/>
    <w:rsid w:val="006B7FD7"/>
    <w:rsid w:val="006C0668"/>
    <w:rsid w:val="006C1E2E"/>
    <w:rsid w:val="006C282A"/>
    <w:rsid w:val="006C32CE"/>
    <w:rsid w:val="006C33A6"/>
    <w:rsid w:val="006C4532"/>
    <w:rsid w:val="006C45F2"/>
    <w:rsid w:val="006C5113"/>
    <w:rsid w:val="006C5AFE"/>
    <w:rsid w:val="006C644F"/>
    <w:rsid w:val="006C6ADE"/>
    <w:rsid w:val="006C70E4"/>
    <w:rsid w:val="006C7872"/>
    <w:rsid w:val="006D08A7"/>
    <w:rsid w:val="006D0A1B"/>
    <w:rsid w:val="006D1654"/>
    <w:rsid w:val="006D2F29"/>
    <w:rsid w:val="006D39BF"/>
    <w:rsid w:val="006D4807"/>
    <w:rsid w:val="006D4C18"/>
    <w:rsid w:val="006D60AB"/>
    <w:rsid w:val="006D7942"/>
    <w:rsid w:val="006E099B"/>
    <w:rsid w:val="006E0F46"/>
    <w:rsid w:val="006E36A8"/>
    <w:rsid w:val="006E5701"/>
    <w:rsid w:val="006E5B88"/>
    <w:rsid w:val="006E764F"/>
    <w:rsid w:val="006F2EC8"/>
    <w:rsid w:val="006F3819"/>
    <w:rsid w:val="006F3E66"/>
    <w:rsid w:val="006F6D95"/>
    <w:rsid w:val="00700874"/>
    <w:rsid w:val="00703929"/>
    <w:rsid w:val="0070410C"/>
    <w:rsid w:val="007048EC"/>
    <w:rsid w:val="007067A6"/>
    <w:rsid w:val="00706F13"/>
    <w:rsid w:val="007072E8"/>
    <w:rsid w:val="00711A90"/>
    <w:rsid w:val="00716073"/>
    <w:rsid w:val="0071618D"/>
    <w:rsid w:val="007177C0"/>
    <w:rsid w:val="00723ED5"/>
    <w:rsid w:val="0072473B"/>
    <w:rsid w:val="00725FA4"/>
    <w:rsid w:val="00726AB4"/>
    <w:rsid w:val="00727B66"/>
    <w:rsid w:val="0073083D"/>
    <w:rsid w:val="00731F35"/>
    <w:rsid w:val="00734188"/>
    <w:rsid w:val="00734805"/>
    <w:rsid w:val="0073678A"/>
    <w:rsid w:val="00740446"/>
    <w:rsid w:val="00740EE9"/>
    <w:rsid w:val="0074146B"/>
    <w:rsid w:val="00741D01"/>
    <w:rsid w:val="00743552"/>
    <w:rsid w:val="007438A9"/>
    <w:rsid w:val="0074491E"/>
    <w:rsid w:val="0074633C"/>
    <w:rsid w:val="00751769"/>
    <w:rsid w:val="0075216B"/>
    <w:rsid w:val="00752836"/>
    <w:rsid w:val="00752B51"/>
    <w:rsid w:val="0075307A"/>
    <w:rsid w:val="00753446"/>
    <w:rsid w:val="0076247A"/>
    <w:rsid w:val="0076368B"/>
    <w:rsid w:val="00763F38"/>
    <w:rsid w:val="00765FD6"/>
    <w:rsid w:val="007663C2"/>
    <w:rsid w:val="007674F7"/>
    <w:rsid w:val="007703C4"/>
    <w:rsid w:val="007704C9"/>
    <w:rsid w:val="007706CB"/>
    <w:rsid w:val="007717AF"/>
    <w:rsid w:val="00771D1E"/>
    <w:rsid w:val="00774EC6"/>
    <w:rsid w:val="00775964"/>
    <w:rsid w:val="007764A3"/>
    <w:rsid w:val="007765FE"/>
    <w:rsid w:val="00776888"/>
    <w:rsid w:val="00780CC3"/>
    <w:rsid w:val="00781E9E"/>
    <w:rsid w:val="0078218A"/>
    <w:rsid w:val="00784249"/>
    <w:rsid w:val="0078574F"/>
    <w:rsid w:val="00785A05"/>
    <w:rsid w:val="00785B77"/>
    <w:rsid w:val="00787C44"/>
    <w:rsid w:val="00787FD2"/>
    <w:rsid w:val="007903DC"/>
    <w:rsid w:val="007907ED"/>
    <w:rsid w:val="00794E2E"/>
    <w:rsid w:val="00795BFB"/>
    <w:rsid w:val="007A140A"/>
    <w:rsid w:val="007A1AC5"/>
    <w:rsid w:val="007A2A20"/>
    <w:rsid w:val="007A5854"/>
    <w:rsid w:val="007A5C94"/>
    <w:rsid w:val="007B0815"/>
    <w:rsid w:val="007B207A"/>
    <w:rsid w:val="007B2760"/>
    <w:rsid w:val="007B34B2"/>
    <w:rsid w:val="007B4533"/>
    <w:rsid w:val="007B4F87"/>
    <w:rsid w:val="007B51D6"/>
    <w:rsid w:val="007B5BF7"/>
    <w:rsid w:val="007C007F"/>
    <w:rsid w:val="007C16C8"/>
    <w:rsid w:val="007C2C61"/>
    <w:rsid w:val="007C478A"/>
    <w:rsid w:val="007C4849"/>
    <w:rsid w:val="007C4B56"/>
    <w:rsid w:val="007C5404"/>
    <w:rsid w:val="007C563E"/>
    <w:rsid w:val="007C6F7F"/>
    <w:rsid w:val="007C733B"/>
    <w:rsid w:val="007D0878"/>
    <w:rsid w:val="007D0BDB"/>
    <w:rsid w:val="007D0D3A"/>
    <w:rsid w:val="007D3138"/>
    <w:rsid w:val="007D4D07"/>
    <w:rsid w:val="007D5087"/>
    <w:rsid w:val="007E09B3"/>
    <w:rsid w:val="007E1372"/>
    <w:rsid w:val="007E16BC"/>
    <w:rsid w:val="007E224C"/>
    <w:rsid w:val="007E2DA3"/>
    <w:rsid w:val="007E30D2"/>
    <w:rsid w:val="007E39E2"/>
    <w:rsid w:val="007E4962"/>
    <w:rsid w:val="007E4BE9"/>
    <w:rsid w:val="007E5729"/>
    <w:rsid w:val="007E6B66"/>
    <w:rsid w:val="007F0518"/>
    <w:rsid w:val="007F0D5E"/>
    <w:rsid w:val="007F1170"/>
    <w:rsid w:val="007F117A"/>
    <w:rsid w:val="007F2183"/>
    <w:rsid w:val="007F27F0"/>
    <w:rsid w:val="007F32AA"/>
    <w:rsid w:val="007F7299"/>
    <w:rsid w:val="00801F12"/>
    <w:rsid w:val="00802286"/>
    <w:rsid w:val="008025A6"/>
    <w:rsid w:val="00802970"/>
    <w:rsid w:val="008030BC"/>
    <w:rsid w:val="00804228"/>
    <w:rsid w:val="00805D48"/>
    <w:rsid w:val="00806C01"/>
    <w:rsid w:val="00807ACA"/>
    <w:rsid w:val="00811F23"/>
    <w:rsid w:val="00813916"/>
    <w:rsid w:val="008139CF"/>
    <w:rsid w:val="008148CC"/>
    <w:rsid w:val="008162A5"/>
    <w:rsid w:val="00816772"/>
    <w:rsid w:val="00816921"/>
    <w:rsid w:val="00817DF4"/>
    <w:rsid w:val="00817EA6"/>
    <w:rsid w:val="008211A4"/>
    <w:rsid w:val="0082133B"/>
    <w:rsid w:val="00823431"/>
    <w:rsid w:val="008234D5"/>
    <w:rsid w:val="0082444B"/>
    <w:rsid w:val="00824B51"/>
    <w:rsid w:val="00824BBA"/>
    <w:rsid w:val="00826FEC"/>
    <w:rsid w:val="00830EE1"/>
    <w:rsid w:val="0083589F"/>
    <w:rsid w:val="00836B5A"/>
    <w:rsid w:val="008377B4"/>
    <w:rsid w:val="008402BC"/>
    <w:rsid w:val="00841F49"/>
    <w:rsid w:val="00844AA7"/>
    <w:rsid w:val="0084693A"/>
    <w:rsid w:val="00847419"/>
    <w:rsid w:val="00847868"/>
    <w:rsid w:val="00847C86"/>
    <w:rsid w:val="00847E03"/>
    <w:rsid w:val="00854515"/>
    <w:rsid w:val="00856263"/>
    <w:rsid w:val="008562E2"/>
    <w:rsid w:val="00856766"/>
    <w:rsid w:val="008570F9"/>
    <w:rsid w:val="00857192"/>
    <w:rsid w:val="00857C38"/>
    <w:rsid w:val="00860433"/>
    <w:rsid w:val="00861187"/>
    <w:rsid w:val="00861EBC"/>
    <w:rsid w:val="00863066"/>
    <w:rsid w:val="00863077"/>
    <w:rsid w:val="00864545"/>
    <w:rsid w:val="008655B3"/>
    <w:rsid w:val="00870EA5"/>
    <w:rsid w:val="00873150"/>
    <w:rsid w:val="0087657D"/>
    <w:rsid w:val="008807D5"/>
    <w:rsid w:val="00880832"/>
    <w:rsid w:val="00880B11"/>
    <w:rsid w:val="0088215C"/>
    <w:rsid w:val="0088286C"/>
    <w:rsid w:val="00885592"/>
    <w:rsid w:val="00885F76"/>
    <w:rsid w:val="008866F1"/>
    <w:rsid w:val="00886EE1"/>
    <w:rsid w:val="0088727D"/>
    <w:rsid w:val="0089110A"/>
    <w:rsid w:val="00891195"/>
    <w:rsid w:val="008966DE"/>
    <w:rsid w:val="0089799C"/>
    <w:rsid w:val="00897C75"/>
    <w:rsid w:val="00897F57"/>
    <w:rsid w:val="008A0919"/>
    <w:rsid w:val="008A17A3"/>
    <w:rsid w:val="008A1DC6"/>
    <w:rsid w:val="008A455F"/>
    <w:rsid w:val="008A666A"/>
    <w:rsid w:val="008A7D70"/>
    <w:rsid w:val="008B0999"/>
    <w:rsid w:val="008B31FB"/>
    <w:rsid w:val="008B449C"/>
    <w:rsid w:val="008B66D5"/>
    <w:rsid w:val="008B7969"/>
    <w:rsid w:val="008C045F"/>
    <w:rsid w:val="008C1130"/>
    <w:rsid w:val="008C1712"/>
    <w:rsid w:val="008C443E"/>
    <w:rsid w:val="008C4ABB"/>
    <w:rsid w:val="008C718A"/>
    <w:rsid w:val="008C72C2"/>
    <w:rsid w:val="008D18E6"/>
    <w:rsid w:val="008D28C2"/>
    <w:rsid w:val="008D2D5E"/>
    <w:rsid w:val="008D2D82"/>
    <w:rsid w:val="008D5FA6"/>
    <w:rsid w:val="008D600A"/>
    <w:rsid w:val="008D7A9B"/>
    <w:rsid w:val="008E0060"/>
    <w:rsid w:val="008E2027"/>
    <w:rsid w:val="008E2660"/>
    <w:rsid w:val="008E28A5"/>
    <w:rsid w:val="008E4F91"/>
    <w:rsid w:val="008E57EC"/>
    <w:rsid w:val="008E6385"/>
    <w:rsid w:val="008E6F10"/>
    <w:rsid w:val="008E6FD7"/>
    <w:rsid w:val="008E7091"/>
    <w:rsid w:val="008E70C7"/>
    <w:rsid w:val="008E76AC"/>
    <w:rsid w:val="008E7D3A"/>
    <w:rsid w:val="008F1DC0"/>
    <w:rsid w:val="008F21F6"/>
    <w:rsid w:val="008F232F"/>
    <w:rsid w:val="008F514D"/>
    <w:rsid w:val="008F7D63"/>
    <w:rsid w:val="00900B7A"/>
    <w:rsid w:val="00900CBE"/>
    <w:rsid w:val="009014F9"/>
    <w:rsid w:val="00902196"/>
    <w:rsid w:val="00902A23"/>
    <w:rsid w:val="00903CC6"/>
    <w:rsid w:val="009042F6"/>
    <w:rsid w:val="00905A51"/>
    <w:rsid w:val="00905C86"/>
    <w:rsid w:val="00905ED6"/>
    <w:rsid w:val="00907782"/>
    <w:rsid w:val="00912B34"/>
    <w:rsid w:val="009161DF"/>
    <w:rsid w:val="009170B1"/>
    <w:rsid w:val="00917485"/>
    <w:rsid w:val="00921DD6"/>
    <w:rsid w:val="00923006"/>
    <w:rsid w:val="0092477A"/>
    <w:rsid w:val="009262E6"/>
    <w:rsid w:val="00926D39"/>
    <w:rsid w:val="00926FEE"/>
    <w:rsid w:val="009274C6"/>
    <w:rsid w:val="009274FA"/>
    <w:rsid w:val="00931BBF"/>
    <w:rsid w:val="0093250A"/>
    <w:rsid w:val="00932E27"/>
    <w:rsid w:val="00932F54"/>
    <w:rsid w:val="0093302B"/>
    <w:rsid w:val="00933573"/>
    <w:rsid w:val="0093362A"/>
    <w:rsid w:val="00933E3D"/>
    <w:rsid w:val="00935FF0"/>
    <w:rsid w:val="00936516"/>
    <w:rsid w:val="009426B9"/>
    <w:rsid w:val="00943BD1"/>
    <w:rsid w:val="009448F4"/>
    <w:rsid w:val="00945BA2"/>
    <w:rsid w:val="00946190"/>
    <w:rsid w:val="009462E2"/>
    <w:rsid w:val="00946F3E"/>
    <w:rsid w:val="00947DF4"/>
    <w:rsid w:val="0095025D"/>
    <w:rsid w:val="00950B26"/>
    <w:rsid w:val="00950EE7"/>
    <w:rsid w:val="00950F56"/>
    <w:rsid w:val="009510BD"/>
    <w:rsid w:val="00951DD6"/>
    <w:rsid w:val="00951F79"/>
    <w:rsid w:val="00952EF2"/>
    <w:rsid w:val="00953D56"/>
    <w:rsid w:val="00955CEB"/>
    <w:rsid w:val="009560EE"/>
    <w:rsid w:val="00957CE9"/>
    <w:rsid w:val="009605AC"/>
    <w:rsid w:val="00962E73"/>
    <w:rsid w:val="00964A9C"/>
    <w:rsid w:val="00967CCA"/>
    <w:rsid w:val="00970F5F"/>
    <w:rsid w:val="00972686"/>
    <w:rsid w:val="009732B5"/>
    <w:rsid w:val="00974AB5"/>
    <w:rsid w:val="00974B9F"/>
    <w:rsid w:val="00974DF1"/>
    <w:rsid w:val="00975325"/>
    <w:rsid w:val="00980FB4"/>
    <w:rsid w:val="009827B0"/>
    <w:rsid w:val="00982AA9"/>
    <w:rsid w:val="00983AD1"/>
    <w:rsid w:val="0098706D"/>
    <w:rsid w:val="00987BED"/>
    <w:rsid w:val="00987FB1"/>
    <w:rsid w:val="0099041B"/>
    <w:rsid w:val="00990C03"/>
    <w:rsid w:val="00991FA1"/>
    <w:rsid w:val="009935FB"/>
    <w:rsid w:val="009A00A5"/>
    <w:rsid w:val="009A1ECB"/>
    <w:rsid w:val="009A2E35"/>
    <w:rsid w:val="009A5674"/>
    <w:rsid w:val="009A589A"/>
    <w:rsid w:val="009A60C3"/>
    <w:rsid w:val="009A7453"/>
    <w:rsid w:val="009A78DF"/>
    <w:rsid w:val="009B314A"/>
    <w:rsid w:val="009B46CB"/>
    <w:rsid w:val="009B6B1C"/>
    <w:rsid w:val="009B6C1B"/>
    <w:rsid w:val="009B7765"/>
    <w:rsid w:val="009B77EA"/>
    <w:rsid w:val="009C2B3B"/>
    <w:rsid w:val="009C385F"/>
    <w:rsid w:val="009C3A5A"/>
    <w:rsid w:val="009C79E2"/>
    <w:rsid w:val="009D3CCE"/>
    <w:rsid w:val="009D4306"/>
    <w:rsid w:val="009D5B3F"/>
    <w:rsid w:val="009D67CE"/>
    <w:rsid w:val="009D7ABD"/>
    <w:rsid w:val="009D7FD1"/>
    <w:rsid w:val="009E1ED9"/>
    <w:rsid w:val="009E2B72"/>
    <w:rsid w:val="009E366D"/>
    <w:rsid w:val="009E4D5B"/>
    <w:rsid w:val="009E4FFB"/>
    <w:rsid w:val="009E5F17"/>
    <w:rsid w:val="009E61AB"/>
    <w:rsid w:val="009E6BDC"/>
    <w:rsid w:val="009F13FA"/>
    <w:rsid w:val="009F35B5"/>
    <w:rsid w:val="009F3F41"/>
    <w:rsid w:val="009F4A54"/>
    <w:rsid w:val="009F4BEC"/>
    <w:rsid w:val="009F5874"/>
    <w:rsid w:val="009F6CE5"/>
    <w:rsid w:val="009F6DD8"/>
    <w:rsid w:val="009F75E4"/>
    <w:rsid w:val="00A01BBE"/>
    <w:rsid w:val="00A02464"/>
    <w:rsid w:val="00A03059"/>
    <w:rsid w:val="00A0564E"/>
    <w:rsid w:val="00A11452"/>
    <w:rsid w:val="00A11CF2"/>
    <w:rsid w:val="00A1246A"/>
    <w:rsid w:val="00A12A97"/>
    <w:rsid w:val="00A1300C"/>
    <w:rsid w:val="00A13DE3"/>
    <w:rsid w:val="00A15E83"/>
    <w:rsid w:val="00A16446"/>
    <w:rsid w:val="00A1728B"/>
    <w:rsid w:val="00A2266F"/>
    <w:rsid w:val="00A25B3A"/>
    <w:rsid w:val="00A25FB2"/>
    <w:rsid w:val="00A25FD7"/>
    <w:rsid w:val="00A27059"/>
    <w:rsid w:val="00A3021F"/>
    <w:rsid w:val="00A30CD1"/>
    <w:rsid w:val="00A31570"/>
    <w:rsid w:val="00A3178E"/>
    <w:rsid w:val="00A31E5C"/>
    <w:rsid w:val="00A34653"/>
    <w:rsid w:val="00A36DE5"/>
    <w:rsid w:val="00A37627"/>
    <w:rsid w:val="00A37F9D"/>
    <w:rsid w:val="00A41294"/>
    <w:rsid w:val="00A430A9"/>
    <w:rsid w:val="00A43AFF"/>
    <w:rsid w:val="00A44865"/>
    <w:rsid w:val="00A462C4"/>
    <w:rsid w:val="00A4648E"/>
    <w:rsid w:val="00A5264E"/>
    <w:rsid w:val="00A53619"/>
    <w:rsid w:val="00A55705"/>
    <w:rsid w:val="00A57AE1"/>
    <w:rsid w:val="00A57EBF"/>
    <w:rsid w:val="00A60C1A"/>
    <w:rsid w:val="00A64136"/>
    <w:rsid w:val="00A64145"/>
    <w:rsid w:val="00A67969"/>
    <w:rsid w:val="00A711CF"/>
    <w:rsid w:val="00A7375B"/>
    <w:rsid w:val="00A74701"/>
    <w:rsid w:val="00A74DA5"/>
    <w:rsid w:val="00A76047"/>
    <w:rsid w:val="00A760BC"/>
    <w:rsid w:val="00A761A5"/>
    <w:rsid w:val="00A766CB"/>
    <w:rsid w:val="00A77888"/>
    <w:rsid w:val="00A7793A"/>
    <w:rsid w:val="00A805F1"/>
    <w:rsid w:val="00A81D07"/>
    <w:rsid w:val="00A83FCF"/>
    <w:rsid w:val="00A8739B"/>
    <w:rsid w:val="00A905F6"/>
    <w:rsid w:val="00A908EE"/>
    <w:rsid w:val="00A91BF6"/>
    <w:rsid w:val="00A9277B"/>
    <w:rsid w:val="00A93D78"/>
    <w:rsid w:val="00A96FD8"/>
    <w:rsid w:val="00A975D0"/>
    <w:rsid w:val="00A9798F"/>
    <w:rsid w:val="00AA3021"/>
    <w:rsid w:val="00AA302F"/>
    <w:rsid w:val="00AA4CC7"/>
    <w:rsid w:val="00AA57E9"/>
    <w:rsid w:val="00AA5AC6"/>
    <w:rsid w:val="00AA5E8E"/>
    <w:rsid w:val="00AA7626"/>
    <w:rsid w:val="00AB04FD"/>
    <w:rsid w:val="00AB0BB1"/>
    <w:rsid w:val="00AB1831"/>
    <w:rsid w:val="00AB2BAD"/>
    <w:rsid w:val="00AB36A4"/>
    <w:rsid w:val="00AB6CA7"/>
    <w:rsid w:val="00AB7B1A"/>
    <w:rsid w:val="00AB7FF4"/>
    <w:rsid w:val="00AC0260"/>
    <w:rsid w:val="00AC1F67"/>
    <w:rsid w:val="00AC2265"/>
    <w:rsid w:val="00AC3ECF"/>
    <w:rsid w:val="00AC4C50"/>
    <w:rsid w:val="00AC616D"/>
    <w:rsid w:val="00AC63A7"/>
    <w:rsid w:val="00AC6A41"/>
    <w:rsid w:val="00AC77E3"/>
    <w:rsid w:val="00AD01E4"/>
    <w:rsid w:val="00AD0858"/>
    <w:rsid w:val="00AD0EAF"/>
    <w:rsid w:val="00AD50CA"/>
    <w:rsid w:val="00AD55A9"/>
    <w:rsid w:val="00AD5CB3"/>
    <w:rsid w:val="00AD5E54"/>
    <w:rsid w:val="00AE02E3"/>
    <w:rsid w:val="00AE0A01"/>
    <w:rsid w:val="00AE0F80"/>
    <w:rsid w:val="00AE19F7"/>
    <w:rsid w:val="00AE2046"/>
    <w:rsid w:val="00AE365A"/>
    <w:rsid w:val="00AE421F"/>
    <w:rsid w:val="00AE464C"/>
    <w:rsid w:val="00AE7340"/>
    <w:rsid w:val="00AF04A0"/>
    <w:rsid w:val="00AF1BBD"/>
    <w:rsid w:val="00AF3395"/>
    <w:rsid w:val="00AF3513"/>
    <w:rsid w:val="00AF38ED"/>
    <w:rsid w:val="00AF541E"/>
    <w:rsid w:val="00AF7504"/>
    <w:rsid w:val="00AF7953"/>
    <w:rsid w:val="00B004C5"/>
    <w:rsid w:val="00B00B75"/>
    <w:rsid w:val="00B011AF"/>
    <w:rsid w:val="00B01931"/>
    <w:rsid w:val="00B020C2"/>
    <w:rsid w:val="00B07287"/>
    <w:rsid w:val="00B10207"/>
    <w:rsid w:val="00B118AC"/>
    <w:rsid w:val="00B12324"/>
    <w:rsid w:val="00B13578"/>
    <w:rsid w:val="00B1370F"/>
    <w:rsid w:val="00B141E7"/>
    <w:rsid w:val="00B154E2"/>
    <w:rsid w:val="00B1556D"/>
    <w:rsid w:val="00B15D71"/>
    <w:rsid w:val="00B1613E"/>
    <w:rsid w:val="00B21E13"/>
    <w:rsid w:val="00B23A09"/>
    <w:rsid w:val="00B25252"/>
    <w:rsid w:val="00B30245"/>
    <w:rsid w:val="00B30897"/>
    <w:rsid w:val="00B30B2D"/>
    <w:rsid w:val="00B32DC9"/>
    <w:rsid w:val="00B32FEF"/>
    <w:rsid w:val="00B351B4"/>
    <w:rsid w:val="00B35273"/>
    <w:rsid w:val="00B352F4"/>
    <w:rsid w:val="00B35B17"/>
    <w:rsid w:val="00B36F02"/>
    <w:rsid w:val="00B371D9"/>
    <w:rsid w:val="00B3781D"/>
    <w:rsid w:val="00B412D2"/>
    <w:rsid w:val="00B42E95"/>
    <w:rsid w:val="00B43A20"/>
    <w:rsid w:val="00B43F29"/>
    <w:rsid w:val="00B44997"/>
    <w:rsid w:val="00B44F8C"/>
    <w:rsid w:val="00B468B4"/>
    <w:rsid w:val="00B46BCA"/>
    <w:rsid w:val="00B47557"/>
    <w:rsid w:val="00B478AA"/>
    <w:rsid w:val="00B47C01"/>
    <w:rsid w:val="00B505FD"/>
    <w:rsid w:val="00B50E3F"/>
    <w:rsid w:val="00B518D8"/>
    <w:rsid w:val="00B518E9"/>
    <w:rsid w:val="00B518FC"/>
    <w:rsid w:val="00B52606"/>
    <w:rsid w:val="00B5317C"/>
    <w:rsid w:val="00B56018"/>
    <w:rsid w:val="00B5658C"/>
    <w:rsid w:val="00B568EB"/>
    <w:rsid w:val="00B60F28"/>
    <w:rsid w:val="00B61165"/>
    <w:rsid w:val="00B62EDD"/>
    <w:rsid w:val="00B63F96"/>
    <w:rsid w:val="00B64295"/>
    <w:rsid w:val="00B6448F"/>
    <w:rsid w:val="00B646F5"/>
    <w:rsid w:val="00B6494F"/>
    <w:rsid w:val="00B64AB6"/>
    <w:rsid w:val="00B64BCF"/>
    <w:rsid w:val="00B66148"/>
    <w:rsid w:val="00B67516"/>
    <w:rsid w:val="00B70ACC"/>
    <w:rsid w:val="00B71030"/>
    <w:rsid w:val="00B720E8"/>
    <w:rsid w:val="00B73501"/>
    <w:rsid w:val="00B73A38"/>
    <w:rsid w:val="00B74E86"/>
    <w:rsid w:val="00B76D88"/>
    <w:rsid w:val="00B773C5"/>
    <w:rsid w:val="00B81EF8"/>
    <w:rsid w:val="00B82323"/>
    <w:rsid w:val="00B82557"/>
    <w:rsid w:val="00B83C9D"/>
    <w:rsid w:val="00B8451C"/>
    <w:rsid w:val="00B87806"/>
    <w:rsid w:val="00B87EC9"/>
    <w:rsid w:val="00B919A5"/>
    <w:rsid w:val="00B922AA"/>
    <w:rsid w:val="00B937B2"/>
    <w:rsid w:val="00B93874"/>
    <w:rsid w:val="00B946DC"/>
    <w:rsid w:val="00B973DD"/>
    <w:rsid w:val="00B97CF2"/>
    <w:rsid w:val="00BA06DA"/>
    <w:rsid w:val="00BA0BD8"/>
    <w:rsid w:val="00BB00CF"/>
    <w:rsid w:val="00BB0D91"/>
    <w:rsid w:val="00BB27D6"/>
    <w:rsid w:val="00BB33AF"/>
    <w:rsid w:val="00BB3EC6"/>
    <w:rsid w:val="00BB4880"/>
    <w:rsid w:val="00BB5EC7"/>
    <w:rsid w:val="00BB60CF"/>
    <w:rsid w:val="00BC2E08"/>
    <w:rsid w:val="00BC3581"/>
    <w:rsid w:val="00BC38FD"/>
    <w:rsid w:val="00BC54D3"/>
    <w:rsid w:val="00BC6019"/>
    <w:rsid w:val="00BD0950"/>
    <w:rsid w:val="00BD1F24"/>
    <w:rsid w:val="00BD2717"/>
    <w:rsid w:val="00BD285A"/>
    <w:rsid w:val="00BD2D8A"/>
    <w:rsid w:val="00BD2E86"/>
    <w:rsid w:val="00BD3395"/>
    <w:rsid w:val="00BD37AE"/>
    <w:rsid w:val="00BE02B0"/>
    <w:rsid w:val="00BE477C"/>
    <w:rsid w:val="00BF0821"/>
    <w:rsid w:val="00BF1788"/>
    <w:rsid w:val="00BF3A2F"/>
    <w:rsid w:val="00BF5C2A"/>
    <w:rsid w:val="00BF7B90"/>
    <w:rsid w:val="00C02F5E"/>
    <w:rsid w:val="00C034CB"/>
    <w:rsid w:val="00C04962"/>
    <w:rsid w:val="00C04C39"/>
    <w:rsid w:val="00C051A8"/>
    <w:rsid w:val="00C054BC"/>
    <w:rsid w:val="00C05CC3"/>
    <w:rsid w:val="00C06680"/>
    <w:rsid w:val="00C10654"/>
    <w:rsid w:val="00C10DE3"/>
    <w:rsid w:val="00C11083"/>
    <w:rsid w:val="00C11A2A"/>
    <w:rsid w:val="00C13494"/>
    <w:rsid w:val="00C1555B"/>
    <w:rsid w:val="00C16954"/>
    <w:rsid w:val="00C16D3D"/>
    <w:rsid w:val="00C171CC"/>
    <w:rsid w:val="00C17897"/>
    <w:rsid w:val="00C17A78"/>
    <w:rsid w:val="00C17ABB"/>
    <w:rsid w:val="00C21954"/>
    <w:rsid w:val="00C22565"/>
    <w:rsid w:val="00C23DB6"/>
    <w:rsid w:val="00C246BB"/>
    <w:rsid w:val="00C25283"/>
    <w:rsid w:val="00C254BD"/>
    <w:rsid w:val="00C2559E"/>
    <w:rsid w:val="00C25C37"/>
    <w:rsid w:val="00C26140"/>
    <w:rsid w:val="00C26E47"/>
    <w:rsid w:val="00C26E5D"/>
    <w:rsid w:val="00C27377"/>
    <w:rsid w:val="00C31032"/>
    <w:rsid w:val="00C32F1E"/>
    <w:rsid w:val="00C34C0E"/>
    <w:rsid w:val="00C409D5"/>
    <w:rsid w:val="00C435C3"/>
    <w:rsid w:val="00C438DF"/>
    <w:rsid w:val="00C44DC4"/>
    <w:rsid w:val="00C44E5F"/>
    <w:rsid w:val="00C45395"/>
    <w:rsid w:val="00C454CC"/>
    <w:rsid w:val="00C45E34"/>
    <w:rsid w:val="00C475A9"/>
    <w:rsid w:val="00C4786A"/>
    <w:rsid w:val="00C4788A"/>
    <w:rsid w:val="00C50141"/>
    <w:rsid w:val="00C51B7C"/>
    <w:rsid w:val="00C52BEE"/>
    <w:rsid w:val="00C5329D"/>
    <w:rsid w:val="00C53BBD"/>
    <w:rsid w:val="00C54994"/>
    <w:rsid w:val="00C5711C"/>
    <w:rsid w:val="00C57286"/>
    <w:rsid w:val="00C57AF6"/>
    <w:rsid w:val="00C57E86"/>
    <w:rsid w:val="00C60A0D"/>
    <w:rsid w:val="00C615EC"/>
    <w:rsid w:val="00C61920"/>
    <w:rsid w:val="00C6234B"/>
    <w:rsid w:val="00C63EAE"/>
    <w:rsid w:val="00C6572C"/>
    <w:rsid w:val="00C67E4C"/>
    <w:rsid w:val="00C73260"/>
    <w:rsid w:val="00C73C8D"/>
    <w:rsid w:val="00C75295"/>
    <w:rsid w:val="00C7629F"/>
    <w:rsid w:val="00C80E13"/>
    <w:rsid w:val="00C80E91"/>
    <w:rsid w:val="00C81D9A"/>
    <w:rsid w:val="00C82624"/>
    <w:rsid w:val="00C833B0"/>
    <w:rsid w:val="00C83B6E"/>
    <w:rsid w:val="00C847DC"/>
    <w:rsid w:val="00C851D7"/>
    <w:rsid w:val="00C856DE"/>
    <w:rsid w:val="00C8661B"/>
    <w:rsid w:val="00C868C3"/>
    <w:rsid w:val="00C86F3B"/>
    <w:rsid w:val="00C9116C"/>
    <w:rsid w:val="00C91306"/>
    <w:rsid w:val="00C9222B"/>
    <w:rsid w:val="00C9264B"/>
    <w:rsid w:val="00C9350E"/>
    <w:rsid w:val="00C96118"/>
    <w:rsid w:val="00C964E0"/>
    <w:rsid w:val="00C9783D"/>
    <w:rsid w:val="00C97A7F"/>
    <w:rsid w:val="00C97C86"/>
    <w:rsid w:val="00CA03C8"/>
    <w:rsid w:val="00CA139A"/>
    <w:rsid w:val="00CA1731"/>
    <w:rsid w:val="00CA2447"/>
    <w:rsid w:val="00CA2899"/>
    <w:rsid w:val="00CA31AE"/>
    <w:rsid w:val="00CA3698"/>
    <w:rsid w:val="00CA38E7"/>
    <w:rsid w:val="00CA3A3D"/>
    <w:rsid w:val="00CA3AA6"/>
    <w:rsid w:val="00CA55C1"/>
    <w:rsid w:val="00CA5E21"/>
    <w:rsid w:val="00CA64E1"/>
    <w:rsid w:val="00CA77FB"/>
    <w:rsid w:val="00CA7ED0"/>
    <w:rsid w:val="00CB0F00"/>
    <w:rsid w:val="00CB1D8B"/>
    <w:rsid w:val="00CB379B"/>
    <w:rsid w:val="00CB404F"/>
    <w:rsid w:val="00CB5B2C"/>
    <w:rsid w:val="00CB5DD0"/>
    <w:rsid w:val="00CB6547"/>
    <w:rsid w:val="00CB67FF"/>
    <w:rsid w:val="00CB7505"/>
    <w:rsid w:val="00CC05D0"/>
    <w:rsid w:val="00CC10C1"/>
    <w:rsid w:val="00CC51D4"/>
    <w:rsid w:val="00CC5C32"/>
    <w:rsid w:val="00CC65DA"/>
    <w:rsid w:val="00CC6BD8"/>
    <w:rsid w:val="00CC7022"/>
    <w:rsid w:val="00CD41F2"/>
    <w:rsid w:val="00CD6133"/>
    <w:rsid w:val="00CE005E"/>
    <w:rsid w:val="00CE0D50"/>
    <w:rsid w:val="00CE2267"/>
    <w:rsid w:val="00CE2D1F"/>
    <w:rsid w:val="00CE3ACC"/>
    <w:rsid w:val="00CE7240"/>
    <w:rsid w:val="00CE7B5E"/>
    <w:rsid w:val="00CF0146"/>
    <w:rsid w:val="00CF128A"/>
    <w:rsid w:val="00CF21B9"/>
    <w:rsid w:val="00CF2F15"/>
    <w:rsid w:val="00CF6BF9"/>
    <w:rsid w:val="00CF6C33"/>
    <w:rsid w:val="00CF7025"/>
    <w:rsid w:val="00D00B83"/>
    <w:rsid w:val="00D03800"/>
    <w:rsid w:val="00D044B4"/>
    <w:rsid w:val="00D0574B"/>
    <w:rsid w:val="00D05D78"/>
    <w:rsid w:val="00D065D3"/>
    <w:rsid w:val="00D114C8"/>
    <w:rsid w:val="00D131C1"/>
    <w:rsid w:val="00D14C94"/>
    <w:rsid w:val="00D15687"/>
    <w:rsid w:val="00D16E11"/>
    <w:rsid w:val="00D2198B"/>
    <w:rsid w:val="00D21A1F"/>
    <w:rsid w:val="00D22112"/>
    <w:rsid w:val="00D24853"/>
    <w:rsid w:val="00D2586A"/>
    <w:rsid w:val="00D267E4"/>
    <w:rsid w:val="00D268EB"/>
    <w:rsid w:val="00D26EF0"/>
    <w:rsid w:val="00D27D60"/>
    <w:rsid w:val="00D323AD"/>
    <w:rsid w:val="00D32FC6"/>
    <w:rsid w:val="00D33895"/>
    <w:rsid w:val="00D342A6"/>
    <w:rsid w:val="00D349A0"/>
    <w:rsid w:val="00D34C32"/>
    <w:rsid w:val="00D34FC0"/>
    <w:rsid w:val="00D35785"/>
    <w:rsid w:val="00D35829"/>
    <w:rsid w:val="00D361F9"/>
    <w:rsid w:val="00D37455"/>
    <w:rsid w:val="00D424FA"/>
    <w:rsid w:val="00D427A2"/>
    <w:rsid w:val="00D42D69"/>
    <w:rsid w:val="00D44CE3"/>
    <w:rsid w:val="00D44F2E"/>
    <w:rsid w:val="00D45CA6"/>
    <w:rsid w:val="00D464BF"/>
    <w:rsid w:val="00D46D0B"/>
    <w:rsid w:val="00D51CBE"/>
    <w:rsid w:val="00D53E26"/>
    <w:rsid w:val="00D54177"/>
    <w:rsid w:val="00D5451F"/>
    <w:rsid w:val="00D55787"/>
    <w:rsid w:val="00D56B8B"/>
    <w:rsid w:val="00D604CA"/>
    <w:rsid w:val="00D608CC"/>
    <w:rsid w:val="00D60C97"/>
    <w:rsid w:val="00D61574"/>
    <w:rsid w:val="00D62151"/>
    <w:rsid w:val="00D626A1"/>
    <w:rsid w:val="00D6282E"/>
    <w:rsid w:val="00D628F7"/>
    <w:rsid w:val="00D6348E"/>
    <w:rsid w:val="00D6746F"/>
    <w:rsid w:val="00D70871"/>
    <w:rsid w:val="00D71049"/>
    <w:rsid w:val="00D741DD"/>
    <w:rsid w:val="00D7577A"/>
    <w:rsid w:val="00D757E9"/>
    <w:rsid w:val="00D76A37"/>
    <w:rsid w:val="00D76A99"/>
    <w:rsid w:val="00D776F9"/>
    <w:rsid w:val="00D80CBD"/>
    <w:rsid w:val="00D81B50"/>
    <w:rsid w:val="00D83C80"/>
    <w:rsid w:val="00D83D83"/>
    <w:rsid w:val="00D844CD"/>
    <w:rsid w:val="00D848A4"/>
    <w:rsid w:val="00D85D50"/>
    <w:rsid w:val="00D94057"/>
    <w:rsid w:val="00D94FC0"/>
    <w:rsid w:val="00D97E89"/>
    <w:rsid w:val="00DA0413"/>
    <w:rsid w:val="00DA0731"/>
    <w:rsid w:val="00DA246E"/>
    <w:rsid w:val="00DA287F"/>
    <w:rsid w:val="00DA2994"/>
    <w:rsid w:val="00DA35BF"/>
    <w:rsid w:val="00DA57F0"/>
    <w:rsid w:val="00DA5E0B"/>
    <w:rsid w:val="00DA6ECF"/>
    <w:rsid w:val="00DA7488"/>
    <w:rsid w:val="00DA7A8D"/>
    <w:rsid w:val="00DB00A1"/>
    <w:rsid w:val="00DB117B"/>
    <w:rsid w:val="00DB182C"/>
    <w:rsid w:val="00DB1FD3"/>
    <w:rsid w:val="00DB2D97"/>
    <w:rsid w:val="00DB560A"/>
    <w:rsid w:val="00DC036E"/>
    <w:rsid w:val="00DC1431"/>
    <w:rsid w:val="00DC1A04"/>
    <w:rsid w:val="00DC1AD9"/>
    <w:rsid w:val="00DC1C2E"/>
    <w:rsid w:val="00DC2309"/>
    <w:rsid w:val="00DC5BA2"/>
    <w:rsid w:val="00DC750D"/>
    <w:rsid w:val="00DD210B"/>
    <w:rsid w:val="00DD25B1"/>
    <w:rsid w:val="00DD3BAD"/>
    <w:rsid w:val="00DD4F0E"/>
    <w:rsid w:val="00DD6D45"/>
    <w:rsid w:val="00DD6DC3"/>
    <w:rsid w:val="00DE158E"/>
    <w:rsid w:val="00DE2C6D"/>
    <w:rsid w:val="00DE3840"/>
    <w:rsid w:val="00DE4AE3"/>
    <w:rsid w:val="00DE6F67"/>
    <w:rsid w:val="00DF038D"/>
    <w:rsid w:val="00DF0B23"/>
    <w:rsid w:val="00DF0BF0"/>
    <w:rsid w:val="00DF26B9"/>
    <w:rsid w:val="00DF2889"/>
    <w:rsid w:val="00DF3CA2"/>
    <w:rsid w:val="00DF4A22"/>
    <w:rsid w:val="00DF5F2F"/>
    <w:rsid w:val="00E01463"/>
    <w:rsid w:val="00E034A3"/>
    <w:rsid w:val="00E0366D"/>
    <w:rsid w:val="00E0477B"/>
    <w:rsid w:val="00E04F97"/>
    <w:rsid w:val="00E05E0A"/>
    <w:rsid w:val="00E060BE"/>
    <w:rsid w:val="00E10011"/>
    <w:rsid w:val="00E10BDB"/>
    <w:rsid w:val="00E10E66"/>
    <w:rsid w:val="00E1120C"/>
    <w:rsid w:val="00E11C21"/>
    <w:rsid w:val="00E12670"/>
    <w:rsid w:val="00E13B5B"/>
    <w:rsid w:val="00E13E93"/>
    <w:rsid w:val="00E140CE"/>
    <w:rsid w:val="00E14238"/>
    <w:rsid w:val="00E1459B"/>
    <w:rsid w:val="00E1582B"/>
    <w:rsid w:val="00E15CCC"/>
    <w:rsid w:val="00E17260"/>
    <w:rsid w:val="00E23749"/>
    <w:rsid w:val="00E241BF"/>
    <w:rsid w:val="00E249CF"/>
    <w:rsid w:val="00E24C22"/>
    <w:rsid w:val="00E31885"/>
    <w:rsid w:val="00E31936"/>
    <w:rsid w:val="00E31B35"/>
    <w:rsid w:val="00E32881"/>
    <w:rsid w:val="00E340AD"/>
    <w:rsid w:val="00E345CE"/>
    <w:rsid w:val="00E404B4"/>
    <w:rsid w:val="00E40860"/>
    <w:rsid w:val="00E42C08"/>
    <w:rsid w:val="00E43CB2"/>
    <w:rsid w:val="00E45775"/>
    <w:rsid w:val="00E47E3F"/>
    <w:rsid w:val="00E5229F"/>
    <w:rsid w:val="00E53019"/>
    <w:rsid w:val="00E53408"/>
    <w:rsid w:val="00E534CF"/>
    <w:rsid w:val="00E539D9"/>
    <w:rsid w:val="00E54966"/>
    <w:rsid w:val="00E574AF"/>
    <w:rsid w:val="00E57636"/>
    <w:rsid w:val="00E61382"/>
    <w:rsid w:val="00E64062"/>
    <w:rsid w:val="00E64F02"/>
    <w:rsid w:val="00E657FE"/>
    <w:rsid w:val="00E72AF5"/>
    <w:rsid w:val="00E7722A"/>
    <w:rsid w:val="00E77E20"/>
    <w:rsid w:val="00E80FF6"/>
    <w:rsid w:val="00E81B63"/>
    <w:rsid w:val="00E81CB4"/>
    <w:rsid w:val="00E851EB"/>
    <w:rsid w:val="00E8585B"/>
    <w:rsid w:val="00E86722"/>
    <w:rsid w:val="00E87F41"/>
    <w:rsid w:val="00E912C1"/>
    <w:rsid w:val="00E9221A"/>
    <w:rsid w:val="00E933B7"/>
    <w:rsid w:val="00E93A8F"/>
    <w:rsid w:val="00E94BC7"/>
    <w:rsid w:val="00E97758"/>
    <w:rsid w:val="00EA1524"/>
    <w:rsid w:val="00EA3F15"/>
    <w:rsid w:val="00EA439B"/>
    <w:rsid w:val="00EA49D2"/>
    <w:rsid w:val="00EA7847"/>
    <w:rsid w:val="00EB0F09"/>
    <w:rsid w:val="00EB10B7"/>
    <w:rsid w:val="00EB1B3E"/>
    <w:rsid w:val="00EB21EB"/>
    <w:rsid w:val="00EB2219"/>
    <w:rsid w:val="00EB3485"/>
    <w:rsid w:val="00EB3486"/>
    <w:rsid w:val="00EB4C2F"/>
    <w:rsid w:val="00EB651C"/>
    <w:rsid w:val="00EB6838"/>
    <w:rsid w:val="00EB7CDA"/>
    <w:rsid w:val="00EC06BE"/>
    <w:rsid w:val="00EC09D1"/>
    <w:rsid w:val="00EC18C2"/>
    <w:rsid w:val="00EC2B95"/>
    <w:rsid w:val="00EC644F"/>
    <w:rsid w:val="00EC71E9"/>
    <w:rsid w:val="00EC7B65"/>
    <w:rsid w:val="00ED12DA"/>
    <w:rsid w:val="00ED2BC2"/>
    <w:rsid w:val="00ED2D7B"/>
    <w:rsid w:val="00ED33CD"/>
    <w:rsid w:val="00ED35C4"/>
    <w:rsid w:val="00ED4B9B"/>
    <w:rsid w:val="00ED61E3"/>
    <w:rsid w:val="00ED6F19"/>
    <w:rsid w:val="00EE0221"/>
    <w:rsid w:val="00EE28A6"/>
    <w:rsid w:val="00EE2A8F"/>
    <w:rsid w:val="00EE2E6E"/>
    <w:rsid w:val="00EE35FE"/>
    <w:rsid w:val="00EE3C5B"/>
    <w:rsid w:val="00EE4DA7"/>
    <w:rsid w:val="00EE77DF"/>
    <w:rsid w:val="00EF0CE5"/>
    <w:rsid w:val="00EF0F60"/>
    <w:rsid w:val="00EF1042"/>
    <w:rsid w:val="00EF2272"/>
    <w:rsid w:val="00EF2CE7"/>
    <w:rsid w:val="00EF5D74"/>
    <w:rsid w:val="00EF6CEE"/>
    <w:rsid w:val="00EF6D18"/>
    <w:rsid w:val="00F00649"/>
    <w:rsid w:val="00F008CE"/>
    <w:rsid w:val="00F013D9"/>
    <w:rsid w:val="00F01B05"/>
    <w:rsid w:val="00F03362"/>
    <w:rsid w:val="00F03A73"/>
    <w:rsid w:val="00F05136"/>
    <w:rsid w:val="00F0593B"/>
    <w:rsid w:val="00F0597F"/>
    <w:rsid w:val="00F0759E"/>
    <w:rsid w:val="00F07CDC"/>
    <w:rsid w:val="00F11327"/>
    <w:rsid w:val="00F13C3C"/>
    <w:rsid w:val="00F16A43"/>
    <w:rsid w:val="00F1729C"/>
    <w:rsid w:val="00F21944"/>
    <w:rsid w:val="00F32284"/>
    <w:rsid w:val="00F32D27"/>
    <w:rsid w:val="00F33BFC"/>
    <w:rsid w:val="00F345EB"/>
    <w:rsid w:val="00F345FF"/>
    <w:rsid w:val="00F347FA"/>
    <w:rsid w:val="00F37C4B"/>
    <w:rsid w:val="00F40B25"/>
    <w:rsid w:val="00F40DF8"/>
    <w:rsid w:val="00F411AF"/>
    <w:rsid w:val="00F412B9"/>
    <w:rsid w:val="00F41A45"/>
    <w:rsid w:val="00F41AD9"/>
    <w:rsid w:val="00F42024"/>
    <w:rsid w:val="00F4262C"/>
    <w:rsid w:val="00F42634"/>
    <w:rsid w:val="00F43D58"/>
    <w:rsid w:val="00F448DC"/>
    <w:rsid w:val="00F453F1"/>
    <w:rsid w:val="00F464F7"/>
    <w:rsid w:val="00F46780"/>
    <w:rsid w:val="00F46F9E"/>
    <w:rsid w:val="00F51ACB"/>
    <w:rsid w:val="00F51DE2"/>
    <w:rsid w:val="00F5245B"/>
    <w:rsid w:val="00F52FF7"/>
    <w:rsid w:val="00F54074"/>
    <w:rsid w:val="00F558DF"/>
    <w:rsid w:val="00F56DBB"/>
    <w:rsid w:val="00F642B2"/>
    <w:rsid w:val="00F643F1"/>
    <w:rsid w:val="00F64F29"/>
    <w:rsid w:val="00F658C2"/>
    <w:rsid w:val="00F71DCF"/>
    <w:rsid w:val="00F72366"/>
    <w:rsid w:val="00F735F2"/>
    <w:rsid w:val="00F74CDD"/>
    <w:rsid w:val="00F75C69"/>
    <w:rsid w:val="00F7785C"/>
    <w:rsid w:val="00F77D2D"/>
    <w:rsid w:val="00F821A3"/>
    <w:rsid w:val="00F83EA8"/>
    <w:rsid w:val="00F85205"/>
    <w:rsid w:val="00F859A9"/>
    <w:rsid w:val="00F86316"/>
    <w:rsid w:val="00F86728"/>
    <w:rsid w:val="00F86F63"/>
    <w:rsid w:val="00F87ECC"/>
    <w:rsid w:val="00F92C90"/>
    <w:rsid w:val="00F9314A"/>
    <w:rsid w:val="00F939D1"/>
    <w:rsid w:val="00F940B2"/>
    <w:rsid w:val="00F95196"/>
    <w:rsid w:val="00F972A1"/>
    <w:rsid w:val="00F9792B"/>
    <w:rsid w:val="00FA24E7"/>
    <w:rsid w:val="00FA767E"/>
    <w:rsid w:val="00FB0A1B"/>
    <w:rsid w:val="00FB26C1"/>
    <w:rsid w:val="00FB4F95"/>
    <w:rsid w:val="00FB59DC"/>
    <w:rsid w:val="00FC2901"/>
    <w:rsid w:val="00FC389D"/>
    <w:rsid w:val="00FC4A13"/>
    <w:rsid w:val="00FC58EF"/>
    <w:rsid w:val="00FC5E19"/>
    <w:rsid w:val="00FC7B12"/>
    <w:rsid w:val="00FD2A56"/>
    <w:rsid w:val="00FD33DF"/>
    <w:rsid w:val="00FD3EDF"/>
    <w:rsid w:val="00FD5CA5"/>
    <w:rsid w:val="00FD6301"/>
    <w:rsid w:val="00FE02F1"/>
    <w:rsid w:val="00FE0A4C"/>
    <w:rsid w:val="00FE0D45"/>
    <w:rsid w:val="00FE107A"/>
    <w:rsid w:val="00FE39D7"/>
    <w:rsid w:val="00FE5652"/>
    <w:rsid w:val="00FE609D"/>
    <w:rsid w:val="00FE765B"/>
    <w:rsid w:val="00FF0238"/>
    <w:rsid w:val="00FF1438"/>
    <w:rsid w:val="00FF47EF"/>
    <w:rsid w:val="00FF641B"/>
    <w:rsid w:val="00FF66F6"/>
    <w:rsid w:val="00FF78B5"/>
    <w:rsid w:val="0366B5D8"/>
    <w:rsid w:val="0B45E71B"/>
    <w:rsid w:val="0C81E816"/>
    <w:rsid w:val="0D47E33E"/>
    <w:rsid w:val="0DCF406B"/>
    <w:rsid w:val="0F47340C"/>
    <w:rsid w:val="10404E8D"/>
    <w:rsid w:val="11D3567B"/>
    <w:rsid w:val="13116D4B"/>
    <w:rsid w:val="19427587"/>
    <w:rsid w:val="1FDC915B"/>
    <w:rsid w:val="2119406F"/>
    <w:rsid w:val="21DB0F66"/>
    <w:rsid w:val="293A817B"/>
    <w:rsid w:val="2B3D31BC"/>
    <w:rsid w:val="2C6AF721"/>
    <w:rsid w:val="2C877249"/>
    <w:rsid w:val="3410BC9D"/>
    <w:rsid w:val="34158EEE"/>
    <w:rsid w:val="34F91817"/>
    <w:rsid w:val="377833CE"/>
    <w:rsid w:val="378A69EA"/>
    <w:rsid w:val="3B3C8833"/>
    <w:rsid w:val="3C2DB1DA"/>
    <w:rsid w:val="3C4E00FC"/>
    <w:rsid w:val="3FD26730"/>
    <w:rsid w:val="489F65B5"/>
    <w:rsid w:val="4B54564D"/>
    <w:rsid w:val="4DB9728A"/>
    <w:rsid w:val="4E17BCBE"/>
    <w:rsid w:val="50B16793"/>
    <w:rsid w:val="52392F14"/>
    <w:rsid w:val="528F5F94"/>
    <w:rsid w:val="5584D8B6"/>
    <w:rsid w:val="564652F1"/>
    <w:rsid w:val="596C746C"/>
    <w:rsid w:val="5B0844CD"/>
    <w:rsid w:val="5BA9736E"/>
    <w:rsid w:val="5CDFD35A"/>
    <w:rsid w:val="5F8DA386"/>
    <w:rsid w:val="6207ABF1"/>
    <w:rsid w:val="6B170B77"/>
    <w:rsid w:val="6B7A668A"/>
    <w:rsid w:val="6DC40DBE"/>
    <w:rsid w:val="70C423AA"/>
    <w:rsid w:val="71319D09"/>
    <w:rsid w:val="768EF786"/>
    <w:rsid w:val="7DEEBF5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3DA0BE"/>
  <w15:chartTrackingRefBased/>
  <w15:docId w15:val="{530083B8-CC33-46B5-8065-FFB81E2D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60"/>
    <w:pPr>
      <w:ind w:left="567"/>
    </w:pPr>
    <w:rPr>
      <w:rFonts w:ascii="Bookman Old Style" w:hAnsi="Bookman Old Style"/>
      <w:sz w:val="24"/>
      <w:szCs w:val="24"/>
      <w:lang w:val="es-ES" w:eastAsia="es-ES"/>
    </w:rPr>
  </w:style>
  <w:style w:type="paragraph" w:styleId="Ttulo1">
    <w:name w:val="heading 1"/>
    <w:basedOn w:val="Normal"/>
    <w:next w:val="Normal"/>
    <w:link w:val="Ttulo1Car"/>
    <w:qFormat/>
    <w:rsid w:val="00AC0260"/>
    <w:pPr>
      <w:keepNext/>
      <w:jc w:val="center"/>
      <w:outlineLvl w:val="0"/>
    </w:pPr>
    <w:rPr>
      <w:b/>
      <w:szCs w:val="20"/>
      <w:lang w:val="es-CO"/>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AC0260"/>
    <w:pPr>
      <w:widowControl w:val="0"/>
      <w:adjustRightInd w:val="0"/>
      <w:spacing w:line="360" w:lineRule="atLeast"/>
      <w:jc w:val="center"/>
      <w:textAlignment w:val="baseline"/>
    </w:pPr>
    <w:rPr>
      <w:rFonts w:cs="Arial"/>
      <w:b/>
      <w:bCs/>
    </w:rPr>
  </w:style>
  <w:style w:type="character" w:customStyle="1" w:styleId="TtuloCar">
    <w:name w:val="Título Car"/>
    <w:link w:val="Ttulo"/>
    <w:rsid w:val="00AC0260"/>
    <w:rPr>
      <w:rFonts w:ascii="Bookman Old Style" w:hAnsi="Bookman Old Style" w:cs="Arial"/>
      <w:b/>
      <w:bCs/>
      <w:sz w:val="24"/>
      <w:szCs w:val="24"/>
      <w:lang w:val="es-ES" w:eastAsia="es-ES"/>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FC7B12"/>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uiPriority w:val="99"/>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rPr>
      <w:lang w:val="es-ES" w:eastAsia="es-ES"/>
    </w:rPr>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semiHidden/>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ind w:left="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ind w:left="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rPr>
      <w:lang w:val="es-ES" w:eastAsia="es-ES"/>
    </w:rPr>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
    <w:basedOn w:val="Normal"/>
    <w:link w:val="TextonotapieCar"/>
    <w:uiPriority w:val="99"/>
    <w:rsid w:val="00203634"/>
    <w:pPr>
      <w:ind w:left="0"/>
      <w:jc w:val="both"/>
    </w:pPr>
    <w:rPr>
      <w:rFonts w:ascii="Arial" w:hAnsi="Arial"/>
      <w:sz w:val="20"/>
      <w:szCs w:val="20"/>
      <w:lang w:val="es-ES_tradnl" w:eastAsia="x-none"/>
    </w:rPr>
  </w:style>
  <w:style w:type="character" w:customStyle="1" w:styleId="TextonotapieCar">
    <w:name w:val="Texto nota pie Car"/>
    <w:aliases w:val="fn Car,footnote text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semiHidden/>
    <w:rsid w:val="00203634"/>
    <w:rPr>
      <w:rFonts w:ascii="Arial" w:hAnsi="Arial"/>
      <w:lang w:val="es-ES_tradnl"/>
    </w:rPr>
  </w:style>
  <w:style w:type="character" w:customStyle="1" w:styleId="Ttulo1Car">
    <w:name w:val="Título 1 Car"/>
    <w:link w:val="Ttulo1"/>
    <w:rsid w:val="00AC0260"/>
    <w:rPr>
      <w:rFonts w:ascii="Bookman Old Style" w:hAnsi="Bookman Old Style"/>
      <w:b/>
      <w:sz w:val="24"/>
      <w:lang w:eastAsia="es-ES"/>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lang w:val="es-ES" w:eastAsia="es-ES"/>
    </w:rPr>
  </w:style>
  <w:style w:type="paragraph" w:styleId="NormalWeb">
    <w:name w:val="Normal (Web)"/>
    <w:basedOn w:val="Normal"/>
    <w:uiPriority w:val="99"/>
    <w:semiHidden/>
    <w:unhideWhenUsed/>
    <w:rsid w:val="00203634"/>
    <w:pPr>
      <w:spacing w:before="100" w:beforeAutospacing="1" w:after="100" w:afterAutospacing="1"/>
      <w:ind w:left="0"/>
    </w:pPr>
    <w:rPr>
      <w:lang w:val="es-CO" w:eastAsia="es-CO"/>
    </w:r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nhideWhenUsed/>
    <w:qFormat/>
    <w:rsid w:val="00B30245"/>
    <w:pPr>
      <w:spacing w:after="200"/>
    </w:pPr>
    <w:rPr>
      <w:i/>
      <w:iCs/>
      <w:color w:val="44546A" w:themeColor="text2"/>
      <w:sz w:val="18"/>
      <w:szCs w:val="18"/>
    </w:rPr>
  </w:style>
  <w:style w:type="paragraph" w:customStyle="1" w:styleId="PliegoTitulo1">
    <w:name w:val="Pliego_Titulo1"/>
    <w:basedOn w:val="Normal"/>
    <w:next w:val="Normal"/>
    <w:rsid w:val="001C5853"/>
    <w:pPr>
      <w:widowControl w:val="0"/>
      <w:numPr>
        <w:numId w:val="5"/>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1C5853"/>
    <w:pPr>
      <w:widowControl w:val="0"/>
      <w:numPr>
        <w:ilvl w:val="2"/>
        <w:numId w:val="5"/>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1C5853"/>
    <w:pPr>
      <w:widowControl w:val="0"/>
      <w:numPr>
        <w:ilvl w:val="3"/>
        <w:numId w:val="5"/>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1C5853"/>
    <w:pPr>
      <w:widowControl w:val="0"/>
      <w:numPr>
        <w:ilvl w:val="4"/>
        <w:numId w:val="5"/>
      </w:numPr>
      <w:adjustRightInd w:val="0"/>
      <w:spacing w:line="360" w:lineRule="atLeast"/>
      <w:jc w:val="both"/>
      <w:textAlignment w:val="baseline"/>
    </w:pPr>
    <w:rPr>
      <w:rFonts w:ascii="Garamond" w:hAnsi="Garamond"/>
      <w:bCs/>
      <w:i/>
      <w:sz w:val="22"/>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7787">
      <w:bodyDiv w:val="1"/>
      <w:marLeft w:val="0"/>
      <w:marRight w:val="0"/>
      <w:marTop w:val="0"/>
      <w:marBottom w:val="0"/>
      <w:divBdr>
        <w:top w:val="none" w:sz="0" w:space="0" w:color="auto"/>
        <w:left w:val="none" w:sz="0" w:space="0" w:color="auto"/>
        <w:bottom w:val="none" w:sz="0" w:space="0" w:color="auto"/>
        <w:right w:val="none" w:sz="0" w:space="0" w:color="auto"/>
      </w:divBdr>
    </w:div>
    <w:div w:id="678657526">
      <w:bodyDiv w:val="1"/>
      <w:marLeft w:val="0"/>
      <w:marRight w:val="0"/>
      <w:marTop w:val="0"/>
      <w:marBottom w:val="0"/>
      <w:divBdr>
        <w:top w:val="none" w:sz="0" w:space="0" w:color="auto"/>
        <w:left w:val="none" w:sz="0" w:space="0" w:color="auto"/>
        <w:bottom w:val="none" w:sz="0" w:space="0" w:color="auto"/>
        <w:right w:val="none" w:sz="0" w:space="0" w:color="auto"/>
      </w:divBdr>
    </w:div>
    <w:div w:id="778993326">
      <w:bodyDiv w:val="1"/>
      <w:marLeft w:val="0"/>
      <w:marRight w:val="0"/>
      <w:marTop w:val="0"/>
      <w:marBottom w:val="0"/>
      <w:divBdr>
        <w:top w:val="none" w:sz="0" w:space="0" w:color="auto"/>
        <w:left w:val="none" w:sz="0" w:space="0" w:color="auto"/>
        <w:bottom w:val="none" w:sz="0" w:space="0" w:color="auto"/>
        <w:right w:val="none" w:sz="0" w:space="0" w:color="auto"/>
      </w:divBdr>
    </w:div>
    <w:div w:id="1269311952">
      <w:bodyDiv w:val="1"/>
      <w:marLeft w:val="0"/>
      <w:marRight w:val="0"/>
      <w:marTop w:val="0"/>
      <w:marBottom w:val="0"/>
      <w:divBdr>
        <w:top w:val="none" w:sz="0" w:space="0" w:color="auto"/>
        <w:left w:val="none" w:sz="0" w:space="0" w:color="auto"/>
        <w:bottom w:val="none" w:sz="0" w:space="0" w:color="auto"/>
        <w:right w:val="none" w:sz="0" w:space="0" w:color="auto"/>
      </w:divBdr>
    </w:div>
    <w:div w:id="1696541881">
      <w:bodyDiv w:val="1"/>
      <w:marLeft w:val="0"/>
      <w:marRight w:val="0"/>
      <w:marTop w:val="0"/>
      <w:marBottom w:val="0"/>
      <w:divBdr>
        <w:top w:val="none" w:sz="0" w:space="0" w:color="auto"/>
        <w:left w:val="none" w:sz="0" w:space="0" w:color="auto"/>
        <w:bottom w:val="none" w:sz="0" w:space="0" w:color="auto"/>
        <w:right w:val="none" w:sz="0" w:space="0" w:color="auto"/>
      </w:divBdr>
      <w:divsChild>
        <w:div w:id="558248025">
          <w:marLeft w:val="1267"/>
          <w:marRight w:val="0"/>
          <w:marTop w:val="0"/>
          <w:marBottom w:val="0"/>
          <w:divBdr>
            <w:top w:val="none" w:sz="0" w:space="0" w:color="auto"/>
            <w:left w:val="none" w:sz="0" w:space="0" w:color="auto"/>
            <w:bottom w:val="none" w:sz="0" w:space="0" w:color="auto"/>
            <w:right w:val="none" w:sz="0" w:space="0" w:color="auto"/>
          </w:divBdr>
        </w:div>
        <w:div w:id="807287997">
          <w:marLeft w:val="1267"/>
          <w:marRight w:val="0"/>
          <w:marTop w:val="0"/>
          <w:marBottom w:val="0"/>
          <w:divBdr>
            <w:top w:val="none" w:sz="0" w:space="0" w:color="auto"/>
            <w:left w:val="none" w:sz="0" w:space="0" w:color="auto"/>
            <w:bottom w:val="none" w:sz="0" w:space="0" w:color="auto"/>
            <w:right w:val="none" w:sz="0" w:space="0" w:color="auto"/>
          </w:divBdr>
        </w:div>
      </w:divsChild>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1750341925">
      <w:bodyDiv w:val="1"/>
      <w:marLeft w:val="0"/>
      <w:marRight w:val="0"/>
      <w:marTop w:val="0"/>
      <w:marBottom w:val="0"/>
      <w:divBdr>
        <w:top w:val="none" w:sz="0" w:space="0" w:color="auto"/>
        <w:left w:val="none" w:sz="0" w:space="0" w:color="auto"/>
        <w:bottom w:val="none" w:sz="0" w:space="0" w:color="auto"/>
        <w:right w:val="none" w:sz="0" w:space="0" w:color="auto"/>
      </w:divBdr>
    </w:div>
    <w:div w:id="17671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6" ma:contentTypeDescription="Crear nuevo documento." ma:contentTypeScope="" ma:versionID="b41b2a7bb51270a11733e1b85f84b3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1f012d535a7a73f84aca36ec4a884bdf"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A522-9BC3-41DE-8266-3AD76E7F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9EBE5-0859-4312-B9DE-426A76EAC50B}">
  <ds:schemaRefs>
    <ds:schemaRef ds:uri="http://schemas.microsoft.com/sharepoint/v3/contenttype/forms"/>
  </ds:schemaRefs>
</ds:datastoreItem>
</file>

<file path=customXml/itemProps3.xml><?xml version="1.0" encoding="utf-8"?>
<ds:datastoreItem xmlns:ds="http://schemas.openxmlformats.org/officeDocument/2006/customXml" ds:itemID="{FC9D3351-7975-4009-A88F-584F329815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04DF4F-50C7-406E-A46D-16DA5156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6</Pages>
  <Words>2503</Words>
  <Characters>13100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2021-04-09T23:06:00Z</cp:lastPrinted>
  <dcterms:created xsi:type="dcterms:W3CDTF">2021-04-13T23:40:00Z</dcterms:created>
  <dcterms:modified xsi:type="dcterms:W3CDTF">2021-04-13T23:40:00Z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ies>
</file>