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F44054"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407822523" r:id="rId10"/>
        </w:pict>
      </w:r>
    </w:p>
    <w:p w:rsidR="00625DC6" w:rsidRDefault="00625DC6" w:rsidP="00012259">
      <w:pPr>
        <w:pStyle w:val="Encabezado"/>
        <w:tabs>
          <w:tab w:val="clear" w:pos="8504"/>
          <w:tab w:val="left" w:pos="0"/>
          <w:tab w:val="right" w:pos="9356"/>
        </w:tabs>
        <w:ind w:left="0"/>
        <w:jc w:val="both"/>
        <w:rPr>
          <w:rFonts w:ascii="Bookman Old Style" w:hAnsi="Bookman Old Style"/>
          <w:szCs w:val="24"/>
        </w:rPr>
      </w:pPr>
    </w:p>
    <w:p w:rsidR="00B112D8" w:rsidRPr="00E060BE" w:rsidRDefault="00B112D8" w:rsidP="00B112D8">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B112D8" w:rsidRPr="00E060BE" w:rsidRDefault="00B112D8" w:rsidP="00B112D8">
      <w:pPr>
        <w:pStyle w:val="Ttulo4"/>
        <w:tabs>
          <w:tab w:val="left" w:pos="0"/>
          <w:tab w:val="right" w:pos="9356"/>
        </w:tabs>
        <w:ind w:left="0"/>
        <w:rPr>
          <w:rFonts w:ascii="Bookman Old Style" w:hAnsi="Bookman Old Style"/>
          <w:b w:val="0"/>
          <w:bCs/>
          <w:sz w:val="24"/>
          <w:szCs w:val="24"/>
        </w:rPr>
      </w:pPr>
    </w:p>
    <w:p w:rsidR="00B112D8" w:rsidRPr="00E060BE" w:rsidRDefault="00B112D8" w:rsidP="00B112D8">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B112D8" w:rsidRPr="00E060BE" w:rsidRDefault="00B112D8" w:rsidP="00B112D8">
      <w:pPr>
        <w:pStyle w:val="Ttulo5"/>
        <w:tabs>
          <w:tab w:val="left" w:pos="0"/>
          <w:tab w:val="right" w:pos="9356"/>
        </w:tabs>
        <w:ind w:left="0"/>
        <w:rPr>
          <w:rFonts w:ascii="Bookman Old Style" w:hAnsi="Bookman Old Style"/>
          <w:sz w:val="24"/>
          <w:szCs w:val="24"/>
        </w:rPr>
      </w:pPr>
    </w:p>
    <w:p w:rsidR="00B112D8" w:rsidRPr="00E060BE" w:rsidRDefault="00B112D8" w:rsidP="00B112D8">
      <w:pPr>
        <w:pStyle w:val="Ttulo5"/>
        <w:tabs>
          <w:tab w:val="left" w:pos="0"/>
          <w:tab w:val="right" w:pos="9356"/>
        </w:tabs>
        <w:ind w:left="0"/>
        <w:rPr>
          <w:rFonts w:ascii="Bookman Old Style" w:hAnsi="Bookman Old Style"/>
          <w:sz w:val="24"/>
          <w:szCs w:val="24"/>
        </w:rPr>
      </w:pPr>
    </w:p>
    <w:p w:rsidR="00B112D8" w:rsidRPr="00E060BE" w:rsidRDefault="00B112D8" w:rsidP="00B112D8">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                   DE 201</w:t>
      </w:r>
      <w:r>
        <w:rPr>
          <w:rFonts w:ascii="Bookman Old Style" w:hAnsi="Bookman Old Style"/>
          <w:sz w:val="24"/>
          <w:szCs w:val="24"/>
        </w:rPr>
        <w:t>2</w:t>
      </w:r>
    </w:p>
    <w:p w:rsidR="00B112D8" w:rsidRPr="00E060BE" w:rsidRDefault="00B112D8" w:rsidP="00B112D8">
      <w:pPr>
        <w:tabs>
          <w:tab w:val="left" w:pos="0"/>
          <w:tab w:val="right" w:pos="9356"/>
        </w:tabs>
        <w:ind w:left="0"/>
        <w:jc w:val="center"/>
        <w:rPr>
          <w:rFonts w:ascii="Bookman Old Style" w:hAnsi="Bookman Old Style" w:cs="Arial"/>
          <w:b/>
          <w:snapToGrid w:val="0"/>
          <w:color w:val="000000"/>
          <w:lang w:val="es-ES_tradnl"/>
        </w:rPr>
      </w:pPr>
    </w:p>
    <w:p w:rsidR="00B112D8" w:rsidRPr="00E060BE" w:rsidRDefault="00B112D8" w:rsidP="00B112D8">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B112D8" w:rsidRPr="00E060BE" w:rsidRDefault="00B112D8" w:rsidP="00B112D8">
      <w:pPr>
        <w:tabs>
          <w:tab w:val="left" w:pos="0"/>
          <w:tab w:val="right" w:pos="9356"/>
        </w:tabs>
        <w:ind w:left="0"/>
        <w:jc w:val="center"/>
        <w:rPr>
          <w:rFonts w:ascii="Bookman Old Style" w:hAnsi="Bookman Old Style"/>
          <w:lang w:val="es-ES_tradnl"/>
        </w:rPr>
      </w:pPr>
    </w:p>
    <w:p w:rsidR="002C7309" w:rsidRDefault="002C7309" w:rsidP="00B112D8">
      <w:pPr>
        <w:ind w:left="0"/>
        <w:jc w:val="center"/>
        <w:rPr>
          <w:rFonts w:ascii="Bookman Old Style" w:hAnsi="Bookman Old Style"/>
        </w:rPr>
      </w:pPr>
    </w:p>
    <w:p w:rsidR="002C7309" w:rsidRDefault="002C7309" w:rsidP="00B112D8">
      <w:pPr>
        <w:ind w:left="0"/>
        <w:jc w:val="center"/>
        <w:rPr>
          <w:rFonts w:ascii="Bookman Old Style" w:hAnsi="Bookman Old Style"/>
        </w:rPr>
      </w:pPr>
    </w:p>
    <w:p w:rsidR="002C7309" w:rsidRDefault="002C7309" w:rsidP="00B112D8">
      <w:pPr>
        <w:ind w:left="0"/>
        <w:jc w:val="center"/>
        <w:rPr>
          <w:rFonts w:ascii="Bookman Old Style" w:hAnsi="Bookman Old Style"/>
        </w:rPr>
      </w:pPr>
    </w:p>
    <w:p w:rsidR="002C7309" w:rsidRDefault="002C7309" w:rsidP="00B112D8">
      <w:pPr>
        <w:ind w:left="0"/>
        <w:jc w:val="center"/>
        <w:rPr>
          <w:rFonts w:ascii="Bookman Old Style" w:hAnsi="Bookman Old Style"/>
        </w:rPr>
      </w:pPr>
    </w:p>
    <w:p w:rsidR="00B112D8" w:rsidRPr="00536791" w:rsidRDefault="00B112D8" w:rsidP="00B112D8">
      <w:pPr>
        <w:ind w:left="0"/>
        <w:jc w:val="center"/>
        <w:rPr>
          <w:rFonts w:ascii="Bookman Old Style" w:hAnsi="Bookman Old Style"/>
        </w:rPr>
      </w:pPr>
      <w:r w:rsidRPr="00C435C3">
        <w:rPr>
          <w:rFonts w:ascii="Bookman Old Style" w:hAnsi="Bookman Old Style"/>
        </w:rPr>
        <w:t xml:space="preserve">Por </w:t>
      </w:r>
      <w:r>
        <w:rPr>
          <w:rFonts w:ascii="Bookman Old Style" w:hAnsi="Bookman Old Style" w:cs="Arial"/>
          <w:color w:val="000000"/>
          <w:szCs w:val="27"/>
        </w:rPr>
        <w:t xml:space="preserve">la cual se ordena hacer público un proyecto de resolución de carácter general, </w:t>
      </w:r>
      <w:r>
        <w:rPr>
          <w:rFonts w:ascii="Bookman Old Style" w:hAnsi="Bookman Old Style" w:cs="Arial"/>
        </w:rPr>
        <w:t>“</w:t>
      </w:r>
      <w:r w:rsidRPr="00C435C3">
        <w:rPr>
          <w:rFonts w:ascii="Bookman Old Style" w:hAnsi="Bookman Old Style"/>
        </w:rPr>
        <w:t xml:space="preserve">Por </w:t>
      </w:r>
      <w:r>
        <w:rPr>
          <w:rFonts w:ascii="Bookman Old Style" w:hAnsi="Bookman Old Style"/>
        </w:rPr>
        <w:t xml:space="preserve">la cual se </w:t>
      </w:r>
      <w:r w:rsidR="00E872AA">
        <w:rPr>
          <w:rFonts w:ascii="Bookman Old Style" w:hAnsi="Bookman Old Style"/>
        </w:rPr>
        <w:t xml:space="preserve">modifican </w:t>
      </w:r>
      <w:r>
        <w:rPr>
          <w:rFonts w:ascii="Bookman Old Style" w:hAnsi="Bookman Old Style"/>
        </w:rPr>
        <w:t>los artículos 5 y 6 de la Resolución CREG 051 de 2012</w:t>
      </w:r>
      <w:r>
        <w:rPr>
          <w:rFonts w:ascii="Bookman Old Style" w:hAnsi="Bookman Old Style" w:cs="Arial"/>
          <w:szCs w:val="20"/>
        </w:rPr>
        <w:t>”.</w:t>
      </w:r>
    </w:p>
    <w:p w:rsidR="00B112D8" w:rsidRDefault="00B112D8" w:rsidP="00B112D8">
      <w:pPr>
        <w:ind w:left="0"/>
        <w:jc w:val="center"/>
        <w:rPr>
          <w:rFonts w:ascii="Bookman Old Style" w:hAnsi="Bookman Old Style"/>
        </w:rPr>
      </w:pPr>
    </w:p>
    <w:p w:rsidR="00B112D8" w:rsidRPr="00C435C3" w:rsidRDefault="00B112D8" w:rsidP="00B112D8">
      <w:pPr>
        <w:ind w:right="51"/>
        <w:rPr>
          <w:rFonts w:ascii="Bookman Old Style" w:hAnsi="Bookman Old Style"/>
        </w:rPr>
      </w:pPr>
    </w:p>
    <w:p w:rsidR="00B112D8" w:rsidRPr="00C435C3" w:rsidRDefault="00B112D8" w:rsidP="00B112D8">
      <w:pPr>
        <w:ind w:right="51"/>
        <w:jc w:val="center"/>
        <w:rPr>
          <w:rFonts w:ascii="Bookman Old Style" w:hAnsi="Bookman Old Style"/>
          <w:b/>
        </w:rPr>
      </w:pPr>
      <w:r w:rsidRPr="00C435C3">
        <w:rPr>
          <w:rFonts w:ascii="Bookman Old Style" w:hAnsi="Bookman Old Style"/>
          <w:b/>
        </w:rPr>
        <w:t>LA COMISIÓN DE REGULACIÓN DE  ENERGÍA Y GAS</w:t>
      </w:r>
    </w:p>
    <w:p w:rsidR="00B112D8" w:rsidRPr="00C435C3" w:rsidRDefault="00B112D8" w:rsidP="00B112D8">
      <w:pPr>
        <w:ind w:left="0" w:right="51"/>
        <w:rPr>
          <w:rFonts w:ascii="Bookman Old Style" w:hAnsi="Bookman Old Style"/>
        </w:rPr>
      </w:pPr>
    </w:p>
    <w:p w:rsidR="00B112D8" w:rsidRPr="00C435C3" w:rsidRDefault="00B112D8" w:rsidP="00B112D8">
      <w:pPr>
        <w:ind w:left="0" w:right="51"/>
        <w:rPr>
          <w:rFonts w:ascii="Bookman Old Style" w:hAnsi="Bookman Old Style"/>
        </w:rPr>
      </w:pPr>
    </w:p>
    <w:p w:rsidR="00B112D8" w:rsidRPr="00C435C3" w:rsidRDefault="00B112D8" w:rsidP="00B112D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p>
    <w:p w:rsidR="00B112D8" w:rsidRDefault="00B112D8" w:rsidP="00B112D8">
      <w:pPr>
        <w:ind w:right="51"/>
        <w:rPr>
          <w:rFonts w:ascii="Bookman Old Style" w:hAnsi="Bookman Old Style"/>
        </w:rPr>
      </w:pPr>
    </w:p>
    <w:p w:rsidR="00B112D8" w:rsidRDefault="00B112D8" w:rsidP="00B112D8">
      <w:pPr>
        <w:ind w:right="51"/>
        <w:rPr>
          <w:rFonts w:ascii="Bookman Old Style" w:hAnsi="Bookman Old Style"/>
        </w:rPr>
      </w:pPr>
    </w:p>
    <w:p w:rsidR="00B112D8" w:rsidRPr="00C435C3" w:rsidRDefault="00B112D8" w:rsidP="00B112D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B112D8" w:rsidRPr="00C435C3" w:rsidRDefault="00B112D8" w:rsidP="00B112D8">
      <w:pPr>
        <w:ind w:right="51"/>
        <w:jc w:val="center"/>
        <w:rPr>
          <w:rFonts w:ascii="Bookman Old Style" w:hAnsi="Bookman Old Style"/>
          <w:b/>
        </w:rPr>
      </w:pPr>
    </w:p>
    <w:p w:rsidR="00B112D8" w:rsidRDefault="00B112D8" w:rsidP="00B112D8">
      <w:pPr>
        <w:ind w:left="0"/>
        <w:jc w:val="both"/>
        <w:rPr>
          <w:rFonts w:ascii="Bookman Old Style" w:hAnsi="Bookman Old Style"/>
        </w:rPr>
      </w:pPr>
    </w:p>
    <w:p w:rsidR="00E4772E" w:rsidRDefault="00E4772E" w:rsidP="00E4772E">
      <w:pPr>
        <w:tabs>
          <w:tab w:val="left" w:pos="0"/>
        </w:tabs>
        <w:ind w:left="0"/>
        <w:jc w:val="both"/>
        <w:rPr>
          <w:rFonts w:ascii="Bookman Old Style" w:hAnsi="Bookman Old Style" w:cs="Arial"/>
        </w:rPr>
      </w:pPr>
      <w:r w:rsidRPr="00BA04BF">
        <w:rPr>
          <w:rFonts w:ascii="Bookman Old Style" w:hAnsi="Bookman Old Style" w:cs="Arial"/>
        </w:rPr>
        <w:t xml:space="preserve">Conforme a lo dispuesto por el </w:t>
      </w:r>
      <w:r>
        <w:rPr>
          <w:rFonts w:ascii="Bookman Old Style" w:hAnsi="Bookman Old Style" w:cs="Arial"/>
        </w:rPr>
        <w:t xml:space="preserve">artículo 8 del Código de Procedimiento Administrativo y de lo Contencioso administrativo y el </w:t>
      </w:r>
      <w:r w:rsidRPr="00BA04BF">
        <w:rPr>
          <w:rFonts w:ascii="Bookman Old Style" w:hAnsi="Bookman Old Style" w:cs="Arial"/>
        </w:rPr>
        <w:t>artículo 9 del Decreto 2696 de 2004, la Comisión debe hacer público en su página web todos los proyectos de resoluci</w:t>
      </w:r>
      <w:r>
        <w:rPr>
          <w:rFonts w:ascii="Bookman Old Style" w:hAnsi="Bookman Old Style" w:cs="Arial"/>
        </w:rPr>
        <w:t>ón</w:t>
      </w:r>
      <w:r w:rsidRPr="00BA04BF">
        <w:rPr>
          <w:rFonts w:ascii="Bookman Old Style" w:hAnsi="Bookman Old Style" w:cs="Arial"/>
        </w:rPr>
        <w:t xml:space="preserve"> de carácter general que pretenda adoptar</w:t>
      </w:r>
      <w:r>
        <w:rPr>
          <w:rFonts w:ascii="Bookman Old Style" w:hAnsi="Bookman Old Style" w:cs="Arial"/>
        </w:rPr>
        <w:t>.</w:t>
      </w:r>
    </w:p>
    <w:p w:rsidR="00E4772E" w:rsidRDefault="00E4772E" w:rsidP="00B112D8">
      <w:pPr>
        <w:ind w:left="0"/>
        <w:jc w:val="both"/>
        <w:rPr>
          <w:rFonts w:ascii="Bookman Old Style" w:hAnsi="Bookman Old Style"/>
        </w:rPr>
      </w:pPr>
    </w:p>
    <w:p w:rsidR="00B112D8" w:rsidRPr="00C435C3" w:rsidRDefault="00B112D8" w:rsidP="00F30C49">
      <w:pPr>
        <w:ind w:left="0"/>
        <w:jc w:val="both"/>
        <w:rPr>
          <w:rFonts w:ascii="Bookman Old Style" w:hAnsi="Bookman Old Style"/>
        </w:rPr>
      </w:pPr>
      <w:r w:rsidRPr="00D4235D">
        <w:rPr>
          <w:rFonts w:ascii="Bookman Old Style" w:hAnsi="Bookman Old Style"/>
        </w:rPr>
        <w:t>La Comisión de Regulación de Energía y Gas, en su Sesión 5</w:t>
      </w:r>
      <w:r w:rsidR="002C7309">
        <w:rPr>
          <w:rFonts w:ascii="Bookman Old Style" w:hAnsi="Bookman Old Style"/>
        </w:rPr>
        <w:t>30</w:t>
      </w:r>
      <w:r w:rsidRPr="00D4235D">
        <w:rPr>
          <w:rFonts w:ascii="Bookman Old Style" w:hAnsi="Bookman Old Style"/>
        </w:rPr>
        <w:t xml:space="preserve"> del 2 de </w:t>
      </w:r>
      <w:r w:rsidR="00F30C49" w:rsidRPr="002C7309">
        <w:rPr>
          <w:rFonts w:ascii="Bookman Old Style" w:hAnsi="Bookman Old Style"/>
        </w:rPr>
        <w:t xml:space="preserve">agosto </w:t>
      </w:r>
      <w:r w:rsidRPr="00D4235D">
        <w:rPr>
          <w:rFonts w:ascii="Bookman Old Style" w:hAnsi="Bookman Old Style"/>
        </w:rPr>
        <w:t>de 2012, aprobó hacer público el proyecto de resolución</w:t>
      </w:r>
      <w:r w:rsidRPr="00D4235D">
        <w:rPr>
          <w:rFonts w:ascii="Bookman Old Style" w:hAnsi="Bookman Old Style" w:cs="Arial"/>
          <w:color w:val="000000"/>
          <w:szCs w:val="27"/>
        </w:rPr>
        <w:t xml:space="preserve">, </w:t>
      </w:r>
      <w:r w:rsidR="00F30C49" w:rsidRPr="00D4235D">
        <w:rPr>
          <w:rFonts w:ascii="Bookman Old Style" w:hAnsi="Bookman Old Style" w:cs="Arial"/>
        </w:rPr>
        <w:t>“</w:t>
      </w:r>
      <w:r w:rsidR="00F30C49" w:rsidRPr="00D4235D">
        <w:rPr>
          <w:rFonts w:ascii="Bookman Old Style" w:hAnsi="Bookman Old Style"/>
        </w:rPr>
        <w:t>Por la cual se modifican los artículos 5 y 6 de la Resolución CREG 051 de 2012</w:t>
      </w:r>
      <w:r w:rsidR="00F30C49" w:rsidRPr="00D4235D">
        <w:rPr>
          <w:rFonts w:ascii="Bookman Old Style" w:hAnsi="Bookman Old Style" w:cs="Arial"/>
          <w:szCs w:val="20"/>
        </w:rPr>
        <w:t>”.</w:t>
      </w:r>
      <w:r w:rsidR="00F30C49" w:rsidRPr="00D4235D">
        <w:rPr>
          <w:rFonts w:ascii="Bookman Old Style" w:hAnsi="Bookman Old Style" w:cs="Arial"/>
          <w:szCs w:val="27"/>
        </w:rPr>
        <w:t xml:space="preserve"> </w:t>
      </w:r>
    </w:p>
    <w:p w:rsidR="00B112D8" w:rsidRDefault="00B112D8" w:rsidP="00B112D8">
      <w:pPr>
        <w:suppressAutoHyphens/>
        <w:jc w:val="center"/>
        <w:rPr>
          <w:rFonts w:ascii="Bookman Old Style" w:hAnsi="Bookman Old Style"/>
          <w:b/>
          <w:spacing w:val="-3"/>
        </w:rPr>
      </w:pPr>
    </w:p>
    <w:p w:rsidR="002C7309" w:rsidRDefault="002C7309" w:rsidP="00B112D8">
      <w:pPr>
        <w:suppressAutoHyphens/>
        <w:jc w:val="center"/>
        <w:rPr>
          <w:rFonts w:ascii="Bookman Old Style" w:hAnsi="Bookman Old Style"/>
          <w:b/>
          <w:spacing w:val="-3"/>
        </w:rPr>
      </w:pPr>
    </w:p>
    <w:p w:rsidR="00B112D8" w:rsidRPr="00C435C3" w:rsidRDefault="00B112D8" w:rsidP="00B112D8">
      <w:pPr>
        <w:suppressAutoHyphens/>
        <w:jc w:val="center"/>
        <w:rPr>
          <w:rFonts w:ascii="Bookman Old Style" w:hAnsi="Bookman Old Style"/>
          <w:spacing w:val="-3"/>
        </w:rPr>
      </w:pPr>
      <w:r w:rsidRPr="00C435C3">
        <w:rPr>
          <w:rFonts w:ascii="Bookman Old Style" w:hAnsi="Bookman Old Style"/>
          <w:b/>
          <w:spacing w:val="-3"/>
        </w:rPr>
        <w:t>R E S U E L V E:</w:t>
      </w:r>
    </w:p>
    <w:p w:rsidR="00B112D8" w:rsidRDefault="00B112D8" w:rsidP="00B112D8">
      <w:pPr>
        <w:jc w:val="center"/>
        <w:rPr>
          <w:rFonts w:ascii="Bookman Old Style" w:hAnsi="Bookman Old Style"/>
        </w:rPr>
      </w:pPr>
    </w:p>
    <w:p w:rsidR="00B112D8" w:rsidRDefault="00B112D8" w:rsidP="00B112D8">
      <w:pPr>
        <w:ind w:left="0"/>
        <w:jc w:val="both"/>
        <w:rPr>
          <w:rFonts w:ascii="Bookman Old Style" w:hAnsi="Bookman Old Style"/>
        </w:rPr>
      </w:pPr>
      <w:r w:rsidRPr="002A782A">
        <w:rPr>
          <w:rFonts w:ascii="Bookman Old Style" w:hAnsi="Bookman Old Style"/>
          <w:b/>
        </w:rPr>
        <w:t xml:space="preserve">ARTÍCULO 1. </w:t>
      </w:r>
      <w:r>
        <w:rPr>
          <w:rFonts w:ascii="Bookman Old Style" w:hAnsi="Bookman Old Style" w:cs="Arial"/>
          <w:szCs w:val="27"/>
        </w:rPr>
        <w:t>Hágase público el proyecto de resolución</w:t>
      </w:r>
      <w:r w:rsidR="00E872AA">
        <w:rPr>
          <w:rFonts w:ascii="Bookman Old Style" w:hAnsi="Bookman Old Style" w:cs="Arial"/>
          <w:szCs w:val="27"/>
        </w:rPr>
        <w:t xml:space="preserve"> </w:t>
      </w:r>
      <w:r w:rsidR="00E872AA">
        <w:rPr>
          <w:rFonts w:ascii="Bookman Old Style" w:hAnsi="Bookman Old Style" w:cs="Arial"/>
        </w:rPr>
        <w:t>“</w:t>
      </w:r>
      <w:r w:rsidR="00E872AA" w:rsidRPr="00C435C3">
        <w:rPr>
          <w:rFonts w:ascii="Bookman Old Style" w:hAnsi="Bookman Old Style"/>
        </w:rPr>
        <w:t xml:space="preserve">Por </w:t>
      </w:r>
      <w:r w:rsidR="00E872AA">
        <w:rPr>
          <w:rFonts w:ascii="Bookman Old Style" w:hAnsi="Bookman Old Style"/>
        </w:rPr>
        <w:t>la cual se modifican los artículos 5 y 6 de la Resolución CREG 051 de 2012</w:t>
      </w:r>
      <w:r w:rsidR="00E872AA">
        <w:rPr>
          <w:rFonts w:ascii="Bookman Old Style" w:hAnsi="Bookman Old Style" w:cs="Arial"/>
          <w:szCs w:val="20"/>
        </w:rPr>
        <w:t>”.</w:t>
      </w:r>
      <w:r>
        <w:rPr>
          <w:rFonts w:ascii="Bookman Old Style" w:hAnsi="Bookman Old Style" w:cs="Arial"/>
          <w:szCs w:val="27"/>
        </w:rPr>
        <w:t xml:space="preserve"> </w:t>
      </w:r>
    </w:p>
    <w:p w:rsidR="00B112D8" w:rsidRPr="00C435C3" w:rsidRDefault="00B112D8" w:rsidP="00B112D8">
      <w:pPr>
        <w:rPr>
          <w:rFonts w:ascii="Bookman Old Style" w:hAnsi="Bookman Old Style"/>
        </w:rPr>
      </w:pPr>
    </w:p>
    <w:p w:rsidR="00B112D8" w:rsidRDefault="00B112D8" w:rsidP="00B112D8">
      <w:pPr>
        <w:spacing w:after="240"/>
        <w:ind w:left="0"/>
        <w:jc w:val="both"/>
        <w:rPr>
          <w:rFonts w:ascii="Bookman Old Style" w:hAnsi="Bookman Old Style" w:cs="Arial"/>
          <w:color w:val="000000"/>
          <w:szCs w:val="27"/>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w:t>
      </w:r>
      <w:r>
        <w:rPr>
          <w:rFonts w:ascii="Bookman Old Style" w:hAnsi="Bookman Old Style"/>
          <w:i/>
          <w:sz w:val="22"/>
        </w:rPr>
        <w:t xml:space="preserve">  </w:t>
      </w:r>
      <w:r>
        <w:rPr>
          <w:rFonts w:ascii="Bookman Old Style" w:hAnsi="Bookman Old Style" w:cs="Arial"/>
          <w:color w:val="000000"/>
          <w:szCs w:val="27"/>
        </w:rPr>
        <w:t xml:space="preserve">Se invita a los agentes, a los usuarios, </w:t>
      </w:r>
      <w:r>
        <w:rPr>
          <w:rFonts w:ascii="Bookman Old Style" w:hAnsi="Bookman Old Style" w:cs="Arial"/>
        </w:rPr>
        <w:t>a las Autoridades Locales Municipales y Departamentales competentes</w:t>
      </w:r>
      <w:r w:rsidR="00F30C49">
        <w:rPr>
          <w:rFonts w:ascii="Bookman Old Style" w:hAnsi="Bookman Old Style" w:cs="Arial"/>
        </w:rPr>
        <w:t>, a la Superintendencia de Industria y Comercio</w:t>
      </w:r>
      <w:r>
        <w:rPr>
          <w:rFonts w:ascii="Bookman Old Style" w:hAnsi="Bookman Old Style" w:cs="Arial"/>
          <w:color w:val="000000"/>
          <w:szCs w:val="27"/>
        </w:rPr>
        <w:t xml:space="preserve"> y a la Superintendencia de Servicios Públicos Domiciliarios, para que remitan sus observaciones o sugerencias sobre la propuesta, dentro de los </w:t>
      </w:r>
      <w:r w:rsidRPr="002C7309">
        <w:rPr>
          <w:rFonts w:ascii="Bookman Old Style" w:hAnsi="Bookman Old Style" w:cs="Arial"/>
          <w:color w:val="000000"/>
          <w:szCs w:val="27"/>
        </w:rPr>
        <w:t>diez (10) hábiles</w:t>
      </w:r>
      <w:r w:rsidRPr="00F30C49">
        <w:rPr>
          <w:rFonts w:ascii="Bookman Old Style" w:hAnsi="Bookman Old Style" w:cs="Arial"/>
          <w:color w:val="000000"/>
          <w:szCs w:val="27"/>
        </w:rPr>
        <w:t xml:space="preserve"> siguientes</w:t>
      </w:r>
      <w:r>
        <w:rPr>
          <w:rFonts w:ascii="Bookman Old Style" w:hAnsi="Bookman Old Style" w:cs="Arial"/>
          <w:color w:val="000000"/>
          <w:szCs w:val="27"/>
        </w:rPr>
        <w:t xml:space="preserve"> a la publicación de la </w:t>
      </w:r>
      <w:r>
        <w:rPr>
          <w:rFonts w:ascii="Bookman Old Style" w:hAnsi="Bookman Old Style" w:cs="Arial"/>
          <w:color w:val="000000"/>
          <w:szCs w:val="27"/>
        </w:rPr>
        <w:lastRenderedPageBreak/>
        <w:t>presente Resolución en la página Web de la Comisión de Regulación de Energía y Gas.</w:t>
      </w:r>
    </w:p>
    <w:p w:rsidR="00B112D8" w:rsidRDefault="00B112D8" w:rsidP="00B112D8">
      <w:pPr>
        <w:spacing w:after="240"/>
        <w:ind w:left="0"/>
        <w:jc w:val="both"/>
        <w:rPr>
          <w:rFonts w:ascii="Bookman Old Style" w:hAnsi="Bookman Old Style" w:cs="Arial"/>
          <w:color w:val="000000"/>
          <w:szCs w:val="27"/>
        </w:rPr>
      </w:pPr>
      <w:r>
        <w:rPr>
          <w:rFonts w:ascii="Bookman Old Style" w:hAnsi="Bookman Old Style" w:cs="Arial"/>
          <w:b/>
          <w:bCs/>
          <w:color w:val="000000"/>
          <w:szCs w:val="27"/>
        </w:rPr>
        <w:t>ARTÍCULO 3</w:t>
      </w:r>
      <w:r>
        <w:rPr>
          <w:rFonts w:ascii="Bookman Old Style" w:hAnsi="Bookman Old Style" w:cs="Arial"/>
          <w:color w:val="000000"/>
          <w:szCs w:val="27"/>
        </w:rPr>
        <w:t>. Infórmese en la página web la identificación de la dependencia administrativa y de las personas a quienes se podrá solicitar información sobre el proyecto y hacer llegar las observaciones, reparos o sugerencias, y los demás aspectos que estimen pertinentes.</w:t>
      </w:r>
    </w:p>
    <w:p w:rsidR="00B112D8" w:rsidRDefault="00B112D8" w:rsidP="00B112D8">
      <w:pPr>
        <w:ind w:left="0"/>
        <w:jc w:val="both"/>
        <w:rPr>
          <w:rFonts w:ascii="Bookman Old Style" w:hAnsi="Bookman Old Style" w:cs="Arial"/>
          <w:color w:val="000000"/>
          <w:szCs w:val="27"/>
        </w:rPr>
      </w:pPr>
      <w:r>
        <w:rPr>
          <w:rFonts w:ascii="Bookman Old Style" w:hAnsi="Bookman Old Style" w:cs="Arial"/>
          <w:b/>
          <w:bCs/>
          <w:color w:val="000000"/>
          <w:szCs w:val="27"/>
        </w:rPr>
        <w:t>ARTÍCULO 4</w:t>
      </w:r>
      <w:r>
        <w:rPr>
          <w:rFonts w:ascii="Bookman Old Style" w:hAnsi="Bookman Old Style" w:cs="Arial"/>
          <w:color w:val="000000"/>
          <w:szCs w:val="27"/>
        </w:rPr>
        <w:t>. La presente Resolución no deroga ni modifica disposiciones vigentes por tratarse de un acto de trámite.</w:t>
      </w:r>
    </w:p>
    <w:p w:rsidR="00B112D8" w:rsidRDefault="00B112D8" w:rsidP="00B112D8">
      <w:pPr>
        <w:ind w:left="0"/>
        <w:jc w:val="both"/>
        <w:rPr>
          <w:rFonts w:ascii="Bookman Old Style" w:hAnsi="Bookman Old Style"/>
          <w:i/>
          <w:sz w:val="22"/>
        </w:rPr>
      </w:pPr>
      <w:r>
        <w:rPr>
          <w:rFonts w:ascii="Bookman Old Style" w:hAnsi="Bookman Old Style"/>
          <w:i/>
          <w:sz w:val="22"/>
        </w:rPr>
        <w:t xml:space="preserve">   </w:t>
      </w:r>
    </w:p>
    <w:p w:rsidR="00B112D8" w:rsidRDefault="00B112D8" w:rsidP="00B112D8">
      <w:pPr>
        <w:jc w:val="both"/>
        <w:rPr>
          <w:rFonts w:ascii="Bookman Old Style" w:hAnsi="Bookman Old Style"/>
          <w:i/>
          <w:sz w:val="22"/>
        </w:rPr>
      </w:pPr>
    </w:p>
    <w:p w:rsidR="00B112D8" w:rsidRPr="00C435C3" w:rsidRDefault="00B112D8" w:rsidP="00B112D8">
      <w:pPr>
        <w:ind w:left="0"/>
        <w:rPr>
          <w:rFonts w:ascii="Bookman Old Style" w:hAnsi="Bookman Old Style"/>
        </w:rPr>
      </w:pPr>
    </w:p>
    <w:p w:rsidR="00B112D8" w:rsidRPr="00C435C3" w:rsidRDefault="00B112D8" w:rsidP="00B112D8">
      <w:pPr>
        <w:jc w:val="center"/>
        <w:rPr>
          <w:rFonts w:ascii="Bookman Old Style" w:hAnsi="Bookman Old Style"/>
          <w:b/>
        </w:rPr>
      </w:pPr>
      <w:r w:rsidRPr="00C435C3">
        <w:rPr>
          <w:rFonts w:ascii="Bookman Old Style" w:hAnsi="Bookman Old Style"/>
          <w:b/>
        </w:rPr>
        <w:t>PU</w:t>
      </w:r>
      <w:r w:rsidR="002C7309">
        <w:rPr>
          <w:rFonts w:ascii="Bookman Old Style" w:hAnsi="Bookman Old Style"/>
          <w:b/>
        </w:rPr>
        <w:t>B</w:t>
      </w:r>
      <w:r w:rsidRPr="00C435C3">
        <w:rPr>
          <w:rFonts w:ascii="Bookman Old Style" w:hAnsi="Bookman Old Style"/>
          <w:b/>
        </w:rPr>
        <w:t>LÍQUESE Y CÚMPLASE</w:t>
      </w:r>
    </w:p>
    <w:p w:rsidR="00B112D8" w:rsidRPr="00C435C3" w:rsidRDefault="00B112D8" w:rsidP="00B112D8">
      <w:pPr>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r>
        <w:rPr>
          <w:rFonts w:ascii="Bookman Old Style" w:hAnsi="Bookman Old Style"/>
        </w:rPr>
        <w:t>Dada en Bogotá, D.C.</w:t>
      </w: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p w:rsidR="00B112D8" w:rsidRDefault="00B112D8" w:rsidP="00B112D8">
      <w:pPr>
        <w:ind w:left="0"/>
        <w:rPr>
          <w:rFonts w:ascii="Bookman Old Style" w:hAnsi="Bookman Old Style"/>
        </w:rPr>
      </w:pPr>
    </w:p>
    <w:tbl>
      <w:tblPr>
        <w:tblW w:w="9761" w:type="dxa"/>
        <w:jc w:val="right"/>
        <w:tblLayout w:type="fixed"/>
        <w:tblCellMar>
          <w:left w:w="70" w:type="dxa"/>
          <w:right w:w="70" w:type="dxa"/>
        </w:tblCellMar>
        <w:tblLook w:val="0000" w:firstRow="0" w:lastRow="0" w:firstColumn="0" w:lastColumn="0" w:noHBand="0" w:noVBand="0"/>
      </w:tblPr>
      <w:tblGrid>
        <w:gridCol w:w="4503"/>
        <w:gridCol w:w="5258"/>
      </w:tblGrid>
      <w:tr w:rsidR="00B112D8" w:rsidRPr="00720520" w:rsidTr="00273B9D">
        <w:trPr>
          <w:jc w:val="right"/>
        </w:trPr>
        <w:tc>
          <w:tcPr>
            <w:tcW w:w="4503" w:type="dxa"/>
          </w:tcPr>
          <w:p w:rsidR="00B112D8" w:rsidRPr="002C7309" w:rsidRDefault="00B112D8" w:rsidP="00273B9D">
            <w:pPr>
              <w:ind w:left="204"/>
              <w:rPr>
                <w:rFonts w:ascii="Bookman Old Style" w:hAnsi="Bookman Old Style" w:cs="Arial"/>
                <w:b/>
                <w:spacing w:val="-3"/>
                <w:lang w:val="es-ES_tradnl"/>
              </w:rPr>
            </w:pPr>
            <w:r w:rsidRPr="002C7309">
              <w:rPr>
                <w:rFonts w:ascii="Bookman Old Style" w:hAnsi="Bookman Old Style" w:cs="Arial"/>
                <w:b/>
                <w:spacing w:val="-3"/>
              </w:rPr>
              <w:t xml:space="preserve">  TOMÁS GONZÁLEZ ESTRADA</w:t>
            </w:r>
          </w:p>
        </w:tc>
        <w:tc>
          <w:tcPr>
            <w:tcW w:w="5258" w:type="dxa"/>
          </w:tcPr>
          <w:p w:rsidR="00B112D8" w:rsidRPr="00720520" w:rsidRDefault="00B112D8" w:rsidP="00273B9D">
            <w:pPr>
              <w:ind w:left="161" w:right="567"/>
              <w:jc w:val="right"/>
              <w:rPr>
                <w:rFonts w:ascii="Bookman Old Style" w:hAnsi="Bookman Old Style" w:cs="Arial"/>
                <w:b/>
                <w:spacing w:val="-3"/>
                <w:lang w:val="es-ES_tradnl"/>
              </w:rPr>
            </w:pPr>
            <w:r>
              <w:rPr>
                <w:rFonts w:ascii="Bookman Old Style" w:hAnsi="Bookman Old Style" w:cs="Arial"/>
                <w:b/>
                <w:spacing w:val="-3"/>
                <w:lang w:val="es-ES_tradnl"/>
              </w:rPr>
              <w:t>GERMÁN CASTRO FERREIRA</w:t>
            </w:r>
          </w:p>
        </w:tc>
      </w:tr>
      <w:tr w:rsidR="00B112D8" w:rsidRPr="00720520" w:rsidTr="00273B9D">
        <w:trPr>
          <w:jc w:val="right"/>
        </w:trPr>
        <w:tc>
          <w:tcPr>
            <w:tcW w:w="4503" w:type="dxa"/>
          </w:tcPr>
          <w:p w:rsidR="00B112D8" w:rsidRPr="002C7309" w:rsidRDefault="00B112D8" w:rsidP="00273B9D">
            <w:pPr>
              <w:ind w:left="0"/>
              <w:jc w:val="center"/>
              <w:rPr>
                <w:rFonts w:ascii="Bookman Old Style" w:hAnsi="Bookman Old Style" w:cs="Arial"/>
                <w:spacing w:val="-3"/>
                <w:lang w:val="es-ES_tradnl"/>
              </w:rPr>
            </w:pPr>
            <w:r w:rsidRPr="002C7309">
              <w:rPr>
                <w:rFonts w:ascii="Bookman Old Style" w:hAnsi="Bookman Old Style" w:cs="Arial"/>
                <w:spacing w:val="-3"/>
                <w:lang w:val="es-ES_tradnl"/>
              </w:rPr>
              <w:t>Viceministro de Energía</w:t>
            </w:r>
          </w:p>
          <w:p w:rsidR="00B112D8" w:rsidRPr="002C7309" w:rsidRDefault="00B112D8" w:rsidP="00273B9D">
            <w:pPr>
              <w:ind w:left="0"/>
              <w:jc w:val="center"/>
              <w:rPr>
                <w:rFonts w:ascii="Bookman Old Style" w:hAnsi="Bookman Old Style" w:cs="Arial"/>
                <w:spacing w:val="-3"/>
                <w:lang w:val="es-ES_tradnl"/>
              </w:rPr>
            </w:pPr>
            <w:r w:rsidRPr="002C7309">
              <w:rPr>
                <w:rFonts w:ascii="Bookman Old Style" w:hAnsi="Bookman Old Style" w:cs="Arial"/>
                <w:spacing w:val="-3"/>
                <w:lang w:val="es-ES_tradnl"/>
              </w:rPr>
              <w:t>Delegado del Ministro de Minas y Energía</w:t>
            </w:r>
          </w:p>
        </w:tc>
        <w:tc>
          <w:tcPr>
            <w:tcW w:w="5258" w:type="dxa"/>
          </w:tcPr>
          <w:p w:rsidR="00B112D8" w:rsidRPr="00720520" w:rsidRDefault="00B112D8" w:rsidP="00273B9D">
            <w:pPr>
              <w:rPr>
                <w:rFonts w:ascii="Bookman Old Style" w:hAnsi="Bookman Old Style" w:cs="Arial"/>
                <w:spacing w:val="-3"/>
                <w:lang w:val="es-ES_tradnl"/>
              </w:rPr>
            </w:pPr>
            <w:r>
              <w:rPr>
                <w:rFonts w:ascii="Bookman Old Style" w:hAnsi="Bookman Old Style" w:cs="Arial"/>
                <w:spacing w:val="-3"/>
                <w:lang w:val="es-ES_tradnl"/>
              </w:rPr>
              <w:t xml:space="preserve">           </w:t>
            </w:r>
            <w:r w:rsidRPr="00720520">
              <w:rPr>
                <w:rFonts w:ascii="Bookman Old Style" w:hAnsi="Bookman Old Style" w:cs="Arial"/>
                <w:spacing w:val="-3"/>
                <w:lang w:val="es-ES_tradnl"/>
              </w:rPr>
              <w:t>Director Ejecutivo</w:t>
            </w:r>
          </w:p>
        </w:tc>
      </w:tr>
      <w:tr w:rsidR="00B112D8" w:rsidRPr="00720520" w:rsidTr="00273B9D">
        <w:trPr>
          <w:jc w:val="right"/>
        </w:trPr>
        <w:tc>
          <w:tcPr>
            <w:tcW w:w="4503" w:type="dxa"/>
          </w:tcPr>
          <w:p w:rsidR="00B112D8" w:rsidRPr="002C7309" w:rsidRDefault="00B112D8" w:rsidP="00273B9D">
            <w:pPr>
              <w:rPr>
                <w:rFonts w:ascii="Bookman Old Style" w:hAnsi="Bookman Old Style" w:cs="Arial"/>
                <w:spacing w:val="-3"/>
              </w:rPr>
            </w:pPr>
            <w:r w:rsidRPr="002C7309">
              <w:rPr>
                <w:rFonts w:ascii="Bookman Old Style" w:hAnsi="Bookman Old Style" w:cs="Arial"/>
                <w:spacing w:val="-3"/>
              </w:rPr>
              <w:t xml:space="preserve">             Presidente</w:t>
            </w:r>
          </w:p>
        </w:tc>
        <w:tc>
          <w:tcPr>
            <w:tcW w:w="5258" w:type="dxa"/>
          </w:tcPr>
          <w:p w:rsidR="00B112D8" w:rsidRPr="00720520" w:rsidRDefault="00B112D8" w:rsidP="00273B9D">
            <w:pPr>
              <w:rPr>
                <w:rFonts w:ascii="Bookman Old Style" w:hAnsi="Bookman Old Style" w:cs="Arial"/>
                <w:spacing w:val="-3"/>
              </w:rPr>
            </w:pPr>
          </w:p>
        </w:tc>
      </w:tr>
    </w:tbl>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B112D8" w:rsidRDefault="00B112D8" w:rsidP="00012259">
      <w:pPr>
        <w:pStyle w:val="Encabezado"/>
        <w:tabs>
          <w:tab w:val="clear" w:pos="8504"/>
          <w:tab w:val="left" w:pos="0"/>
          <w:tab w:val="right" w:pos="9356"/>
        </w:tabs>
        <w:ind w:left="0"/>
        <w:jc w:val="both"/>
        <w:rPr>
          <w:rFonts w:ascii="Bookman Old Style" w:hAnsi="Bookman Old Style"/>
          <w:szCs w:val="24"/>
        </w:rPr>
      </w:pPr>
    </w:p>
    <w:p w:rsidR="00CA77FB" w:rsidRPr="002C7309" w:rsidRDefault="002C7309" w:rsidP="00012259">
      <w:pPr>
        <w:tabs>
          <w:tab w:val="left" w:pos="0"/>
          <w:tab w:val="right" w:pos="9356"/>
        </w:tabs>
        <w:ind w:left="0"/>
        <w:jc w:val="center"/>
        <w:rPr>
          <w:rFonts w:ascii="Bookman Old Style" w:hAnsi="Bookman Old Style"/>
          <w:b/>
          <w:lang w:val="es-ES_tradnl"/>
        </w:rPr>
      </w:pPr>
      <w:r w:rsidRPr="002C7309">
        <w:rPr>
          <w:rFonts w:ascii="Bookman Old Style" w:hAnsi="Bookman Old Style"/>
          <w:b/>
          <w:lang w:val="es-ES_tradnl"/>
        </w:rPr>
        <w:lastRenderedPageBreak/>
        <w:t>PROYECTO DE RESOLUCIÓN</w:t>
      </w:r>
    </w:p>
    <w:p w:rsidR="00E46432" w:rsidRPr="00E060BE" w:rsidRDefault="00E46432" w:rsidP="00012259">
      <w:pPr>
        <w:tabs>
          <w:tab w:val="left" w:pos="0"/>
          <w:tab w:val="right" w:pos="9356"/>
        </w:tabs>
        <w:ind w:left="0"/>
        <w:jc w:val="center"/>
        <w:rPr>
          <w:rFonts w:ascii="Bookman Old Style" w:hAnsi="Bookman Old Style"/>
          <w:lang w:val="es-ES_tradnl"/>
        </w:rPr>
      </w:pPr>
    </w:p>
    <w:p w:rsidR="00A60C08" w:rsidRDefault="00A60C08" w:rsidP="00A60C08">
      <w:pPr>
        <w:ind w:left="0"/>
        <w:rPr>
          <w:rFonts w:ascii="Bookman Old Style" w:hAnsi="Bookman Old Style"/>
          <w:bCs/>
          <w:lang w:val="es-CO"/>
        </w:rPr>
      </w:pPr>
    </w:p>
    <w:p w:rsidR="002C7309" w:rsidRDefault="002C7309" w:rsidP="00A60C08">
      <w:pPr>
        <w:ind w:left="0"/>
        <w:rPr>
          <w:rFonts w:ascii="Bookman Old Style" w:hAnsi="Bookman Old Style"/>
          <w:bCs/>
          <w:lang w:val="es-CO"/>
        </w:rPr>
      </w:pPr>
    </w:p>
    <w:p w:rsidR="00A60C08" w:rsidRPr="00C435C3" w:rsidRDefault="00A60C08" w:rsidP="00A60C08">
      <w:pPr>
        <w:ind w:left="0"/>
        <w:jc w:val="center"/>
        <w:rPr>
          <w:rFonts w:ascii="Bookman Old Style" w:hAnsi="Bookman Old Style"/>
        </w:rPr>
      </w:pPr>
      <w:r w:rsidRPr="00C435C3">
        <w:rPr>
          <w:rFonts w:ascii="Bookman Old Style" w:hAnsi="Bookman Old Style"/>
        </w:rPr>
        <w:t xml:space="preserve">Por </w:t>
      </w:r>
      <w:r>
        <w:rPr>
          <w:rFonts w:ascii="Bookman Old Style" w:hAnsi="Bookman Old Style"/>
        </w:rPr>
        <w:t xml:space="preserve">la cual se </w:t>
      </w:r>
      <w:r w:rsidR="00DE4B92">
        <w:rPr>
          <w:rFonts w:ascii="Bookman Old Style" w:hAnsi="Bookman Old Style"/>
        </w:rPr>
        <w:t xml:space="preserve">modifican </w:t>
      </w:r>
      <w:r w:rsidR="002C3D60">
        <w:rPr>
          <w:rFonts w:ascii="Bookman Old Style" w:hAnsi="Bookman Old Style"/>
        </w:rPr>
        <w:t>l</w:t>
      </w:r>
      <w:r w:rsidR="00B112D8">
        <w:rPr>
          <w:rFonts w:ascii="Bookman Old Style" w:hAnsi="Bookman Old Style"/>
        </w:rPr>
        <w:t xml:space="preserve">os </w:t>
      </w:r>
      <w:r w:rsidR="002C3D60">
        <w:rPr>
          <w:rFonts w:ascii="Bookman Old Style" w:hAnsi="Bookman Old Style"/>
        </w:rPr>
        <w:t>artículo</w:t>
      </w:r>
      <w:r w:rsidR="00B112D8">
        <w:rPr>
          <w:rFonts w:ascii="Bookman Old Style" w:hAnsi="Bookman Old Style"/>
        </w:rPr>
        <w:t>s</w:t>
      </w:r>
      <w:r w:rsidR="002C3D60">
        <w:rPr>
          <w:rFonts w:ascii="Bookman Old Style" w:hAnsi="Bookman Old Style"/>
        </w:rPr>
        <w:t xml:space="preserve"> </w:t>
      </w:r>
      <w:r w:rsidR="0060181F">
        <w:rPr>
          <w:rFonts w:ascii="Bookman Old Style" w:hAnsi="Bookman Old Style"/>
        </w:rPr>
        <w:t xml:space="preserve">5 </w:t>
      </w:r>
      <w:r w:rsidR="00B112D8">
        <w:rPr>
          <w:rFonts w:ascii="Bookman Old Style" w:hAnsi="Bookman Old Style"/>
        </w:rPr>
        <w:t xml:space="preserve">y 6 </w:t>
      </w:r>
      <w:r w:rsidR="0060181F">
        <w:rPr>
          <w:rFonts w:ascii="Bookman Old Style" w:hAnsi="Bookman Old Style"/>
        </w:rPr>
        <w:t>de la Resolución CREG 051 de 2012</w:t>
      </w:r>
      <w:r w:rsidR="00273B9D">
        <w:rPr>
          <w:rFonts w:ascii="Bookman Old Style" w:hAnsi="Bookman Old Style"/>
        </w:rPr>
        <w:t>.</w:t>
      </w:r>
      <w:r w:rsidR="0060181F">
        <w:rPr>
          <w:rFonts w:ascii="Bookman Old Style" w:hAnsi="Bookman Old Style"/>
        </w:rPr>
        <w:t xml:space="preserve"> </w:t>
      </w:r>
    </w:p>
    <w:p w:rsidR="00A60C08" w:rsidRDefault="00A60C08" w:rsidP="00A60C08">
      <w:pPr>
        <w:ind w:right="51"/>
        <w:rPr>
          <w:rFonts w:ascii="Bookman Old Style" w:hAnsi="Bookman Old Style"/>
        </w:rPr>
      </w:pPr>
    </w:p>
    <w:p w:rsidR="002C7309" w:rsidRDefault="002C7309"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rsidP="00A60C08">
      <w:pPr>
        <w:ind w:left="0" w:right="51"/>
        <w:rPr>
          <w:rFonts w:ascii="Bookman Old Style" w:hAnsi="Bookman Old Style"/>
        </w:rPr>
      </w:pPr>
    </w:p>
    <w:p w:rsidR="00A60C08" w:rsidRPr="00C435C3" w:rsidRDefault="00A60C08"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264F30" w:rsidRPr="00E060BE" w:rsidRDefault="00264F30" w:rsidP="00E060BE">
      <w:pPr>
        <w:jc w:val="both"/>
        <w:rPr>
          <w:rFonts w:ascii="Bookman Old Style" w:hAnsi="Bookman Old Style" w:cs="Arial"/>
        </w:rPr>
      </w:pPr>
    </w:p>
    <w:p w:rsidR="00E060BE" w:rsidRPr="00E060BE" w:rsidRDefault="00E060BE" w:rsidP="00E060BE">
      <w:pPr>
        <w:jc w:val="both"/>
        <w:rPr>
          <w:rFonts w:ascii="Bookman Old Style" w:hAnsi="Bookman Old Style" w:cs="Arial"/>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w:t>
      </w:r>
      <w:r w:rsidR="00D73BCE">
        <w:rPr>
          <w:rFonts w:ascii="Bookman Old Style" w:hAnsi="Bookman Old Style"/>
        </w:rPr>
        <w:t>cidad de generación de respaldo.</w:t>
      </w:r>
    </w:p>
    <w:p w:rsidR="00A60C08" w:rsidRDefault="00A60C08" w:rsidP="00D73BCE">
      <w:pPr>
        <w:numPr>
          <w:ilvl w:val="0"/>
          <w:numId w:val="28"/>
        </w:numPr>
        <w:jc w:val="both"/>
        <w:rPr>
          <w:rFonts w:ascii="Bookman Old Style" w:hAnsi="Bookman Old Style"/>
        </w:rPr>
      </w:pPr>
      <w:r>
        <w:rPr>
          <w:rFonts w:ascii="Bookman Old Style" w:hAnsi="Bookman Old Style"/>
        </w:rPr>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Definir y hacer operativos los criterios técnicos de calidad, confiabilidad y seg</w:t>
      </w:r>
      <w:r w:rsidR="00D73BCE">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r w:rsidR="00DE184D">
        <w:rPr>
          <w:rFonts w:ascii="Bookman Old Style" w:hAnsi="Bookman Old Style"/>
        </w:rPr>
        <w:t>.</w:t>
      </w:r>
    </w:p>
    <w:p w:rsidR="00A60C08" w:rsidRDefault="00A60C08" w:rsidP="00A60C08">
      <w:pPr>
        <w:ind w:left="0"/>
        <w:jc w:val="both"/>
        <w:rPr>
          <w:rFonts w:ascii="Bookman Old Style" w:hAnsi="Bookman Old Style"/>
        </w:rPr>
      </w:pPr>
      <w:r>
        <w:rPr>
          <w:rFonts w:ascii="Bookman Old Style" w:hAnsi="Bookman Old Style"/>
        </w:rPr>
        <w:lastRenderedPageBreak/>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mediante la Resolución CREG 061 de 2007, adoptó las normas sobre garantías para el Cargo por Confiabilidad.</w:t>
      </w:r>
    </w:p>
    <w:p w:rsidR="00A60C08" w:rsidRDefault="00A60C08" w:rsidP="00A60C08">
      <w:pPr>
        <w:ind w:left="0"/>
        <w:jc w:val="both"/>
        <w:rPr>
          <w:rFonts w:ascii="Bookman Old Style" w:hAnsi="Bookman Old Style"/>
        </w:rPr>
      </w:pPr>
    </w:p>
    <w:p w:rsidR="00DA3E0B" w:rsidRDefault="00F94AC4" w:rsidP="00611A0B">
      <w:pPr>
        <w:ind w:left="0"/>
        <w:jc w:val="both"/>
        <w:rPr>
          <w:rFonts w:ascii="Bookman Old Style" w:hAnsi="Bookman Old Style" w:cs="Arial"/>
        </w:rPr>
      </w:pPr>
      <w:r>
        <w:rPr>
          <w:rFonts w:ascii="Bookman Old Style" w:hAnsi="Bookman Old Style" w:cs="Arial"/>
        </w:rPr>
        <w:t>Mediante la Resolución CREG 051 de 2012, l</w:t>
      </w:r>
      <w:r w:rsidR="00DA3E0B">
        <w:rPr>
          <w:rFonts w:ascii="Bookman Old Style" w:hAnsi="Bookman Old Style" w:cs="Arial"/>
        </w:rPr>
        <w:t xml:space="preserve">a Comisión de Regulación de Energía y Gas, expidió </w:t>
      </w:r>
      <w:r w:rsidR="001F1BA7">
        <w:rPr>
          <w:rFonts w:ascii="Bookman Old Style" w:hAnsi="Bookman Old Style" w:cs="Arial"/>
        </w:rPr>
        <w:t>“</w:t>
      </w:r>
      <w:r w:rsidR="00611A0B">
        <w:rPr>
          <w:rFonts w:ascii="Bookman Old Style" w:hAnsi="Bookman Old Style"/>
        </w:rPr>
        <w:t>las reglas de las Subastas de Reconfiguración como parte de los Anillos de Seguridad del Cargo por Confiabilidad</w:t>
      </w:r>
      <w:r w:rsidR="001F1BA7">
        <w:rPr>
          <w:rFonts w:ascii="Bookman Old Style" w:hAnsi="Bookman Old Style"/>
        </w:rPr>
        <w:t>”</w:t>
      </w:r>
      <w:r w:rsidR="004C33BE">
        <w:rPr>
          <w:rFonts w:ascii="Bookman Old Style" w:hAnsi="Bookman Old Style" w:cs="Arial"/>
        </w:rPr>
        <w:t>.</w:t>
      </w:r>
    </w:p>
    <w:p w:rsidR="00DA3E0B" w:rsidRDefault="00DA3E0B" w:rsidP="004412D3">
      <w:pPr>
        <w:ind w:left="0"/>
        <w:jc w:val="both"/>
        <w:rPr>
          <w:rFonts w:ascii="Bookman Old Style" w:hAnsi="Bookman Old Style" w:cs="Arial"/>
        </w:rPr>
      </w:pPr>
    </w:p>
    <w:p w:rsidR="0060181F" w:rsidRDefault="0060181F" w:rsidP="004412D3">
      <w:pPr>
        <w:ind w:left="0"/>
        <w:jc w:val="both"/>
        <w:rPr>
          <w:rFonts w:ascii="Bookman Old Style" w:hAnsi="Bookman Old Style" w:cs="Arial"/>
        </w:rPr>
      </w:pPr>
      <w:r>
        <w:rPr>
          <w:rFonts w:ascii="Bookman Old Style" w:hAnsi="Bookman Old Style" w:cs="Arial"/>
        </w:rPr>
        <w:t>La Comisión de Regulación de Energía y Gas, expidió la Resolución CREG 053 de 2012 por la cual se convocó a una Subasta de Reconfiguración de venta para el período 2012 – 2013.</w:t>
      </w:r>
    </w:p>
    <w:p w:rsidR="0060181F" w:rsidRDefault="0060181F" w:rsidP="004412D3">
      <w:pPr>
        <w:ind w:left="0"/>
        <w:jc w:val="both"/>
        <w:rPr>
          <w:rFonts w:ascii="Bookman Old Style" w:hAnsi="Bookman Old Style" w:cs="Arial"/>
        </w:rPr>
      </w:pPr>
    </w:p>
    <w:p w:rsidR="0060181F" w:rsidRDefault="0060181F" w:rsidP="00B75E93">
      <w:pPr>
        <w:ind w:left="0"/>
        <w:jc w:val="both"/>
        <w:rPr>
          <w:rFonts w:ascii="Bookman Old Style" w:hAnsi="Bookman Old Style" w:cs="Arial"/>
        </w:rPr>
      </w:pPr>
      <w:r>
        <w:rPr>
          <w:rFonts w:ascii="Bookman Old Style" w:hAnsi="Bookman Old Style" w:cs="Arial"/>
        </w:rPr>
        <w:t xml:space="preserve">Una vez finalizada la Subasta de Reconfiguración de Venta para el período 2012-2013 el 25 de julio de 2012, se asignaron OEF de Venta a las plantas </w:t>
      </w:r>
      <w:proofErr w:type="spellStart"/>
      <w:r>
        <w:rPr>
          <w:rFonts w:ascii="Bookman Old Style" w:hAnsi="Bookman Old Style" w:cs="Arial"/>
        </w:rPr>
        <w:t>Termocol</w:t>
      </w:r>
      <w:proofErr w:type="spellEnd"/>
      <w:r w:rsidR="00D15D8B">
        <w:rPr>
          <w:rFonts w:ascii="Bookman Old Style" w:hAnsi="Bookman Old Style" w:cs="Arial"/>
        </w:rPr>
        <w:t>,</w:t>
      </w:r>
      <w:r>
        <w:rPr>
          <w:rFonts w:ascii="Bookman Old Style" w:hAnsi="Bookman Old Style" w:cs="Arial"/>
        </w:rPr>
        <w:t xml:space="preserve"> representada </w:t>
      </w:r>
      <w:r w:rsidR="00D15D8B">
        <w:rPr>
          <w:rFonts w:ascii="Bookman Old Style" w:hAnsi="Bookman Old Style" w:cs="Arial"/>
        </w:rPr>
        <w:t xml:space="preserve">por </w:t>
      </w:r>
      <w:r>
        <w:rPr>
          <w:rFonts w:ascii="Bookman Old Style" w:hAnsi="Bookman Old Style" w:cs="Arial"/>
        </w:rPr>
        <w:t xml:space="preserve">el Grupo </w:t>
      </w:r>
      <w:proofErr w:type="spellStart"/>
      <w:r>
        <w:rPr>
          <w:rFonts w:ascii="Bookman Old Style" w:hAnsi="Bookman Old Style" w:cs="Arial"/>
        </w:rPr>
        <w:t>Poliobras</w:t>
      </w:r>
      <w:proofErr w:type="spellEnd"/>
      <w:r w:rsidR="00D15D8B">
        <w:rPr>
          <w:rFonts w:ascii="Bookman Old Style" w:hAnsi="Bookman Old Style" w:cs="Arial"/>
        </w:rPr>
        <w:t>,</w:t>
      </w:r>
      <w:r>
        <w:rPr>
          <w:rFonts w:ascii="Bookman Old Style" w:hAnsi="Bookman Old Style" w:cs="Arial"/>
        </w:rPr>
        <w:t xml:space="preserve"> y </w:t>
      </w:r>
      <w:proofErr w:type="spellStart"/>
      <w:r>
        <w:rPr>
          <w:rFonts w:ascii="Bookman Old Style" w:hAnsi="Bookman Old Style" w:cs="Arial"/>
        </w:rPr>
        <w:t>Amoyá</w:t>
      </w:r>
      <w:proofErr w:type="spellEnd"/>
      <w:r w:rsidR="00D15D8B">
        <w:rPr>
          <w:rFonts w:ascii="Bookman Old Style" w:hAnsi="Bookman Old Style" w:cs="Arial"/>
        </w:rPr>
        <w:t>,</w:t>
      </w:r>
      <w:r>
        <w:rPr>
          <w:rFonts w:ascii="Bookman Old Style" w:hAnsi="Bookman Old Style" w:cs="Arial"/>
        </w:rPr>
        <w:t xml:space="preserve"> representada por </w:t>
      </w:r>
      <w:proofErr w:type="spellStart"/>
      <w:r>
        <w:rPr>
          <w:rFonts w:ascii="Bookman Old Style" w:hAnsi="Bookman Old Style" w:cs="Arial"/>
        </w:rPr>
        <w:t>Isagen</w:t>
      </w:r>
      <w:proofErr w:type="spellEnd"/>
      <w:r>
        <w:rPr>
          <w:rFonts w:ascii="Bookman Old Style" w:hAnsi="Bookman Old Style" w:cs="Arial"/>
        </w:rPr>
        <w:t xml:space="preserve">. </w:t>
      </w:r>
    </w:p>
    <w:p w:rsidR="00F94AC4" w:rsidRDefault="00F94AC4" w:rsidP="00B75E93">
      <w:pPr>
        <w:ind w:left="0"/>
        <w:jc w:val="both"/>
        <w:rPr>
          <w:rFonts w:ascii="Bookman Old Style" w:hAnsi="Bookman Old Style" w:cs="Arial"/>
        </w:rPr>
      </w:pPr>
    </w:p>
    <w:p w:rsidR="00BB1505" w:rsidRDefault="00BB1505" w:rsidP="00B75E93">
      <w:pPr>
        <w:ind w:left="0"/>
        <w:jc w:val="both"/>
        <w:rPr>
          <w:rFonts w:ascii="Bookman Old Style" w:hAnsi="Bookman Old Style" w:cs="Arial"/>
        </w:rPr>
      </w:pPr>
      <w:r>
        <w:rPr>
          <w:rFonts w:ascii="Bookman Old Style" w:hAnsi="Bookman Old Style" w:cs="Arial"/>
        </w:rPr>
        <w:t xml:space="preserve">La empresa </w:t>
      </w:r>
      <w:proofErr w:type="spellStart"/>
      <w:r>
        <w:rPr>
          <w:rFonts w:ascii="Bookman Old Style" w:hAnsi="Bookman Old Style" w:cs="Arial"/>
        </w:rPr>
        <w:t>Gecelca</w:t>
      </w:r>
      <w:proofErr w:type="spellEnd"/>
      <w:r w:rsidR="00F94AC4">
        <w:rPr>
          <w:rFonts w:ascii="Bookman Old Style" w:hAnsi="Bookman Old Style" w:cs="Arial"/>
        </w:rPr>
        <w:t xml:space="preserve">, </w:t>
      </w:r>
      <w:r>
        <w:rPr>
          <w:rFonts w:ascii="Bookman Old Style" w:hAnsi="Bookman Old Style" w:cs="Arial"/>
        </w:rPr>
        <w:t>mediante carta con radicado CREG E-2012-007028 del 26 de julio de 2012</w:t>
      </w:r>
      <w:r w:rsidR="00F94AC4">
        <w:rPr>
          <w:rFonts w:ascii="Bookman Old Style" w:hAnsi="Bookman Old Style" w:cs="Arial"/>
        </w:rPr>
        <w:t>,</w:t>
      </w:r>
      <w:r>
        <w:rPr>
          <w:rFonts w:ascii="Bookman Old Style" w:hAnsi="Bookman Old Style" w:cs="Arial"/>
        </w:rPr>
        <w:t xml:space="preserve"> solicitó a la CREG que se </w:t>
      </w:r>
      <w:r w:rsidR="00D15D8B">
        <w:rPr>
          <w:rFonts w:ascii="Bookman Old Style" w:hAnsi="Bookman Old Style" w:cs="Arial"/>
        </w:rPr>
        <w:t xml:space="preserve">realice </w:t>
      </w:r>
      <w:r>
        <w:rPr>
          <w:rFonts w:ascii="Bookman Old Style" w:hAnsi="Bookman Old Style" w:cs="Arial"/>
        </w:rPr>
        <w:t>una nueva convocatoria para una Subasta de Reconfiguración de Venta para el período 2012-2013 tiendo en cuenta que no fueron asignadas todas las OEF de venta y que ellos tienen interés en adquirirlas.</w:t>
      </w:r>
    </w:p>
    <w:p w:rsidR="00BB1505" w:rsidRDefault="00BB1505" w:rsidP="00B75E93">
      <w:pPr>
        <w:ind w:left="0"/>
        <w:jc w:val="both"/>
        <w:rPr>
          <w:rFonts w:ascii="Bookman Old Style" w:hAnsi="Bookman Old Style" w:cs="Arial"/>
        </w:rPr>
      </w:pPr>
    </w:p>
    <w:p w:rsidR="00BB1505" w:rsidRDefault="00BB1505" w:rsidP="00B75E93">
      <w:pPr>
        <w:ind w:left="0"/>
        <w:jc w:val="both"/>
        <w:rPr>
          <w:rFonts w:ascii="Bookman Old Style" w:hAnsi="Bookman Old Style" w:cs="Arial"/>
        </w:rPr>
      </w:pPr>
      <w:r>
        <w:rPr>
          <w:rFonts w:ascii="Bookman Old Style" w:hAnsi="Bookman Old Style" w:cs="Arial"/>
        </w:rPr>
        <w:t>Una vez analizada la solicitud, la CREG considera que es conveniente permitir nuevas Subastas de Reconfiguración de Venta cuando no se han asignado la totalidad de las cantidades a subastar en la primera convocatoria y exist</w:t>
      </w:r>
      <w:r w:rsidR="00C05E13">
        <w:rPr>
          <w:rFonts w:ascii="Bookman Old Style" w:hAnsi="Bookman Old Style" w:cs="Arial"/>
        </w:rPr>
        <w:t>a</w:t>
      </w:r>
      <w:r>
        <w:rPr>
          <w:rFonts w:ascii="Bookman Old Style" w:hAnsi="Bookman Old Style" w:cs="Arial"/>
        </w:rPr>
        <w:t xml:space="preserve"> interés por ellas.</w:t>
      </w:r>
    </w:p>
    <w:p w:rsidR="00BB1505" w:rsidRDefault="00BB1505" w:rsidP="00B75E93">
      <w:pPr>
        <w:ind w:left="0"/>
        <w:jc w:val="both"/>
        <w:rPr>
          <w:rFonts w:ascii="Bookman Old Style" w:hAnsi="Bookman Old Style" w:cs="Arial"/>
        </w:rPr>
      </w:pPr>
    </w:p>
    <w:p w:rsidR="00BB1505" w:rsidRDefault="00C05E13" w:rsidP="00B75E93">
      <w:pPr>
        <w:ind w:left="0"/>
        <w:jc w:val="both"/>
        <w:rPr>
          <w:rFonts w:ascii="Bookman Old Style" w:hAnsi="Bookman Old Style" w:cs="Arial"/>
        </w:rPr>
      </w:pPr>
      <w:r w:rsidRPr="0085133E">
        <w:rPr>
          <w:rFonts w:ascii="Bookman Old Style" w:hAnsi="Bookman Old Style" w:cs="Arial"/>
        </w:rPr>
        <w:t xml:space="preserve">Se considera necesario </w:t>
      </w:r>
      <w:r w:rsidR="0085133E" w:rsidRPr="002C7309">
        <w:rPr>
          <w:rFonts w:ascii="Bookman Old Style" w:hAnsi="Bookman Old Style" w:cs="Arial"/>
        </w:rPr>
        <w:t xml:space="preserve">ajustar </w:t>
      </w:r>
      <w:r w:rsidRPr="0085133E">
        <w:rPr>
          <w:rFonts w:ascii="Bookman Old Style" w:hAnsi="Bookman Old Style" w:cs="Arial"/>
        </w:rPr>
        <w:t xml:space="preserve">las reglas de las subastas de </w:t>
      </w:r>
      <w:r w:rsidR="0085133E" w:rsidRPr="002C7309">
        <w:rPr>
          <w:rFonts w:ascii="Bookman Old Style" w:hAnsi="Bookman Old Style" w:cs="Arial"/>
        </w:rPr>
        <w:t xml:space="preserve">reconfiguración </w:t>
      </w:r>
      <w:r w:rsidR="0085133E">
        <w:rPr>
          <w:rFonts w:ascii="Bookman Old Style" w:hAnsi="Bookman Old Style" w:cs="Arial"/>
        </w:rPr>
        <w:t xml:space="preserve">dado que las convocatorias adicionales que se proponen tendrían </w:t>
      </w:r>
      <w:r w:rsidR="00BB1505" w:rsidRPr="0085133E">
        <w:rPr>
          <w:rFonts w:ascii="Bookman Old Style" w:hAnsi="Bookman Old Style" w:cs="Arial"/>
        </w:rPr>
        <w:t>condiciones diferentes a la primera</w:t>
      </w:r>
      <w:r w:rsidR="0085133E">
        <w:rPr>
          <w:rFonts w:ascii="Bookman Old Style" w:hAnsi="Bookman Old Style" w:cs="Arial"/>
        </w:rPr>
        <w:t xml:space="preserve">. </w:t>
      </w:r>
    </w:p>
    <w:p w:rsidR="00BB1505" w:rsidRDefault="00BB1505" w:rsidP="00B75E93">
      <w:pPr>
        <w:ind w:left="0"/>
        <w:jc w:val="both"/>
        <w:rPr>
          <w:rFonts w:ascii="Bookman Old Style" w:hAnsi="Bookman Old Style" w:cs="Arial"/>
        </w:rPr>
      </w:pPr>
    </w:p>
    <w:p w:rsidR="00314837" w:rsidRDefault="00E56BDE" w:rsidP="004412D3">
      <w:pPr>
        <w:ind w:left="0"/>
        <w:jc w:val="both"/>
        <w:rPr>
          <w:rFonts w:ascii="Bookman Old Style" w:hAnsi="Bookman Old Style" w:cs="Arial"/>
          <w:lang w:val="es-ES_tradnl"/>
        </w:rPr>
      </w:pPr>
      <w:r>
        <w:rPr>
          <w:rFonts w:ascii="Bookman Old Style" w:hAnsi="Bookman Old Style" w:cs="Arial"/>
          <w:lang w:val="es-ES_tradnl"/>
        </w:rPr>
        <w:lastRenderedPageBreak/>
        <w:t xml:space="preserve">Los análisis que sustentan la propuesta se </w:t>
      </w:r>
      <w:r w:rsidR="002C7309">
        <w:rPr>
          <w:rFonts w:ascii="Bookman Old Style" w:hAnsi="Bookman Old Style" w:cs="Arial"/>
          <w:lang w:val="es-ES_tradnl"/>
        </w:rPr>
        <w:t xml:space="preserve">presentan </w:t>
      </w:r>
      <w:r>
        <w:rPr>
          <w:rFonts w:ascii="Bookman Old Style" w:hAnsi="Bookman Old Style" w:cs="Arial"/>
          <w:lang w:val="es-ES_tradnl"/>
        </w:rPr>
        <w:t xml:space="preserve">en el documento CREG </w:t>
      </w:r>
      <w:r w:rsidR="002C7309">
        <w:rPr>
          <w:rFonts w:ascii="Bookman Old Style" w:hAnsi="Bookman Old Style" w:cs="Arial"/>
          <w:lang w:val="es-ES_tradnl"/>
        </w:rPr>
        <w:t>049</w:t>
      </w:r>
      <w:r>
        <w:rPr>
          <w:rFonts w:ascii="Bookman Old Style" w:hAnsi="Bookman Old Style" w:cs="Arial"/>
          <w:lang w:val="es-ES_tradnl"/>
        </w:rPr>
        <w:t xml:space="preserve"> del </w:t>
      </w:r>
      <w:r w:rsidR="002C7309">
        <w:rPr>
          <w:rFonts w:ascii="Bookman Old Style" w:hAnsi="Bookman Old Style" w:cs="Arial"/>
          <w:lang w:val="es-ES_tradnl"/>
        </w:rPr>
        <w:t>2</w:t>
      </w:r>
      <w:r>
        <w:rPr>
          <w:rFonts w:ascii="Bookman Old Style" w:hAnsi="Bookman Old Style" w:cs="Arial"/>
          <w:lang w:val="es-ES_tradnl"/>
        </w:rPr>
        <w:t xml:space="preserve"> de agosto de 2012.</w:t>
      </w:r>
    </w:p>
    <w:p w:rsidR="00E56BDE" w:rsidRPr="00B75E93" w:rsidRDefault="00E56BDE" w:rsidP="004412D3">
      <w:pPr>
        <w:ind w:left="0"/>
        <w:jc w:val="both"/>
        <w:rPr>
          <w:rFonts w:ascii="Bookman Old Style" w:hAnsi="Bookman Old Style" w:cs="Arial"/>
          <w:lang w:val="es-ES_tradnl"/>
        </w:rPr>
      </w:pPr>
    </w:p>
    <w:p w:rsidR="00DA3E0B" w:rsidRDefault="00DA3E0B" w:rsidP="004412D3">
      <w:pPr>
        <w:ind w:left="0"/>
        <w:jc w:val="both"/>
        <w:rPr>
          <w:rFonts w:ascii="Bookman Old Style" w:hAnsi="Bookman Old Style" w:cs="Arial"/>
          <w:lang w:val="es-ES_tradnl"/>
        </w:rPr>
      </w:pPr>
    </w:p>
    <w:p w:rsidR="008C56A2" w:rsidRPr="00B75E93" w:rsidRDefault="008C56A2" w:rsidP="004412D3">
      <w:pPr>
        <w:ind w:left="0"/>
        <w:jc w:val="both"/>
        <w:rPr>
          <w:rFonts w:ascii="Bookman Old Style" w:hAnsi="Bookman Old Style" w:cs="Arial"/>
          <w:lang w:val="es-ES_tradnl"/>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4C7599" w:rsidRDefault="004C7599" w:rsidP="00E060BE">
      <w:pPr>
        <w:tabs>
          <w:tab w:val="center" w:pos="4512"/>
          <w:tab w:val="left" w:pos="7088"/>
        </w:tabs>
        <w:suppressAutoHyphens/>
        <w:ind w:left="0" w:right="51"/>
        <w:rPr>
          <w:rFonts w:ascii="Bookman Old Style" w:hAnsi="Bookman Old Style" w:cs="Arial"/>
          <w:b/>
          <w:color w:val="000000"/>
        </w:rPr>
      </w:pPr>
    </w:p>
    <w:p w:rsidR="002C7309" w:rsidRDefault="002C7309" w:rsidP="00E060BE">
      <w:pPr>
        <w:tabs>
          <w:tab w:val="center" w:pos="4512"/>
          <w:tab w:val="left" w:pos="7088"/>
        </w:tabs>
        <w:suppressAutoHyphens/>
        <w:ind w:left="0" w:right="51"/>
        <w:rPr>
          <w:rFonts w:ascii="Bookman Old Style" w:hAnsi="Bookman Old Style" w:cs="Arial"/>
          <w:b/>
          <w:color w:val="000000"/>
        </w:rPr>
      </w:pPr>
    </w:p>
    <w:p w:rsidR="00246B94"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246B94">
        <w:rPr>
          <w:rFonts w:ascii="Bookman Old Style" w:hAnsi="Bookman Old Style" w:cs="Arial"/>
          <w:b/>
          <w:color w:val="000000"/>
        </w:rPr>
        <w:t xml:space="preserve">Adición </w:t>
      </w:r>
      <w:r w:rsidR="006D4637">
        <w:rPr>
          <w:rFonts w:ascii="Bookman Old Style" w:hAnsi="Bookman Old Style" w:cs="Arial"/>
          <w:b/>
          <w:color w:val="000000"/>
        </w:rPr>
        <w:t xml:space="preserve">de </w:t>
      </w:r>
      <w:r w:rsidR="004879B8">
        <w:rPr>
          <w:rFonts w:ascii="Bookman Old Style" w:hAnsi="Bookman Old Style" w:cs="Arial"/>
          <w:b/>
          <w:color w:val="000000"/>
        </w:rPr>
        <w:t xml:space="preserve">un </w:t>
      </w:r>
      <w:r w:rsidR="00246B94">
        <w:rPr>
          <w:rFonts w:ascii="Bookman Old Style" w:hAnsi="Bookman Old Style" w:cs="Arial"/>
          <w:b/>
          <w:color w:val="000000"/>
        </w:rPr>
        <w:t>parágrafo</w:t>
      </w:r>
      <w:r w:rsidR="00033AE3">
        <w:rPr>
          <w:rFonts w:ascii="Bookman Old Style" w:hAnsi="Bookman Old Style" w:cs="Arial"/>
          <w:b/>
          <w:color w:val="000000"/>
        </w:rPr>
        <w:t xml:space="preserve"> </w:t>
      </w:r>
      <w:r w:rsidR="00246B94">
        <w:rPr>
          <w:rFonts w:ascii="Bookman Old Style" w:hAnsi="Bookman Old Style" w:cs="Arial"/>
          <w:b/>
          <w:color w:val="000000"/>
        </w:rPr>
        <w:t>al artículo 5 de la Resolución CREG 051 de 2012</w:t>
      </w:r>
      <w:r w:rsidR="00F505A9">
        <w:rPr>
          <w:rFonts w:ascii="Bookman Old Style" w:hAnsi="Bookman Old Style" w:cs="Arial"/>
          <w:b/>
          <w:color w:val="000000"/>
        </w:rPr>
        <w:t>.</w:t>
      </w:r>
      <w:r w:rsidR="00F505A9">
        <w:rPr>
          <w:rFonts w:ascii="Bookman Old Style" w:hAnsi="Bookman Old Style" w:cs="Arial"/>
          <w:color w:val="000000"/>
        </w:rPr>
        <w:t xml:space="preserve"> </w:t>
      </w:r>
      <w:r w:rsidR="00246B94">
        <w:rPr>
          <w:rFonts w:ascii="Bookman Old Style" w:hAnsi="Bookman Old Style" w:cs="Arial"/>
          <w:color w:val="000000"/>
        </w:rPr>
        <w:t xml:space="preserve">Adiciónese </w:t>
      </w:r>
      <w:r w:rsidR="00033AE3">
        <w:rPr>
          <w:rFonts w:ascii="Bookman Old Style" w:hAnsi="Bookman Old Style" w:cs="Arial"/>
          <w:color w:val="000000"/>
        </w:rPr>
        <w:t xml:space="preserve">el </w:t>
      </w:r>
      <w:r w:rsidR="00246B94">
        <w:rPr>
          <w:rFonts w:ascii="Bookman Old Style" w:hAnsi="Bookman Old Style" w:cs="Arial"/>
          <w:color w:val="000000"/>
        </w:rPr>
        <w:t>siguiente parágrafo al artículo 5 de la Resolución CREG 051 de 2012:</w:t>
      </w:r>
    </w:p>
    <w:p w:rsidR="00246B94" w:rsidRDefault="00246B94" w:rsidP="00F505A9">
      <w:pPr>
        <w:tabs>
          <w:tab w:val="center" w:pos="4512"/>
          <w:tab w:val="left" w:pos="7088"/>
        </w:tabs>
        <w:suppressAutoHyphens/>
        <w:ind w:left="0" w:right="51"/>
        <w:jc w:val="both"/>
        <w:rPr>
          <w:rFonts w:ascii="Bookman Old Style" w:hAnsi="Bookman Old Style" w:cs="Arial"/>
          <w:color w:val="000000"/>
        </w:rPr>
      </w:pPr>
    </w:p>
    <w:p w:rsidR="00D22443" w:rsidRPr="002C7309" w:rsidRDefault="00E47D06" w:rsidP="00D22443">
      <w:pPr>
        <w:tabs>
          <w:tab w:val="center" w:pos="4512"/>
          <w:tab w:val="left" w:pos="7088"/>
        </w:tabs>
        <w:suppressAutoHyphens/>
        <w:ind w:left="708" w:right="51"/>
        <w:jc w:val="both"/>
        <w:rPr>
          <w:rFonts w:ascii="Bookman Old Style" w:hAnsi="Bookman Old Style" w:cs="Arial"/>
          <w:i/>
          <w:color w:val="000000"/>
          <w:sz w:val="22"/>
        </w:rPr>
      </w:pPr>
      <w:r w:rsidRPr="002C7309">
        <w:rPr>
          <w:rFonts w:ascii="Bookman Old Style" w:hAnsi="Bookman Old Style" w:cs="Arial"/>
          <w:b/>
          <w:i/>
          <w:color w:val="000000"/>
          <w:sz w:val="22"/>
        </w:rPr>
        <w:t>Parágrafo:</w:t>
      </w:r>
      <w:r w:rsidRPr="002C7309">
        <w:rPr>
          <w:rFonts w:ascii="Bookman Old Style" w:hAnsi="Bookman Old Style" w:cs="Arial"/>
          <w:i/>
          <w:color w:val="000000"/>
          <w:sz w:val="22"/>
        </w:rPr>
        <w:t xml:space="preserve"> </w:t>
      </w:r>
      <w:r w:rsidR="00720F44" w:rsidRPr="002C7309">
        <w:rPr>
          <w:rFonts w:ascii="Bookman Old Style" w:hAnsi="Bookman Old Style" w:cs="Arial"/>
          <w:i/>
          <w:color w:val="000000"/>
          <w:sz w:val="22"/>
        </w:rPr>
        <w:t>L</w:t>
      </w:r>
      <w:r w:rsidR="00D22443" w:rsidRPr="002C7309">
        <w:rPr>
          <w:rFonts w:ascii="Bookman Old Style" w:hAnsi="Bookman Old Style" w:cs="Arial"/>
          <w:i/>
          <w:color w:val="000000"/>
          <w:sz w:val="22"/>
        </w:rPr>
        <w:t xml:space="preserve">a CREG </w:t>
      </w:r>
      <w:r w:rsidR="00720F44" w:rsidRPr="002C7309">
        <w:rPr>
          <w:rFonts w:ascii="Bookman Old Style" w:hAnsi="Bookman Old Style" w:cs="Arial"/>
          <w:i/>
          <w:color w:val="000000"/>
          <w:sz w:val="22"/>
        </w:rPr>
        <w:t xml:space="preserve">podrá convocar </w:t>
      </w:r>
      <w:r w:rsidR="00656E09" w:rsidRPr="002C7309">
        <w:rPr>
          <w:rFonts w:ascii="Bookman Old Style" w:hAnsi="Bookman Old Style" w:cs="Arial"/>
          <w:i/>
          <w:color w:val="000000"/>
          <w:sz w:val="22"/>
        </w:rPr>
        <w:t>a una nueva Subasta</w:t>
      </w:r>
      <w:r w:rsidR="00D22443" w:rsidRPr="002C7309">
        <w:rPr>
          <w:rFonts w:ascii="Bookman Old Style" w:hAnsi="Bookman Old Style" w:cs="Arial"/>
          <w:i/>
          <w:color w:val="000000"/>
          <w:sz w:val="22"/>
        </w:rPr>
        <w:t xml:space="preserve"> de Reconfiguración de Venta cuando se </w:t>
      </w:r>
      <w:r w:rsidR="00CB70A6" w:rsidRPr="002C7309">
        <w:rPr>
          <w:rFonts w:ascii="Bookman Old Style" w:hAnsi="Bookman Old Style" w:cs="Arial"/>
          <w:i/>
          <w:color w:val="000000"/>
          <w:sz w:val="22"/>
        </w:rPr>
        <w:t xml:space="preserve">cumplan </w:t>
      </w:r>
      <w:r w:rsidR="00D22443" w:rsidRPr="002C7309">
        <w:rPr>
          <w:rFonts w:ascii="Bookman Old Style" w:hAnsi="Bookman Old Style" w:cs="Arial"/>
          <w:i/>
          <w:color w:val="000000"/>
          <w:sz w:val="22"/>
        </w:rPr>
        <w:t xml:space="preserve">las siguientes condiciones: </w:t>
      </w:r>
    </w:p>
    <w:p w:rsidR="009C7B69" w:rsidRPr="002C7309" w:rsidRDefault="009C7B69" w:rsidP="00D22443">
      <w:pPr>
        <w:tabs>
          <w:tab w:val="center" w:pos="4512"/>
          <w:tab w:val="left" w:pos="7088"/>
        </w:tabs>
        <w:suppressAutoHyphens/>
        <w:ind w:left="708" w:right="51"/>
        <w:jc w:val="both"/>
        <w:rPr>
          <w:rFonts w:ascii="Bookman Old Style" w:hAnsi="Bookman Old Style" w:cs="Arial"/>
          <w:i/>
          <w:color w:val="000000"/>
          <w:sz w:val="22"/>
        </w:rPr>
      </w:pPr>
    </w:p>
    <w:p w:rsidR="00D22443" w:rsidRPr="002C7309" w:rsidRDefault="009C7B69" w:rsidP="00D22443">
      <w:pPr>
        <w:pStyle w:val="Prrafodelista"/>
        <w:numPr>
          <w:ilvl w:val="0"/>
          <w:numId w:val="31"/>
        </w:numPr>
        <w:tabs>
          <w:tab w:val="center" w:pos="4512"/>
          <w:tab w:val="left" w:pos="7088"/>
        </w:tabs>
        <w:suppressAutoHyphens/>
        <w:ind w:right="51"/>
        <w:jc w:val="both"/>
        <w:rPr>
          <w:rFonts w:ascii="Bookman Old Style" w:hAnsi="Bookman Old Style" w:cs="Arial"/>
          <w:i/>
          <w:color w:val="000000"/>
          <w:sz w:val="22"/>
        </w:rPr>
      </w:pPr>
      <w:r w:rsidRPr="002C7309">
        <w:rPr>
          <w:rFonts w:ascii="Bookman Old Style" w:hAnsi="Bookman Old Style" w:cs="Arial"/>
          <w:i/>
          <w:color w:val="000000"/>
          <w:sz w:val="22"/>
        </w:rPr>
        <w:t>Una vez celebrada una Subasta de Reconfiguración de Venta</w:t>
      </w:r>
      <w:r w:rsidR="00A74883" w:rsidRPr="002C7309">
        <w:rPr>
          <w:rFonts w:ascii="Bookman Old Style" w:hAnsi="Bookman Old Style" w:cs="Arial"/>
          <w:i/>
          <w:color w:val="000000"/>
          <w:sz w:val="22"/>
        </w:rPr>
        <w:t>, convocada conforme a lo señalado en el artículo 5 de esta resolución</w:t>
      </w:r>
      <w:r w:rsidRPr="002C7309">
        <w:rPr>
          <w:rFonts w:ascii="Bookman Old Style" w:hAnsi="Bookman Old Style" w:cs="Arial"/>
          <w:i/>
          <w:color w:val="000000"/>
          <w:sz w:val="22"/>
        </w:rPr>
        <w:t>, l</w:t>
      </w:r>
      <w:r w:rsidR="00D22443" w:rsidRPr="002C7309">
        <w:rPr>
          <w:rFonts w:ascii="Bookman Old Style" w:hAnsi="Bookman Old Style" w:cs="Arial"/>
          <w:i/>
          <w:color w:val="000000"/>
          <w:sz w:val="22"/>
        </w:rPr>
        <w:t xml:space="preserve">a </w:t>
      </w:r>
      <w:r w:rsidRPr="002C7309">
        <w:rPr>
          <w:rFonts w:ascii="Bookman Old Style" w:hAnsi="Bookman Old Style" w:cs="Arial"/>
          <w:i/>
          <w:color w:val="000000"/>
          <w:sz w:val="22"/>
        </w:rPr>
        <w:t xml:space="preserve">cantidad subastada </w:t>
      </w:r>
      <w:r w:rsidR="00D22443" w:rsidRPr="002C7309">
        <w:rPr>
          <w:rFonts w:ascii="Bookman Old Style" w:hAnsi="Bookman Old Style" w:cs="Arial"/>
          <w:i/>
          <w:color w:val="000000"/>
          <w:sz w:val="22"/>
        </w:rPr>
        <w:t xml:space="preserve">no </w:t>
      </w:r>
      <w:r w:rsidRPr="002C7309">
        <w:rPr>
          <w:rFonts w:ascii="Bookman Old Style" w:hAnsi="Bookman Old Style" w:cs="Arial"/>
          <w:i/>
          <w:color w:val="000000"/>
          <w:sz w:val="22"/>
        </w:rPr>
        <w:t xml:space="preserve">haya sido </w:t>
      </w:r>
      <w:r w:rsidR="00D22443" w:rsidRPr="002C7309">
        <w:rPr>
          <w:rFonts w:ascii="Bookman Old Style" w:hAnsi="Bookman Old Style" w:cs="Arial"/>
          <w:i/>
          <w:color w:val="000000"/>
          <w:sz w:val="22"/>
        </w:rPr>
        <w:t>asignada completamente.</w:t>
      </w:r>
    </w:p>
    <w:p w:rsidR="00720F44" w:rsidRPr="002C7309" w:rsidRDefault="00720F44" w:rsidP="002C7309">
      <w:pPr>
        <w:pStyle w:val="Prrafodelista"/>
        <w:tabs>
          <w:tab w:val="center" w:pos="4512"/>
          <w:tab w:val="left" w:pos="7088"/>
        </w:tabs>
        <w:suppressAutoHyphens/>
        <w:ind w:left="1428" w:right="51"/>
        <w:jc w:val="both"/>
        <w:rPr>
          <w:rFonts w:ascii="Bookman Old Style" w:hAnsi="Bookman Old Style" w:cs="Arial"/>
          <w:i/>
          <w:color w:val="000000"/>
          <w:sz w:val="22"/>
        </w:rPr>
      </w:pPr>
    </w:p>
    <w:p w:rsidR="00D22443" w:rsidRPr="002C7309" w:rsidRDefault="00E47D06" w:rsidP="00D22443">
      <w:pPr>
        <w:pStyle w:val="Prrafodelista"/>
        <w:numPr>
          <w:ilvl w:val="0"/>
          <w:numId w:val="31"/>
        </w:numPr>
        <w:tabs>
          <w:tab w:val="center" w:pos="4512"/>
          <w:tab w:val="left" w:pos="7088"/>
        </w:tabs>
        <w:suppressAutoHyphens/>
        <w:ind w:right="51"/>
        <w:jc w:val="both"/>
        <w:rPr>
          <w:rFonts w:ascii="Bookman Old Style" w:hAnsi="Bookman Old Style" w:cs="Arial"/>
          <w:i/>
          <w:color w:val="000000"/>
          <w:sz w:val="22"/>
        </w:rPr>
      </w:pPr>
      <w:r w:rsidRPr="002C7309">
        <w:rPr>
          <w:rFonts w:ascii="Bookman Old Style" w:hAnsi="Bookman Old Style" w:cs="Arial"/>
          <w:i/>
          <w:color w:val="000000"/>
          <w:sz w:val="22"/>
        </w:rPr>
        <w:t>Al menos uno</w:t>
      </w:r>
      <w:r w:rsidR="002B249D" w:rsidRPr="002C7309">
        <w:rPr>
          <w:rFonts w:ascii="Bookman Old Style" w:hAnsi="Bookman Old Style" w:cs="Arial"/>
          <w:i/>
          <w:color w:val="000000"/>
          <w:sz w:val="22"/>
        </w:rPr>
        <w:t xml:space="preserve"> </w:t>
      </w:r>
      <w:r w:rsidR="00D22443" w:rsidRPr="002C7309">
        <w:rPr>
          <w:rFonts w:ascii="Bookman Old Style" w:hAnsi="Bookman Old Style" w:cs="Arial"/>
          <w:i/>
          <w:color w:val="000000"/>
          <w:sz w:val="22"/>
        </w:rPr>
        <w:t xml:space="preserve">de </w:t>
      </w:r>
      <w:r w:rsidR="00CE25C9" w:rsidRPr="002C7309">
        <w:rPr>
          <w:rFonts w:ascii="Bookman Old Style" w:hAnsi="Bookman Old Style" w:cs="Arial"/>
          <w:i/>
          <w:color w:val="000000"/>
          <w:sz w:val="22"/>
        </w:rPr>
        <w:t xml:space="preserve">los generadores </w:t>
      </w:r>
      <w:r w:rsidR="00D22443" w:rsidRPr="002C7309">
        <w:rPr>
          <w:rFonts w:ascii="Bookman Old Style" w:hAnsi="Bookman Old Style" w:cs="Arial"/>
          <w:i/>
          <w:color w:val="000000"/>
          <w:sz w:val="22"/>
        </w:rPr>
        <w:t>que representan plantas y/o unidades</w:t>
      </w:r>
      <w:r w:rsidR="002B249D" w:rsidRPr="002C7309">
        <w:rPr>
          <w:rFonts w:ascii="Bookman Old Style" w:hAnsi="Bookman Old Style" w:cs="Arial"/>
          <w:i/>
          <w:color w:val="000000"/>
          <w:sz w:val="22"/>
        </w:rPr>
        <w:t xml:space="preserve"> de generación</w:t>
      </w:r>
      <w:r w:rsidRPr="002C7309">
        <w:rPr>
          <w:rFonts w:ascii="Bookman Old Style" w:hAnsi="Bookman Old Style" w:cs="Arial"/>
          <w:i/>
          <w:color w:val="000000"/>
          <w:sz w:val="22"/>
        </w:rPr>
        <w:t xml:space="preserve"> y que cumplan con lo</w:t>
      </w:r>
      <w:r w:rsidR="00CE25C9" w:rsidRPr="002C7309">
        <w:rPr>
          <w:rFonts w:ascii="Bookman Old Style" w:hAnsi="Bookman Old Style" w:cs="Arial"/>
          <w:i/>
          <w:color w:val="000000"/>
          <w:sz w:val="22"/>
        </w:rPr>
        <w:t xml:space="preserve"> establecido en el artículo 3 de esta resolución, </w:t>
      </w:r>
      <w:r w:rsidR="002B249D" w:rsidRPr="002C7309">
        <w:rPr>
          <w:rFonts w:ascii="Bookman Old Style" w:hAnsi="Bookman Old Style" w:cs="Arial"/>
          <w:i/>
          <w:color w:val="000000"/>
          <w:sz w:val="22"/>
        </w:rPr>
        <w:t xml:space="preserve">manifieste mediante comunicación suscrita por el representante legal, el </w:t>
      </w:r>
      <w:r w:rsidR="00D22443" w:rsidRPr="002C7309">
        <w:rPr>
          <w:rFonts w:ascii="Bookman Old Style" w:hAnsi="Bookman Old Style" w:cs="Arial"/>
          <w:i/>
          <w:color w:val="000000"/>
          <w:sz w:val="22"/>
        </w:rPr>
        <w:t>interés en participar en una Subasta de Reconfiguración de Venta adicional. La manifestación se deberá entregar a la CREG con copia al ASIC máximo el 1 de septiembre del año del inicio del período de vigencia a subastar.</w:t>
      </w:r>
    </w:p>
    <w:p w:rsidR="002B249D" w:rsidRPr="002C7309" w:rsidRDefault="002B249D" w:rsidP="00E47D06">
      <w:pPr>
        <w:pStyle w:val="Prrafodelista"/>
        <w:tabs>
          <w:tab w:val="center" w:pos="4512"/>
          <w:tab w:val="left" w:pos="7088"/>
        </w:tabs>
        <w:suppressAutoHyphens/>
        <w:ind w:left="1428" w:right="51"/>
        <w:jc w:val="both"/>
        <w:rPr>
          <w:rFonts w:ascii="Bookman Old Style" w:hAnsi="Bookman Old Style" w:cs="Arial"/>
          <w:i/>
          <w:color w:val="000000"/>
          <w:sz w:val="22"/>
        </w:rPr>
      </w:pPr>
    </w:p>
    <w:p w:rsidR="00D22443" w:rsidRPr="00DE2412" w:rsidRDefault="0041667C" w:rsidP="00DE2412">
      <w:pPr>
        <w:tabs>
          <w:tab w:val="center" w:pos="4512"/>
          <w:tab w:val="left" w:pos="7088"/>
        </w:tabs>
        <w:suppressAutoHyphens/>
        <w:ind w:left="1068" w:right="51"/>
        <w:jc w:val="both"/>
        <w:rPr>
          <w:rFonts w:ascii="Bookman Old Style" w:hAnsi="Bookman Old Style" w:cs="Arial"/>
          <w:i/>
          <w:color w:val="000000"/>
          <w:sz w:val="22"/>
        </w:rPr>
      </w:pPr>
      <w:r w:rsidRPr="002C7309">
        <w:rPr>
          <w:rFonts w:ascii="Bookman Old Style" w:hAnsi="Bookman Old Style" w:cs="Arial"/>
          <w:i/>
          <w:color w:val="000000"/>
          <w:sz w:val="22"/>
        </w:rPr>
        <w:t>L</w:t>
      </w:r>
      <w:r w:rsidR="00D22443" w:rsidRPr="002C7309">
        <w:rPr>
          <w:rFonts w:ascii="Bookman Old Style" w:hAnsi="Bookman Old Style" w:cs="Arial"/>
          <w:i/>
          <w:color w:val="000000"/>
          <w:sz w:val="22"/>
        </w:rPr>
        <w:t xml:space="preserve">a CREG podrá convocar a </w:t>
      </w:r>
      <w:r w:rsidR="00217174" w:rsidRPr="002C7309">
        <w:rPr>
          <w:rFonts w:ascii="Bookman Old Style" w:hAnsi="Bookman Old Style" w:cs="Arial"/>
          <w:i/>
          <w:color w:val="000000"/>
          <w:sz w:val="22"/>
        </w:rPr>
        <w:t xml:space="preserve">una nueva </w:t>
      </w:r>
      <w:r w:rsidR="00D22443" w:rsidRPr="002C7309">
        <w:rPr>
          <w:rFonts w:ascii="Bookman Old Style" w:hAnsi="Bookman Old Style" w:cs="Arial"/>
          <w:i/>
          <w:color w:val="000000"/>
          <w:sz w:val="22"/>
        </w:rPr>
        <w:t xml:space="preserve">Subasta de Reconfiguración de Venta </w:t>
      </w:r>
      <w:r w:rsidR="00217174">
        <w:rPr>
          <w:rFonts w:ascii="Bookman Old Style" w:hAnsi="Bookman Old Style" w:cs="Arial"/>
          <w:i/>
          <w:color w:val="000000"/>
          <w:sz w:val="22"/>
        </w:rPr>
        <w:t xml:space="preserve"> </w:t>
      </w:r>
      <w:r w:rsidR="00D22443" w:rsidRPr="002C7309">
        <w:rPr>
          <w:rFonts w:ascii="Bookman Old Style" w:hAnsi="Bookman Old Style" w:cs="Arial"/>
          <w:i/>
          <w:color w:val="000000"/>
          <w:sz w:val="22"/>
        </w:rPr>
        <w:t>mediante Circular del Director Ejecutivo en la que se informará el cronograma a seguir por los agentes participantes y el administrador de la subasta.”</w:t>
      </w:r>
    </w:p>
    <w:p w:rsidR="00D22443" w:rsidRPr="00DE2412" w:rsidRDefault="00D22443" w:rsidP="003C597E">
      <w:pPr>
        <w:tabs>
          <w:tab w:val="center" w:pos="4512"/>
          <w:tab w:val="left" w:pos="7088"/>
        </w:tabs>
        <w:suppressAutoHyphens/>
        <w:ind w:left="709" w:right="51"/>
        <w:jc w:val="both"/>
        <w:rPr>
          <w:rFonts w:ascii="Bookman Old Style" w:hAnsi="Bookman Old Style" w:cs="Arial"/>
          <w:i/>
          <w:color w:val="000000"/>
          <w:sz w:val="22"/>
          <w:lang w:val="es-CO"/>
        </w:rPr>
      </w:pPr>
    </w:p>
    <w:p w:rsidR="003C597E" w:rsidRDefault="003C597E" w:rsidP="003C597E">
      <w:pPr>
        <w:tabs>
          <w:tab w:val="center" w:pos="4512"/>
          <w:tab w:val="left" w:pos="7088"/>
        </w:tabs>
        <w:suppressAutoHyphens/>
        <w:ind w:left="709" w:right="51"/>
        <w:jc w:val="both"/>
        <w:rPr>
          <w:rFonts w:ascii="Bookman Old Style" w:hAnsi="Bookman Old Style" w:cs="Arial"/>
          <w:i/>
          <w:color w:val="000000"/>
          <w:sz w:val="22"/>
        </w:rPr>
      </w:pPr>
    </w:p>
    <w:p w:rsidR="00742DE7" w:rsidRDefault="00742DE7" w:rsidP="00742DE7">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2. Adición de parágrafo al artículo </w:t>
      </w:r>
      <w:r w:rsidR="004C7599">
        <w:rPr>
          <w:rFonts w:ascii="Bookman Old Style" w:hAnsi="Bookman Old Style" w:cs="Arial"/>
          <w:b/>
          <w:color w:val="000000"/>
        </w:rPr>
        <w:t>6</w:t>
      </w:r>
      <w:r>
        <w:rPr>
          <w:rFonts w:ascii="Bookman Old Style" w:hAnsi="Bookman Old Style" w:cs="Arial"/>
          <w:b/>
          <w:color w:val="000000"/>
        </w:rPr>
        <w:t xml:space="preserve"> de la Resolución CREG 051 de 2012.</w:t>
      </w:r>
      <w:r>
        <w:rPr>
          <w:rFonts w:ascii="Bookman Old Style" w:hAnsi="Bookman Old Style" w:cs="Arial"/>
          <w:color w:val="000000"/>
        </w:rPr>
        <w:t xml:space="preserve"> Adiciónese el siguiente parágrafo al artículo </w:t>
      </w:r>
      <w:r w:rsidR="004C7599">
        <w:rPr>
          <w:rFonts w:ascii="Bookman Old Style" w:hAnsi="Bookman Old Style" w:cs="Arial"/>
          <w:color w:val="000000"/>
        </w:rPr>
        <w:t>6</w:t>
      </w:r>
      <w:r>
        <w:rPr>
          <w:rFonts w:ascii="Bookman Old Style" w:hAnsi="Bookman Old Style" w:cs="Arial"/>
          <w:color w:val="000000"/>
        </w:rPr>
        <w:t xml:space="preserve"> de la Resolución CREG 051 de 2012:</w:t>
      </w:r>
    </w:p>
    <w:p w:rsidR="00742DE7" w:rsidRDefault="00742DE7" w:rsidP="00742DE7">
      <w:pPr>
        <w:tabs>
          <w:tab w:val="center" w:pos="4512"/>
          <w:tab w:val="left" w:pos="7088"/>
        </w:tabs>
        <w:suppressAutoHyphens/>
        <w:ind w:left="0" w:right="51"/>
        <w:jc w:val="both"/>
        <w:rPr>
          <w:rFonts w:ascii="Bookman Old Style" w:hAnsi="Bookman Old Style" w:cs="Arial"/>
          <w:color w:val="000000"/>
        </w:rPr>
      </w:pPr>
    </w:p>
    <w:p w:rsidR="003C597E" w:rsidRDefault="00742DE7" w:rsidP="00742DE7">
      <w:pPr>
        <w:tabs>
          <w:tab w:val="center" w:pos="4512"/>
          <w:tab w:val="left" w:pos="7088"/>
        </w:tabs>
        <w:suppressAutoHyphens/>
        <w:ind w:left="709" w:right="51"/>
        <w:jc w:val="both"/>
        <w:rPr>
          <w:rFonts w:ascii="Bookman Old Style" w:hAnsi="Bookman Old Style" w:cs="Arial"/>
          <w:i/>
          <w:color w:val="000000"/>
          <w:sz w:val="22"/>
        </w:rPr>
      </w:pPr>
      <w:r>
        <w:rPr>
          <w:rFonts w:ascii="Bookman Old Style" w:hAnsi="Bookman Old Style" w:cs="Arial"/>
          <w:i/>
          <w:color w:val="000000"/>
          <w:sz w:val="22"/>
        </w:rPr>
        <w:t>“</w:t>
      </w:r>
      <w:r w:rsidRPr="006D4637">
        <w:rPr>
          <w:rFonts w:ascii="Bookman Old Style" w:hAnsi="Bookman Old Style" w:cs="Arial"/>
          <w:b/>
          <w:i/>
          <w:color w:val="000000"/>
          <w:sz w:val="22"/>
        </w:rPr>
        <w:t>Parágrafo</w:t>
      </w:r>
      <w:r>
        <w:rPr>
          <w:rFonts w:ascii="Bookman Old Style" w:hAnsi="Bookman Old Style" w:cs="Arial"/>
          <w:i/>
          <w:color w:val="000000"/>
          <w:sz w:val="22"/>
        </w:rPr>
        <w:t xml:space="preserve">. </w:t>
      </w:r>
      <w:r w:rsidR="004C7599">
        <w:rPr>
          <w:rFonts w:ascii="Bookman Old Style" w:hAnsi="Bookman Old Style" w:cs="Arial"/>
          <w:i/>
          <w:color w:val="000000"/>
          <w:sz w:val="22"/>
        </w:rPr>
        <w:t xml:space="preserve">Las características de la Subasta de Reconfiguración de Venta posterior </w:t>
      </w:r>
      <w:r w:rsidR="002D6201">
        <w:rPr>
          <w:rFonts w:ascii="Bookman Old Style" w:hAnsi="Bookman Old Style" w:cs="Arial"/>
          <w:i/>
          <w:color w:val="000000"/>
          <w:sz w:val="22"/>
        </w:rPr>
        <w:t xml:space="preserve">a la convocada de acuerdo con el artículo 5 de la presente resolución </w:t>
      </w:r>
      <w:r w:rsidR="004C7599">
        <w:rPr>
          <w:rFonts w:ascii="Bookman Old Style" w:hAnsi="Bookman Old Style" w:cs="Arial"/>
          <w:i/>
          <w:color w:val="000000"/>
          <w:sz w:val="22"/>
        </w:rPr>
        <w:t xml:space="preserve">son las mismas definidas en el artículo 6 de la presente resolución con excepción </w:t>
      </w:r>
      <w:r w:rsidR="00A74883">
        <w:rPr>
          <w:rFonts w:ascii="Bookman Old Style" w:hAnsi="Bookman Old Style" w:cs="Arial"/>
          <w:i/>
          <w:color w:val="000000"/>
          <w:sz w:val="22"/>
        </w:rPr>
        <w:t xml:space="preserve">de lo señalado en el literal e del numeral iii. Además deberá cumplir </w:t>
      </w:r>
      <w:r w:rsidR="004C7599">
        <w:rPr>
          <w:rFonts w:ascii="Bookman Old Style" w:hAnsi="Bookman Old Style" w:cs="Arial"/>
          <w:i/>
          <w:color w:val="000000"/>
          <w:sz w:val="22"/>
        </w:rPr>
        <w:t>las siguientes</w:t>
      </w:r>
      <w:r w:rsidR="00A74883">
        <w:rPr>
          <w:rFonts w:ascii="Bookman Old Style" w:hAnsi="Bookman Old Style" w:cs="Arial"/>
          <w:i/>
          <w:color w:val="000000"/>
          <w:sz w:val="22"/>
        </w:rPr>
        <w:t xml:space="preserve"> condiciones</w:t>
      </w:r>
      <w:r w:rsidR="004C7599">
        <w:rPr>
          <w:rFonts w:ascii="Bookman Old Style" w:hAnsi="Bookman Old Style" w:cs="Arial"/>
          <w:i/>
          <w:color w:val="000000"/>
          <w:sz w:val="22"/>
        </w:rPr>
        <w:t>:</w:t>
      </w:r>
    </w:p>
    <w:p w:rsidR="004C7599" w:rsidRDefault="004C7599" w:rsidP="00742DE7">
      <w:pPr>
        <w:tabs>
          <w:tab w:val="center" w:pos="4512"/>
          <w:tab w:val="left" w:pos="7088"/>
        </w:tabs>
        <w:suppressAutoHyphens/>
        <w:ind w:left="709" w:right="51"/>
        <w:jc w:val="both"/>
        <w:rPr>
          <w:rFonts w:ascii="Bookman Old Style" w:hAnsi="Bookman Old Style" w:cs="Arial"/>
          <w:i/>
          <w:color w:val="000000"/>
          <w:sz w:val="22"/>
        </w:rPr>
      </w:pPr>
    </w:p>
    <w:p w:rsidR="004C7599" w:rsidRDefault="004C7599" w:rsidP="004C7599">
      <w:pPr>
        <w:pStyle w:val="Prrafodelista"/>
        <w:numPr>
          <w:ilvl w:val="0"/>
          <w:numId w:val="30"/>
        </w:numPr>
        <w:tabs>
          <w:tab w:val="center" w:pos="4512"/>
          <w:tab w:val="left" w:pos="7088"/>
        </w:tabs>
        <w:suppressAutoHyphens/>
        <w:ind w:right="51"/>
        <w:jc w:val="both"/>
        <w:rPr>
          <w:rFonts w:ascii="Bookman Old Style" w:hAnsi="Bookman Old Style" w:cs="Arial"/>
          <w:i/>
          <w:color w:val="000000"/>
          <w:sz w:val="22"/>
        </w:rPr>
      </w:pPr>
      <w:r>
        <w:rPr>
          <w:rFonts w:ascii="Bookman Old Style" w:hAnsi="Bookman Old Style" w:cs="Arial"/>
          <w:i/>
          <w:color w:val="000000"/>
          <w:sz w:val="22"/>
        </w:rPr>
        <w:t>La oferta del margen sobre precio máximo del Cargo por Confiabilidad en US$/</w:t>
      </w:r>
      <w:proofErr w:type="spellStart"/>
      <w:r>
        <w:rPr>
          <w:rFonts w:ascii="Bookman Old Style" w:hAnsi="Bookman Old Style" w:cs="Arial"/>
          <w:i/>
          <w:color w:val="000000"/>
          <w:sz w:val="22"/>
        </w:rPr>
        <w:t>MWh</w:t>
      </w:r>
      <w:proofErr w:type="spellEnd"/>
      <w:r>
        <w:rPr>
          <w:rFonts w:ascii="Bookman Old Style" w:hAnsi="Bookman Old Style" w:cs="Arial"/>
          <w:i/>
          <w:color w:val="000000"/>
          <w:sz w:val="22"/>
        </w:rPr>
        <w:t xml:space="preserve"> deberá ser mayor al margen al cual</w:t>
      </w:r>
      <w:r w:rsidR="002C7309">
        <w:rPr>
          <w:rFonts w:ascii="Bookman Old Style" w:hAnsi="Bookman Old Style" w:cs="Arial"/>
          <w:i/>
          <w:color w:val="000000"/>
          <w:sz w:val="22"/>
        </w:rPr>
        <w:t xml:space="preserve"> haya cerrado</w:t>
      </w:r>
      <w:r>
        <w:rPr>
          <w:rFonts w:ascii="Bookman Old Style" w:hAnsi="Bookman Old Style" w:cs="Arial"/>
          <w:i/>
          <w:color w:val="000000"/>
          <w:sz w:val="22"/>
        </w:rPr>
        <w:t xml:space="preserve"> la subasta convocada de acuerdo con el artículo 5 de la presente resolución. Valores </w:t>
      </w:r>
      <w:r w:rsidR="005F5D25">
        <w:rPr>
          <w:rFonts w:ascii="Bookman Old Style" w:hAnsi="Bookman Old Style" w:cs="Arial"/>
          <w:i/>
          <w:color w:val="000000"/>
          <w:sz w:val="22"/>
        </w:rPr>
        <w:t xml:space="preserve">que no cumplan con esta condición </w:t>
      </w:r>
      <w:r>
        <w:rPr>
          <w:rFonts w:ascii="Bookman Old Style" w:hAnsi="Bookman Old Style" w:cs="Arial"/>
          <w:i/>
          <w:color w:val="000000"/>
          <w:sz w:val="22"/>
        </w:rPr>
        <w:t>serán causal de inadmisión de la oferta.</w:t>
      </w:r>
    </w:p>
    <w:p w:rsidR="004C7599" w:rsidRPr="003C597E" w:rsidRDefault="004C7599" w:rsidP="004C7599">
      <w:pPr>
        <w:pStyle w:val="Prrafodelista"/>
        <w:numPr>
          <w:ilvl w:val="0"/>
          <w:numId w:val="30"/>
        </w:numPr>
        <w:tabs>
          <w:tab w:val="center" w:pos="4512"/>
          <w:tab w:val="left" w:pos="7088"/>
        </w:tabs>
        <w:suppressAutoHyphens/>
        <w:ind w:right="51"/>
        <w:jc w:val="both"/>
        <w:rPr>
          <w:rFonts w:ascii="Bookman Old Style" w:hAnsi="Bookman Old Style" w:cs="Arial"/>
          <w:i/>
          <w:color w:val="000000"/>
          <w:sz w:val="22"/>
        </w:rPr>
      </w:pPr>
      <w:r>
        <w:rPr>
          <w:rFonts w:ascii="Bookman Old Style" w:hAnsi="Bookman Old Style" w:cs="Arial"/>
          <w:i/>
          <w:color w:val="000000"/>
          <w:sz w:val="22"/>
        </w:rPr>
        <w:t xml:space="preserve">La cantidad a subastar será la </w:t>
      </w:r>
      <w:r w:rsidRPr="007F1F66">
        <w:rPr>
          <w:rFonts w:ascii="Bookman Old Style" w:hAnsi="Bookman Old Style" w:cs="Arial"/>
          <w:i/>
          <w:color w:val="000000"/>
          <w:sz w:val="22"/>
        </w:rPr>
        <w:t xml:space="preserve">cantidad </w:t>
      </w:r>
      <w:r w:rsidR="00A74883" w:rsidRPr="002C7309">
        <w:rPr>
          <w:rFonts w:ascii="Bookman Old Style" w:hAnsi="Bookman Old Style" w:cs="Arial"/>
          <w:i/>
          <w:color w:val="000000"/>
          <w:sz w:val="22"/>
        </w:rPr>
        <w:t>que haya definido la CREG</w:t>
      </w:r>
      <w:r w:rsidRPr="00217174">
        <w:rPr>
          <w:rFonts w:ascii="Bookman Old Style" w:hAnsi="Bookman Old Style" w:cs="Arial"/>
          <w:i/>
          <w:color w:val="000000"/>
          <w:sz w:val="22"/>
        </w:rPr>
        <w:t xml:space="preserve"> para</w:t>
      </w:r>
      <w:r>
        <w:rPr>
          <w:rFonts w:ascii="Bookman Old Style" w:hAnsi="Bookman Old Style" w:cs="Arial"/>
          <w:i/>
          <w:color w:val="000000"/>
          <w:sz w:val="22"/>
        </w:rPr>
        <w:t xml:space="preserve"> la subasta de que trata el artículo 5 de la presente resolución menos las OEF de Venta asignadas. </w:t>
      </w:r>
    </w:p>
    <w:p w:rsidR="00D96112" w:rsidRDefault="00D96112" w:rsidP="006D4637">
      <w:pPr>
        <w:tabs>
          <w:tab w:val="center" w:pos="4512"/>
          <w:tab w:val="left" w:pos="7088"/>
        </w:tabs>
        <w:suppressAutoHyphens/>
        <w:ind w:left="708" w:right="51"/>
        <w:jc w:val="both"/>
        <w:rPr>
          <w:rFonts w:ascii="Bookman Old Style" w:hAnsi="Bookman Old Style" w:cs="Arial"/>
          <w:color w:val="000000"/>
          <w:sz w:val="22"/>
        </w:rPr>
      </w:pPr>
    </w:p>
    <w:p w:rsidR="00D96112" w:rsidRPr="006D4637" w:rsidRDefault="00D96112" w:rsidP="006D4637">
      <w:pPr>
        <w:tabs>
          <w:tab w:val="center" w:pos="4512"/>
          <w:tab w:val="left" w:pos="7088"/>
        </w:tabs>
        <w:suppressAutoHyphens/>
        <w:ind w:left="708" w:right="51"/>
        <w:jc w:val="both"/>
        <w:rPr>
          <w:rFonts w:ascii="Bookman Old Style" w:hAnsi="Bookman Old Style" w:cs="Arial"/>
          <w:i/>
          <w:color w:val="000000"/>
          <w:sz w:val="22"/>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lastRenderedPageBreak/>
        <w:t xml:space="preserve">Artículo </w:t>
      </w:r>
      <w:r w:rsidR="003C56C5">
        <w:rPr>
          <w:rFonts w:ascii="Bookman Old Style" w:hAnsi="Bookman Old Style" w:cs="Arial"/>
          <w:b/>
          <w:color w:val="000000"/>
          <w:lang w:val="es-CO"/>
        </w:rPr>
        <w:t>3</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Diario Oficial y deroga las disposiciones que le sean contrarias.</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Pr="00C435C3" w:rsidRDefault="00661E64" w:rsidP="00661E64">
      <w:pPr>
        <w:rPr>
          <w:rFonts w:ascii="Bookman Old Style" w:hAnsi="Bookman Old Style"/>
        </w:rPr>
      </w:pPr>
    </w:p>
    <w:p w:rsidR="00661E64" w:rsidRDefault="00661E64" w:rsidP="00661E64">
      <w:pPr>
        <w:ind w:left="0"/>
        <w:rPr>
          <w:rFonts w:ascii="Bookman Old Style" w:hAnsi="Bookman Old Style"/>
        </w:rPr>
      </w:pPr>
    </w:p>
    <w:p w:rsidR="00661E64" w:rsidRDefault="00661E64" w:rsidP="00661E64">
      <w:pPr>
        <w:ind w:left="0"/>
        <w:rPr>
          <w:rFonts w:ascii="Bookman Old Style" w:hAnsi="Bookman Old Style"/>
        </w:rPr>
      </w:pPr>
      <w:r>
        <w:rPr>
          <w:rFonts w:ascii="Bookman Old Style" w:hAnsi="Bookman Old Style"/>
        </w:rPr>
        <w:t>Dada en Bogotá, D.C.</w:t>
      </w:r>
    </w:p>
    <w:p w:rsidR="00661E64" w:rsidRDefault="00661E64" w:rsidP="00661E64">
      <w:pPr>
        <w:ind w:left="0"/>
        <w:rPr>
          <w:rFonts w:ascii="Bookman Old Style" w:hAnsi="Bookman Old Style"/>
        </w:rPr>
      </w:pPr>
    </w:p>
    <w:p w:rsidR="00FA28B4" w:rsidRDefault="00FA28B4"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FA28B4" w:rsidRDefault="00FA28B4" w:rsidP="00661E64">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FC7584" w:rsidTr="00273B9D">
        <w:trPr>
          <w:jc w:val="right"/>
        </w:trPr>
        <w:tc>
          <w:tcPr>
            <w:tcW w:w="4871" w:type="dxa"/>
            <w:hideMark/>
          </w:tcPr>
          <w:p w:rsidR="00FC7584" w:rsidRPr="00920B48" w:rsidRDefault="00246B94" w:rsidP="00246B94">
            <w:pPr>
              <w:ind w:left="0"/>
              <w:jc w:val="center"/>
              <w:rPr>
                <w:rFonts w:ascii="Bookman Old Style" w:hAnsi="Bookman Old Style" w:cs="Arial"/>
                <w:b/>
                <w:spacing w:val="-3"/>
                <w:lang w:val="es-ES_tradnl"/>
              </w:rPr>
            </w:pPr>
            <w:r w:rsidRPr="00920B48">
              <w:rPr>
                <w:rFonts w:ascii="Bookman Old Style" w:hAnsi="Bookman Old Style" w:cs="Arial"/>
                <w:b/>
                <w:spacing w:val="-3"/>
              </w:rPr>
              <w:t>TOMÁS GONZÁLEZ ESTRADA</w:t>
            </w:r>
          </w:p>
        </w:tc>
        <w:tc>
          <w:tcPr>
            <w:tcW w:w="4692" w:type="dxa"/>
            <w:hideMark/>
          </w:tcPr>
          <w:p w:rsidR="00FC7584" w:rsidRDefault="00FC7584" w:rsidP="00273B9D">
            <w:pPr>
              <w:ind w:left="161" w:right="567"/>
              <w:jc w:val="right"/>
              <w:rPr>
                <w:rFonts w:ascii="Bookman Old Style" w:hAnsi="Bookman Old Style" w:cs="Arial"/>
                <w:b/>
                <w:spacing w:val="-3"/>
                <w:lang w:val="es-ES_tradnl"/>
              </w:rPr>
            </w:pPr>
            <w:r>
              <w:rPr>
                <w:rFonts w:ascii="Bookman Old Style" w:hAnsi="Bookman Old Style" w:cs="Arial"/>
                <w:b/>
                <w:spacing w:val="-3"/>
                <w:lang w:val="es-ES_tradnl"/>
              </w:rPr>
              <w:t>GERMÁN CASTRO FERREIRA</w:t>
            </w:r>
          </w:p>
        </w:tc>
      </w:tr>
      <w:tr w:rsidR="00FC7584" w:rsidTr="00273B9D">
        <w:trPr>
          <w:jc w:val="right"/>
        </w:trPr>
        <w:tc>
          <w:tcPr>
            <w:tcW w:w="4871" w:type="dxa"/>
            <w:hideMark/>
          </w:tcPr>
          <w:p w:rsidR="00246B94" w:rsidRPr="00920B48" w:rsidRDefault="00246B94" w:rsidP="006D4637">
            <w:pPr>
              <w:ind w:left="0"/>
              <w:jc w:val="center"/>
              <w:rPr>
                <w:rFonts w:ascii="Bookman Old Style" w:hAnsi="Bookman Old Style" w:cs="Arial"/>
                <w:spacing w:val="-3"/>
                <w:lang w:val="es-ES_tradnl"/>
              </w:rPr>
            </w:pPr>
            <w:r w:rsidRPr="00920B48">
              <w:rPr>
                <w:rFonts w:ascii="Bookman Old Style" w:hAnsi="Bookman Old Style" w:cs="Arial"/>
                <w:spacing w:val="-3"/>
                <w:lang w:val="es-ES_tradnl"/>
              </w:rPr>
              <w:t>Viceministro de Energía</w:t>
            </w:r>
          </w:p>
          <w:p w:rsidR="00FC7584" w:rsidRPr="00920B48" w:rsidRDefault="00246B94" w:rsidP="006D4637">
            <w:pPr>
              <w:ind w:left="0"/>
              <w:jc w:val="center"/>
              <w:rPr>
                <w:rFonts w:ascii="Bookman Old Style" w:hAnsi="Bookman Old Style" w:cs="Arial"/>
                <w:spacing w:val="-3"/>
                <w:lang w:val="es-ES_tradnl"/>
              </w:rPr>
            </w:pPr>
            <w:r w:rsidRPr="00920B48">
              <w:rPr>
                <w:rFonts w:ascii="Bookman Old Style" w:hAnsi="Bookman Old Style" w:cs="Arial"/>
                <w:spacing w:val="-3"/>
                <w:lang w:val="es-ES_tradnl"/>
              </w:rPr>
              <w:t xml:space="preserve">Delegado del </w:t>
            </w:r>
            <w:r w:rsidR="00FC7584" w:rsidRPr="00920B48">
              <w:rPr>
                <w:rFonts w:ascii="Bookman Old Style" w:hAnsi="Bookman Old Style" w:cs="Arial"/>
                <w:spacing w:val="-3"/>
                <w:lang w:val="es-ES_tradnl"/>
              </w:rPr>
              <w:t>Ministro de Minas y Energía</w:t>
            </w:r>
          </w:p>
        </w:tc>
        <w:tc>
          <w:tcPr>
            <w:tcW w:w="4692" w:type="dxa"/>
            <w:hideMark/>
          </w:tcPr>
          <w:p w:rsidR="00FC7584" w:rsidRDefault="00FC7584" w:rsidP="00273B9D">
            <w:pPr>
              <w:rPr>
                <w:rFonts w:ascii="Bookman Old Style" w:hAnsi="Bookman Old Style" w:cs="Arial"/>
                <w:spacing w:val="-3"/>
                <w:lang w:val="es-ES_tradnl"/>
              </w:rPr>
            </w:pPr>
            <w:r>
              <w:rPr>
                <w:rFonts w:ascii="Bookman Old Style" w:hAnsi="Bookman Old Style" w:cs="Arial"/>
                <w:spacing w:val="-3"/>
                <w:lang w:val="es-ES_tradnl"/>
              </w:rPr>
              <w:t xml:space="preserve">           Director Ejecutivo</w:t>
            </w:r>
          </w:p>
        </w:tc>
      </w:tr>
      <w:tr w:rsidR="00FC7584" w:rsidTr="00273B9D">
        <w:trPr>
          <w:jc w:val="right"/>
        </w:trPr>
        <w:tc>
          <w:tcPr>
            <w:tcW w:w="4871" w:type="dxa"/>
            <w:hideMark/>
          </w:tcPr>
          <w:p w:rsidR="00FC7584" w:rsidRPr="00920B48" w:rsidRDefault="006D4637" w:rsidP="006D4637">
            <w:pPr>
              <w:rPr>
                <w:rFonts w:ascii="Bookman Old Style" w:hAnsi="Bookman Old Style" w:cs="Arial"/>
                <w:spacing w:val="-3"/>
              </w:rPr>
            </w:pPr>
            <w:r w:rsidRPr="00920B48">
              <w:rPr>
                <w:rFonts w:ascii="Bookman Old Style" w:hAnsi="Bookman Old Style" w:cs="Arial"/>
                <w:spacing w:val="-3"/>
              </w:rPr>
              <w:t xml:space="preserve">              </w:t>
            </w:r>
            <w:r w:rsidR="00066835" w:rsidRPr="00920B48">
              <w:rPr>
                <w:rFonts w:ascii="Bookman Old Style" w:hAnsi="Bookman Old Style" w:cs="Arial"/>
                <w:spacing w:val="-3"/>
              </w:rPr>
              <w:t xml:space="preserve"> </w:t>
            </w:r>
            <w:r w:rsidRPr="00920B48">
              <w:rPr>
                <w:rFonts w:ascii="Bookman Old Style" w:hAnsi="Bookman Old Style" w:cs="Arial"/>
                <w:spacing w:val="-3"/>
              </w:rPr>
              <w:t xml:space="preserve"> </w:t>
            </w:r>
            <w:r w:rsidR="00FC7584" w:rsidRPr="00920B48">
              <w:rPr>
                <w:rFonts w:ascii="Bookman Old Style" w:hAnsi="Bookman Old Style" w:cs="Arial"/>
                <w:spacing w:val="-3"/>
              </w:rPr>
              <w:t>Presidente</w:t>
            </w:r>
          </w:p>
        </w:tc>
        <w:tc>
          <w:tcPr>
            <w:tcW w:w="4692" w:type="dxa"/>
          </w:tcPr>
          <w:p w:rsidR="00FC7584" w:rsidRDefault="00FC7584" w:rsidP="00273B9D">
            <w:pPr>
              <w:rPr>
                <w:rFonts w:ascii="Bookman Old Style" w:hAnsi="Bookman Old Style" w:cs="Arial"/>
                <w:spacing w:val="-3"/>
              </w:rPr>
            </w:pPr>
          </w:p>
        </w:tc>
      </w:tr>
    </w:tbl>
    <w:p w:rsidR="00FA28B4" w:rsidRDefault="00FA28B4" w:rsidP="00661E64">
      <w:pPr>
        <w:ind w:left="0"/>
        <w:rPr>
          <w:rFonts w:ascii="Bookman Old Style" w:hAnsi="Bookman Old Style"/>
        </w:rPr>
      </w:pPr>
    </w:p>
    <w:p w:rsidR="00FA28B4" w:rsidRDefault="00FA28B4" w:rsidP="00661E64">
      <w:pPr>
        <w:ind w:left="0"/>
        <w:rPr>
          <w:rFonts w:ascii="Bookman Old Style" w:hAnsi="Bookman Old Style"/>
        </w:rPr>
      </w:pPr>
    </w:p>
    <w:sectPr w:rsidR="00FA28B4"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84D" w:rsidRDefault="00DE184D">
      <w:r>
        <w:separator/>
      </w:r>
    </w:p>
  </w:endnote>
  <w:endnote w:type="continuationSeparator" w:id="0">
    <w:p w:rsidR="00DE184D" w:rsidRDefault="00DE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84D" w:rsidRDefault="00DE184D">
      <w:r>
        <w:separator/>
      </w:r>
    </w:p>
  </w:footnote>
  <w:footnote w:type="continuationSeparator" w:id="0">
    <w:p w:rsidR="00DE184D" w:rsidRDefault="00DE1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4D" w:rsidRDefault="00DE184D" w:rsidP="00951F79">
    <w:pPr>
      <w:pStyle w:val="Ttulo1"/>
      <w:ind w:right="6"/>
      <w:jc w:val="left"/>
      <w:rPr>
        <w:rFonts w:ascii="Bookman Old Style" w:hAnsi="Bookman Old Style" w:cs="Arial"/>
        <w:b w:val="0"/>
        <w:sz w:val="22"/>
        <w:szCs w:val="22"/>
      </w:rPr>
    </w:pPr>
  </w:p>
  <w:p w:rsidR="00DE184D" w:rsidRPr="00951F79" w:rsidRDefault="00DE184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44054">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44054">
      <w:fldChar w:fldCharType="begin"/>
    </w:r>
    <w:r w:rsidR="00F44054">
      <w:instrText xml:space="preserve"> NUMPAGES  \* MERGEFORMAT </w:instrText>
    </w:r>
    <w:r w:rsidR="00F44054">
      <w:fldChar w:fldCharType="separate"/>
    </w:r>
    <w:r w:rsidR="00F44054" w:rsidRPr="00F44054">
      <w:rPr>
        <w:rFonts w:ascii="Bookman Old Style" w:hAnsi="Bookman Old Style" w:cs="Arial"/>
        <w:b w:val="0"/>
        <w:noProof/>
        <w:sz w:val="22"/>
        <w:szCs w:val="22"/>
      </w:rPr>
      <w:t>6</w:t>
    </w:r>
    <w:r w:rsidR="00F44054">
      <w:rPr>
        <w:rFonts w:ascii="Bookman Old Style" w:hAnsi="Bookman Old Style" w:cs="Arial"/>
        <w:b w:val="0"/>
        <w:noProof/>
        <w:sz w:val="22"/>
        <w:szCs w:val="22"/>
      </w:rPr>
      <w:fldChar w:fldCharType="end"/>
    </w:r>
  </w:p>
  <w:p w:rsidR="00DE184D" w:rsidRDefault="00DE184D"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11F3F27" wp14:editId="16C6911D">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E184D" w:rsidRPr="002C7309" w:rsidRDefault="00DE184D" w:rsidP="00B112D8">
    <w:pPr>
      <w:ind w:left="0"/>
      <w:jc w:val="center"/>
      <w:rPr>
        <w:rFonts w:ascii="Bookman Old Style" w:hAnsi="Bookman Old Style" w:cs="Arial"/>
        <w:sz w:val="22"/>
        <w:szCs w:val="22"/>
      </w:rPr>
    </w:pPr>
    <w:r w:rsidRPr="002C7309">
      <w:rPr>
        <w:rFonts w:ascii="Bookman Old Style" w:hAnsi="Bookman Old Style"/>
        <w:sz w:val="22"/>
        <w:szCs w:val="22"/>
      </w:rPr>
      <w:t>Por la cual se ordena hacer público un proyecto de resolución de carácter general, “Por la cual se modifican los artículos 5 y 6 de la Resolución CREG 051 de 2012”.</w:t>
    </w:r>
  </w:p>
  <w:p w:rsidR="00DE184D" w:rsidRDefault="002C7309" w:rsidP="00B112D8">
    <w:pPr>
      <w:ind w:left="0"/>
      <w:jc w:val="center"/>
      <w:rPr>
        <w:rFonts w:ascii="Bookman Old Style" w:hAnsi="Bookman Old Style"/>
      </w:rPr>
    </w:pPr>
    <w:r>
      <w:rPr>
        <w:rFonts w:ascii="Bookman Old Style" w:hAnsi="Bookman Old Style"/>
      </w:rPr>
      <w:t>________________________________________________________________________</w:t>
    </w:r>
  </w:p>
  <w:p w:rsidR="002C7309" w:rsidRPr="00536791" w:rsidRDefault="002C7309" w:rsidP="00B112D8">
    <w:pPr>
      <w:ind w:left="0"/>
      <w:jc w:val="center"/>
      <w:rPr>
        <w:rFonts w:ascii="Bookman Old Style" w:hAnsi="Bookman Old Sty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84D" w:rsidRDefault="00DE184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DE184D" w:rsidRDefault="00DE184D">
    <w:pPr>
      <w:pStyle w:val="Encabezado"/>
      <w:jc w:val="center"/>
      <w:rPr>
        <w:rFonts w:ascii="Arial" w:hAnsi="Arial" w:cs="Arial"/>
        <w:spacing w:val="20"/>
        <w:sz w:val="20"/>
      </w:rPr>
    </w:pPr>
  </w:p>
  <w:p w:rsidR="00DE184D" w:rsidRDefault="00DE184D"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58C0A6A" wp14:editId="68784A1D">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nsid w:val="45E11B64"/>
    <w:multiLevelType w:val="hybridMultilevel"/>
    <w:tmpl w:val="F760D74A"/>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6">
    <w:nsid w:val="4808317D"/>
    <w:multiLevelType w:val="hybridMultilevel"/>
    <w:tmpl w:val="89EA5600"/>
    <w:lvl w:ilvl="0" w:tplc="E778661C">
      <w:start w:val="1"/>
      <w:numFmt w:val="lowerRoman"/>
      <w:lvlText w:val="%1."/>
      <w:lvlJc w:val="right"/>
      <w:pPr>
        <w:ind w:left="14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5FC70F18"/>
    <w:multiLevelType w:val="hybridMultilevel"/>
    <w:tmpl w:val="F760D74A"/>
    <w:lvl w:ilvl="0" w:tplc="240A001B">
      <w:start w:val="1"/>
      <w:numFmt w:val="lowerRoman"/>
      <w:lvlText w:val="%1."/>
      <w:lvlJc w:val="righ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6FB7E55"/>
    <w:multiLevelType w:val="hybridMultilevel"/>
    <w:tmpl w:val="89EA5600"/>
    <w:lvl w:ilvl="0" w:tplc="E778661C">
      <w:start w:val="1"/>
      <w:numFmt w:val="lowerRoman"/>
      <w:lvlText w:val="%1."/>
      <w:lvlJc w:val="right"/>
      <w:pPr>
        <w:ind w:left="14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7"/>
  </w:num>
  <w:num w:numId="4">
    <w:abstractNumId w:val="26"/>
  </w:num>
  <w:num w:numId="5">
    <w:abstractNumId w:val="31"/>
  </w:num>
  <w:num w:numId="6">
    <w:abstractNumId w:val="3"/>
  </w:num>
  <w:num w:numId="7">
    <w:abstractNumId w:val="9"/>
  </w:num>
  <w:num w:numId="8">
    <w:abstractNumId w:val="10"/>
  </w:num>
  <w:num w:numId="9">
    <w:abstractNumId w:val="28"/>
  </w:num>
  <w:num w:numId="10">
    <w:abstractNumId w:val="7"/>
  </w:num>
  <w:num w:numId="11">
    <w:abstractNumId w:val="12"/>
  </w:num>
  <w:num w:numId="12">
    <w:abstractNumId w:val="25"/>
  </w:num>
  <w:num w:numId="13">
    <w:abstractNumId w:val="23"/>
  </w:num>
  <w:num w:numId="14">
    <w:abstractNumId w:val="4"/>
  </w:num>
  <w:num w:numId="15">
    <w:abstractNumId w:val="18"/>
  </w:num>
  <w:num w:numId="16">
    <w:abstractNumId w:val="2"/>
  </w:num>
  <w:num w:numId="17">
    <w:abstractNumId w:val="5"/>
  </w:num>
  <w:num w:numId="18">
    <w:abstractNumId w:val="21"/>
  </w:num>
  <w:num w:numId="19">
    <w:abstractNumId w:val="14"/>
  </w:num>
  <w:num w:numId="20">
    <w:abstractNumId w:val="29"/>
  </w:num>
  <w:num w:numId="21">
    <w:abstractNumId w:val="13"/>
  </w:num>
  <w:num w:numId="22">
    <w:abstractNumId w:val="6"/>
  </w:num>
  <w:num w:numId="23">
    <w:abstractNumId w:val="17"/>
  </w:num>
  <w:num w:numId="24">
    <w:abstractNumId w:val="30"/>
  </w:num>
  <w:num w:numId="25">
    <w:abstractNumId w:val="8"/>
  </w:num>
  <w:num w:numId="26">
    <w:abstractNumId w:val="19"/>
  </w:num>
  <w:num w:numId="27">
    <w:abstractNumId w:val="11"/>
  </w:num>
  <w:num w:numId="28">
    <w:abstractNumId w:val="24"/>
  </w:num>
  <w:num w:numId="29">
    <w:abstractNumId w:val="15"/>
  </w:num>
  <w:num w:numId="30">
    <w:abstractNumId w:val="22"/>
  </w:num>
  <w:num w:numId="31">
    <w:abstractNumId w:val="20"/>
  </w:num>
  <w:num w:numId="3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6AE2"/>
    <w:rsid w:val="000076A1"/>
    <w:rsid w:val="000078E0"/>
    <w:rsid w:val="00012259"/>
    <w:rsid w:val="000131B5"/>
    <w:rsid w:val="00021A70"/>
    <w:rsid w:val="0002357E"/>
    <w:rsid w:val="00025383"/>
    <w:rsid w:val="000275D1"/>
    <w:rsid w:val="000313A0"/>
    <w:rsid w:val="00031B7E"/>
    <w:rsid w:val="00033AE3"/>
    <w:rsid w:val="000357DA"/>
    <w:rsid w:val="00035ECB"/>
    <w:rsid w:val="000373EC"/>
    <w:rsid w:val="00045D3D"/>
    <w:rsid w:val="00053B50"/>
    <w:rsid w:val="00056D36"/>
    <w:rsid w:val="000577EC"/>
    <w:rsid w:val="00060CB0"/>
    <w:rsid w:val="00060DDD"/>
    <w:rsid w:val="00063657"/>
    <w:rsid w:val="0006410B"/>
    <w:rsid w:val="00066835"/>
    <w:rsid w:val="000706E3"/>
    <w:rsid w:val="00076680"/>
    <w:rsid w:val="00076A1D"/>
    <w:rsid w:val="0008073E"/>
    <w:rsid w:val="00081A94"/>
    <w:rsid w:val="00087C09"/>
    <w:rsid w:val="0009093A"/>
    <w:rsid w:val="00091CDB"/>
    <w:rsid w:val="000931F8"/>
    <w:rsid w:val="00094C28"/>
    <w:rsid w:val="00096FE2"/>
    <w:rsid w:val="00097331"/>
    <w:rsid w:val="000A0268"/>
    <w:rsid w:val="000A0B7F"/>
    <w:rsid w:val="000A19AC"/>
    <w:rsid w:val="000A5DC5"/>
    <w:rsid w:val="000B0FF1"/>
    <w:rsid w:val="000B2EC9"/>
    <w:rsid w:val="000B3D44"/>
    <w:rsid w:val="000B4486"/>
    <w:rsid w:val="000B6074"/>
    <w:rsid w:val="000C1CA5"/>
    <w:rsid w:val="000C7FE5"/>
    <w:rsid w:val="000D0827"/>
    <w:rsid w:val="000D26F8"/>
    <w:rsid w:val="000D3F4B"/>
    <w:rsid w:val="000D7CEC"/>
    <w:rsid w:val="000E4151"/>
    <w:rsid w:val="000E52BB"/>
    <w:rsid w:val="000F3D98"/>
    <w:rsid w:val="000F487C"/>
    <w:rsid w:val="0010144E"/>
    <w:rsid w:val="0011058F"/>
    <w:rsid w:val="00112A91"/>
    <w:rsid w:val="00125C5D"/>
    <w:rsid w:val="001317DA"/>
    <w:rsid w:val="0013526C"/>
    <w:rsid w:val="001405C6"/>
    <w:rsid w:val="00141013"/>
    <w:rsid w:val="00162E66"/>
    <w:rsid w:val="001640E6"/>
    <w:rsid w:val="00174A24"/>
    <w:rsid w:val="00182A27"/>
    <w:rsid w:val="00185A78"/>
    <w:rsid w:val="001866F9"/>
    <w:rsid w:val="00191AD7"/>
    <w:rsid w:val="00192CBF"/>
    <w:rsid w:val="00192FF1"/>
    <w:rsid w:val="0019365A"/>
    <w:rsid w:val="001A5F1B"/>
    <w:rsid w:val="001B1433"/>
    <w:rsid w:val="001B1C22"/>
    <w:rsid w:val="001B1D58"/>
    <w:rsid w:val="001B34C6"/>
    <w:rsid w:val="001B53A4"/>
    <w:rsid w:val="001B5904"/>
    <w:rsid w:val="001B7105"/>
    <w:rsid w:val="001B7DC6"/>
    <w:rsid w:val="001C6406"/>
    <w:rsid w:val="001C6D96"/>
    <w:rsid w:val="001C7514"/>
    <w:rsid w:val="001D0A0E"/>
    <w:rsid w:val="001D7832"/>
    <w:rsid w:val="001E05E9"/>
    <w:rsid w:val="001E53FD"/>
    <w:rsid w:val="001E6BF8"/>
    <w:rsid w:val="001F1BA7"/>
    <w:rsid w:val="00202498"/>
    <w:rsid w:val="002043B4"/>
    <w:rsid w:val="00205DDC"/>
    <w:rsid w:val="00205EC3"/>
    <w:rsid w:val="002064D8"/>
    <w:rsid w:val="00207B62"/>
    <w:rsid w:val="00210DC1"/>
    <w:rsid w:val="00211D34"/>
    <w:rsid w:val="00214F04"/>
    <w:rsid w:val="00217174"/>
    <w:rsid w:val="0022170F"/>
    <w:rsid w:val="00226BE9"/>
    <w:rsid w:val="002301FE"/>
    <w:rsid w:val="0023044C"/>
    <w:rsid w:val="00230FBA"/>
    <w:rsid w:val="00231BFA"/>
    <w:rsid w:val="00240E51"/>
    <w:rsid w:val="0024138E"/>
    <w:rsid w:val="00246B94"/>
    <w:rsid w:val="00251033"/>
    <w:rsid w:val="002556A6"/>
    <w:rsid w:val="00262413"/>
    <w:rsid w:val="00264F30"/>
    <w:rsid w:val="00266CD6"/>
    <w:rsid w:val="00272F3D"/>
    <w:rsid w:val="00273B9D"/>
    <w:rsid w:val="00275DAB"/>
    <w:rsid w:val="00283C59"/>
    <w:rsid w:val="002A22B6"/>
    <w:rsid w:val="002A2AB3"/>
    <w:rsid w:val="002A326B"/>
    <w:rsid w:val="002A3CD9"/>
    <w:rsid w:val="002A6428"/>
    <w:rsid w:val="002A782A"/>
    <w:rsid w:val="002A7E68"/>
    <w:rsid w:val="002B11E2"/>
    <w:rsid w:val="002B249D"/>
    <w:rsid w:val="002B24B8"/>
    <w:rsid w:val="002B5912"/>
    <w:rsid w:val="002B622D"/>
    <w:rsid w:val="002C30E0"/>
    <w:rsid w:val="002C31A9"/>
    <w:rsid w:val="002C3D60"/>
    <w:rsid w:val="002C6239"/>
    <w:rsid w:val="002C7309"/>
    <w:rsid w:val="002D3A8E"/>
    <w:rsid w:val="002D3AE9"/>
    <w:rsid w:val="002D4510"/>
    <w:rsid w:val="002D6201"/>
    <w:rsid w:val="002D6BD5"/>
    <w:rsid w:val="002D723C"/>
    <w:rsid w:val="002E0C73"/>
    <w:rsid w:val="002E5A6A"/>
    <w:rsid w:val="002F0734"/>
    <w:rsid w:val="002F1D14"/>
    <w:rsid w:val="002F46E7"/>
    <w:rsid w:val="002F471C"/>
    <w:rsid w:val="002F6CF1"/>
    <w:rsid w:val="00301E31"/>
    <w:rsid w:val="00302176"/>
    <w:rsid w:val="003057F3"/>
    <w:rsid w:val="00306523"/>
    <w:rsid w:val="003101DA"/>
    <w:rsid w:val="00314757"/>
    <w:rsid w:val="00314837"/>
    <w:rsid w:val="003163BC"/>
    <w:rsid w:val="003211CE"/>
    <w:rsid w:val="0032789E"/>
    <w:rsid w:val="00330A28"/>
    <w:rsid w:val="00331C7F"/>
    <w:rsid w:val="0034073A"/>
    <w:rsid w:val="003427A0"/>
    <w:rsid w:val="00344373"/>
    <w:rsid w:val="00345679"/>
    <w:rsid w:val="0035403A"/>
    <w:rsid w:val="0035447A"/>
    <w:rsid w:val="0036394B"/>
    <w:rsid w:val="00366DB6"/>
    <w:rsid w:val="0036749E"/>
    <w:rsid w:val="003709B5"/>
    <w:rsid w:val="00371889"/>
    <w:rsid w:val="003759C2"/>
    <w:rsid w:val="0039319D"/>
    <w:rsid w:val="00397365"/>
    <w:rsid w:val="003A250F"/>
    <w:rsid w:val="003A31F6"/>
    <w:rsid w:val="003B6640"/>
    <w:rsid w:val="003B752B"/>
    <w:rsid w:val="003C3447"/>
    <w:rsid w:val="003C389E"/>
    <w:rsid w:val="003C3E73"/>
    <w:rsid w:val="003C4403"/>
    <w:rsid w:val="003C4C80"/>
    <w:rsid w:val="003C56C5"/>
    <w:rsid w:val="003C597E"/>
    <w:rsid w:val="003D0673"/>
    <w:rsid w:val="003D076C"/>
    <w:rsid w:val="003D2014"/>
    <w:rsid w:val="003D3E22"/>
    <w:rsid w:val="003D709F"/>
    <w:rsid w:val="003E439A"/>
    <w:rsid w:val="003E4E07"/>
    <w:rsid w:val="003E78B5"/>
    <w:rsid w:val="003F2B3C"/>
    <w:rsid w:val="003F6F00"/>
    <w:rsid w:val="003F786C"/>
    <w:rsid w:val="004014B5"/>
    <w:rsid w:val="00401668"/>
    <w:rsid w:val="004126E8"/>
    <w:rsid w:val="00412BC0"/>
    <w:rsid w:val="004140B9"/>
    <w:rsid w:val="0041473D"/>
    <w:rsid w:val="00415BAB"/>
    <w:rsid w:val="00415ED2"/>
    <w:rsid w:val="0041667C"/>
    <w:rsid w:val="0042068C"/>
    <w:rsid w:val="00422314"/>
    <w:rsid w:val="00423B5E"/>
    <w:rsid w:val="00424BF4"/>
    <w:rsid w:val="00425617"/>
    <w:rsid w:val="00433CCA"/>
    <w:rsid w:val="004412D3"/>
    <w:rsid w:val="0044318E"/>
    <w:rsid w:val="00443B35"/>
    <w:rsid w:val="00447509"/>
    <w:rsid w:val="00471070"/>
    <w:rsid w:val="0047122B"/>
    <w:rsid w:val="00473B7A"/>
    <w:rsid w:val="004756AE"/>
    <w:rsid w:val="004879B8"/>
    <w:rsid w:val="00495466"/>
    <w:rsid w:val="00495D61"/>
    <w:rsid w:val="004960E9"/>
    <w:rsid w:val="004968BF"/>
    <w:rsid w:val="00497047"/>
    <w:rsid w:val="004A2E88"/>
    <w:rsid w:val="004A352A"/>
    <w:rsid w:val="004A5305"/>
    <w:rsid w:val="004A7930"/>
    <w:rsid w:val="004B082F"/>
    <w:rsid w:val="004B1081"/>
    <w:rsid w:val="004B2A6F"/>
    <w:rsid w:val="004B517C"/>
    <w:rsid w:val="004B67F7"/>
    <w:rsid w:val="004C1248"/>
    <w:rsid w:val="004C1DE8"/>
    <w:rsid w:val="004C33BE"/>
    <w:rsid w:val="004C3733"/>
    <w:rsid w:val="004C7599"/>
    <w:rsid w:val="004D7634"/>
    <w:rsid w:val="004D7AAC"/>
    <w:rsid w:val="004E22D9"/>
    <w:rsid w:val="004E361F"/>
    <w:rsid w:val="004E4630"/>
    <w:rsid w:val="004E5334"/>
    <w:rsid w:val="004E611A"/>
    <w:rsid w:val="004F1673"/>
    <w:rsid w:val="004F3640"/>
    <w:rsid w:val="004F39AF"/>
    <w:rsid w:val="005029F7"/>
    <w:rsid w:val="00502BA6"/>
    <w:rsid w:val="00504ADC"/>
    <w:rsid w:val="00506327"/>
    <w:rsid w:val="00507134"/>
    <w:rsid w:val="0051695A"/>
    <w:rsid w:val="0052074F"/>
    <w:rsid w:val="00522C8E"/>
    <w:rsid w:val="00524932"/>
    <w:rsid w:val="00524F2E"/>
    <w:rsid w:val="00525579"/>
    <w:rsid w:val="005300D3"/>
    <w:rsid w:val="00535967"/>
    <w:rsid w:val="00537E6C"/>
    <w:rsid w:val="00541254"/>
    <w:rsid w:val="00543CB7"/>
    <w:rsid w:val="00544F82"/>
    <w:rsid w:val="00546A11"/>
    <w:rsid w:val="005509D2"/>
    <w:rsid w:val="0055152C"/>
    <w:rsid w:val="00551CA0"/>
    <w:rsid w:val="005576BC"/>
    <w:rsid w:val="005701E8"/>
    <w:rsid w:val="00580106"/>
    <w:rsid w:val="00582F38"/>
    <w:rsid w:val="00586025"/>
    <w:rsid w:val="005920DF"/>
    <w:rsid w:val="00593190"/>
    <w:rsid w:val="00593C4F"/>
    <w:rsid w:val="005946A8"/>
    <w:rsid w:val="00597CD5"/>
    <w:rsid w:val="005A2B4D"/>
    <w:rsid w:val="005A4407"/>
    <w:rsid w:val="005A59EF"/>
    <w:rsid w:val="005A7FBC"/>
    <w:rsid w:val="005B1C7E"/>
    <w:rsid w:val="005C3F2A"/>
    <w:rsid w:val="005C6976"/>
    <w:rsid w:val="005C6EAC"/>
    <w:rsid w:val="005E17F4"/>
    <w:rsid w:val="005E2A46"/>
    <w:rsid w:val="005F5D25"/>
    <w:rsid w:val="005F6F41"/>
    <w:rsid w:val="0060181F"/>
    <w:rsid w:val="00611A0B"/>
    <w:rsid w:val="006141A4"/>
    <w:rsid w:val="00614D01"/>
    <w:rsid w:val="00625DC6"/>
    <w:rsid w:val="0063219F"/>
    <w:rsid w:val="00633E7A"/>
    <w:rsid w:val="00636B5E"/>
    <w:rsid w:val="00640382"/>
    <w:rsid w:val="0064391D"/>
    <w:rsid w:val="00651821"/>
    <w:rsid w:val="00654384"/>
    <w:rsid w:val="00656E09"/>
    <w:rsid w:val="00661E64"/>
    <w:rsid w:val="0066698F"/>
    <w:rsid w:val="006675CD"/>
    <w:rsid w:val="0066789E"/>
    <w:rsid w:val="0067206E"/>
    <w:rsid w:val="00676709"/>
    <w:rsid w:val="00680722"/>
    <w:rsid w:val="00684D9B"/>
    <w:rsid w:val="0068510A"/>
    <w:rsid w:val="00693E06"/>
    <w:rsid w:val="006940C6"/>
    <w:rsid w:val="00694D7C"/>
    <w:rsid w:val="00696155"/>
    <w:rsid w:val="00697556"/>
    <w:rsid w:val="006978D7"/>
    <w:rsid w:val="006A57CA"/>
    <w:rsid w:val="006A629B"/>
    <w:rsid w:val="006B4647"/>
    <w:rsid w:val="006B4C2B"/>
    <w:rsid w:val="006B50AF"/>
    <w:rsid w:val="006B5F53"/>
    <w:rsid w:val="006B6194"/>
    <w:rsid w:val="006B6D47"/>
    <w:rsid w:val="006C145F"/>
    <w:rsid w:val="006C1EDD"/>
    <w:rsid w:val="006C5AFE"/>
    <w:rsid w:val="006C6C91"/>
    <w:rsid w:val="006C76B0"/>
    <w:rsid w:val="006D33A1"/>
    <w:rsid w:val="006D3F7C"/>
    <w:rsid w:val="006D4637"/>
    <w:rsid w:val="006E1564"/>
    <w:rsid w:val="006E4859"/>
    <w:rsid w:val="006F05C5"/>
    <w:rsid w:val="006F22B5"/>
    <w:rsid w:val="006F6D95"/>
    <w:rsid w:val="00704093"/>
    <w:rsid w:val="0070527B"/>
    <w:rsid w:val="00706F13"/>
    <w:rsid w:val="007072E8"/>
    <w:rsid w:val="007124F3"/>
    <w:rsid w:val="00713D6C"/>
    <w:rsid w:val="007142E0"/>
    <w:rsid w:val="0071618D"/>
    <w:rsid w:val="00720F44"/>
    <w:rsid w:val="00725FA4"/>
    <w:rsid w:val="007343EA"/>
    <w:rsid w:val="0073555D"/>
    <w:rsid w:val="0073712A"/>
    <w:rsid w:val="00737EE1"/>
    <w:rsid w:val="00737F10"/>
    <w:rsid w:val="00740446"/>
    <w:rsid w:val="0074064B"/>
    <w:rsid w:val="00742B65"/>
    <w:rsid w:val="00742DE7"/>
    <w:rsid w:val="007438A9"/>
    <w:rsid w:val="0074491E"/>
    <w:rsid w:val="0076247A"/>
    <w:rsid w:val="00765AF4"/>
    <w:rsid w:val="0076768F"/>
    <w:rsid w:val="00771817"/>
    <w:rsid w:val="00775964"/>
    <w:rsid w:val="007765FE"/>
    <w:rsid w:val="00785DCD"/>
    <w:rsid w:val="00792978"/>
    <w:rsid w:val="00794E2E"/>
    <w:rsid w:val="00795BFB"/>
    <w:rsid w:val="0079603D"/>
    <w:rsid w:val="007B2756"/>
    <w:rsid w:val="007B2760"/>
    <w:rsid w:val="007B5922"/>
    <w:rsid w:val="007B616A"/>
    <w:rsid w:val="007C1157"/>
    <w:rsid w:val="007C652E"/>
    <w:rsid w:val="007C6982"/>
    <w:rsid w:val="007D0057"/>
    <w:rsid w:val="007E1530"/>
    <w:rsid w:val="007E5749"/>
    <w:rsid w:val="007E60EC"/>
    <w:rsid w:val="007F0A17"/>
    <w:rsid w:val="007F1F66"/>
    <w:rsid w:val="007F7175"/>
    <w:rsid w:val="00800650"/>
    <w:rsid w:val="00801BF8"/>
    <w:rsid w:val="00805E3F"/>
    <w:rsid w:val="008066F0"/>
    <w:rsid w:val="00806C01"/>
    <w:rsid w:val="00812DCC"/>
    <w:rsid w:val="008148CC"/>
    <w:rsid w:val="0081575C"/>
    <w:rsid w:val="008211A4"/>
    <w:rsid w:val="008277AE"/>
    <w:rsid w:val="00834DC9"/>
    <w:rsid w:val="00845EFB"/>
    <w:rsid w:val="0085133E"/>
    <w:rsid w:val="00854351"/>
    <w:rsid w:val="00855F3F"/>
    <w:rsid w:val="00872A77"/>
    <w:rsid w:val="00873150"/>
    <w:rsid w:val="00875920"/>
    <w:rsid w:val="0087657D"/>
    <w:rsid w:val="00876CA9"/>
    <w:rsid w:val="008807D5"/>
    <w:rsid w:val="00880832"/>
    <w:rsid w:val="0088328A"/>
    <w:rsid w:val="00883AFD"/>
    <w:rsid w:val="00886EE1"/>
    <w:rsid w:val="0088727D"/>
    <w:rsid w:val="008925C9"/>
    <w:rsid w:val="008954C9"/>
    <w:rsid w:val="00897C75"/>
    <w:rsid w:val="008A645A"/>
    <w:rsid w:val="008A64E3"/>
    <w:rsid w:val="008A6CC8"/>
    <w:rsid w:val="008B194E"/>
    <w:rsid w:val="008B573C"/>
    <w:rsid w:val="008C1130"/>
    <w:rsid w:val="008C56A2"/>
    <w:rsid w:val="008D0E4E"/>
    <w:rsid w:val="008D18E6"/>
    <w:rsid w:val="008D2FF2"/>
    <w:rsid w:val="008D502B"/>
    <w:rsid w:val="008D7A9B"/>
    <w:rsid w:val="008E0060"/>
    <w:rsid w:val="008E3EFF"/>
    <w:rsid w:val="008E7091"/>
    <w:rsid w:val="008E76AC"/>
    <w:rsid w:val="008F21F6"/>
    <w:rsid w:val="008F2B56"/>
    <w:rsid w:val="008F7817"/>
    <w:rsid w:val="00905646"/>
    <w:rsid w:val="00905CA9"/>
    <w:rsid w:val="00905CFA"/>
    <w:rsid w:val="00906440"/>
    <w:rsid w:val="00910DEB"/>
    <w:rsid w:val="00913ADF"/>
    <w:rsid w:val="00913DC8"/>
    <w:rsid w:val="00920B48"/>
    <w:rsid w:val="00922962"/>
    <w:rsid w:val="00935660"/>
    <w:rsid w:val="00946544"/>
    <w:rsid w:val="00946A97"/>
    <w:rsid w:val="009503E6"/>
    <w:rsid w:val="0095126F"/>
    <w:rsid w:val="00951F79"/>
    <w:rsid w:val="00952614"/>
    <w:rsid w:val="009625F2"/>
    <w:rsid w:val="00963DA8"/>
    <w:rsid w:val="00964F16"/>
    <w:rsid w:val="00971A2C"/>
    <w:rsid w:val="00974AB5"/>
    <w:rsid w:val="00975314"/>
    <w:rsid w:val="0097632B"/>
    <w:rsid w:val="00980FED"/>
    <w:rsid w:val="00981C84"/>
    <w:rsid w:val="00982465"/>
    <w:rsid w:val="009841D5"/>
    <w:rsid w:val="0098706D"/>
    <w:rsid w:val="00992A19"/>
    <w:rsid w:val="009935FB"/>
    <w:rsid w:val="00995A1B"/>
    <w:rsid w:val="009A2368"/>
    <w:rsid w:val="009A7B7F"/>
    <w:rsid w:val="009B09AF"/>
    <w:rsid w:val="009B27A6"/>
    <w:rsid w:val="009C3BEE"/>
    <w:rsid w:val="009C7B69"/>
    <w:rsid w:val="009D2BC7"/>
    <w:rsid w:val="009E7022"/>
    <w:rsid w:val="009F1672"/>
    <w:rsid w:val="009F2FD4"/>
    <w:rsid w:val="009F4A54"/>
    <w:rsid w:val="009F4BEC"/>
    <w:rsid w:val="009F5874"/>
    <w:rsid w:val="009F6F54"/>
    <w:rsid w:val="00A00382"/>
    <w:rsid w:val="00A04374"/>
    <w:rsid w:val="00A165DC"/>
    <w:rsid w:val="00A25FD7"/>
    <w:rsid w:val="00A26CC4"/>
    <w:rsid w:val="00A278E9"/>
    <w:rsid w:val="00A310EC"/>
    <w:rsid w:val="00A43AFF"/>
    <w:rsid w:val="00A43CA4"/>
    <w:rsid w:val="00A44B63"/>
    <w:rsid w:val="00A46AC7"/>
    <w:rsid w:val="00A60C08"/>
    <w:rsid w:val="00A74883"/>
    <w:rsid w:val="00A755E7"/>
    <w:rsid w:val="00A75B79"/>
    <w:rsid w:val="00A7793A"/>
    <w:rsid w:val="00A918E9"/>
    <w:rsid w:val="00A923AA"/>
    <w:rsid w:val="00A93BB1"/>
    <w:rsid w:val="00AA34DE"/>
    <w:rsid w:val="00AA4CC7"/>
    <w:rsid w:val="00AA5E8E"/>
    <w:rsid w:val="00AA63BE"/>
    <w:rsid w:val="00AB2C5F"/>
    <w:rsid w:val="00AB6CA7"/>
    <w:rsid w:val="00AD01E4"/>
    <w:rsid w:val="00AD0858"/>
    <w:rsid w:val="00AD0BD2"/>
    <w:rsid w:val="00AD44FA"/>
    <w:rsid w:val="00AD4B14"/>
    <w:rsid w:val="00AE1881"/>
    <w:rsid w:val="00AE2BC9"/>
    <w:rsid w:val="00AE7340"/>
    <w:rsid w:val="00AF0BCC"/>
    <w:rsid w:val="00AF1BBD"/>
    <w:rsid w:val="00AF221E"/>
    <w:rsid w:val="00AF2491"/>
    <w:rsid w:val="00AF2EDE"/>
    <w:rsid w:val="00B004BE"/>
    <w:rsid w:val="00B01240"/>
    <w:rsid w:val="00B01CD6"/>
    <w:rsid w:val="00B10207"/>
    <w:rsid w:val="00B112D8"/>
    <w:rsid w:val="00B1360B"/>
    <w:rsid w:val="00B141E7"/>
    <w:rsid w:val="00B1534C"/>
    <w:rsid w:val="00B153A4"/>
    <w:rsid w:val="00B17C9C"/>
    <w:rsid w:val="00B26CA0"/>
    <w:rsid w:val="00B311C3"/>
    <w:rsid w:val="00B351B4"/>
    <w:rsid w:val="00B353B4"/>
    <w:rsid w:val="00B40971"/>
    <w:rsid w:val="00B447E5"/>
    <w:rsid w:val="00B468CA"/>
    <w:rsid w:val="00B46BCA"/>
    <w:rsid w:val="00B478AA"/>
    <w:rsid w:val="00B514B2"/>
    <w:rsid w:val="00B53A10"/>
    <w:rsid w:val="00B556C5"/>
    <w:rsid w:val="00B634EA"/>
    <w:rsid w:val="00B642EA"/>
    <w:rsid w:val="00B65873"/>
    <w:rsid w:val="00B70245"/>
    <w:rsid w:val="00B70679"/>
    <w:rsid w:val="00B70AB3"/>
    <w:rsid w:val="00B71BE8"/>
    <w:rsid w:val="00B75E93"/>
    <w:rsid w:val="00B7644C"/>
    <w:rsid w:val="00B76A47"/>
    <w:rsid w:val="00B77653"/>
    <w:rsid w:val="00B8290B"/>
    <w:rsid w:val="00B87806"/>
    <w:rsid w:val="00B87EC9"/>
    <w:rsid w:val="00B91B77"/>
    <w:rsid w:val="00BA3CCB"/>
    <w:rsid w:val="00BA7C4B"/>
    <w:rsid w:val="00BB02A5"/>
    <w:rsid w:val="00BB1505"/>
    <w:rsid w:val="00BB1822"/>
    <w:rsid w:val="00BB6211"/>
    <w:rsid w:val="00BC38FD"/>
    <w:rsid w:val="00BC4506"/>
    <w:rsid w:val="00BC4C75"/>
    <w:rsid w:val="00BC5C7E"/>
    <w:rsid w:val="00BC7A94"/>
    <w:rsid w:val="00BC7E5B"/>
    <w:rsid w:val="00BE3559"/>
    <w:rsid w:val="00BE4720"/>
    <w:rsid w:val="00BF5B71"/>
    <w:rsid w:val="00C034CB"/>
    <w:rsid w:val="00C050A4"/>
    <w:rsid w:val="00C051A8"/>
    <w:rsid w:val="00C054BC"/>
    <w:rsid w:val="00C0581F"/>
    <w:rsid w:val="00C05E13"/>
    <w:rsid w:val="00C100E9"/>
    <w:rsid w:val="00C10BF5"/>
    <w:rsid w:val="00C14A4F"/>
    <w:rsid w:val="00C165F2"/>
    <w:rsid w:val="00C16EF4"/>
    <w:rsid w:val="00C17869"/>
    <w:rsid w:val="00C17897"/>
    <w:rsid w:val="00C2797E"/>
    <w:rsid w:val="00C409D5"/>
    <w:rsid w:val="00C4282F"/>
    <w:rsid w:val="00C429E2"/>
    <w:rsid w:val="00C435C3"/>
    <w:rsid w:val="00C45836"/>
    <w:rsid w:val="00C462FD"/>
    <w:rsid w:val="00C502C0"/>
    <w:rsid w:val="00C5095A"/>
    <w:rsid w:val="00C51B82"/>
    <w:rsid w:val="00C527FD"/>
    <w:rsid w:val="00C6234B"/>
    <w:rsid w:val="00C63EAE"/>
    <w:rsid w:val="00C73260"/>
    <w:rsid w:val="00C7629F"/>
    <w:rsid w:val="00C8049D"/>
    <w:rsid w:val="00C8661B"/>
    <w:rsid w:val="00C87143"/>
    <w:rsid w:val="00C9105E"/>
    <w:rsid w:val="00C91212"/>
    <w:rsid w:val="00C9746F"/>
    <w:rsid w:val="00CA139A"/>
    <w:rsid w:val="00CA2899"/>
    <w:rsid w:val="00CA3A3D"/>
    <w:rsid w:val="00CA642F"/>
    <w:rsid w:val="00CA77FB"/>
    <w:rsid w:val="00CB16DA"/>
    <w:rsid w:val="00CB379B"/>
    <w:rsid w:val="00CB5DD0"/>
    <w:rsid w:val="00CB70A6"/>
    <w:rsid w:val="00CC0D34"/>
    <w:rsid w:val="00CC239F"/>
    <w:rsid w:val="00CC36C0"/>
    <w:rsid w:val="00CC4ED2"/>
    <w:rsid w:val="00CC51D4"/>
    <w:rsid w:val="00CC5F73"/>
    <w:rsid w:val="00CC65DA"/>
    <w:rsid w:val="00CD5E2B"/>
    <w:rsid w:val="00CD5F07"/>
    <w:rsid w:val="00CD713C"/>
    <w:rsid w:val="00CE00F2"/>
    <w:rsid w:val="00CE25C9"/>
    <w:rsid w:val="00CF0D18"/>
    <w:rsid w:val="00CF21B9"/>
    <w:rsid w:val="00CF39E4"/>
    <w:rsid w:val="00CF6BF9"/>
    <w:rsid w:val="00D03800"/>
    <w:rsid w:val="00D065D3"/>
    <w:rsid w:val="00D14C94"/>
    <w:rsid w:val="00D15D8B"/>
    <w:rsid w:val="00D22290"/>
    <w:rsid w:val="00D22443"/>
    <w:rsid w:val="00D22776"/>
    <w:rsid w:val="00D23890"/>
    <w:rsid w:val="00D275D7"/>
    <w:rsid w:val="00D3164A"/>
    <w:rsid w:val="00D318DC"/>
    <w:rsid w:val="00D321BF"/>
    <w:rsid w:val="00D342A6"/>
    <w:rsid w:val="00D3463A"/>
    <w:rsid w:val="00D35E58"/>
    <w:rsid w:val="00D365E8"/>
    <w:rsid w:val="00D36D1A"/>
    <w:rsid w:val="00D40BEF"/>
    <w:rsid w:val="00D4235D"/>
    <w:rsid w:val="00D45CA6"/>
    <w:rsid w:val="00D45DF6"/>
    <w:rsid w:val="00D464BF"/>
    <w:rsid w:val="00D53201"/>
    <w:rsid w:val="00D53E26"/>
    <w:rsid w:val="00D56709"/>
    <w:rsid w:val="00D60BE4"/>
    <w:rsid w:val="00D634BB"/>
    <w:rsid w:val="00D66E45"/>
    <w:rsid w:val="00D727A9"/>
    <w:rsid w:val="00D73472"/>
    <w:rsid w:val="00D73BCE"/>
    <w:rsid w:val="00D80DDD"/>
    <w:rsid w:val="00D8712E"/>
    <w:rsid w:val="00D877A3"/>
    <w:rsid w:val="00D96112"/>
    <w:rsid w:val="00D967A6"/>
    <w:rsid w:val="00DA3E0B"/>
    <w:rsid w:val="00DA3F77"/>
    <w:rsid w:val="00DB44E6"/>
    <w:rsid w:val="00DC2DC9"/>
    <w:rsid w:val="00DC4F83"/>
    <w:rsid w:val="00DC5BAA"/>
    <w:rsid w:val="00DD4F0E"/>
    <w:rsid w:val="00DE184D"/>
    <w:rsid w:val="00DE2412"/>
    <w:rsid w:val="00DE4B92"/>
    <w:rsid w:val="00DE65E0"/>
    <w:rsid w:val="00DF0BF0"/>
    <w:rsid w:val="00DF3CA2"/>
    <w:rsid w:val="00DF3E56"/>
    <w:rsid w:val="00DF6D85"/>
    <w:rsid w:val="00E01463"/>
    <w:rsid w:val="00E0316A"/>
    <w:rsid w:val="00E05E0A"/>
    <w:rsid w:val="00E060BE"/>
    <w:rsid w:val="00E06728"/>
    <w:rsid w:val="00E06AEF"/>
    <w:rsid w:val="00E10794"/>
    <w:rsid w:val="00E130FE"/>
    <w:rsid w:val="00E159AB"/>
    <w:rsid w:val="00E15B9C"/>
    <w:rsid w:val="00E23B97"/>
    <w:rsid w:val="00E449B9"/>
    <w:rsid w:val="00E46432"/>
    <w:rsid w:val="00E46BB3"/>
    <w:rsid w:val="00E4772E"/>
    <w:rsid w:val="00E47D06"/>
    <w:rsid w:val="00E52189"/>
    <w:rsid w:val="00E52279"/>
    <w:rsid w:val="00E534CF"/>
    <w:rsid w:val="00E53D0C"/>
    <w:rsid w:val="00E56BDE"/>
    <w:rsid w:val="00E60C09"/>
    <w:rsid w:val="00E61367"/>
    <w:rsid w:val="00E61576"/>
    <w:rsid w:val="00E63388"/>
    <w:rsid w:val="00E76D75"/>
    <w:rsid w:val="00E81CB4"/>
    <w:rsid w:val="00E8585B"/>
    <w:rsid w:val="00E85F95"/>
    <w:rsid w:val="00E86F6A"/>
    <w:rsid w:val="00E872AA"/>
    <w:rsid w:val="00E920F7"/>
    <w:rsid w:val="00E93137"/>
    <w:rsid w:val="00E943AE"/>
    <w:rsid w:val="00E95408"/>
    <w:rsid w:val="00E95942"/>
    <w:rsid w:val="00E971C6"/>
    <w:rsid w:val="00E97940"/>
    <w:rsid w:val="00EA142B"/>
    <w:rsid w:val="00EA24A6"/>
    <w:rsid w:val="00EA37B5"/>
    <w:rsid w:val="00EA3F15"/>
    <w:rsid w:val="00EA472E"/>
    <w:rsid w:val="00EA67AE"/>
    <w:rsid w:val="00EA7847"/>
    <w:rsid w:val="00EB1590"/>
    <w:rsid w:val="00EB4C2F"/>
    <w:rsid w:val="00EB72BA"/>
    <w:rsid w:val="00EC5AAB"/>
    <w:rsid w:val="00EC60E9"/>
    <w:rsid w:val="00ED0E88"/>
    <w:rsid w:val="00EE2E6E"/>
    <w:rsid w:val="00EE463E"/>
    <w:rsid w:val="00EE534C"/>
    <w:rsid w:val="00EF0AFF"/>
    <w:rsid w:val="00F0055F"/>
    <w:rsid w:val="00F026F9"/>
    <w:rsid w:val="00F02F1F"/>
    <w:rsid w:val="00F03DF9"/>
    <w:rsid w:val="00F0759E"/>
    <w:rsid w:val="00F13E8E"/>
    <w:rsid w:val="00F16A43"/>
    <w:rsid w:val="00F16BFC"/>
    <w:rsid w:val="00F16EC7"/>
    <w:rsid w:val="00F22ACC"/>
    <w:rsid w:val="00F22FC8"/>
    <w:rsid w:val="00F27297"/>
    <w:rsid w:val="00F30C49"/>
    <w:rsid w:val="00F31B8B"/>
    <w:rsid w:val="00F33387"/>
    <w:rsid w:val="00F34756"/>
    <w:rsid w:val="00F4236B"/>
    <w:rsid w:val="00F430A1"/>
    <w:rsid w:val="00F44054"/>
    <w:rsid w:val="00F45114"/>
    <w:rsid w:val="00F46780"/>
    <w:rsid w:val="00F505A9"/>
    <w:rsid w:val="00F52DA3"/>
    <w:rsid w:val="00F616A3"/>
    <w:rsid w:val="00F6430F"/>
    <w:rsid w:val="00F67D3A"/>
    <w:rsid w:val="00F70D9C"/>
    <w:rsid w:val="00F71CDA"/>
    <w:rsid w:val="00F7569E"/>
    <w:rsid w:val="00F76A7C"/>
    <w:rsid w:val="00F77FDF"/>
    <w:rsid w:val="00F80FD4"/>
    <w:rsid w:val="00F821A3"/>
    <w:rsid w:val="00F83667"/>
    <w:rsid w:val="00F90E62"/>
    <w:rsid w:val="00F9314A"/>
    <w:rsid w:val="00F93D24"/>
    <w:rsid w:val="00F940B2"/>
    <w:rsid w:val="00F94AC4"/>
    <w:rsid w:val="00FA1BB9"/>
    <w:rsid w:val="00FA1C49"/>
    <w:rsid w:val="00FA28B4"/>
    <w:rsid w:val="00FA2B45"/>
    <w:rsid w:val="00FA4E1D"/>
    <w:rsid w:val="00FB4010"/>
    <w:rsid w:val="00FC4907"/>
    <w:rsid w:val="00FC58EF"/>
    <w:rsid w:val="00FC7584"/>
    <w:rsid w:val="00FD2694"/>
    <w:rsid w:val="00FD2EE5"/>
    <w:rsid w:val="00FD33DF"/>
    <w:rsid w:val="00FE39D7"/>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79359-487E-4FE5-BC49-02EF6F2E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1484</Words>
  <Characters>8167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2012-08-14T13:23:00Z</cp:lastPrinted>
  <dcterms:created xsi:type="dcterms:W3CDTF">2012-08-30T14:02:00Z</dcterms:created>
  <dcterms:modified xsi:type="dcterms:W3CDTF">2012-08-30T14:02:00Z</dcterms:modified>
</cp:coreProperties>
</file>